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26A8210-EC65-48D6-B8D9-19178DD4FEA9" style="width:450.75pt;height:489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417" w:bottom="1134" w:left="1417" w:header="709" w:footer="709" w:gutter="0"/>
          <w:pgNumType w:start="0"/>
          <w:cols w:space="720"/>
          <w:docGrid w:linePitch="360"/>
        </w:sectPr>
      </w:pPr>
    </w:p>
    <w:p>
      <w:pPr>
        <w:jc w:val="center"/>
        <w:rPr>
          <w:rFonts w:ascii="Times New Roman" w:hAnsi="Times New Roman"/>
          <w:b/>
          <w:noProof/>
          <w:lang w:val="bg-BG"/>
        </w:rPr>
      </w:pPr>
      <w:bookmarkStart w:id="1" w:name="_GoBack"/>
      <w:bookmarkEnd w:id="1"/>
      <w:r>
        <w:rPr>
          <w:rFonts w:ascii="Times New Roman" w:hAnsi="Times New Roman"/>
          <w:b/>
          <w:noProof/>
          <w:lang w:val="bg-BG"/>
        </w:rPr>
        <w:lastRenderedPageBreak/>
        <w:t>ОФИЦИАЛЕН ПРЕВОД</w:t>
      </w:r>
    </w:p>
    <w:p>
      <w:pPr>
        <w:jc w:val="center"/>
        <w:rPr>
          <w:rFonts w:ascii="Times New Roman" w:hAnsi="Times New Roman"/>
          <w:b/>
          <w:noProof/>
          <w:lang w:val="ru-RU"/>
        </w:rPr>
      </w:pPr>
      <w:r>
        <w:rPr>
          <w:rFonts w:ascii="Times New Roman" w:hAnsi="Times New Roman"/>
          <w:b/>
          <w:noProof/>
          <w:lang w:val="bg-BG"/>
        </w:rPr>
        <w:t>Съвместно писмо от Европейските общности и техните държави членки, от една страна, и Швейцария, от друга страна, съгласно параграф 5 от Процедурите за прилагане на член XXI от Общото споразумение по търговията с услуги (ГАТС) (S/L/80 от 29 октомври 1999 г.)</w:t>
      </w:r>
    </w:p>
    <w:p>
      <w:pPr>
        <w:jc w:val="center"/>
        <w:rPr>
          <w:rFonts w:ascii="Times New Roman" w:hAnsi="Times New Roman"/>
          <w:b/>
          <w:noProof/>
          <w:lang w:val="ru-RU"/>
        </w:rPr>
      </w:pPr>
      <w:r>
        <w:rPr>
          <w:rFonts w:ascii="Times New Roman" w:hAnsi="Times New Roman"/>
          <w:b/>
          <w:noProof/>
          <w:lang w:val="bg-BG"/>
        </w:rPr>
        <w:t>относно</w:t>
      </w:r>
    </w:p>
    <w:p>
      <w:pPr>
        <w:jc w:val="center"/>
        <w:rPr>
          <w:rFonts w:ascii="Times New Roman" w:hAnsi="Times New Roman"/>
          <w:b/>
          <w:noProof/>
          <w:lang w:val="ru-RU"/>
        </w:rPr>
      </w:pPr>
      <w:r>
        <w:rPr>
          <w:rFonts w:ascii="Times New Roman" w:hAnsi="Times New Roman"/>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rPr>
          <w:rFonts w:ascii="Times New Roman" w:hAnsi="Times New Roman"/>
          <w:b/>
          <w:noProof/>
          <w:lang w:val="ru-RU"/>
        </w:rPr>
      </w:pPr>
    </w:p>
    <w:p>
      <w:pPr>
        <w:pStyle w:val="BodyText"/>
        <w:numPr>
          <w:ilvl w:val="0"/>
          <w:numId w:val="0"/>
        </w:numPr>
        <w:rPr>
          <w:noProof/>
          <w:szCs w:val="24"/>
          <w:lang w:val="ru-RU"/>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съгласно член V, алинея 5 от ГАТС и в съответствие с условията на член XXI, алинея 1, буква б) от ГАТС.</w:t>
      </w:r>
      <w:r>
        <w:rPr>
          <w:noProof/>
          <w:szCs w:val="24"/>
          <w:lang w:val="ru-RU"/>
        </w:rPr>
        <w:t xml:space="preserve"> </w:t>
      </w:r>
    </w:p>
    <w:p>
      <w:pPr>
        <w:pStyle w:val="BodyText"/>
        <w:numPr>
          <w:ilvl w:val="0"/>
          <w:numId w:val="0"/>
        </w:numPr>
        <w:rPr>
          <w:noProof/>
          <w:szCs w:val="24"/>
          <w:lang w:val="ru-RU"/>
        </w:rPr>
      </w:pPr>
      <w:r>
        <w:rPr>
          <w:noProof/>
          <w:szCs w:val="24"/>
          <w:lang w:val="bg-BG"/>
        </w:rPr>
        <w:t>След подаването на първото съобщение Швейцария представи заявление за изразяване на интерес в съответствие с член XXI, алинея 2, буква а) от ГАТС (S/L/162) относно S/SECRET/8.</w:t>
      </w:r>
      <w:r>
        <w:rPr>
          <w:noProof/>
          <w:szCs w:val="24"/>
          <w:lang w:val="ru-RU"/>
        </w:rPr>
        <w:t xml:space="preserve"> По отношение на </w:t>
      </w:r>
      <w:r>
        <w:rPr>
          <w:noProof/>
          <w:szCs w:val="24"/>
        </w:rPr>
        <w:t>S</w:t>
      </w:r>
      <w:r>
        <w:rPr>
          <w:noProof/>
          <w:szCs w:val="24"/>
          <w:lang w:val="ru-RU"/>
        </w:rPr>
        <w:t>/</w:t>
      </w:r>
      <w:r>
        <w:rPr>
          <w:noProof/>
          <w:szCs w:val="24"/>
        </w:rPr>
        <w:t>SECRET</w:t>
      </w:r>
      <w:r>
        <w:rPr>
          <w:noProof/>
          <w:szCs w:val="24"/>
          <w:lang w:val="ru-RU"/>
        </w:rPr>
        <w:t>/9 не бе представено заявление за изразяване на интерес</w:t>
      </w:r>
      <w:r>
        <w:rPr>
          <w:noProof/>
          <w:szCs w:val="24"/>
          <w:lang w:val="bg-BG"/>
        </w:rPr>
        <w:t>. ЕО и Швейцария започнаха преговори в съответствие с член XXI, алинея 2, буква а) от ГАТС относно S/SECRET/8. От своя страна Швейцария представи меморандум, в който изложи своята позиция по тези преговори.</w:t>
      </w:r>
    </w:p>
    <w:p>
      <w:pPr>
        <w:pStyle w:val="BodyText"/>
        <w:numPr>
          <w:ilvl w:val="0"/>
          <w:numId w:val="0"/>
        </w:numPr>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r>
        <w:rPr>
          <w:noProof/>
          <w:szCs w:val="24"/>
          <w:lang w:val="bg-BG"/>
        </w:rPr>
        <w:t>По време на тези преговори ЕО и Швейцария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p>
    <w:p>
      <w:pPr>
        <w:pStyle w:val="BodyText"/>
        <w:numPr>
          <w:ilvl w:val="0"/>
          <w:numId w:val="0"/>
        </w:numPr>
        <w:rPr>
          <w:noProof/>
          <w:szCs w:val="24"/>
          <w:lang w:val="ru-RU"/>
        </w:rPr>
      </w:pPr>
      <w:r>
        <w:rPr>
          <w:noProof/>
          <w:szCs w:val="24"/>
          <w:lang w:val="bg-BG"/>
        </w:rPr>
        <w:t>Докладът за резултатите от тези преговори е приложен към настоящото писмо и включва: 1) предложените изменения в нотификациите, посочени по-горе, 2) договорените компенсаторни поправки, свързани с измененията и оттеглянията, нотифицирани в S/SECRET/8, и 3) проекта на консолидирания списък на конкретните задължения,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Швейцария.</w:t>
      </w:r>
    </w:p>
    <w:p>
      <w:pPr>
        <w:pStyle w:val="BodyText"/>
        <w:numPr>
          <w:ilvl w:val="0"/>
          <w:numId w:val="0"/>
        </w:numPr>
        <w:rPr>
          <w:noProof/>
          <w:szCs w:val="24"/>
          <w:lang w:val="ru-RU"/>
        </w:rPr>
      </w:pPr>
      <w:r>
        <w:rPr>
          <w:noProof/>
          <w:szCs w:val="24"/>
          <w:lang w:val="bg-BG"/>
        </w:rPr>
        <w:t>Настоящото писмо и приложения І и ІІ към прикрепения към него доклад представляват споразумението между ЕО и Швейцария по отношение на S/SECRET/8 за целите на член XXI, алинея 2, буква а) от ГАТС</w:t>
      </w:r>
      <w:r>
        <w:rPr>
          <w:rStyle w:val="FootnoteReference"/>
          <w:noProof/>
          <w:szCs w:val="24"/>
          <w:lang w:val="bg-BG"/>
        </w:rPr>
        <w:footnoteReference w:id="1"/>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промяната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r>
        <w:rPr>
          <w:noProof/>
          <w:szCs w:val="24"/>
          <w:lang w:val="ru-RU"/>
        </w:rPr>
        <w:t xml:space="preserve"> </w:t>
      </w:r>
    </w:p>
    <w:p>
      <w:pPr>
        <w:pStyle w:val="BodyText"/>
        <w:numPr>
          <w:ilvl w:val="0"/>
          <w:numId w:val="0"/>
        </w:numPr>
        <w:rPr>
          <w:noProof/>
          <w:szCs w:val="24"/>
          <w:lang w:val="bg-BG"/>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caps/>
          <w:noProof/>
          <w:szCs w:val="24"/>
          <w:lang w:val="ru-RU"/>
        </w:rPr>
        <w:t xml:space="preserve"> </w:t>
      </w:r>
      <w:r>
        <w:rPr>
          <w:noProof/>
          <w:szCs w:val="24"/>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p>
    <w:p>
      <w:pPr>
        <w:pStyle w:val="BodyText"/>
        <w:numPr>
          <w:ilvl w:val="0"/>
          <w:numId w:val="0"/>
        </w:numPr>
        <w:jc w:val="center"/>
        <w:rPr>
          <w:b/>
          <w:noProof/>
          <w:lang w:val="ru-RU"/>
        </w:rPr>
      </w:pPr>
      <w:r>
        <w:rPr>
          <w:noProof/>
          <w:szCs w:val="24"/>
          <w:lang w:val="bg-BG"/>
        </w:rPr>
        <w:br w:type="page"/>
      </w:r>
      <w:r>
        <w:rPr>
          <w:b/>
          <w:noProof/>
          <w:lang w:val="bg-BG"/>
        </w:rPr>
        <w:t>Доклад за резултатите от преговорите, проведени в съответствие с член ХХІ, алинея 2, буква а) от Общото споразумение по търговията с услуги (ГАТС)</w:t>
      </w:r>
    </w:p>
    <w:p>
      <w:pPr>
        <w:pStyle w:val="BodyText"/>
        <w:numPr>
          <w:ilvl w:val="0"/>
          <w:numId w:val="0"/>
        </w:numPr>
        <w:jc w:val="center"/>
        <w:rPr>
          <w:b/>
          <w:noProof/>
          <w:lang w:val="ru-RU"/>
        </w:rPr>
      </w:pPr>
      <w:r>
        <w:rPr>
          <w:b/>
          <w:noProof/>
          <w:lang w:val="bg-BG"/>
        </w:rPr>
        <w:t>относно</w:t>
      </w:r>
    </w:p>
    <w:p>
      <w:pPr>
        <w:pStyle w:val="BodyText"/>
        <w:numPr>
          <w:ilvl w:val="0"/>
          <w:numId w:val="0"/>
        </w:numPr>
        <w:jc w:val="center"/>
        <w:rPr>
          <w:b/>
          <w:noProof/>
          <w:lang w:val="ru-RU"/>
        </w:rPr>
      </w:pPr>
      <w:r>
        <w:rPr>
          <w:b/>
          <w:noProof/>
          <w:lang w:val="bg-BG"/>
        </w:rPr>
        <w:t>предложените изменения в списъците на поетите по ГАТС задължения от Европейските общности и от техните държави членки (наричани по-долу „ЕО“),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 към Европейските общности</w:t>
      </w:r>
    </w:p>
    <w:p>
      <w:pPr>
        <w:jc w:val="center"/>
        <w:rPr>
          <w:b/>
          <w:i/>
          <w:noProof/>
          <w:lang w:val="ru-RU"/>
        </w:rPr>
      </w:pPr>
    </w:p>
    <w:p>
      <w:pPr>
        <w:pStyle w:val="BodyText"/>
        <w:numPr>
          <w:ilvl w:val="0"/>
          <w:numId w:val="0"/>
        </w:numPr>
        <w:rPr>
          <w:noProof/>
        </w:rPr>
      </w:pPr>
      <w:r>
        <w:rPr>
          <w:noProof/>
          <w:lang w:val="bg-BG"/>
        </w:rPr>
        <w:t>Съгласно параграф 5 от Процедурите за прилагане на член XXI от ГАТС (S/L/80 от 29 октомври 1999 г.) Европейската комисия представя следния доклад:</w:t>
      </w:r>
    </w:p>
    <w:p>
      <w:pPr>
        <w:pStyle w:val="BodyText"/>
        <w:rPr>
          <w:noProof/>
          <w:szCs w:val="24"/>
        </w:rPr>
      </w:pPr>
      <w:r>
        <w:rPr>
          <w:noProof/>
          <w:szCs w:val="24"/>
          <w:lang w:val="bg-BG"/>
        </w:rPr>
        <w:t>На 28 май 2004 г. и на 4 април 2005 г. ЕО подадоха две съобщения в съответствие с член V от ГАТС (разпространени като документ S/SECRET/8 от 11 юни 2004 г. и документ S/SECRET/9 от 12 април 2005 г.), с които нотифицираха своето намерение да изменят или оттеглят конкретните си задължения, включени в списъка, приложен към съобщенията (наричани по-долу „предложените изменения“), съгласно член V, алинея 5 от ГАТС и в съответствие с условията на член XXI, алинея 1, буква б) от ГАТС.</w:t>
      </w:r>
      <w:r>
        <w:rPr>
          <w:noProof/>
          <w:szCs w:val="24"/>
          <w:lang w:val="ru-RU"/>
        </w:rPr>
        <w:t xml:space="preserve"> </w:t>
      </w:r>
      <w:r>
        <w:rPr>
          <w:noProof/>
          <w:szCs w:val="24"/>
          <w:lang w:val="bg-BG"/>
        </w:rPr>
        <w:t>Предложените изменения се съдържат в приложение I.</w:t>
      </w:r>
    </w:p>
    <w:p>
      <w:pPr>
        <w:pStyle w:val="BodyText"/>
        <w:rPr>
          <w:noProof/>
          <w:szCs w:val="24"/>
          <w:lang w:val="ru-RU"/>
        </w:rPr>
      </w:pPr>
      <w:r>
        <w:rPr>
          <w:noProof/>
          <w:szCs w:val="24"/>
          <w:lang w:val="bg-BG"/>
        </w:rPr>
        <w:t>След представяне на нотификацията, съдържаща се в документ S/SECRET/8, и в съответствие с член ХХІ, алинея 2, буква а) от ГАТС осемнадесет държави —членки на СТО (Аржентина, Австралия, Бразилия, Канада, Китай, Китайско Тайпе, Колумбия, Куба, Еквадор, Хонг Конг, Китай, Индия, Япония, Корея, Нова Зеландия, Филипините, Швейцария, Уругвай и Съединените щати), подадоха съответни заявления за изразяване на интерес.</w:t>
      </w:r>
      <w:r>
        <w:rPr>
          <w:noProof/>
          <w:szCs w:val="24"/>
          <w:lang w:val="ru-RU"/>
        </w:rPr>
        <w:t xml:space="preserve"> </w:t>
      </w:r>
    </w:p>
    <w:p>
      <w:pPr>
        <w:pStyle w:val="BodyText"/>
        <w:rPr>
          <w:noProof/>
          <w:szCs w:val="24"/>
          <w:lang w:val="ru-RU"/>
        </w:rPr>
      </w:pPr>
      <w:r>
        <w:rPr>
          <w:noProof/>
          <w:szCs w:val="24"/>
          <w:lang w:val="bg-BG"/>
        </w:rPr>
        <w:t>След представяне на нотификацията, съдържаща се в документ S/SECRET/9, и в съответствие с член ХХІ, алинея 2, буква а) от ГАТС четиринадесет държави —членки на СТО (Аржентина, Австралия, Бразилия, Канада, Китай, Колумбия, Еквадор, Хонг Конг, Китай, Индия, Япония, Корея, Нова Зеландия, Уругвай и Съединените щати), подадоха съответни заявления за изразяване на интерес.</w:t>
      </w:r>
    </w:p>
    <w:p>
      <w:pPr>
        <w:pStyle w:val="BodyText"/>
        <w:rPr>
          <w:noProof/>
          <w:szCs w:val="24"/>
          <w:lang w:val="ru-RU"/>
        </w:rPr>
      </w:pPr>
      <w:r>
        <w:rPr>
          <w:noProof/>
          <w:szCs w:val="24"/>
          <w:lang w:val="bg-BG"/>
        </w:rPr>
        <w:t>Швейцария подаде заявление за изразяване на интерес съгласно член XXI, алинея 2, буква а) от ГАТС (S/L/162) относно S/SECRET/8.</w:t>
      </w:r>
      <w:r>
        <w:rPr>
          <w:noProof/>
          <w:szCs w:val="24"/>
          <w:lang w:val="ru-RU"/>
        </w:rPr>
        <w:t xml:space="preserve"> По отношение на </w:t>
      </w:r>
      <w:r>
        <w:rPr>
          <w:noProof/>
          <w:szCs w:val="24"/>
        </w:rPr>
        <w:t>S</w:t>
      </w:r>
      <w:r>
        <w:rPr>
          <w:noProof/>
          <w:szCs w:val="24"/>
          <w:lang w:val="ru-RU"/>
        </w:rPr>
        <w:t>/</w:t>
      </w:r>
      <w:r>
        <w:rPr>
          <w:noProof/>
          <w:szCs w:val="24"/>
        </w:rPr>
        <w:t>SECRET</w:t>
      </w:r>
      <w:r>
        <w:rPr>
          <w:noProof/>
          <w:szCs w:val="24"/>
          <w:lang w:val="ru-RU"/>
        </w:rPr>
        <w:t>/9 не бе представено заявление за изразяване на интерес</w:t>
      </w:r>
      <w:r>
        <w:rPr>
          <w:noProof/>
          <w:szCs w:val="24"/>
          <w:lang w:val="bg-BG"/>
        </w:rPr>
        <w:t>. ЕО и Швейцария започнаха преговори съгласно член XXI, алинея 2, буква а) от ГАТС относно S/SECRET/8.</w:t>
      </w:r>
    </w:p>
    <w:p>
      <w:pPr>
        <w:pStyle w:val="BodyText"/>
        <w:rPr>
          <w:noProof/>
          <w:szCs w:val="24"/>
          <w:lang w:val="ru-RU"/>
        </w:rPr>
      </w:pPr>
      <w:r>
        <w:rPr>
          <w:noProof/>
          <w:szCs w:val="24"/>
          <w:lang w:val="bg-BG"/>
        </w:rPr>
        <w:t>По отношение на процедурата, открита с нотификацията, съдържаща се в документ S/SECRET/8, първоначалният период на преговорите, изтекъл на 26 октомври 2004 г., бе удължаван (по взаимно съгласие) пет пъти (до 26 април 2005 г., до 27 февруари 2006 г., до 1 юни 2006 г., до 1 юли и до 17 юли 2006 г.).</w:t>
      </w:r>
      <w:r>
        <w:rPr>
          <w:noProof/>
          <w:szCs w:val="24"/>
          <w:lang w:val="ru-RU"/>
        </w:rPr>
        <w:t xml:space="preserve"> </w:t>
      </w:r>
    </w:p>
    <w:p>
      <w:pPr>
        <w:pStyle w:val="BodyText"/>
        <w:rPr>
          <w:noProof/>
          <w:szCs w:val="24"/>
          <w:lang w:val="ru-RU"/>
        </w:rPr>
      </w:pPr>
      <w:r>
        <w:rPr>
          <w:noProof/>
          <w:szCs w:val="24"/>
          <w:lang w:val="bg-BG"/>
        </w:rPr>
        <w:t>По време на тези преговори ЕО и Швейцария се споразумяха относно компенсаторните поправки, свързани с измененията и оттеглянията, съдържащи се в документ S/SECRET/8.</w:t>
      </w:r>
      <w:r>
        <w:rPr>
          <w:noProof/>
          <w:szCs w:val="24"/>
          <w:lang w:val="ru-RU"/>
        </w:rPr>
        <w:t xml:space="preserve"> </w:t>
      </w:r>
      <w:r>
        <w:rPr>
          <w:noProof/>
          <w:szCs w:val="24"/>
          <w:lang w:val="bg-BG"/>
        </w:rPr>
        <w:t>Приложения I и II към настоящия доклад, заедно със съвместното писмо, към което той е приложен, представляват споразумението между ЕО и Швейцария по отношение на S/SECRET/8 за целите на член XXI, алинея 2, буква а) от ГАТС</w:t>
      </w:r>
      <w:r>
        <w:rPr>
          <w:rStyle w:val="FootnoteReference"/>
          <w:noProof/>
          <w:szCs w:val="24"/>
          <w:lang w:val="bg-BG"/>
        </w:rPr>
        <w:footnoteReference w:id="2"/>
      </w:r>
      <w:r>
        <w:rPr>
          <w:noProof/>
          <w:szCs w:val="24"/>
          <w:lang w:val="bg-BG"/>
        </w:rPr>
        <w:t>.</w:t>
      </w:r>
      <w:r>
        <w:rPr>
          <w:noProof/>
          <w:szCs w:val="24"/>
          <w:lang w:val="ru-RU"/>
        </w:rPr>
        <w:t xml:space="preserve"> </w:t>
      </w:r>
      <w:r>
        <w:rPr>
          <w:noProof/>
          <w:szCs w:val="24"/>
          <w:lang w:val="bg-BG"/>
        </w:rPr>
        <w:t>Споразумението не следва да се тълкува по начин, който би довел до промяна на списъците на изключенията от член II за ЕО и техните държави членки.</w:t>
      </w:r>
      <w:r>
        <w:rPr>
          <w:noProof/>
          <w:szCs w:val="24"/>
          <w:lang w:val="ru-RU"/>
        </w:rPr>
        <w:t xml:space="preserve"> </w:t>
      </w:r>
      <w:r>
        <w:rPr>
          <w:noProof/>
          <w:szCs w:val="24"/>
          <w:lang w:val="bg-BG"/>
        </w:rPr>
        <w:t>Споразумението не следва да се тълкува по начин, който би засегнал правата и задълженията на страните съгласно член VIII от ГАТС.</w:t>
      </w:r>
    </w:p>
    <w:p>
      <w:pPr>
        <w:pStyle w:val="BodyText"/>
        <w:rPr>
          <w:noProof/>
          <w:szCs w:val="24"/>
          <w:lang w:val="ru-RU"/>
        </w:rPr>
      </w:pPr>
      <w:r>
        <w:rPr>
          <w:noProof/>
          <w:szCs w:val="24"/>
          <w:lang w:val="bg-BG"/>
        </w:rPr>
        <w:t>С оглед на гореизложеното предложените изменения и договорените компенсаторни поправки са включени в проекта на консолидиран списък на задълженията на ЕО по ГАТС, който е резултат от сливането на съществуващите списъци на задълженията на ЕО и на техните държави членки, както и от включването в него на измененията или оттеглянията на задължения, нотифицирани от ЕО с документи S/SECRET/8 и S/SECRET/9, и компенсаторните поправки, договорени между ЕО и Швейцария.</w:t>
      </w:r>
      <w:r>
        <w:rPr>
          <w:noProof/>
          <w:szCs w:val="24"/>
          <w:lang w:val="ru-RU"/>
        </w:rPr>
        <w:t xml:space="preserve"> </w:t>
      </w:r>
    </w:p>
    <w:p>
      <w:pPr>
        <w:pStyle w:val="BodyText"/>
        <w:tabs>
          <w:tab w:val="left" w:pos="7740"/>
        </w:tabs>
        <w:rPr>
          <w:noProof/>
          <w:lang w:val="ru-RU"/>
        </w:rPr>
      </w:pPr>
      <w:r>
        <w:rPr>
          <w:noProof/>
          <w:szCs w:val="24"/>
          <w:lang w:val="bg-BG"/>
        </w:rPr>
        <w:t>Съгласно процедурите, посочени в параграфи 20—22 от S/L/80, до 14 септември 2006 г. ЕО ще изпратят на секретариата за разпространение проекта на консолидирания списък за сертифициране, при условие че всички засегнати страни членки са подписали споразумение или предвиденият в параграф 7 от S/L/80 период е изтекъл без да е бил поискан арбитраж.</w:t>
      </w:r>
      <w:r>
        <w:rPr>
          <w:noProof/>
          <w:szCs w:val="24"/>
          <w:lang w:val="ru-RU"/>
        </w:rPr>
        <w:t xml:space="preserve"> </w:t>
      </w:r>
      <w:r>
        <w:rPr>
          <w:noProof/>
          <w:szCs w:val="24"/>
          <w:lang w:val="bg-BG"/>
        </w:rPr>
        <w:t>Резултатите от преговорите следва да влязат в сила след приключване на процедурите по сертифициране, на дата, посочена от ЕО, след приключване на вътрешните процедури на ЕО за одобрение, които ЕО се стремят да ускорят възможно най-много</w:t>
      </w:r>
      <w:r>
        <w:rPr>
          <w:noProof/>
          <w:lang w:val="bg-BG"/>
        </w:rPr>
        <w:t>.</w:t>
      </w:r>
      <w:r>
        <w:rPr>
          <w:caps/>
          <w:noProof/>
          <w:lang w:val="ru-RU"/>
        </w:rPr>
        <w:t xml:space="preserve"> </w:t>
      </w:r>
      <w:r>
        <w:rPr>
          <w:noProof/>
          <w:lang w:val="bg-BG"/>
        </w:rPr>
        <w:t>Измененията и оттеглянията, предложени в документите S/SECRET/8 и S/SECRET/9, не влизат в сила преди влизането в сила на всички компенсаторни поправки, посочени в приложение II.</w:t>
      </w:r>
      <w:r>
        <w:rPr>
          <w:noProof/>
          <w:lang w:val="ru-RU"/>
        </w:rPr>
        <w:t xml:space="preserve"> </w:t>
      </w:r>
    </w:p>
    <w:p>
      <w:pPr>
        <w:jc w:val="center"/>
        <w:rPr>
          <w:b/>
          <w:noProof/>
          <w:lang w:val="ru-RU"/>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cols w:space="720"/>
          <w:docGrid w:linePitch="360"/>
        </w:sectPr>
      </w:pPr>
      <w:r>
        <w:rPr>
          <w:b/>
          <w:noProof/>
          <w:lang w:val="ru-RU"/>
        </w:rPr>
        <w:t>_______________</w:t>
      </w:r>
    </w:p>
    <w:p>
      <w:pPr>
        <w:jc w:val="center"/>
        <w:rPr>
          <w:rFonts w:ascii="Times New Roman" w:hAnsi="Times New Roman"/>
          <w:b/>
          <w:noProof/>
          <w:lang w:val="ru-RU"/>
        </w:rPr>
      </w:pPr>
      <w:r>
        <w:rPr>
          <w:rFonts w:ascii="Times New Roman" w:hAnsi="Times New Roman"/>
          <w:b/>
          <w:noProof/>
          <w:lang w:val="bg-BG"/>
        </w:rPr>
        <w:t>ПРИЛОЖЕНИЕ I</w:t>
      </w:r>
    </w:p>
    <w:p>
      <w:pPr>
        <w:jc w:val="both"/>
        <w:rPr>
          <w:rFonts w:ascii="Times New Roman" w:hAnsi="Times New Roman"/>
          <w:noProof/>
          <w:lang w:val="ru-RU"/>
        </w:rPr>
      </w:pPr>
    </w:p>
    <w:p>
      <w:pPr>
        <w:jc w:val="both"/>
        <w:rPr>
          <w:rFonts w:ascii="Times New Roman" w:hAnsi="Times New Roman"/>
          <w:noProof/>
          <w:lang w:val="ru-RU"/>
        </w:rPr>
      </w:pPr>
    </w:p>
    <w:p>
      <w:pPr>
        <w:pStyle w:val="Heading3"/>
        <w:numPr>
          <w:ilvl w:val="0"/>
          <w:numId w:val="0"/>
        </w:numPr>
        <w:rPr>
          <w:noProof/>
          <w:lang w:val="ru-RU"/>
        </w:rPr>
      </w:pPr>
      <w:r>
        <w:rPr>
          <w:noProof/>
        </w:rPr>
        <w:t>A</w:t>
      </w:r>
      <w:r>
        <w:rPr>
          <w:noProof/>
          <w:lang w:val="ru-RU"/>
        </w:rPr>
        <w:t xml:space="preserve">) </w:t>
      </w:r>
      <w:r>
        <w:rPr>
          <w:noProof/>
          <w:u w:val="single"/>
          <w:lang w:val="bg-BG"/>
        </w:rPr>
        <w:t>Изменения, нотифицирани с документ S/SECRET/8</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09"/>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Текст относно достъпа до пазара (стр. 9):</w:t>
      </w:r>
      <w:r>
        <w:rPr>
          <w:rFonts w:ascii="Times New Roman" w:hAnsi="Times New Roman"/>
          <w:noProof/>
          <w:lang w:val="ru-RU"/>
        </w:rPr>
        <w:t xml:space="preserve"> </w:t>
      </w:r>
      <w:r>
        <w:rPr>
          <w:rFonts w:ascii="Times New Roman" w:hAnsi="Times New Roman"/>
          <w:noProof/>
          <w:lang w:val="bg-BG"/>
        </w:rPr>
        <w:t>„Във всички държави членки услугите, считани за обществени услуги на държавно или местно равнище, могат да подлежат на публичен монопол или на изключителни права, предоставени на частни оператори“.</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Унгария, Малта, Австрия, Полша, Словения, Словакия, Финландия и Швеция.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клонове, агенции и представителства при начин на доставка 3 (стр. 9 и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на конкретните задължения на Чешката република, Естония, Кипър, Латвия, Литва, Малта,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Ограничения на националното третиране по отношение на дъщерните дружества при начин на доставка 3 (стр. 10).</w:t>
      </w:r>
      <w:r>
        <w:rPr>
          <w:rFonts w:ascii="Times New Roman" w:hAnsi="Times New Roman"/>
          <w:noProof/>
          <w:lang w:val="ru-RU"/>
        </w:rPr>
        <w:t xml:space="preserve"> </w:t>
      </w:r>
      <w:r>
        <w:rPr>
          <w:rFonts w:ascii="Times New Roman" w:hAnsi="Times New Roman"/>
          <w:noProof/>
          <w:lang w:val="bg-BG"/>
        </w:rPr>
        <w:t>Този текст не беше включен в списъка с конкретните задължения на Чешката република, Естония, Кипър, Латвия, Литва, Унгария, Малта, Полша, Словения и Словакия.</w:t>
      </w:r>
      <w:r>
        <w:rPr>
          <w:rFonts w:ascii="Times New Roman" w:hAnsi="Times New Roman"/>
          <w:noProof/>
          <w:lang w:val="ru-RU"/>
        </w:rPr>
        <w:t xml:space="preserve"> </w:t>
      </w:r>
      <w:r>
        <w:rPr>
          <w:rFonts w:ascii="Times New Roman" w:hAnsi="Times New Roman"/>
          <w:noProof/>
          <w:lang w:val="bg-BG"/>
        </w:rPr>
        <w:t>Това ограничение се прилага понастоящем към всички държави членки.</w:t>
      </w:r>
    </w:p>
    <w:p>
      <w:p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Ограничения на националното третиране по отношение на субсидиите при начин на доставка 3 (стр. 13).</w:t>
      </w:r>
      <w:r>
        <w:rPr>
          <w:rFonts w:ascii="Times New Roman" w:hAnsi="Times New Roman"/>
          <w:noProof/>
          <w:lang w:val="ru-RU"/>
        </w:rPr>
        <w:t xml:space="preserve"> </w:t>
      </w:r>
      <w:r>
        <w:rPr>
          <w:rFonts w:ascii="Times New Roman" w:hAnsi="Times New Roman"/>
          <w:noProof/>
          <w:lang w:val="bg-BG"/>
        </w:rPr>
        <w:t>Списъкът с конкретните задължения на Чешката република, Естония, Кипър, Латвия, Литва, Малта, Австрия, Словения, Словакия, Финландия и Швеция включваше само част от ограниченията по отношение на субсидиите при начин на доставка 3, вписани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Ограничение на националното третиране по отношение на субсидиите при начин на доставка 4 (стр. 13).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Естония, Кипър, Латвия, Унгария, Малта и Словакия не включваше ограничението на субсидиите при начин на доставка 4, вписано в списъка на задълженията на ЕО и на техните държави членки.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Кипър по отношение на достъпа до пазара при начин на доставка 4.</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Вътрешнокорпоративни трансфери (ВКТ) (стр. 26).</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Чешката република, Латвия, Литва, Унгария, Полша и Словакия не включваше ограничението, съгласно което приемащият субект трябва действително да предоставя подобни услуги на територията на съответната държава — членка на Общността.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Търговци на услуги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Полша не включваше ограничението, съгласно което тези представители не са ангажирани с извършването на преки продажби за широката общественост.</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Текст относно достъпа до пазара при начин на доставка 4 — Бизнес посетители (БП) — Регистриране на търговско присъствие (стр. 30).</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Литва не включваше ограничението, съгласно което тези представители не са ангажирани с извършването на преки продажби за широката общественост или с предоставянето на услуги.</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r>
        <w:rPr>
          <w:rFonts w:ascii="Times New Roman" w:hAnsi="Times New Roman"/>
          <w:noProof/>
          <w:lang w:val="ru-RU"/>
        </w:rPr>
        <w:t xml:space="preserve"> </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поети от Литва по отношение на достъпа до пазара при начин на доставка 4 — Бизнес посетители (БП) (стр. 32).</w:t>
      </w:r>
      <w:r>
        <w:rPr>
          <w:rFonts w:ascii="Times New Roman" w:hAnsi="Times New Roman"/>
          <w:noProof/>
          <w:lang w:val="ru-RU"/>
        </w:rPr>
        <w:t xml:space="preserve"> </w:t>
      </w:r>
      <w:r>
        <w:rPr>
          <w:rFonts w:ascii="Times New Roman" w:hAnsi="Times New Roman"/>
          <w:noProof/>
          <w:lang w:val="bg-BG"/>
        </w:rPr>
        <w:t xml:space="preserve">Тези задължения бяха </w:t>
      </w:r>
      <w:r>
        <w:rPr>
          <w:rFonts w:ascii="Times New Roman" w:hAnsi="Times New Roman"/>
          <w:i/>
          <w:noProof/>
          <w:lang w:val="bg-BG"/>
        </w:rPr>
        <w:t>частично</w:t>
      </w:r>
      <w:r>
        <w:rPr>
          <w:rFonts w:ascii="Times New Roman" w:hAnsi="Times New Roman"/>
          <w:noProof/>
          <w:lang w:val="bg-BG"/>
        </w:rPr>
        <w:t xml:space="preserve"> оттеглени.</w:t>
      </w:r>
    </w:p>
    <w:p>
      <w:pPr>
        <w:numPr>
          <w:ilvl w:val="12"/>
          <w:numId w:val="0"/>
        </w:numPr>
        <w:autoSpaceDE w:val="0"/>
        <w:autoSpaceDN w:val="0"/>
        <w:adjustRightInd w:val="0"/>
        <w:spacing w:after="0"/>
        <w:jc w:val="both"/>
        <w:rPr>
          <w:rFonts w:ascii="Times New Roman" w:hAnsi="Times New Roman"/>
          <w:noProof/>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Задължение, поето от Латвия по отношение на достъпа до пазара при начин на доставка 4 — Доставчици на услуги по договори (ДУД) (стр. 33).</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Латвия не включваше ограничението, съгласно което временното влизане и престой в съответната държава членка ще бъдат разрешени за срок от не повече от три месеца в рамките на всеки период от 12 месеца.</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тази държава членка.</w:t>
      </w:r>
    </w:p>
    <w:p>
      <w:pPr>
        <w:tabs>
          <w:tab w:val="left" w:pos="567"/>
        </w:tabs>
        <w:autoSpaceDE w:val="0"/>
        <w:autoSpaceDN w:val="0"/>
        <w:adjustRightInd w:val="0"/>
        <w:spacing w:after="0"/>
        <w:jc w:val="both"/>
        <w:rPr>
          <w:rFonts w:ascii="Times New Roman" w:hAnsi="Times New Roman"/>
          <w:noProof/>
          <w:lang w:val="ru-RU"/>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Наемни/лизингови услуги без оператори — По отношение на самолети (стр. 95).</w:t>
      </w:r>
      <w:r>
        <w:rPr>
          <w:rFonts w:ascii="Times New Roman" w:hAnsi="Times New Roman"/>
          <w:noProof/>
          <w:lang w:val="ru-RU"/>
        </w:rPr>
        <w:t xml:space="preserve"> </w:t>
      </w:r>
      <w:r>
        <w:rPr>
          <w:rFonts w:ascii="Times New Roman" w:hAnsi="Times New Roman"/>
          <w:noProof/>
          <w:lang w:val="bg-BG"/>
        </w:rPr>
        <w:t>Ограничението върху достъпа до пазара при начин на доставка 2 вече се прилага и по отношение на Естония, Литва, Унгария, Австрия, Словения, Финландия и Швеция, а ограничението върху достъпа до пазара при начин на доставка 3 вече се прилага и по отношение на Естония, Унгария и Австрия.</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Услуги, свързани с производството (стр. 109 и 110).</w:t>
      </w:r>
      <w:r>
        <w:rPr>
          <w:rFonts w:ascii="Times New Roman" w:hAnsi="Times New Roman"/>
          <w:noProof/>
          <w:lang w:val="ru-RU"/>
        </w:rPr>
        <w:t xml:space="preserve"> </w:t>
      </w:r>
      <w:r>
        <w:rPr>
          <w:rFonts w:ascii="Times New Roman" w:hAnsi="Times New Roman"/>
          <w:noProof/>
          <w:lang w:val="bg-BG"/>
        </w:rPr>
        <w:t>Задълженията, включени в списъка на задълженията на Латвия, Литва и Австрия, бяха оттеглени.</w:t>
      </w:r>
    </w:p>
    <w:p>
      <w:pPr>
        <w:tabs>
          <w:tab w:val="left" w:pos="567"/>
        </w:tabs>
        <w:autoSpaceDE w:val="0"/>
        <w:autoSpaceDN w:val="0"/>
        <w:adjustRightInd w:val="0"/>
        <w:spacing w:after="0"/>
        <w:ind w:left="567" w:hanging="567"/>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Образователни услуги (стр. 156):</w:t>
      </w:r>
      <w:r>
        <w:rPr>
          <w:rFonts w:ascii="Times New Roman" w:hAnsi="Times New Roman"/>
          <w:noProof/>
          <w:lang w:val="ru-RU"/>
        </w:rPr>
        <w:t xml:space="preserve"> </w:t>
      </w:r>
      <w:r>
        <w:rPr>
          <w:rFonts w:ascii="Times New Roman" w:hAnsi="Times New Roman"/>
          <w:noProof/>
          <w:lang w:val="bg-BG"/>
        </w:rPr>
        <w:t>ограничение до „само частно финансирани услуги“.</w:t>
      </w:r>
      <w:r>
        <w:rPr>
          <w:rFonts w:ascii="Times New Roman" w:hAnsi="Times New Roman"/>
          <w:noProof/>
          <w:lang w:val="ru-RU"/>
        </w:rPr>
        <w:t xml:space="preserve"> </w:t>
      </w:r>
      <w:r>
        <w:rPr>
          <w:rFonts w:ascii="Times New Roman" w:hAnsi="Times New Roman"/>
          <w:noProof/>
          <w:lang w:val="bg-BG"/>
        </w:rPr>
        <w:t>Това ограничение не беше включено в списъка на задълженията на Естония, Латвия, Литва, Унгария, Австрия, Словения (невключено само по отношение на образователните услуги за възрастни) и Словакия.</w:t>
      </w:r>
      <w:r>
        <w:rPr>
          <w:rFonts w:ascii="Times New Roman" w:hAnsi="Times New Roman"/>
          <w:noProof/>
          <w:lang w:val="ru-RU"/>
        </w:rPr>
        <w:t xml:space="preserve"> </w:t>
      </w:r>
      <w:r>
        <w:rPr>
          <w:rFonts w:ascii="Times New Roman" w:hAnsi="Times New Roman"/>
          <w:noProof/>
          <w:lang w:val="bg-BG"/>
        </w:rPr>
        <w:t>Това ограничение вече се прилага и по отношение на тези държави членки.</w:t>
      </w:r>
      <w:r>
        <w:rPr>
          <w:rFonts w:ascii="Times New Roman" w:hAnsi="Times New Roman"/>
          <w:noProof/>
          <w:lang w:val="ru-RU"/>
        </w:rPr>
        <w:t xml:space="preserve"> </w:t>
      </w:r>
      <w:r>
        <w:rPr>
          <w:rFonts w:ascii="Times New Roman" w:hAnsi="Times New Roman"/>
          <w:noProof/>
          <w:lang w:val="bg-BG"/>
        </w:rPr>
        <w:t>В случая на Словения това разширено прилагане се отнася само до образователните услуги за възрастни.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Банкови и други финансови услуги (с изключение на застраховане) (стр. 193, 213 и 217).</w:t>
      </w:r>
      <w:r>
        <w:rPr>
          <w:rFonts w:ascii="Times New Roman" w:hAnsi="Times New Roman"/>
          <w:noProof/>
          <w:lang w:val="ru-RU"/>
        </w:rPr>
        <w:t xml:space="preserve"> </w:t>
      </w:r>
      <w:r>
        <w:rPr>
          <w:rFonts w:ascii="Times New Roman" w:hAnsi="Times New Roman"/>
          <w:noProof/>
          <w:lang w:val="bg-BG"/>
        </w:rPr>
        <w:t>Ограниченията върху достъпа до пазара, в които се посочва, че „регистрирането на специализирано мениджърско дружество се изисква за изпълнение на дейностите по управлението на дялови тръстове и инвестиционни дружества“ и че „само фирми с адрес на управление в Общността могат да действат като депозитари на активите на инвестиционни фондове“ както при начин на доставка 1, така и при начин на доставка 3, не бяха включени в списъка на задълженията на Чешката република по отношение на начин на доставка 3, на Естония (невключени нито в начин на доставка 1, нито в начин на доставка 3), Латвия — по отношение на начин на доставка 3, Литва — по отношение на начин на доставка 1, Унгария — по отношение на начин на доставка 3 и Словакия — по отношение на начин на доставка 3.</w:t>
      </w:r>
      <w:r>
        <w:rPr>
          <w:rFonts w:ascii="Times New Roman" w:hAnsi="Times New Roman"/>
          <w:noProof/>
          <w:spacing w:val="-2"/>
          <w:lang w:val="ru-RU"/>
        </w:rPr>
        <w:t xml:space="preserve"> </w:t>
      </w:r>
      <w:r>
        <w:rPr>
          <w:rFonts w:ascii="Times New Roman" w:hAnsi="Times New Roman"/>
          <w:noProof/>
          <w:lang w:val="bg-BG"/>
        </w:rPr>
        <w:t>Тези ограничения вече се прилагат и по отношение на тези държави членки.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Космически транспорт.</w:t>
      </w:r>
      <w:r>
        <w:rPr>
          <w:rFonts w:ascii="Times New Roman" w:hAnsi="Times New Roman"/>
          <w:noProof/>
          <w:lang w:val="ru-RU"/>
        </w:rPr>
        <w:t xml:space="preserve"> </w:t>
      </w:r>
      <w:r>
        <w:rPr>
          <w:rFonts w:ascii="Times New Roman" w:hAnsi="Times New Roman"/>
          <w:noProof/>
          <w:lang w:val="bg-BG"/>
        </w:rPr>
        <w:t>Задължението, включено в списъка на задълженията на Австрия, беше оттеглено.</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Отдаване под наем на самолети с екипаж (стр. 246).</w:t>
      </w:r>
      <w:r>
        <w:rPr>
          <w:rFonts w:ascii="Times New Roman" w:hAnsi="Times New Roman"/>
          <w:noProof/>
          <w:lang w:val="ru-RU"/>
        </w:rPr>
        <w:t xml:space="preserve"> </w:t>
      </w:r>
      <w:r>
        <w:rPr>
          <w:rFonts w:ascii="Times New Roman" w:hAnsi="Times New Roman"/>
          <w:noProof/>
          <w:lang w:val="bg-BG"/>
        </w:rPr>
        <w:t>Две ограничения върху достъпа до пазара (едно при начини на доставка 1 и 2 и друго — при начин на доставка 3) са въведени за Полша.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Продажби и маркетинг (стр. 247 и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Естония не включваше ограничението на националното третиране на разпространяването чрез използване на система за компютърни резервации (СКР) на услуги, свързани с въздушния транспорт, предоставяни от СКР на дружеството майка.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Въздушен транспорт — Система за компютърни резервации (стр. 248).</w:t>
      </w:r>
      <w:r>
        <w:rPr>
          <w:rFonts w:ascii="Times New Roman" w:hAnsi="Times New Roman"/>
          <w:noProof/>
          <w:lang w:val="ru-RU"/>
        </w:rPr>
        <w:t xml:space="preserve"> </w:t>
      </w:r>
      <w:r>
        <w:rPr>
          <w:rFonts w:ascii="Times New Roman" w:hAnsi="Times New Roman"/>
          <w:noProof/>
          <w:lang w:val="bg-BG"/>
        </w:rPr>
        <w:t>Списъкът на конкретните задължения на Унгария не включваше ограничението на националното третиране на задълженията на дружеството майка или други участващи превозвачи по отношение на СКР, контролирана от въздушни превозвачи от една или повече страни извън Общността.</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Помощни услуги за всички видове транспорт — Услуги по товарообработване (стр. 259).</w:t>
      </w:r>
      <w:r>
        <w:rPr>
          <w:rFonts w:ascii="Times New Roman" w:hAnsi="Times New Roman"/>
          <w:noProof/>
          <w:lang w:val="ru-RU"/>
        </w:rPr>
        <w:t xml:space="preserve"> </w:t>
      </w:r>
      <w:r>
        <w:rPr>
          <w:rFonts w:ascii="Times New Roman" w:hAnsi="Times New Roman"/>
          <w:noProof/>
          <w:lang w:val="bg-BG"/>
        </w:rPr>
        <w:t>Ограничение върху достъпа до пазара при начин на доставка 3 беше въведено за Естония, Латвия и Литва.</w:t>
      </w:r>
    </w:p>
    <w:p>
      <w:pPr>
        <w:autoSpaceDE w:val="0"/>
        <w:autoSpaceDN w:val="0"/>
        <w:adjustRightInd w:val="0"/>
        <w:spacing w:after="0"/>
        <w:jc w:val="both"/>
        <w:rPr>
          <w:rFonts w:ascii="Times New Roman" w:hAnsi="Times New Roman"/>
          <w:noProof/>
          <w:lang w:val="ru-RU"/>
        </w:rPr>
      </w:pPr>
    </w:p>
    <w:p>
      <w:pPr>
        <w:pStyle w:val="Heading3"/>
        <w:numPr>
          <w:ilvl w:val="0"/>
          <w:numId w:val="0"/>
        </w:numPr>
        <w:rPr>
          <w:noProof/>
          <w:lang w:val="ru-RU"/>
        </w:rPr>
      </w:pPr>
      <w:r>
        <w:rPr>
          <w:noProof/>
          <w:lang w:val="bg-BG"/>
        </w:rPr>
        <w:t xml:space="preserve">Б) </w:t>
      </w:r>
      <w:r>
        <w:rPr>
          <w:noProof/>
          <w:u w:val="single"/>
          <w:lang w:val="bg-BG"/>
        </w:rPr>
        <w:t>Изменения, нотифицирани с документ S/SECRET/9</w:t>
      </w:r>
    </w:p>
    <w:p>
      <w:pPr>
        <w:pStyle w:val="Heading3"/>
        <w:numPr>
          <w:ilvl w:val="0"/>
          <w:numId w:val="0"/>
        </w:numPr>
        <w:spacing w:after="0"/>
        <w:rPr>
          <w:noProof/>
          <w:szCs w:val="24"/>
          <w:lang w:val="ru-RU"/>
        </w:rPr>
      </w:pPr>
    </w:p>
    <w:p>
      <w:pPr>
        <w:pStyle w:val="Heading3"/>
        <w:numPr>
          <w:ilvl w:val="0"/>
          <w:numId w:val="0"/>
        </w:numPr>
        <w:spacing w:after="0"/>
        <w:rPr>
          <w:noProof/>
          <w:szCs w:val="24"/>
          <w:u w:val="single"/>
        </w:rPr>
      </w:pPr>
      <w:r>
        <w:rPr>
          <w:noProof/>
          <w:szCs w:val="24"/>
          <w:u w:val="single"/>
          <w:lang w:val="bg-BG"/>
        </w:rPr>
        <w:t>Хоризонтални задължения</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rPr>
      </w:pPr>
      <w:r>
        <w:rPr>
          <w:rFonts w:ascii="Times New Roman" w:hAnsi="Times New Roman"/>
          <w:noProof/>
          <w:lang w:val="bg-BG"/>
        </w:rPr>
        <w:t>Задължения на Кипър и Малта при начин на доставка 4 във връзка с националното третиране (стр. 25, 29 и 32 от S/SECRET/8).</w:t>
      </w:r>
      <w:r>
        <w:rPr>
          <w:rFonts w:ascii="Times New Roman" w:hAnsi="Times New Roman"/>
          <w:noProof/>
          <w:lang w:val="ru-RU"/>
        </w:rPr>
        <w:t xml:space="preserve"> </w:t>
      </w:r>
      <w:r>
        <w:rPr>
          <w:rFonts w:ascii="Times New Roman" w:hAnsi="Times New Roman"/>
          <w:noProof/>
          <w:lang w:val="bg-BG"/>
        </w:rPr>
        <w:t>Тези задължения бяха оттеглени.</w:t>
      </w:r>
    </w:p>
    <w:p>
      <w:pPr>
        <w:numPr>
          <w:ilvl w:val="12"/>
          <w:numId w:val="0"/>
        </w:numPr>
        <w:autoSpaceDE w:val="0"/>
        <w:autoSpaceDN w:val="0"/>
        <w:adjustRightInd w:val="0"/>
        <w:jc w:val="both"/>
        <w:rPr>
          <w:rFonts w:ascii="Times New Roman" w:hAnsi="Times New Roman"/>
          <w:noProof/>
        </w:rPr>
      </w:pPr>
    </w:p>
    <w:p>
      <w:pPr>
        <w:pStyle w:val="Heading3"/>
        <w:numPr>
          <w:ilvl w:val="0"/>
          <w:numId w:val="0"/>
        </w:numPr>
        <w:spacing w:after="0"/>
        <w:ind w:left="720" w:hanging="720"/>
        <w:rPr>
          <w:noProof/>
          <w:szCs w:val="24"/>
          <w:u w:val="single"/>
        </w:rPr>
      </w:pPr>
      <w:r>
        <w:rPr>
          <w:noProof/>
          <w:szCs w:val="24"/>
          <w:u w:val="single"/>
          <w:lang w:val="bg-BG"/>
        </w:rPr>
        <w:t>Задължения по сектори</w:t>
      </w:r>
    </w:p>
    <w:p>
      <w:pPr>
        <w:pStyle w:val="Heading4"/>
        <w:numPr>
          <w:ilvl w:val="0"/>
          <w:numId w:val="0"/>
        </w:numPr>
        <w:spacing w:after="0"/>
        <w:ind w:left="720" w:hanging="720"/>
        <w:rPr>
          <w:noProof/>
          <w:szCs w:val="24"/>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Компютърни и свързани с тях услуги: а) Консултантски услуги, свързани с инсталирането на хардуер (CPC 841) (стр. 82), б) Услуги по внедряване на програмно осигуряване (CPC 842) (стр. 83), в) Услуги по обработка на данни (CPC 843) (стр. 85), г) Услуги, свързани с бази данни (CPC 844) (стр. 86).</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Научно-изследователски и развойни услуги — б) НИР услуги по обществените и хуманитарните науки (CPC 852) (стр. 89 и 90).</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w:t>
      </w:r>
      <w:r>
        <w:rPr>
          <w:rFonts w:ascii="Times New Roman" w:hAnsi="Times New Roman"/>
          <w:noProof/>
          <w:lang w:val="fr-FR"/>
        </w:rPr>
        <w:t>i</w:t>
      </w:r>
      <w:r>
        <w:rPr>
          <w:rFonts w:ascii="Times New Roman" w:hAnsi="Times New Roman"/>
          <w:noProof/>
          <w:lang w:val="bg-BG"/>
        </w:rPr>
        <w:t>) Застрахователни и свързани с тях услуги — Пряко застраховане (включително съзастраховане):</w:t>
      </w:r>
      <w:r>
        <w:rPr>
          <w:rFonts w:ascii="Times New Roman" w:hAnsi="Times New Roman"/>
          <w:noProof/>
          <w:lang w:val="ru-RU"/>
        </w:rPr>
        <w:t xml:space="preserve"> </w:t>
      </w:r>
      <w:r>
        <w:rPr>
          <w:rFonts w:ascii="Times New Roman" w:hAnsi="Times New Roman"/>
          <w:noProof/>
          <w:lang w:val="bg-BG"/>
        </w:rPr>
        <w:t>а) животозастраховане и б) различно от животозастраховане (стр. 211 и 212).</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 xml:space="preserve">Банкови и други финансови услуги (без застраховане) — </w:t>
      </w:r>
      <w:r>
        <w:rPr>
          <w:rFonts w:ascii="Times New Roman" w:hAnsi="Times New Roman"/>
          <w:noProof/>
          <w:lang w:val="ru-RU"/>
        </w:rPr>
        <w:t>(</w:t>
      </w:r>
      <w:r>
        <w:rPr>
          <w:rFonts w:ascii="Times New Roman" w:hAnsi="Times New Roman"/>
          <w:noProof/>
        </w:rPr>
        <w:t>x</w:t>
      </w:r>
      <w:r>
        <w:rPr>
          <w:rFonts w:ascii="Times New Roman" w:hAnsi="Times New Roman"/>
          <w:noProof/>
          <w:lang w:val="ru-RU"/>
        </w:rPr>
        <w:t xml:space="preserve">) </w:t>
      </w:r>
      <w:r>
        <w:rPr>
          <w:rFonts w:ascii="Times New Roman" w:hAnsi="Times New Roman"/>
          <w:noProof/>
          <w:lang w:val="bg-BG"/>
        </w:rPr>
        <w:t>д) прехвърляеми ценни книжа (стр. 223).</w:t>
      </w:r>
      <w:r>
        <w:rPr>
          <w:rFonts w:ascii="Times New Roman" w:hAnsi="Times New Roman"/>
          <w:noProof/>
          <w:lang w:val="ru-RU"/>
        </w:rPr>
        <w:t xml:space="preserve"> </w:t>
      </w:r>
      <w:r>
        <w:rPr>
          <w:rFonts w:ascii="Times New Roman" w:hAnsi="Times New Roman"/>
          <w:noProof/>
          <w:lang w:val="bg-BG"/>
        </w:rPr>
        <w:t>Задълженията на Кипър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Хотелиерство, ресторантьорство и обществено хранене (CPC 641, 642 и 643) (стр. 232).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Туристически агенции и туроператорски услуги (CPC 7471) (стр. 233 и 234).</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numPr>
          <w:ilvl w:val="12"/>
          <w:numId w:val="0"/>
        </w:numPr>
        <w:autoSpaceDE w:val="0"/>
        <w:autoSpaceDN w:val="0"/>
        <w:adjustRightInd w:val="0"/>
        <w:spacing w:after="0"/>
        <w:jc w:val="both"/>
        <w:rPr>
          <w:rFonts w:ascii="Times New Roman" w:hAnsi="Times New Roman"/>
          <w:noProof/>
          <w:lang w:val="ru-RU"/>
        </w:rPr>
      </w:pPr>
    </w:p>
    <w:p>
      <w:pPr>
        <w:numPr>
          <w:ilvl w:val="0"/>
          <w:numId w:val="10"/>
        </w:numPr>
        <w:tabs>
          <w:tab w:val="left" w:pos="720"/>
        </w:tabs>
        <w:autoSpaceDE w:val="0"/>
        <w:autoSpaceDN w:val="0"/>
        <w:adjustRightInd w:val="0"/>
        <w:spacing w:after="0" w:line="240" w:lineRule="auto"/>
        <w:ind w:left="709" w:hanging="709"/>
        <w:jc w:val="both"/>
        <w:rPr>
          <w:rFonts w:ascii="Times New Roman" w:hAnsi="Times New Roman"/>
          <w:noProof/>
          <w:lang w:val="ru-RU"/>
        </w:rPr>
      </w:pPr>
      <w:r>
        <w:rPr>
          <w:rFonts w:ascii="Times New Roman" w:hAnsi="Times New Roman"/>
          <w:noProof/>
          <w:lang w:val="bg-BG"/>
        </w:rPr>
        <w:t>Морски транспортни услуги — с изключение на каботажен транспорт — а) Пътнически транспорт</w:t>
      </w:r>
      <w:r>
        <w:rPr>
          <w:rFonts w:ascii="Times New Roman" w:hAnsi="Times New Roman"/>
          <w:noProof/>
          <w:lang w:val="ru-RU"/>
        </w:rPr>
        <w:t xml:space="preserve"> </w:t>
      </w:r>
      <w:r>
        <w:rPr>
          <w:rFonts w:ascii="Times New Roman" w:hAnsi="Times New Roman"/>
          <w:noProof/>
          <w:lang w:val="bg-BG"/>
        </w:rPr>
        <w:t>(CPC 7211);</w:t>
      </w:r>
      <w:r>
        <w:rPr>
          <w:rFonts w:ascii="Times New Roman" w:hAnsi="Times New Roman"/>
          <w:noProof/>
          <w:lang w:val="ru-RU"/>
        </w:rPr>
        <w:t xml:space="preserve"> </w:t>
      </w:r>
      <w:r>
        <w:rPr>
          <w:rFonts w:ascii="Times New Roman" w:hAnsi="Times New Roman"/>
          <w:noProof/>
          <w:lang w:val="bg-BG"/>
        </w:rPr>
        <w:t>б) Товарен транспорт (CPC 7212) (стр.242).</w:t>
      </w:r>
      <w:r>
        <w:rPr>
          <w:rFonts w:ascii="Times New Roman" w:hAnsi="Times New Roman"/>
          <w:noProof/>
          <w:lang w:val="ru-RU"/>
        </w:rPr>
        <w:t xml:space="preserve"> </w:t>
      </w:r>
      <w:r>
        <w:rPr>
          <w:rFonts w:ascii="Times New Roman" w:hAnsi="Times New Roman"/>
          <w:noProof/>
          <w:lang w:val="bg-BG"/>
        </w:rPr>
        <w:t>Задълженията на Малта при начин на доставка 4 (ВКТ, БП и ДУД) във връзка с националното третиране бяха оттеглени.</w:t>
      </w:r>
    </w:p>
    <w:p>
      <w:pPr>
        <w:spacing w:after="0"/>
        <w:jc w:val="both"/>
        <w:rPr>
          <w:rFonts w:ascii="Times New Roman" w:hAnsi="Times New Roman"/>
          <w:noProof/>
          <w:lang w:val="ru-RU"/>
        </w:rPr>
      </w:pPr>
    </w:p>
    <w:p>
      <w:pPr>
        <w:jc w:val="both"/>
        <w:rPr>
          <w:rFonts w:ascii="Times New Roman" w:hAnsi="Times New Roman"/>
          <w:noProof/>
          <w:lang w:val="ru-RU"/>
        </w:rPr>
      </w:pPr>
      <w:r>
        <w:rPr>
          <w:rFonts w:ascii="Times New Roman" w:hAnsi="Times New Roman"/>
          <w:noProof/>
          <w:lang w:val="ru-RU"/>
        </w:rPr>
        <w:br w:type="page"/>
      </w:r>
    </w:p>
    <w:p>
      <w:pPr>
        <w:jc w:val="center"/>
        <w:rPr>
          <w:rFonts w:ascii="Times New Roman" w:hAnsi="Times New Roman"/>
          <w:b/>
          <w:noProof/>
          <w:lang w:val="ru-RU"/>
        </w:rPr>
      </w:pPr>
      <w:r>
        <w:rPr>
          <w:rFonts w:ascii="Times New Roman" w:hAnsi="Times New Roman"/>
          <w:b/>
          <w:noProof/>
          <w:lang w:val="bg-BG"/>
        </w:rPr>
        <w:t>ПРИЛОЖЕНИЕ II</w:t>
      </w:r>
    </w:p>
    <w:p>
      <w:pPr>
        <w:jc w:val="center"/>
        <w:rPr>
          <w:rFonts w:ascii="Times New Roman" w:hAnsi="Times New Roman"/>
          <w:noProof/>
          <w:lang w:val="ru-RU"/>
        </w:rPr>
      </w:pPr>
    </w:p>
    <w:p>
      <w:pPr>
        <w:jc w:val="center"/>
        <w:outlineLvl w:val="0"/>
        <w:rPr>
          <w:rFonts w:ascii="Times New Roman" w:hAnsi="Times New Roman"/>
          <w:b/>
          <w:noProof/>
          <w:lang w:val="ru-RU"/>
        </w:rPr>
      </w:pPr>
      <w:r>
        <w:rPr>
          <w:rFonts w:ascii="Times New Roman" w:hAnsi="Times New Roman"/>
          <w:b/>
          <w:noProof/>
          <w:lang w:val="bg-BG"/>
        </w:rPr>
        <w:t>ОБЕЗЩЕТЕНИЕ ОТ СТРАНА НА ЕО</w:t>
      </w:r>
    </w:p>
    <w:p>
      <w:pPr>
        <w:jc w:val="both"/>
        <w:rPr>
          <w:rFonts w:ascii="Times New Roman" w:hAnsi="Times New Roman"/>
          <w:noProof/>
          <w:lang w:val="ru-RU"/>
        </w:rPr>
      </w:pPr>
    </w:p>
    <w:p>
      <w:pPr>
        <w:numPr>
          <w:ilvl w:val="0"/>
          <w:numId w:val="5"/>
        </w:numPr>
        <w:tabs>
          <w:tab w:val="left" w:pos="-142"/>
        </w:tabs>
        <w:spacing w:after="0" w:line="240" w:lineRule="auto"/>
        <w:ind w:left="714" w:hanging="357"/>
        <w:jc w:val="both"/>
        <w:rPr>
          <w:rFonts w:ascii="Times New Roman" w:hAnsi="Times New Roman"/>
          <w:b/>
          <w:noProof/>
          <w:lang w:val="ru-RU"/>
        </w:rPr>
      </w:pPr>
      <w:r>
        <w:rPr>
          <w:rFonts w:ascii="Times New Roman" w:hAnsi="Times New Roman"/>
          <w:b/>
          <w:noProof/>
          <w:lang w:val="bg-BG"/>
        </w:rPr>
        <w:t>Хоризонтално ограничение на обществените услуги при начин на доставка 3</w:t>
      </w:r>
    </w:p>
    <w:p>
      <w:pPr>
        <w:tabs>
          <w:tab w:val="left" w:pos="-142"/>
        </w:tabs>
        <w:spacing w:after="0"/>
        <w:ind w:left="1434" w:hanging="3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Бележка под линия относно обхвата, показваща, че това ограничение не се отнася до телекомуникациите, до компютърните услуги и до услугите, свързани с тях.</w:t>
      </w:r>
    </w:p>
    <w:p>
      <w:pPr>
        <w:spacing w:after="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b/>
          <w:noProof/>
          <w:lang w:val="bg-BG"/>
        </w:rPr>
        <w:t>Хоризонтални ограничения на инвестициите при начин на доставка 3</w:t>
      </w:r>
    </w:p>
    <w:p>
      <w:pPr>
        <w:spacing w:after="0"/>
        <w:ind w:left="720" w:firstLine="3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Премахване на ограничението по отношение на националното третиране за </w:t>
      </w:r>
      <w:r>
        <w:rPr>
          <w:rFonts w:ascii="Times New Roman" w:hAnsi="Times New Roman"/>
          <w:noProof/>
        </w:rPr>
        <w:t>AT</w:t>
      </w:r>
      <w:r>
        <w:rPr>
          <w:rFonts w:ascii="Times New Roman" w:hAnsi="Times New Roman"/>
          <w:noProof/>
          <w:lang w:val="bg-BG"/>
        </w:rPr>
        <w:t xml:space="preserve"> при начин на доставка 3 за клоновете на</w:t>
      </w:r>
    </w:p>
    <w:p>
      <w:pPr>
        <w:spacing w:after="0"/>
        <w:ind w:left="720" w:firstLine="380"/>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чуждестранни акционерни дружества (Aktiengesellschaften) и дружества с ограничена отговорност</w:t>
      </w:r>
    </w:p>
    <w:p>
      <w:pPr>
        <w:spacing w:after="0"/>
        <w:ind w:left="720" w:firstLine="380"/>
        <w:jc w:val="both"/>
        <w:rPr>
          <w:rFonts w:ascii="Times New Roman" w:hAnsi="Times New Roman"/>
          <w:noProof/>
          <w:lang w:val="ru-RU"/>
        </w:rPr>
      </w:pPr>
      <w:r>
        <w:rPr>
          <w:rFonts w:ascii="Times New Roman" w:hAnsi="Times New Roman"/>
          <w:noProof/>
          <w:lang w:val="ru-RU"/>
        </w:rPr>
        <w:tab/>
        <w:t>(</w:t>
      </w:r>
      <w:r>
        <w:rPr>
          <w:rFonts w:ascii="Times New Roman" w:hAnsi="Times New Roman"/>
          <w:noProof/>
        </w:rPr>
        <w:t>Gesellschaften</w:t>
      </w:r>
      <w:r>
        <w:rPr>
          <w:rFonts w:ascii="Times New Roman" w:hAnsi="Times New Roman"/>
          <w:noProof/>
          <w:lang w:val="ru-RU"/>
        </w:rPr>
        <w:t xml:space="preserve"> </w:t>
      </w:r>
      <w:r>
        <w:rPr>
          <w:rFonts w:ascii="Times New Roman" w:hAnsi="Times New Roman"/>
          <w:noProof/>
        </w:rPr>
        <w:t>mit</w:t>
      </w:r>
      <w:r>
        <w:rPr>
          <w:rFonts w:ascii="Times New Roman" w:hAnsi="Times New Roman"/>
          <w:noProof/>
          <w:lang w:val="ru-RU"/>
        </w:rPr>
        <w:t xml:space="preserve"> </w:t>
      </w:r>
      <w:r>
        <w:rPr>
          <w:rFonts w:ascii="Times New Roman" w:hAnsi="Times New Roman"/>
          <w:noProof/>
        </w:rPr>
        <w:t>beschr</w:t>
      </w:r>
      <w:r>
        <w:rPr>
          <w:rFonts w:ascii="Times New Roman" w:hAnsi="Times New Roman"/>
          <w:noProof/>
          <w:lang w:val="ru-RU"/>
        </w:rPr>
        <w:t>ä</w:t>
      </w:r>
      <w:r>
        <w:rPr>
          <w:rFonts w:ascii="Times New Roman" w:hAnsi="Times New Roman"/>
          <w:noProof/>
        </w:rPr>
        <w:t>nkter</w:t>
      </w:r>
      <w:r>
        <w:rPr>
          <w:rFonts w:ascii="Times New Roman" w:hAnsi="Times New Roman"/>
          <w:noProof/>
          <w:lang w:val="ru-RU"/>
        </w:rPr>
        <w:t xml:space="preserve"> </w:t>
      </w:r>
      <w:r>
        <w:rPr>
          <w:rFonts w:ascii="Times New Roman" w:hAnsi="Times New Roman"/>
          <w:noProof/>
        </w:rPr>
        <w:t>Haftung</w:t>
      </w:r>
      <w:r>
        <w:rPr>
          <w:rFonts w:ascii="Times New Roman" w:hAnsi="Times New Roman"/>
          <w:noProof/>
          <w:lang w:val="ru-RU"/>
        </w:rPr>
        <w:t>).</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Начин на </w:t>
      </w:r>
      <w:r>
        <w:rPr>
          <w:rFonts w:ascii="Times New Roman" w:hAnsi="Times New Roman"/>
          <w:b/>
          <w:noProof/>
          <w:lang w:val="bg-BG"/>
        </w:rPr>
        <w:t>доставка 4</w:t>
      </w:r>
      <w:r>
        <w:rPr>
          <w:rFonts w:ascii="Times New Roman" w:hAnsi="Times New Roman"/>
          <w:noProof/>
          <w:lang w:val="bg-BG"/>
        </w:rPr>
        <w:t xml:space="preserve"> за вътрешнокорпоративни трансфери и бизнес посетители</w:t>
      </w:r>
    </w:p>
    <w:p>
      <w:pPr>
        <w:spacing w:after="0"/>
        <w:ind w:left="110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bg-BG"/>
        </w:rPr>
        <w:t>при поети от тези държави хоризонтални задължения и задължения по сектори при начин на доставка 3.</w:t>
      </w:r>
    </w:p>
    <w:p>
      <w:pPr>
        <w:spacing w:after="0"/>
        <w:ind w:left="720" w:firstLine="380"/>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Инженерни услуги</w:t>
      </w:r>
      <w:r>
        <w:rPr>
          <w:rFonts w:ascii="Times New Roman" w:hAnsi="Times New Roman"/>
          <w:noProof/>
          <w:lang w:val="bg-BG"/>
        </w:rPr>
        <w:t xml:space="preserve"> (CPC 8672)</w:t>
      </w:r>
    </w:p>
    <w:p>
      <w:pPr>
        <w:spacing w:after="0"/>
        <w:ind w:left="1440" w:hanging="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Задължения, поети от </w:t>
      </w:r>
      <w:r>
        <w:rPr>
          <w:rFonts w:ascii="Times New Roman" w:hAnsi="Times New Roman"/>
          <w:noProof/>
        </w:rPr>
        <w:t>CY</w:t>
      </w:r>
      <w:r>
        <w:rPr>
          <w:rFonts w:ascii="Times New Roman" w:hAnsi="Times New Roman"/>
          <w:noProof/>
          <w:lang w:val="bg-BG"/>
        </w:rPr>
        <w:t xml:space="preserve"> и </w:t>
      </w:r>
      <w:r>
        <w:rPr>
          <w:rFonts w:ascii="Times New Roman" w:hAnsi="Times New Roman"/>
          <w:noProof/>
        </w:rPr>
        <w:t>MT</w:t>
      </w:r>
      <w:r>
        <w:rPr>
          <w:rFonts w:ascii="Times New Roman" w:hAnsi="Times New Roman"/>
          <w:noProof/>
          <w:lang w:val="bg-BG"/>
        </w:rPr>
        <w:t xml:space="preserve"> по отношение на достъпа до пазара и националното третиране при начин на доставка 2</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и SK по отношение на достъпа до пазара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и MT по отношение на националното третиране при начин на доставка 3</w:t>
      </w:r>
    </w:p>
    <w:p>
      <w:pPr>
        <w:spacing w:after="0"/>
        <w:ind w:left="1080"/>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Премахване на ограниченията върху достъпа до пазара за PT при начин на доставка 3</w:t>
      </w:r>
    </w:p>
    <w:p>
      <w:pPr>
        <w:spacing w:after="0"/>
        <w:ind w:left="360" w:firstLine="72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Интегрирани инженерни услуги</w:t>
      </w:r>
      <w:r>
        <w:rPr>
          <w:rFonts w:ascii="Times New Roman" w:hAnsi="Times New Roman"/>
          <w:noProof/>
          <w:lang w:val="bg-BG"/>
        </w:rPr>
        <w:t xml:space="preserve"> (CPC 8673):</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Премахване на теста за икономическа потребност (ENT), прилаган по отношение на начин на доставка 4/ДУД от UK</w:t>
      </w:r>
    </w:p>
    <w:p>
      <w:pPr>
        <w:spacing w:after="0"/>
        <w:ind w:left="357" w:firstLine="72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SK по отношение на достъпа до пазара и националното третиране при начин на доставка 3</w:t>
      </w:r>
    </w:p>
    <w:p>
      <w:pPr>
        <w:spacing w:after="0"/>
        <w:ind w:left="360"/>
        <w:jc w:val="both"/>
        <w:rPr>
          <w:rFonts w:ascii="Times New Roman" w:hAnsi="Times New Roman"/>
          <w:noProof/>
          <w:lang w:val="ru-RU"/>
        </w:rPr>
      </w:pPr>
    </w:p>
    <w:p>
      <w:pPr>
        <w:numPr>
          <w:ilvl w:val="0"/>
          <w:numId w:val="5"/>
        </w:numPr>
        <w:spacing w:after="0" w:line="240" w:lineRule="auto"/>
        <w:jc w:val="both"/>
        <w:rPr>
          <w:rFonts w:ascii="Times New Roman" w:hAnsi="Times New Roman"/>
          <w:noProof/>
          <w:lang w:val="ru-RU"/>
        </w:rPr>
      </w:pPr>
      <w:r>
        <w:rPr>
          <w:rFonts w:ascii="Times New Roman" w:hAnsi="Times New Roman"/>
          <w:noProof/>
          <w:lang w:val="bg-BG"/>
        </w:rPr>
        <w:t xml:space="preserve">Професионални услуги — </w:t>
      </w:r>
      <w:r>
        <w:rPr>
          <w:rFonts w:ascii="Times New Roman" w:hAnsi="Times New Roman"/>
          <w:b/>
          <w:noProof/>
          <w:lang w:val="bg-BG"/>
        </w:rPr>
        <w:t>Градоустройствени и ландшафтни архитектурни услуги</w:t>
      </w:r>
      <w:r>
        <w:rPr>
          <w:rFonts w:ascii="Times New Roman" w:hAnsi="Times New Roman"/>
          <w:noProof/>
          <w:lang w:val="bg-BG"/>
        </w:rPr>
        <w:t xml:space="preserve"> (CPC 8674):</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CZ, MT, PL, SI и SK по отношение на достъпа до пазара и националното третиране при начин на доставка 3.</w:t>
      </w:r>
    </w:p>
    <w:p>
      <w:pPr>
        <w:spacing w:after="0"/>
        <w:ind w:left="1435" w:hanging="301"/>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при ландшафтните архитектурни услуги при начин на доставка 2.</w:t>
      </w:r>
    </w:p>
    <w:p>
      <w:pPr>
        <w:spacing w:after="0"/>
        <w:ind w:left="360"/>
        <w:jc w:val="both"/>
        <w:rPr>
          <w:rFonts w:ascii="Times New Roman" w:hAnsi="Times New Roman"/>
          <w:noProof/>
          <w:lang w:val="ru-RU"/>
        </w:rPr>
      </w:pPr>
    </w:p>
    <w:p>
      <w:pPr>
        <w:numPr>
          <w:ilvl w:val="0"/>
          <w:numId w:val="6"/>
        </w:numPr>
        <w:spacing w:after="0" w:line="240" w:lineRule="auto"/>
        <w:jc w:val="both"/>
        <w:rPr>
          <w:rFonts w:ascii="Times New Roman" w:hAnsi="Times New Roman"/>
          <w:noProof/>
          <w:lang w:val="ru-RU"/>
        </w:rPr>
      </w:pPr>
      <w:r>
        <w:rPr>
          <w:rFonts w:ascii="Times New Roman" w:hAnsi="Times New Roman"/>
          <w:b/>
          <w:noProof/>
          <w:lang w:val="bg-BG"/>
        </w:rPr>
        <w:t>Компютърни и свързани с тях услуги</w:t>
      </w:r>
      <w:r>
        <w:rPr>
          <w:rFonts w:ascii="Times New Roman" w:hAnsi="Times New Roman"/>
          <w:noProof/>
          <w:lang w:val="bg-BG"/>
        </w:rPr>
        <w:t> —</w:t>
      </w:r>
    </w:p>
    <w:p>
      <w:pPr>
        <w:spacing w:after="0"/>
        <w:ind w:left="720" w:firstLine="36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Добавяне на обяснителна бележка под линия.</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HU по отношение на достъпа до пазара и националното третиране съгласно</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начини на доставка 1, 2 и 3 за CPC 845 и 849</w:t>
      </w:r>
    </w:p>
    <w:p>
      <w:pPr>
        <w:spacing w:after="0"/>
        <w:ind w:left="1080"/>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По-добри условия за ДУД/начин на доставка 4 от SE за компютърни и свързани с тях услуги при хоризонталните и новопоетите задължения на SE за ДУД/начин на доставка 4 за CPC 845 и 849.</w:t>
      </w:r>
    </w:p>
    <w:p>
      <w:pPr>
        <w:spacing w:after="0"/>
        <w:ind w:left="720" w:firstLine="357"/>
        <w:jc w:val="both"/>
        <w:rPr>
          <w:rFonts w:ascii="Times New Roman" w:hAnsi="Times New Roman"/>
          <w:noProof/>
          <w:lang w:val="ru-RU"/>
        </w:rPr>
      </w:pPr>
    </w:p>
    <w:p>
      <w:pPr>
        <w:numPr>
          <w:ilvl w:val="0"/>
          <w:numId w:val="5"/>
        </w:numPr>
        <w:spacing w:after="0" w:line="240" w:lineRule="auto"/>
        <w:ind w:left="714" w:hanging="357"/>
        <w:jc w:val="both"/>
        <w:rPr>
          <w:rFonts w:ascii="Times New Roman" w:hAnsi="Times New Roman"/>
          <w:noProof/>
        </w:rPr>
      </w:pPr>
      <w:r>
        <w:rPr>
          <w:rFonts w:ascii="Times New Roman" w:hAnsi="Times New Roman"/>
          <w:b/>
          <w:noProof/>
          <w:lang w:val="bg-BG"/>
        </w:rPr>
        <w:t>Рекламни услуги</w:t>
      </w:r>
      <w:r>
        <w:rPr>
          <w:rFonts w:ascii="Times New Roman" w:hAnsi="Times New Roman"/>
          <w:noProof/>
          <w:lang w:val="bg-BG"/>
        </w:rPr>
        <w:t xml:space="preserve"> (CPC 871):</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Задължения, поети от CY, MT и PL по отношение на достъпа до пазара и националното третиране</w:t>
      </w:r>
    </w:p>
    <w:p>
      <w:pPr>
        <w:spacing w:after="0"/>
        <w:ind w:left="1077"/>
        <w:jc w:val="both"/>
        <w:rPr>
          <w:rFonts w:ascii="Times New Roman" w:hAnsi="Times New Roman"/>
          <w:noProof/>
        </w:rPr>
      </w:pPr>
      <w:r>
        <w:rPr>
          <w:rFonts w:ascii="Times New Roman" w:hAnsi="Times New Roman"/>
          <w:noProof/>
          <w:lang w:val="ru-RU"/>
        </w:rPr>
        <w:t xml:space="preserve"> </w:t>
      </w:r>
      <w:r>
        <w:rPr>
          <w:rFonts w:ascii="Times New Roman" w:hAnsi="Times New Roman"/>
          <w:noProof/>
          <w:lang w:val="ru-RU"/>
        </w:rPr>
        <w:tab/>
        <w:t xml:space="preserve"> </w:t>
      </w:r>
      <w:r>
        <w:rPr>
          <w:rFonts w:ascii="Times New Roman" w:hAnsi="Times New Roman"/>
          <w:noProof/>
          <w:lang w:val="bg-BG"/>
        </w:rPr>
        <w:t>при начин на доставка 1</w:t>
      </w:r>
    </w:p>
    <w:p>
      <w:pPr>
        <w:numPr>
          <w:ilvl w:val="0"/>
          <w:numId w:val="5"/>
        </w:numPr>
        <w:spacing w:after="0" w:line="240" w:lineRule="auto"/>
        <w:ind w:left="714" w:hanging="357"/>
        <w:jc w:val="both"/>
        <w:rPr>
          <w:rFonts w:ascii="Times New Roman" w:hAnsi="Times New Roman"/>
          <w:b/>
          <w:noProof/>
        </w:rPr>
      </w:pPr>
      <w:r>
        <w:rPr>
          <w:rFonts w:ascii="Times New Roman" w:hAnsi="Times New Roman"/>
          <w:b/>
          <w:noProof/>
          <w:lang w:val="bg-BG"/>
        </w:rPr>
        <w:t>Телекомуникационни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Нови и подобрени задължения, поети от ЕО като цяло, предлагани в тяхното преразгледано предложение в рамките на Програмата за развитие от Доха.</w:t>
      </w:r>
    </w:p>
    <w:p>
      <w:pPr>
        <w:spacing w:after="0"/>
        <w:ind w:left="1434" w:hanging="357"/>
        <w:jc w:val="both"/>
        <w:rPr>
          <w:rFonts w:ascii="Times New Roman" w:hAnsi="Times New Roman"/>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Пояснение от FI, че нейните три хоризонтални ограничения при начин на доставка 3 — на юридическите лица по отношение на достъпа до пазара; на дъщерните дружества, клоновете, агенциите и представителствата по отношение на националното третиране; и на инвестициите по отношение на достъпа до пазара не се отнасят до сектора на телекомуникационните услуги.</w:t>
      </w:r>
    </w:p>
    <w:p>
      <w:pPr>
        <w:spacing w:after="0"/>
        <w:ind w:left="1434" w:hanging="35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Пояснителна бележка под линия, в която се посочва, че подсектори 2.C.h</w:t>
      </w:r>
      <w:r>
        <w:rPr>
          <w:rFonts w:ascii="Times New Roman" w:hAnsi="Times New Roman"/>
          <w:noProof/>
          <w:lang w:val="ru-RU"/>
        </w:rPr>
        <w:t>)</w:t>
      </w:r>
      <w:r>
        <w:rPr>
          <w:rFonts w:ascii="Times New Roman" w:hAnsi="Times New Roman"/>
          <w:noProof/>
          <w:lang w:val="bg-BG"/>
        </w:rPr>
        <w:t xml:space="preserve"> до 2.C.m</w:t>
      </w:r>
      <w:r>
        <w:rPr>
          <w:rFonts w:ascii="Times New Roman" w:hAnsi="Times New Roman"/>
          <w:noProof/>
          <w:lang w:val="ru-RU"/>
        </w:rPr>
        <w:t>)</w:t>
      </w:r>
      <w:r>
        <w:rPr>
          <w:rFonts w:ascii="Times New Roman" w:hAnsi="Times New Roman"/>
          <w:noProof/>
          <w:lang w:val="bg-BG"/>
        </w:rPr>
        <w:t xml:space="preserve"> от Секторния класификационен списък на услуги, съдържащ се в MTN,GNS/W/120 (услуги с добавена стойност)</w:t>
      </w:r>
      <w:r>
        <w:rPr>
          <w:rFonts w:ascii="Times New Roman" w:hAnsi="Times New Roman"/>
          <w:noProof/>
          <w:lang w:val="ru-RU"/>
        </w:rPr>
        <w:t>,</w:t>
      </w:r>
      <w:r>
        <w:rPr>
          <w:rFonts w:ascii="Times New Roman" w:hAnsi="Times New Roman"/>
          <w:noProof/>
          <w:lang w:val="bg-BG"/>
        </w:rPr>
        <w:t xml:space="preserve"> и подсектори 2.C.a) до 2.C.g) от този списък са включени тук.</w:t>
      </w:r>
      <w:r>
        <w:rPr>
          <w:rFonts w:ascii="Times New Roman" w:hAnsi="Times New Roman"/>
          <w:noProof/>
          <w:lang w:val="ru-RU"/>
        </w:rPr>
        <w:t xml:space="preserve"> </w:t>
      </w:r>
      <w:r>
        <w:rPr>
          <w:rFonts w:ascii="Times New Roman" w:hAnsi="Times New Roman"/>
          <w:noProof/>
          <w:lang w:val="bg-BG"/>
        </w:rPr>
        <w:t>Подсектор 2.С.o от този списък също е включен тук, доколкото той попада в рамките на тази дефиниция.</w:t>
      </w:r>
      <w:r>
        <w:rPr>
          <w:rFonts w:ascii="Times New Roman" w:hAnsi="Times New Roman"/>
          <w:noProof/>
          <w:lang w:val="ru-RU"/>
        </w:rPr>
        <w:t xml:space="preserve"> </w:t>
      </w:r>
      <w:r>
        <w:rPr>
          <w:rFonts w:ascii="Times New Roman" w:hAnsi="Times New Roman"/>
          <w:noProof/>
          <w:lang w:val="bg-BG"/>
        </w:rPr>
        <w:t>За целите на този списък на задълженията подсектор 2.C.n) от Секторния класификационен списък на услуги (онлайн обработка на информация и/или данни) е отразен в този списък на задълженията като 1.B (компютърни и свързани с тях услуги).</w:t>
      </w:r>
    </w:p>
    <w:p>
      <w:pPr>
        <w:spacing w:after="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Финансови услуги (застраховане):</w:t>
      </w:r>
    </w:p>
    <w:p>
      <w:pPr>
        <w:spacing w:after="0"/>
        <w:ind w:left="1080"/>
        <w:jc w:val="both"/>
        <w:rPr>
          <w:rFonts w:ascii="Times New Roman" w:hAnsi="Times New Roman"/>
          <w:b/>
          <w:noProof/>
          <w:lang w:val="ru-RU"/>
        </w:rPr>
      </w:pPr>
      <w:r>
        <w:rPr>
          <w:rFonts w:ascii="Times New Roman" w:hAnsi="Times New Roman"/>
          <w:b/>
          <w:noProof/>
          <w:lang w:val="ru-RU"/>
        </w:rPr>
        <w:t>-</w:t>
      </w:r>
      <w:r>
        <w:rPr>
          <w:rFonts w:ascii="Times New Roman" w:hAnsi="Times New Roman"/>
          <w:b/>
          <w:noProof/>
          <w:lang w:val="ru-RU"/>
        </w:rPr>
        <w:tab/>
      </w:r>
      <w:r>
        <w:rPr>
          <w:rFonts w:ascii="Times New Roman" w:hAnsi="Times New Roman"/>
          <w:noProof/>
          <w:lang w:val="bg-BG"/>
        </w:rPr>
        <w:t>Отстраняване на част от ограниченията върху достъпа до пазара за SK при начин на доставка 3</w:t>
      </w:r>
      <w:r>
        <w:rPr>
          <w:rFonts w:ascii="Times New Roman" w:hAnsi="Times New Roman"/>
          <w:noProof/>
          <w:lang w:val="ru-RU"/>
        </w:rPr>
        <w:t>.</w:t>
      </w:r>
    </w:p>
    <w:p>
      <w:pPr>
        <w:spacing w:after="0"/>
        <w:ind w:left="1080"/>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Финансови услуги (банкови услуги)</w:t>
      </w:r>
    </w:p>
    <w:p>
      <w:pPr>
        <w:tabs>
          <w:tab w:val="left" w:pos="-142"/>
        </w:tabs>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FI:</w:t>
      </w:r>
      <w:r>
        <w:rPr>
          <w:rFonts w:ascii="Times New Roman" w:hAnsi="Times New Roman"/>
          <w:noProof/>
          <w:lang w:val="ru-RU"/>
        </w:rPr>
        <w:t xml:space="preserve"> </w:t>
      </w:r>
      <w:r>
        <w:rPr>
          <w:rFonts w:ascii="Times New Roman" w:hAnsi="Times New Roman"/>
          <w:noProof/>
          <w:lang w:val="bg-BG"/>
        </w:rPr>
        <w:t>Промяна в изискването за гражданство при начин на доставка 3 („Поне един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основателите, членовете на съвета на директорите, надзорния съвет и</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изпълнителният директор трябва да са постоянно пребиваващи в 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 вместо „Поне половината от основателите, членовете на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съвета на директорите, надзорния съвет и делегатите, изпълнителният директор, </w:t>
      </w:r>
      <w:r>
        <w:rPr>
          <w:rFonts w:ascii="Times New Roman" w:hAnsi="Times New Roman"/>
          <w:noProof/>
          <w:lang w:val="ru-RU"/>
        </w:rPr>
        <w:tab/>
      </w:r>
      <w:r>
        <w:rPr>
          <w:rFonts w:ascii="Times New Roman" w:hAnsi="Times New Roman"/>
          <w:noProof/>
          <w:lang w:val="bg-BG"/>
        </w:rPr>
        <w:t>пълномощникът и лицето, оправомощено да подписва от</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името на кредитната институция, трябва да са постоянно пребиваващи в</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Европейската</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общност...“).</w:t>
      </w:r>
    </w:p>
    <w:p>
      <w:pPr>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Хотелиерство, ресторантьорство и обществено хранене</w:t>
      </w:r>
    </w:p>
    <w:p>
      <w:pPr>
        <w:spacing w:after="0"/>
        <w:ind w:left="1077"/>
        <w:jc w:val="both"/>
        <w:rPr>
          <w:rFonts w:ascii="Times New Roman" w:hAnsi="Times New Roman"/>
          <w:noProof/>
          <w:lang w:val="ru-RU"/>
        </w:rPr>
      </w:pPr>
      <w:r>
        <w:rPr>
          <w:rFonts w:ascii="Times New Roman" w:hAnsi="Times New Roman"/>
          <w:noProof/>
          <w:lang w:val="ru-RU"/>
        </w:rPr>
        <w:t>-</w:t>
      </w:r>
      <w:r>
        <w:rPr>
          <w:rFonts w:ascii="Times New Roman" w:hAnsi="Times New Roman"/>
          <w:noProof/>
          <w:lang w:val="ru-RU"/>
        </w:rPr>
        <w:tab/>
      </w:r>
      <w:r>
        <w:rPr>
          <w:rFonts w:ascii="Times New Roman" w:hAnsi="Times New Roman"/>
          <w:noProof/>
          <w:lang w:val="bg-BG"/>
        </w:rPr>
        <w:t xml:space="preserve">Нов (по-малко ограничителен) текст за </w:t>
      </w:r>
      <w:r>
        <w:rPr>
          <w:rFonts w:ascii="Times New Roman" w:hAnsi="Times New Roman"/>
          <w:noProof/>
          <w:lang w:val="ru-RU"/>
        </w:rPr>
        <w:t>теста за икономическа потребност (</w:t>
      </w:r>
      <w:r>
        <w:rPr>
          <w:rFonts w:ascii="Times New Roman" w:hAnsi="Times New Roman"/>
          <w:noProof/>
          <w:lang w:val="bg-BG"/>
        </w:rPr>
        <w:t>ENT</w:t>
      </w:r>
      <w:r>
        <w:rPr>
          <w:rFonts w:ascii="Times New Roman" w:hAnsi="Times New Roman"/>
          <w:noProof/>
          <w:lang w:val="ru-RU"/>
        </w:rPr>
        <w:t xml:space="preserve">) </w:t>
      </w:r>
      <w:r>
        <w:rPr>
          <w:rFonts w:ascii="Times New Roman" w:hAnsi="Times New Roman"/>
          <w:noProof/>
          <w:lang w:val="bg-BG"/>
        </w:rPr>
        <w:t>на ИТ при начин на доставка 3 за барове, кафенета и</w:t>
      </w:r>
    </w:p>
    <w:p>
      <w:pPr>
        <w:spacing w:after="0"/>
        <w:ind w:left="1077"/>
        <w:jc w:val="both"/>
        <w:rPr>
          <w:rFonts w:ascii="Times New Roman" w:hAnsi="Times New Roman"/>
          <w:noProof/>
          <w:lang w:val="ru-RU"/>
        </w:rPr>
      </w:pPr>
      <w:r>
        <w:rPr>
          <w:rFonts w:ascii="Times New Roman" w:hAnsi="Times New Roman"/>
          <w:noProof/>
          <w:lang w:val="ru-RU"/>
        </w:rPr>
        <w:tab/>
      </w:r>
      <w:r>
        <w:rPr>
          <w:rFonts w:ascii="Times New Roman" w:hAnsi="Times New Roman"/>
          <w:noProof/>
          <w:lang w:val="bg-BG"/>
        </w:rPr>
        <w:t>ресторанти, включително задължение за недискриминационното му естество.</w:t>
      </w:r>
    </w:p>
    <w:p>
      <w:pPr>
        <w:tabs>
          <w:tab w:val="left" w:pos="-142"/>
        </w:tabs>
        <w:spacing w:after="0"/>
        <w:ind w:left="357"/>
        <w:jc w:val="both"/>
        <w:rPr>
          <w:rFonts w:ascii="Times New Roman" w:hAnsi="Times New Roman"/>
          <w:b/>
          <w:noProof/>
          <w:lang w:val="ru-RU"/>
        </w:rPr>
      </w:pPr>
    </w:p>
    <w:p>
      <w:pPr>
        <w:numPr>
          <w:ilvl w:val="0"/>
          <w:numId w:val="5"/>
        </w:numPr>
        <w:tabs>
          <w:tab w:val="left" w:pos="-142"/>
        </w:tabs>
        <w:spacing w:after="0" w:line="240" w:lineRule="auto"/>
        <w:ind w:left="714" w:hanging="357"/>
        <w:jc w:val="both"/>
        <w:rPr>
          <w:rFonts w:ascii="Times New Roman" w:hAnsi="Times New Roman"/>
          <w:b/>
          <w:noProof/>
        </w:rPr>
      </w:pPr>
      <w:r>
        <w:rPr>
          <w:rFonts w:ascii="Times New Roman" w:hAnsi="Times New Roman"/>
          <w:b/>
          <w:noProof/>
          <w:lang w:val="bg-BG"/>
        </w:rPr>
        <w:t>Туристически агенции и туроператорски услуги</w:t>
      </w:r>
    </w:p>
    <w:p>
      <w:pPr>
        <w:tabs>
          <w:tab w:val="left" w:pos="-142"/>
        </w:tabs>
        <w:spacing w:after="0"/>
        <w:ind w:left="1077"/>
        <w:jc w:val="both"/>
        <w:rPr>
          <w:rFonts w:ascii="Times New Roman" w:hAnsi="Times New Roman"/>
          <w:b/>
          <w:noProof/>
          <w:lang w:val="ru-RU"/>
        </w:rPr>
      </w:pP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 xml:space="preserve">Премахване на </w:t>
      </w:r>
      <w:r>
        <w:rPr>
          <w:rFonts w:ascii="Times New Roman" w:hAnsi="Times New Roman"/>
          <w:noProof/>
          <w:lang w:val="ru-RU"/>
        </w:rPr>
        <w:t xml:space="preserve">теста за икономическа потребност </w:t>
      </w:r>
      <w:r>
        <w:rPr>
          <w:rFonts w:ascii="Times New Roman" w:hAnsi="Times New Roman"/>
          <w:noProof/>
          <w:lang w:val="bg-BG"/>
        </w:rPr>
        <w:t>(ENT), прилаган по отношение на начин на доставка 3 от CZ</w:t>
      </w:r>
      <w:r>
        <w:rPr>
          <w:rFonts w:ascii="Times New Roman" w:hAnsi="Times New Roman"/>
          <w:noProof/>
          <w:lang w:val="ru-RU"/>
        </w:rPr>
        <w:t>.</w:t>
      </w:r>
    </w:p>
    <w:p>
      <w:pPr>
        <w:spacing w:after="0"/>
        <w:ind w:left="360"/>
        <w:jc w:val="both"/>
        <w:rPr>
          <w:rFonts w:ascii="Times New Roman" w:hAnsi="Times New Roman"/>
          <w:b/>
          <w:noProof/>
          <w:lang w:val="ru-RU"/>
        </w:rPr>
      </w:pPr>
    </w:p>
    <w:p>
      <w:pPr>
        <w:numPr>
          <w:ilvl w:val="0"/>
          <w:numId w:val="5"/>
        </w:numPr>
        <w:spacing w:after="0" w:line="240" w:lineRule="auto"/>
        <w:jc w:val="both"/>
        <w:rPr>
          <w:rFonts w:ascii="Times New Roman" w:hAnsi="Times New Roman"/>
          <w:b/>
          <w:noProof/>
        </w:rPr>
      </w:pPr>
      <w:r>
        <w:rPr>
          <w:rFonts w:ascii="Times New Roman" w:hAnsi="Times New Roman"/>
          <w:b/>
          <w:noProof/>
          <w:lang w:val="bg-BG"/>
        </w:rPr>
        <w:t>Фризьорски услуги</w:t>
      </w:r>
    </w:p>
    <w:p>
      <w:pPr>
        <w:spacing w:after="0"/>
        <w:ind w:left="1080"/>
        <w:jc w:val="both"/>
        <w:rPr>
          <w:rFonts w:ascii="Times New Roman" w:hAnsi="Times New Roman"/>
          <w:noProof/>
          <w:lang w:val="ru-RU"/>
        </w:rPr>
      </w:pPr>
      <w:r>
        <w:rPr>
          <w:rFonts w:ascii="Times New Roman" w:hAnsi="Times New Roman"/>
          <w:b/>
          <w:noProof/>
          <w:lang w:val="ru-RU"/>
        </w:rPr>
        <w:t>-</w:t>
      </w:r>
      <w:r>
        <w:rPr>
          <w:rFonts w:ascii="Times New Roman" w:hAnsi="Times New Roman"/>
          <w:noProof/>
          <w:lang w:val="ru-RU"/>
        </w:rPr>
        <w:tab/>
      </w:r>
      <w:r>
        <w:rPr>
          <w:rFonts w:ascii="Times New Roman" w:hAnsi="Times New Roman"/>
          <w:noProof/>
          <w:lang w:val="bg-BG"/>
        </w:rPr>
        <w:t>Задължения, поети от CZ, FI, HU и SK по отношение на достъпа до пазара и националното третиране</w:t>
      </w:r>
      <w:r>
        <w:rPr>
          <w:rFonts w:ascii="Times New Roman" w:hAnsi="Times New Roman"/>
          <w:noProof/>
          <w:lang w:val="ru-RU"/>
        </w:rPr>
        <w:t xml:space="preserve"> </w:t>
      </w:r>
      <w:r>
        <w:rPr>
          <w:rFonts w:ascii="Times New Roman" w:hAnsi="Times New Roman"/>
          <w:noProof/>
          <w:lang w:val="ru-RU"/>
        </w:rPr>
        <w:tab/>
      </w:r>
      <w:r>
        <w:rPr>
          <w:rFonts w:ascii="Times New Roman" w:hAnsi="Times New Roman"/>
          <w:noProof/>
          <w:lang w:val="bg-BG"/>
        </w:rPr>
        <w:t>при начини на доставка 2 и 3</w:t>
      </w:r>
      <w:r>
        <w:rPr>
          <w:rFonts w:ascii="Times New Roman" w:hAnsi="Times New Roman"/>
          <w:noProof/>
          <w:lang w:val="ru-RU"/>
        </w:rPr>
        <w:t>.</w:t>
      </w:r>
    </w:p>
    <w:p>
      <w:pPr>
        <w:spacing w:after="0"/>
        <w:ind w:left="1434" w:hanging="357"/>
        <w:jc w:val="both"/>
        <w:rPr>
          <w:rFonts w:ascii="Times New Roman" w:hAnsi="Times New Roman"/>
          <w:noProof/>
          <w:lang w:val="ru-RU"/>
        </w:rPr>
      </w:pPr>
    </w:p>
    <w:p>
      <w:pPr>
        <w:spacing w:after="0"/>
        <w:ind w:left="1434" w:hanging="357"/>
        <w:jc w:val="both"/>
        <w:rPr>
          <w:rFonts w:ascii="Times New Roman" w:hAnsi="Times New Roman"/>
          <w:noProof/>
          <w:lang w:val="ru-RU"/>
        </w:r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bg-BG"/>
        </w:rPr>
        <w:t>Използваните съкращения се използват за обозначаване на следните държави членки:</w:t>
      </w:r>
    </w:p>
    <w:p>
      <w:pPr>
        <w:tabs>
          <w:tab w:val="left" w:pos="-720"/>
          <w:tab w:val="left" w:pos="567"/>
        </w:tabs>
        <w:suppressAutoHyphens/>
        <w:spacing w:after="0"/>
        <w:jc w:val="both"/>
        <w:rPr>
          <w:rFonts w:ascii="Times New Roman" w:hAnsi="Times New Roman"/>
          <w:noProof/>
          <w:spacing w:val="-2"/>
          <w:lang w:val="ru-RU"/>
        </w:rPr>
      </w:pPr>
    </w:p>
    <w:p>
      <w:pPr>
        <w:tabs>
          <w:tab w:val="left" w:pos="-720"/>
          <w:tab w:val="left" w:pos="567"/>
        </w:tabs>
        <w:suppressAutoHyphens/>
        <w:jc w:val="both"/>
        <w:rPr>
          <w:rFonts w:ascii="Times New Roman" w:hAnsi="Times New Roman"/>
          <w:noProof/>
          <w:spacing w:val="-2"/>
          <w:lang w:val="ru-RU"/>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7" w:right="1417" w:bottom="1417" w:left="1417" w:header="720" w:footer="1440" w:gutter="0"/>
          <w:cols w:space="720"/>
          <w:titlePg/>
          <w:docGrid w:linePitch="299"/>
        </w:sectPr>
      </w:pP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AT</w:t>
      </w:r>
      <w:r>
        <w:rPr>
          <w:rFonts w:ascii="Times New Roman" w:hAnsi="Times New Roman"/>
          <w:noProof/>
          <w:spacing w:val="-2"/>
          <w:lang w:val="ru-RU"/>
        </w:rPr>
        <w:tab/>
      </w:r>
      <w:r>
        <w:rPr>
          <w:rFonts w:ascii="Times New Roman" w:hAnsi="Times New Roman"/>
          <w:noProof/>
          <w:spacing w:val="-2"/>
          <w:lang w:val="bg-BG"/>
        </w:rPr>
        <w:t>Австрия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BE</w:t>
      </w:r>
      <w:r>
        <w:rPr>
          <w:rFonts w:ascii="Times New Roman" w:hAnsi="Times New Roman"/>
          <w:noProof/>
          <w:spacing w:val="-2"/>
          <w:lang w:val="ru-RU"/>
        </w:rPr>
        <w:tab/>
      </w:r>
      <w:r>
        <w:rPr>
          <w:rFonts w:ascii="Times New Roman" w:hAnsi="Times New Roman"/>
          <w:noProof/>
          <w:spacing w:val="-2"/>
          <w:lang w:val="bg-BG"/>
        </w:rPr>
        <w:t>Белгия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CY</w:t>
      </w:r>
      <w:r>
        <w:rPr>
          <w:rFonts w:ascii="Times New Roman" w:hAnsi="Times New Roman"/>
          <w:noProof/>
          <w:spacing w:val="-2"/>
          <w:lang w:val="ru-RU"/>
        </w:rPr>
        <w:tab/>
      </w:r>
      <w:r>
        <w:rPr>
          <w:rFonts w:ascii="Times New Roman" w:hAnsi="Times New Roman"/>
          <w:noProof/>
          <w:spacing w:val="-2"/>
          <w:lang w:val="bg-BG"/>
        </w:rPr>
        <w:t>Кипър</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CZ</w:t>
      </w:r>
      <w:r>
        <w:rPr>
          <w:rFonts w:ascii="Times New Roman" w:hAnsi="Times New Roman"/>
          <w:noProof/>
          <w:spacing w:val="-2"/>
          <w:lang w:val="ru-RU"/>
        </w:rPr>
        <w:tab/>
      </w:r>
      <w:r>
        <w:rPr>
          <w:rFonts w:ascii="Times New Roman" w:hAnsi="Times New Roman"/>
          <w:noProof/>
          <w:spacing w:val="-2"/>
          <w:lang w:val="bg-BG"/>
        </w:rPr>
        <w:t>Чешка република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DE</w:t>
      </w:r>
      <w:r>
        <w:rPr>
          <w:rFonts w:ascii="Times New Roman" w:hAnsi="Times New Roman"/>
          <w:noProof/>
          <w:spacing w:val="-2"/>
          <w:lang w:val="ru-RU"/>
        </w:rPr>
        <w:tab/>
      </w:r>
      <w:r>
        <w:rPr>
          <w:rFonts w:ascii="Times New Roman" w:hAnsi="Times New Roman"/>
          <w:noProof/>
          <w:spacing w:val="-2"/>
          <w:lang w:val="bg-BG"/>
        </w:rPr>
        <w:t>Германия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DK</w:t>
      </w:r>
      <w:r>
        <w:rPr>
          <w:rFonts w:ascii="Times New Roman" w:hAnsi="Times New Roman"/>
          <w:noProof/>
          <w:spacing w:val="-2"/>
          <w:lang w:val="ru-RU"/>
        </w:rPr>
        <w:tab/>
      </w:r>
      <w:r>
        <w:rPr>
          <w:rFonts w:ascii="Times New Roman" w:hAnsi="Times New Roman"/>
          <w:noProof/>
          <w:spacing w:val="-2"/>
          <w:lang w:val="bg-BG"/>
        </w:rPr>
        <w:t>Дания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EE</w:t>
      </w:r>
      <w:r>
        <w:rPr>
          <w:rFonts w:ascii="Times New Roman" w:hAnsi="Times New Roman"/>
          <w:noProof/>
          <w:spacing w:val="-2"/>
          <w:lang w:val="ru-RU"/>
        </w:rPr>
        <w:tab/>
      </w:r>
      <w:r>
        <w:rPr>
          <w:rFonts w:ascii="Times New Roman" w:hAnsi="Times New Roman"/>
          <w:noProof/>
          <w:spacing w:val="-2"/>
          <w:lang w:val="bg-BG"/>
        </w:rPr>
        <w:t>Естония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EL</w:t>
      </w:r>
      <w:r>
        <w:rPr>
          <w:rFonts w:ascii="Times New Roman" w:hAnsi="Times New Roman"/>
          <w:noProof/>
          <w:spacing w:val="-2"/>
          <w:lang w:val="ru-RU"/>
        </w:rPr>
        <w:tab/>
      </w:r>
      <w:r>
        <w:rPr>
          <w:rFonts w:ascii="Times New Roman" w:hAnsi="Times New Roman"/>
          <w:noProof/>
          <w:spacing w:val="-2"/>
          <w:lang w:val="bg-BG"/>
        </w:rPr>
        <w:t>Гърция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ES</w:t>
      </w:r>
      <w:r>
        <w:rPr>
          <w:rFonts w:ascii="Times New Roman" w:hAnsi="Times New Roman"/>
          <w:noProof/>
          <w:spacing w:val="-2"/>
          <w:lang w:val="ru-RU"/>
        </w:rPr>
        <w:tab/>
      </w:r>
      <w:r>
        <w:rPr>
          <w:rFonts w:ascii="Times New Roman" w:hAnsi="Times New Roman"/>
          <w:noProof/>
          <w:spacing w:val="-2"/>
          <w:lang w:val="bg-BG"/>
        </w:rPr>
        <w:t>Испания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FI</w:t>
      </w:r>
      <w:r>
        <w:rPr>
          <w:rFonts w:ascii="Times New Roman" w:hAnsi="Times New Roman"/>
          <w:noProof/>
          <w:spacing w:val="-2"/>
          <w:lang w:val="ru-RU"/>
        </w:rPr>
        <w:tab/>
      </w:r>
      <w:r>
        <w:rPr>
          <w:rFonts w:ascii="Times New Roman" w:hAnsi="Times New Roman"/>
          <w:noProof/>
          <w:spacing w:val="-2"/>
          <w:lang w:val="bg-BG"/>
        </w:rPr>
        <w:t>Финландия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FR</w:t>
      </w:r>
      <w:r>
        <w:rPr>
          <w:rFonts w:ascii="Times New Roman" w:hAnsi="Times New Roman"/>
          <w:noProof/>
          <w:spacing w:val="-2"/>
          <w:lang w:val="ru-RU"/>
        </w:rPr>
        <w:tab/>
      </w:r>
      <w:r>
        <w:rPr>
          <w:rFonts w:ascii="Times New Roman" w:hAnsi="Times New Roman"/>
          <w:noProof/>
          <w:spacing w:val="-2"/>
          <w:lang w:val="bg-BG"/>
        </w:rPr>
        <w:t>Франция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HU</w:t>
      </w:r>
      <w:r>
        <w:rPr>
          <w:rFonts w:ascii="Times New Roman" w:hAnsi="Times New Roman"/>
          <w:noProof/>
          <w:spacing w:val="-2"/>
          <w:lang w:val="ru-RU"/>
        </w:rPr>
        <w:tab/>
      </w:r>
      <w:r>
        <w:rPr>
          <w:rFonts w:ascii="Times New Roman" w:hAnsi="Times New Roman"/>
          <w:noProof/>
          <w:spacing w:val="-2"/>
          <w:lang w:val="bg-BG"/>
        </w:rPr>
        <w:t>Унгария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IE</w:t>
      </w:r>
      <w:r>
        <w:rPr>
          <w:rFonts w:ascii="Times New Roman" w:hAnsi="Times New Roman"/>
          <w:noProof/>
          <w:spacing w:val="-2"/>
          <w:lang w:val="ru-RU"/>
        </w:rPr>
        <w:tab/>
      </w:r>
      <w:r>
        <w:rPr>
          <w:rFonts w:ascii="Times New Roman" w:hAnsi="Times New Roman"/>
          <w:noProof/>
          <w:spacing w:val="-2"/>
          <w:lang w:val="bg-BG"/>
        </w:rPr>
        <w:t>Ирландия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IT</w:t>
      </w:r>
      <w:r>
        <w:rPr>
          <w:rFonts w:ascii="Times New Roman" w:hAnsi="Times New Roman"/>
          <w:noProof/>
          <w:spacing w:val="-2"/>
          <w:lang w:val="ru-RU"/>
        </w:rPr>
        <w:tab/>
      </w:r>
      <w:r>
        <w:rPr>
          <w:rFonts w:ascii="Times New Roman" w:hAnsi="Times New Roman"/>
          <w:noProof/>
          <w:spacing w:val="-2"/>
          <w:lang w:val="bg-BG"/>
        </w:rPr>
        <w:t>Италия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LT</w:t>
      </w:r>
      <w:r>
        <w:rPr>
          <w:rFonts w:ascii="Times New Roman" w:hAnsi="Times New Roman"/>
          <w:noProof/>
          <w:spacing w:val="-2"/>
          <w:lang w:val="ru-RU"/>
        </w:rPr>
        <w:tab/>
      </w:r>
      <w:r>
        <w:rPr>
          <w:rFonts w:ascii="Times New Roman" w:hAnsi="Times New Roman"/>
          <w:noProof/>
          <w:spacing w:val="-2"/>
          <w:lang w:val="bg-BG"/>
        </w:rPr>
        <w:t>Литва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LU</w:t>
      </w:r>
      <w:r>
        <w:rPr>
          <w:rFonts w:ascii="Times New Roman" w:hAnsi="Times New Roman"/>
          <w:noProof/>
          <w:spacing w:val="-2"/>
          <w:lang w:val="ru-RU"/>
        </w:rPr>
        <w:t xml:space="preserve"> </w:t>
      </w:r>
      <w:r>
        <w:rPr>
          <w:rFonts w:ascii="Times New Roman" w:hAnsi="Times New Roman"/>
          <w:noProof/>
          <w:spacing w:val="-2"/>
          <w:lang w:val="ru-RU"/>
        </w:rPr>
        <w:tab/>
      </w:r>
      <w:r>
        <w:rPr>
          <w:rFonts w:ascii="Times New Roman" w:hAnsi="Times New Roman"/>
          <w:noProof/>
          <w:spacing w:val="-2"/>
          <w:lang w:val="bg-BG"/>
        </w:rPr>
        <w:t>Люксембург</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LV</w:t>
      </w:r>
      <w:r>
        <w:rPr>
          <w:rFonts w:ascii="Times New Roman" w:hAnsi="Times New Roman"/>
          <w:noProof/>
          <w:spacing w:val="-2"/>
          <w:lang w:val="ru-RU"/>
        </w:rPr>
        <w:tab/>
      </w:r>
      <w:r>
        <w:rPr>
          <w:rFonts w:ascii="Times New Roman" w:hAnsi="Times New Roman"/>
          <w:noProof/>
          <w:spacing w:val="-2"/>
          <w:lang w:val="bg-BG"/>
        </w:rPr>
        <w:t>Латвия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MT</w:t>
      </w:r>
      <w:r>
        <w:rPr>
          <w:rFonts w:ascii="Times New Roman" w:hAnsi="Times New Roman"/>
          <w:noProof/>
          <w:spacing w:val="-2"/>
          <w:lang w:val="ru-RU"/>
        </w:rPr>
        <w:tab/>
      </w:r>
      <w:r>
        <w:rPr>
          <w:rFonts w:ascii="Times New Roman" w:hAnsi="Times New Roman"/>
          <w:noProof/>
          <w:spacing w:val="-2"/>
          <w:lang w:val="bg-BG"/>
        </w:rPr>
        <w:t>Малта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NL</w:t>
      </w:r>
      <w:r>
        <w:rPr>
          <w:rFonts w:ascii="Times New Roman" w:hAnsi="Times New Roman"/>
          <w:noProof/>
          <w:spacing w:val="-2"/>
          <w:lang w:val="ru-RU"/>
        </w:rPr>
        <w:tab/>
      </w:r>
      <w:r>
        <w:rPr>
          <w:rFonts w:ascii="Times New Roman" w:hAnsi="Times New Roman"/>
          <w:noProof/>
          <w:spacing w:val="-2"/>
          <w:lang w:val="bg-BG"/>
        </w:rPr>
        <w:t>Нидерландия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PL</w:t>
      </w:r>
      <w:r>
        <w:rPr>
          <w:rFonts w:ascii="Times New Roman" w:hAnsi="Times New Roman"/>
          <w:noProof/>
          <w:spacing w:val="-2"/>
          <w:lang w:val="ru-RU"/>
        </w:rPr>
        <w:tab/>
      </w:r>
      <w:r>
        <w:rPr>
          <w:rFonts w:ascii="Times New Roman" w:hAnsi="Times New Roman"/>
          <w:noProof/>
          <w:spacing w:val="-2"/>
          <w:lang w:val="bg-BG"/>
        </w:rPr>
        <w:t>Полша</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PT</w:t>
      </w:r>
      <w:r>
        <w:rPr>
          <w:rFonts w:ascii="Times New Roman" w:hAnsi="Times New Roman"/>
          <w:noProof/>
          <w:spacing w:val="-2"/>
          <w:lang w:val="ru-RU"/>
        </w:rPr>
        <w:tab/>
      </w:r>
      <w:r>
        <w:rPr>
          <w:rFonts w:ascii="Times New Roman" w:hAnsi="Times New Roman"/>
          <w:noProof/>
          <w:spacing w:val="-2"/>
          <w:lang w:val="bg-BG"/>
        </w:rPr>
        <w:t>Португалия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SE</w:t>
      </w:r>
      <w:r>
        <w:rPr>
          <w:rFonts w:ascii="Times New Roman" w:hAnsi="Times New Roman"/>
          <w:noProof/>
          <w:spacing w:val="-2"/>
          <w:lang w:val="ru-RU"/>
        </w:rPr>
        <w:tab/>
      </w:r>
      <w:r>
        <w:rPr>
          <w:rFonts w:ascii="Times New Roman" w:hAnsi="Times New Roman"/>
          <w:noProof/>
          <w:spacing w:val="-2"/>
          <w:lang w:val="bg-BG"/>
        </w:rPr>
        <w:t>Швеция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SI</w:t>
      </w:r>
      <w:r>
        <w:rPr>
          <w:rFonts w:ascii="Times New Roman" w:hAnsi="Times New Roman"/>
          <w:noProof/>
          <w:spacing w:val="-2"/>
          <w:lang w:val="ru-RU"/>
        </w:rPr>
        <w:tab/>
      </w:r>
      <w:r>
        <w:rPr>
          <w:rFonts w:ascii="Times New Roman" w:hAnsi="Times New Roman"/>
          <w:noProof/>
          <w:spacing w:val="-2"/>
          <w:lang w:val="bg-BG"/>
        </w:rPr>
        <w:t>Словения</w:t>
      </w:r>
    </w:p>
    <w:p>
      <w:pPr>
        <w:tabs>
          <w:tab w:val="left" w:pos="-720"/>
          <w:tab w:val="left" w:pos="567"/>
        </w:tabs>
        <w:suppressAutoHyphens/>
        <w:spacing w:after="0"/>
        <w:jc w:val="both"/>
        <w:rPr>
          <w:rFonts w:ascii="Times New Roman" w:hAnsi="Times New Roman"/>
          <w:noProof/>
          <w:spacing w:val="-2"/>
          <w:lang w:val="ru-RU"/>
        </w:rPr>
      </w:pPr>
      <w:r>
        <w:rPr>
          <w:rFonts w:ascii="Times New Roman" w:hAnsi="Times New Roman"/>
          <w:noProof/>
          <w:spacing w:val="-2"/>
          <w:lang w:val="ru-RU"/>
        </w:rPr>
        <w:tab/>
      </w:r>
      <w:r>
        <w:rPr>
          <w:rFonts w:ascii="Times New Roman" w:hAnsi="Times New Roman"/>
          <w:noProof/>
          <w:spacing w:val="-2"/>
        </w:rPr>
        <w:t>SK</w:t>
      </w:r>
      <w:r>
        <w:rPr>
          <w:rFonts w:ascii="Times New Roman" w:hAnsi="Times New Roman"/>
          <w:noProof/>
          <w:spacing w:val="-2"/>
          <w:lang w:val="ru-RU"/>
        </w:rPr>
        <w:tab/>
      </w:r>
      <w:r>
        <w:rPr>
          <w:rFonts w:ascii="Times New Roman" w:hAnsi="Times New Roman"/>
          <w:noProof/>
          <w:spacing w:val="-2"/>
          <w:lang w:val="bg-BG"/>
        </w:rPr>
        <w:t>Словашка република</w:t>
      </w:r>
    </w:p>
    <w:p>
      <w:pPr>
        <w:tabs>
          <w:tab w:val="left" w:pos="-720"/>
          <w:tab w:val="left" w:pos="567"/>
        </w:tabs>
        <w:suppressAutoHyphens/>
        <w:spacing w:after="0"/>
        <w:jc w:val="both"/>
        <w:rPr>
          <w:rFonts w:ascii="Times New Roman" w:hAnsi="Times New Roman"/>
          <w:noProof/>
          <w:spacing w:val="-2"/>
        </w:rPr>
      </w:pPr>
      <w:r>
        <w:rPr>
          <w:rFonts w:ascii="Times New Roman" w:hAnsi="Times New Roman"/>
          <w:noProof/>
          <w:spacing w:val="-2"/>
          <w:lang w:val="ru-RU"/>
        </w:rPr>
        <w:tab/>
      </w:r>
      <w:r>
        <w:rPr>
          <w:rFonts w:ascii="Times New Roman" w:hAnsi="Times New Roman"/>
          <w:noProof/>
          <w:spacing w:val="-2"/>
        </w:rPr>
        <w:t>UK</w:t>
      </w:r>
      <w:r>
        <w:rPr>
          <w:rFonts w:ascii="Times New Roman" w:hAnsi="Times New Roman"/>
          <w:noProof/>
          <w:spacing w:val="-2"/>
        </w:rPr>
        <w:tab/>
      </w:r>
      <w:r>
        <w:rPr>
          <w:rFonts w:ascii="Times New Roman" w:hAnsi="Times New Roman"/>
          <w:noProof/>
          <w:spacing w:val="-2"/>
          <w:lang w:val="bg-BG"/>
        </w:rPr>
        <w:t>Обединеното кралство</w:t>
      </w:r>
    </w:p>
    <w:p>
      <w:pPr>
        <w:jc w:val="both"/>
        <w:rPr>
          <w:rFonts w:ascii="Times New Roman" w:hAnsi="Times New Roman"/>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type w:val="continuous"/>
          <w:pgSz w:w="11906" w:h="16838" w:code="9"/>
          <w:pgMar w:top="1417" w:right="1417" w:bottom="1417" w:left="1417" w:header="720" w:footer="1440" w:gutter="0"/>
          <w:cols w:num="2" w:sep="1" w:space="709"/>
          <w:titlePg/>
          <w:docGrid w:linePitch="299"/>
        </w:sectPr>
      </w:pPr>
    </w:p>
    <w:p>
      <w:pPr>
        <w:spacing w:after="0"/>
        <w:jc w:val="both"/>
        <w:rPr>
          <w:rFonts w:ascii="Times New Roman" w:hAnsi="Times New Roman"/>
          <w:noProof/>
        </w:rPr>
      </w:pPr>
    </w:p>
    <w:p>
      <w:pPr>
        <w:autoSpaceDE w:val="0"/>
        <w:autoSpaceDN w:val="0"/>
        <w:adjustRightInd w:val="0"/>
        <w:spacing w:after="0"/>
        <w:jc w:val="both"/>
        <w:rPr>
          <w:rFonts w:ascii="Times New Roman" w:hAnsi="Times New Roman"/>
          <w:i/>
          <w:noProof/>
        </w:rPr>
      </w:pPr>
    </w:p>
    <w:p>
      <w:pPr>
        <w:spacing w:after="0"/>
        <w:jc w:val="center"/>
        <w:rPr>
          <w:rFonts w:ascii="Times New Roman" w:hAnsi="Times New Roman"/>
          <w:b/>
          <w:noProof/>
        </w:rPr>
      </w:pPr>
      <w:r>
        <w:rPr>
          <w:rFonts w:ascii="Times New Roman" w:hAnsi="Times New Roman"/>
          <w:b/>
          <w:noProof/>
        </w:rPr>
        <w:t>__________</w:t>
      </w:r>
    </w:p>
    <w:p>
      <w:pPr>
        <w:spacing w:after="0"/>
        <w:jc w:val="both"/>
        <w:rPr>
          <w:rFonts w:ascii="Times New Roman" w:hAnsi="Times New Roman"/>
          <w:b/>
          <w:noProof/>
        </w:rPr>
      </w:pPr>
    </w:p>
    <w:p>
      <w:pPr>
        <w:spacing w:after="0"/>
        <w:jc w:val="both"/>
        <w:rPr>
          <w:rFonts w:ascii="Times New Roman" w:hAnsi="Times New Roman"/>
          <w:b/>
          <w:noProof/>
        </w:rPr>
      </w:pPr>
    </w:p>
    <w:p>
      <w:pPr>
        <w:jc w:val="center"/>
        <w:rPr>
          <w:b/>
          <w:noProof/>
        </w:rPr>
      </w:pPr>
    </w:p>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type w:val="continuous"/>
      <w:pgSz w:w="11906" w:h="16838" w:code="9"/>
      <w:pgMar w:top="1417" w:right="1417" w:bottom="1417" w:left="1417"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9686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5655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0073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r>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602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2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 w:id="2">
    <w:p>
      <w:pPr>
        <w:pStyle w:val="FootnoteText"/>
        <w:ind w:firstLine="0"/>
        <w:rPr>
          <w:szCs w:val="24"/>
          <w:lang w:val="ru-RU"/>
        </w:rPr>
      </w:pPr>
      <w:r>
        <w:rPr>
          <w:rStyle w:val="FootnoteReference"/>
          <w:szCs w:val="24"/>
        </w:rPr>
        <w:footnoteRef/>
      </w:r>
      <w:r>
        <w:rPr>
          <w:szCs w:val="24"/>
          <w:lang w:val="ru-RU"/>
        </w:rPr>
        <w:t xml:space="preserve"> </w:t>
      </w:r>
      <w:r>
        <w:rPr>
          <w:szCs w:val="24"/>
          <w:lang w:val="bg-BG"/>
        </w:rPr>
        <w:t>Настоящото споразумение не следва да се тълкува по начин, който би засегнал резултата от отделните обсъждания в рамките на СТО относно класифицирането на телекомуникационните услуги (основните далекосъобщения и услугите с добавена стойност).</w:t>
      </w:r>
      <w:r>
        <w:rPr>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pPr>
  </w:p>
  <w:p>
    <w:pPr>
      <w:pStyle w:val="Header"/>
      <w:tabs>
        <w:tab w:val="clear" w:pos="4536"/>
        <w:tab w:val="left" w:pos="14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pPr>
    <w:r>
      <w:t xml:space="preserve"> </w:t>
    </w:r>
  </w:p>
  <w:p>
    <w:pPr>
      <w:pStyle w:val="Header"/>
      <w:tabs>
        <w:tab w:val="clear" w:pos="4536"/>
        <w:tab w:val="right" w:pos="9026"/>
      </w:tabs>
    </w:pPr>
  </w:p>
  <w:p>
    <w:pPr>
      <w:pStyle w:val="Header"/>
      <w:tabs>
        <w:tab w:val="clear" w:pos="4536"/>
        <w:tab w:val="right" w:pos="902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left" w:pos="1440"/>
      </w:tabs>
      <w:rPr>
        <w:szCs w:val="24"/>
      </w:rPr>
    </w:pPr>
  </w:p>
  <w:p>
    <w:pPr>
      <w:pStyle w:val="Header"/>
      <w:tabs>
        <w:tab w:val="clear" w:pos="4536"/>
        <w:tab w:val="left" w:pos="1440"/>
      </w:tabs>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right" w:pos="9026"/>
      </w:tabs>
      <w:rPr>
        <w:szCs w:val="24"/>
      </w:rPr>
    </w:pPr>
    <w:r>
      <w:rPr>
        <w:szCs w:val="24"/>
      </w:rPr>
      <w:t xml:space="preserve"> </w:t>
    </w:r>
  </w:p>
  <w:p>
    <w:pPr>
      <w:pStyle w:val="Header"/>
      <w:tabs>
        <w:tab w:val="clear" w:pos="4536"/>
        <w:tab w:val="right" w:pos="9026"/>
      </w:tabs>
      <w:rPr>
        <w:szCs w:val="24"/>
      </w:rPr>
    </w:pPr>
  </w:p>
  <w:p>
    <w:pPr>
      <w:pStyle w:val="Header"/>
      <w:tabs>
        <w:tab w:val="clear" w:pos="4536"/>
        <w:tab w:val="right" w:pos="9026"/>
      </w:tabs>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Cs w:val="24"/>
      </w:rPr>
    </w:pP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006CE0"/>
    <w:lvl w:ilvl="0">
      <w:numFmt w:val="bullet"/>
      <w:lvlText w:val="*"/>
      <w:lvlJc w:val="left"/>
      <w:pPr>
        <w:ind w:left="0" w:firstLine="0"/>
      </w:pPr>
    </w:lvl>
  </w:abstractNum>
  <w:abstractNum w:abstractNumId="1">
    <w:nsid w:val="13833693"/>
    <w:multiLevelType w:val="hybridMultilevel"/>
    <w:tmpl w:val="D9C2A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11E7F2F"/>
    <w:multiLevelType w:val="hybridMultilevel"/>
    <w:tmpl w:val="2488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2C900D8"/>
    <w:multiLevelType w:val="multilevel"/>
    <w:tmpl w:val="262827C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pStyle w:val="BodyText2"/>
      <w:lvlText w:val="(%8)"/>
      <w:lvlJc w:val="left"/>
      <w:pPr>
        <w:tabs>
          <w:tab w:val="num" w:pos="2160"/>
        </w:tabs>
        <w:ind w:left="2160" w:hanging="720"/>
      </w:pPr>
    </w:lvl>
    <w:lvl w:ilvl="8">
      <w:start w:val="1"/>
      <w:numFmt w:val="none"/>
      <w:pStyle w:val="BodyText3"/>
      <w:lvlText w:val="-"/>
      <w:lvlJc w:val="left"/>
      <w:pPr>
        <w:tabs>
          <w:tab w:val="num" w:pos="2160"/>
        </w:tabs>
        <w:ind w:left="21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2"/>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5"/>
    <w:docVar w:name="LW_ANNEX_NBR_LAST" w:val="15"/>
    <w:docVar w:name="LW_ANNEX_UNIQUE" w:val="0"/>
    <w:docVar w:name="LW_CORRIGENDUM" w:val="&lt;UNUSED&gt;"/>
    <w:docVar w:name="LW_COVERPAGE_EXISTS" w:val="True"/>
    <w:docVar w:name="LW_COVERPAGE_GUID" w:val="426A8210-EC65-48D6-B8D9-19178DD4FEA9"/>
    <w:docVar w:name="LW_COVERPAGE_TYPE" w:val="1"/>
    <w:docVar w:name="LW_CROSSREFERENCE" w:val="&lt;UNUSED&gt;"/>
    <w:docVar w:name="LW_DocType" w:val="NORMAL"/>
    <w:docVar w:name="LW_EMISSION" w:val="8.11.2018"/>
    <w:docVar w:name="LW_EMISSION_ISODATE" w:val="2018-11-0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PART_NBR" w:val="1"/>
    <w:docVar w:name="LW_PART_NBR_TOTAL" w:val="1"/>
    <w:docVar w:name="LW_REF.INST.NEW" w:val="COM"/>
    <w:docVar w:name="LW_REF.INST.NEW_ADOPTED" w:val="final"/>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qFormat/>
    <w:pPr>
      <w:keepNext/>
      <w:keepLines/>
      <w:numPr>
        <w:numId w:val="1"/>
      </w:numPr>
      <w:spacing w:after="240" w:line="240" w:lineRule="auto"/>
      <w:jc w:val="both"/>
      <w:outlineLvl w:val="0"/>
    </w:pPr>
    <w:rPr>
      <w:rFonts w:ascii="Times New Roman" w:eastAsia="Times New Roman" w:hAnsi="Times New Roman"/>
      <w:b/>
      <w:caps/>
      <w:kern w:val="32"/>
    </w:rPr>
  </w:style>
  <w:style w:type="paragraph" w:styleId="Heading2">
    <w:name w:val="heading 2"/>
    <w:basedOn w:val="Normal"/>
    <w:next w:val="Heading3"/>
    <w:link w:val="Heading2Char"/>
    <w:qFormat/>
    <w:pPr>
      <w:keepNext/>
      <w:keepLines/>
      <w:numPr>
        <w:ilvl w:val="1"/>
        <w:numId w:val="1"/>
      </w:numPr>
      <w:spacing w:after="240" w:line="240" w:lineRule="auto"/>
      <w:jc w:val="both"/>
      <w:outlineLvl w:val="1"/>
    </w:pPr>
    <w:rPr>
      <w:rFonts w:ascii="Times New Roman" w:eastAsia="Times New Roman" w:hAnsi="Times New Roman"/>
      <w:smallCaps/>
      <w:szCs w:val="20"/>
    </w:rPr>
  </w:style>
  <w:style w:type="paragraph" w:styleId="Heading3">
    <w:name w:val="heading 3"/>
    <w:basedOn w:val="Normal"/>
    <w:next w:val="Heading4"/>
    <w:link w:val="Heading3Char"/>
    <w:qFormat/>
    <w:pPr>
      <w:keepNext/>
      <w:keepLines/>
      <w:numPr>
        <w:ilvl w:val="2"/>
        <w:numId w:val="1"/>
      </w:numPr>
      <w:spacing w:after="240" w:line="240" w:lineRule="auto"/>
      <w:jc w:val="both"/>
      <w:outlineLvl w:val="2"/>
    </w:pPr>
    <w:rPr>
      <w:rFonts w:ascii="Times New Roman" w:eastAsia="Times New Roman" w:hAnsi="Times New Roman"/>
      <w:b/>
      <w:szCs w:val="20"/>
    </w:rPr>
  </w:style>
  <w:style w:type="paragraph" w:styleId="Heading4">
    <w:name w:val="heading 4"/>
    <w:basedOn w:val="Normal"/>
    <w:next w:val="Heading5"/>
    <w:link w:val="Heading4Char"/>
    <w:qFormat/>
    <w:pPr>
      <w:keepNext/>
      <w:keepLines/>
      <w:numPr>
        <w:ilvl w:val="3"/>
        <w:numId w:val="1"/>
      </w:numPr>
      <w:spacing w:after="240" w:line="240" w:lineRule="auto"/>
      <w:jc w:val="both"/>
      <w:outlineLvl w:val="3"/>
    </w:pPr>
    <w:rPr>
      <w:rFonts w:ascii="Times New Roman" w:eastAsia="Times New Roman" w:hAnsi="Times New Roman"/>
      <w:szCs w:val="20"/>
    </w:rPr>
  </w:style>
  <w:style w:type="paragraph" w:styleId="Heading5">
    <w:name w:val="heading 5"/>
    <w:basedOn w:val="Normal"/>
    <w:next w:val="BodyText"/>
    <w:link w:val="Heading5Char"/>
    <w:qFormat/>
    <w:pPr>
      <w:keepNext/>
      <w:keepLines/>
      <w:numPr>
        <w:ilvl w:val="4"/>
        <w:numId w:val="1"/>
      </w:numPr>
      <w:spacing w:after="240" w:line="240" w:lineRule="auto"/>
      <w:jc w:val="both"/>
      <w:outlineLvl w:val="4"/>
    </w:pPr>
    <w:rPr>
      <w:rFonts w:ascii="Times New Roman" w:eastAsia="Times New Roman" w:hAnsi="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aps/>
      <w:kern w:val="32"/>
      <w:sz w:val="22"/>
      <w:szCs w:val="22"/>
      <w:lang w:val="en-GB" w:eastAsia="en-US" w:bidi="ar-SA"/>
    </w:rPr>
  </w:style>
  <w:style w:type="character" w:customStyle="1" w:styleId="Heading2Char">
    <w:name w:val="Heading 2 Char"/>
    <w:link w:val="Heading2"/>
    <w:semiHidden/>
    <w:rPr>
      <w:smallCaps/>
      <w:sz w:val="22"/>
      <w:lang w:val="en-GB" w:eastAsia="en-US" w:bidi="ar-SA"/>
    </w:rPr>
  </w:style>
  <w:style w:type="character" w:customStyle="1" w:styleId="Heading3Char">
    <w:name w:val="Heading 3 Char"/>
    <w:link w:val="Heading3"/>
    <w:rPr>
      <w:b/>
      <w:sz w:val="22"/>
      <w:lang w:val="en-GB" w:eastAsia="en-US" w:bidi="ar-SA"/>
    </w:rPr>
  </w:style>
  <w:style w:type="character" w:customStyle="1" w:styleId="Heading4Char">
    <w:name w:val="Heading 4 Char"/>
    <w:link w:val="Heading4"/>
    <w:rPr>
      <w:sz w:val="22"/>
      <w:lang w:val="en-GB" w:eastAsia="en-US" w:bidi="ar-SA"/>
    </w:rPr>
  </w:style>
  <w:style w:type="character" w:customStyle="1" w:styleId="Heading5Char">
    <w:name w:val="Heading 5 Char"/>
    <w:link w:val="Heading5"/>
    <w:semiHidden/>
    <w:rPr>
      <w:i/>
      <w:sz w:val="22"/>
      <w:lang w:val="en-GB" w:eastAsia="en-US" w:bidi="ar-SA"/>
    </w:rPr>
  </w:style>
  <w:style w:type="character" w:styleId="Hyperlink">
    <w:name w:val="Hyperlink"/>
    <w:semiHidden/>
    <w:unhideWhenUsed/>
    <w:rPr>
      <w:color w:val="0000FF"/>
      <w:u w:val="single"/>
    </w:rPr>
  </w:style>
  <w:style w:type="paragraph" w:styleId="BodyText">
    <w:name w:val="Body Text"/>
    <w:basedOn w:val="Normal"/>
    <w:link w:val="BodyTextChar"/>
    <w:unhideWhenUsed/>
    <w:pPr>
      <w:numPr>
        <w:ilvl w:val="5"/>
        <w:numId w:val="1"/>
      </w:numPr>
      <w:spacing w:after="240" w:line="240" w:lineRule="auto"/>
      <w:jc w:val="both"/>
    </w:pPr>
    <w:rPr>
      <w:rFonts w:ascii="Times New Roman" w:eastAsia="Times New Roman" w:hAnsi="Times New Roman"/>
      <w:szCs w:val="20"/>
    </w:rPr>
  </w:style>
  <w:style w:type="character" w:customStyle="1" w:styleId="BodyTextChar">
    <w:name w:val="Body Text Char"/>
    <w:link w:val="BodyText"/>
    <w:rPr>
      <w:sz w:val="22"/>
      <w:lang w:val="en-GB" w:eastAsia="en-US" w:bidi="ar-SA"/>
    </w:rPr>
  </w:style>
  <w:style w:type="paragraph" w:styleId="FootnoteText">
    <w:name w:val="footnote text"/>
    <w:basedOn w:val="Normal"/>
    <w:link w:val="FootnoteTextChar"/>
    <w:semiHidden/>
    <w:unhideWhenUsed/>
    <w:pPr>
      <w:tabs>
        <w:tab w:val="left" w:pos="720"/>
      </w:tabs>
      <w:spacing w:after="0" w:line="240" w:lineRule="auto"/>
      <w:ind w:firstLine="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en-US"/>
    </w:rPr>
  </w:style>
  <w:style w:type="paragraph" w:styleId="Title">
    <w:name w:val="Title"/>
    <w:basedOn w:val="Normal"/>
    <w:link w:val="TitleChar"/>
    <w:qFormat/>
    <w:pPr>
      <w:tabs>
        <w:tab w:val="left" w:pos="720"/>
      </w:tabs>
      <w:spacing w:after="0" w:line="240" w:lineRule="auto"/>
      <w:jc w:val="center"/>
    </w:pPr>
    <w:rPr>
      <w:rFonts w:ascii="Times New Roman" w:eastAsia="Times New Roman" w:hAnsi="Times New Roman"/>
      <w:b/>
      <w:caps/>
      <w:kern w:val="28"/>
      <w:szCs w:val="20"/>
    </w:rPr>
  </w:style>
  <w:style w:type="character" w:customStyle="1" w:styleId="TitleChar">
    <w:name w:val="Title Char"/>
    <w:link w:val="Title"/>
    <w:rPr>
      <w:rFonts w:ascii="Times New Roman" w:eastAsia="Times New Roman" w:hAnsi="Times New Roman"/>
      <w:b/>
      <w:caps/>
      <w:kern w:val="28"/>
      <w:sz w:val="22"/>
      <w:lang w:eastAsia="en-US"/>
    </w:rPr>
  </w:style>
  <w:style w:type="paragraph" w:styleId="BodyText2">
    <w:name w:val="Body Text 2"/>
    <w:basedOn w:val="Normal"/>
    <w:link w:val="BodyText2Char"/>
    <w:unhideWhenUsed/>
    <w:pPr>
      <w:numPr>
        <w:ilvl w:val="7"/>
        <w:numId w:val="1"/>
      </w:numPr>
      <w:spacing w:after="240" w:line="240" w:lineRule="auto"/>
      <w:jc w:val="both"/>
    </w:pPr>
    <w:rPr>
      <w:rFonts w:ascii="Times New Roman" w:eastAsia="Times New Roman" w:hAnsi="Times New Roman"/>
      <w:szCs w:val="20"/>
    </w:rPr>
  </w:style>
  <w:style w:type="character" w:customStyle="1" w:styleId="BodyText2Char">
    <w:name w:val="Body Text 2 Char"/>
    <w:link w:val="BodyText2"/>
    <w:semiHidden/>
    <w:rPr>
      <w:sz w:val="22"/>
      <w:lang w:val="en-GB" w:eastAsia="en-US" w:bidi="ar-SA"/>
    </w:rPr>
  </w:style>
  <w:style w:type="paragraph" w:styleId="BodyText3">
    <w:name w:val="Body Text 3"/>
    <w:basedOn w:val="Normal"/>
    <w:link w:val="BodyText3Char"/>
    <w:unhideWhenUsed/>
    <w:pPr>
      <w:numPr>
        <w:ilvl w:val="8"/>
        <w:numId w:val="1"/>
      </w:numPr>
      <w:spacing w:after="240" w:line="240" w:lineRule="auto"/>
      <w:jc w:val="both"/>
    </w:pPr>
    <w:rPr>
      <w:rFonts w:ascii="Times New Roman" w:eastAsia="Times New Roman" w:hAnsi="Times New Roman"/>
      <w:szCs w:val="20"/>
    </w:rPr>
  </w:style>
  <w:style w:type="character" w:customStyle="1" w:styleId="BodyText3Char">
    <w:name w:val="Body Text 3 Char"/>
    <w:link w:val="BodyText3"/>
    <w:semiHidden/>
    <w:rPr>
      <w:sz w:val="22"/>
      <w:lang w:val="en-GB" w:eastAsia="en-US" w:bidi="ar-SA"/>
    </w:rPr>
  </w:style>
  <w:style w:type="paragraph" w:customStyle="1" w:styleId="Title2">
    <w:name w:val="Title 2"/>
    <w:basedOn w:val="Normal"/>
    <w:pPr>
      <w:tabs>
        <w:tab w:val="left" w:pos="720"/>
      </w:tabs>
      <w:spacing w:after="0" w:line="240" w:lineRule="auto"/>
      <w:jc w:val="center"/>
    </w:pPr>
    <w:rPr>
      <w:rFonts w:ascii="Times New Roman" w:eastAsia="Times New Roman" w:hAnsi="Times New Roman"/>
      <w:szCs w:val="20"/>
      <w:u w:val="single"/>
    </w:rPr>
  </w:style>
  <w:style w:type="character" w:styleId="FootnoteReference">
    <w:name w:val="footnote reference"/>
    <w:semiHidden/>
    <w:unhideWhenUsed/>
    <w:rPr>
      <w:vertAlign w:val="superscript"/>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2"/>
      <w:szCs w:val="22"/>
      <w:lang w:eastAsia="en-US"/>
    </w:rPr>
  </w:style>
  <w:style w:type="character" w:customStyle="1" w:styleId="HeaderChar">
    <w:name w:val="Header Char"/>
    <w:basedOn w:val="DefaultParagraphFont"/>
    <w:link w:val="Header"/>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E325-4B32-4EEC-915B-E7C57BC6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3516</Words>
  <Characters>19590</Characters>
  <Application>Microsoft Office Word</Application>
  <DocSecurity>0</DocSecurity>
  <Lines>425</Lines>
  <Paragraphs>151</Paragraphs>
  <ScaleCrop>false</ScaleCrop>
  <HeadingPairs>
    <vt:vector size="2" baseType="variant">
      <vt:variant>
        <vt:lpstr>Title</vt:lpstr>
      </vt:variant>
      <vt:variant>
        <vt:i4>1</vt:i4>
      </vt:variant>
    </vt:vector>
  </HeadingPairs>
  <TitlesOfParts>
    <vt:vector size="1" baseType="lpstr">
      <vt:lpstr>I</vt:lpstr>
    </vt:vector>
  </TitlesOfParts>
  <Company>European Commission</Company>
  <LinksUpToDate>false</LinksUpToDate>
  <CharactersWithSpaces>22955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Ewa ZAJDEL</dc:creator>
  <cp:lastModifiedBy>WES PDFC Administrator</cp:lastModifiedBy>
  <cp:revision>11</cp:revision>
  <dcterms:created xsi:type="dcterms:W3CDTF">2018-08-06T13:04:00Z</dcterms:created>
  <dcterms:modified xsi:type="dcterms:W3CDTF">2018-11-08T11:28:00Z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15</vt:lpwstr>
  </property>
  <property fmtid="{D5CDD505-2E9C-101B-9397-08002B2CF9AE}" pid="4" name="Last annex">
    <vt:lpwstr>15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