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49772B6-3BD9-4B95-A8E3-4F5F13CB0F97"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lang w:val="fr-FR"/>
        </w:rPr>
      </w:pPr>
      <w:bookmarkStart w:id="1" w:name="_GoBack"/>
      <w:bookmarkEnd w:id="1"/>
      <w:r>
        <w:rPr>
          <w:b/>
          <w:noProof/>
          <w:lang w:val="fr-FR"/>
        </w:rPr>
        <w:lastRenderedPageBreak/>
        <w:t>TRADUCTION OFFICIELLE</w:t>
      </w:r>
    </w:p>
    <w:p>
      <w:pPr>
        <w:jc w:val="center"/>
        <w:rPr>
          <w:b/>
          <w:noProof/>
          <w:lang w:val="fr-FR"/>
        </w:rPr>
      </w:pPr>
    </w:p>
    <w:p>
      <w:pPr>
        <w:jc w:val="center"/>
        <w:rPr>
          <w:b/>
          <w:noProof/>
          <w:lang w:val="fr-FR"/>
        </w:rPr>
      </w:pPr>
      <w:r>
        <w:rPr>
          <w:b/>
          <w:noProof/>
          <w:lang w:val="fr-FR"/>
        </w:rPr>
        <w:t xml:space="preserve">Lettre commune des Communautés européennes et de leurs États membres, d’une part, et du territoire douanier distinct de Taïwan, Penghu, Kinmen et Matsu, d’autre part, présentée conformément au paragraphe 5 des </w:t>
      </w:r>
      <w:r>
        <w:rPr>
          <w:b/>
          <w:i/>
          <w:noProof/>
          <w:lang w:val="fr-FR"/>
        </w:rPr>
        <w:t>Procédures pour la mise en œuvre de l</w:t>
      </w:r>
      <w:r>
        <w:rPr>
          <w:b/>
          <w:noProof/>
          <w:lang w:val="fr-FR"/>
        </w:rPr>
        <w:t>’</w:t>
      </w:r>
      <w:r>
        <w:rPr>
          <w:b/>
          <w:i/>
          <w:noProof/>
          <w:lang w:val="fr-FR"/>
        </w:rPr>
        <w:t>article XXI de l</w:t>
      </w:r>
      <w:r>
        <w:rPr>
          <w:b/>
          <w:noProof/>
          <w:lang w:val="fr-FR"/>
        </w:rPr>
        <w:t>’</w:t>
      </w:r>
      <w:r>
        <w:rPr>
          <w:b/>
          <w:i/>
          <w:noProof/>
          <w:lang w:val="fr-FR"/>
        </w:rPr>
        <w:t>Accord général sur le commerce des services (AGCS)</w:t>
      </w:r>
      <w:r>
        <w:rPr>
          <w:b/>
          <w:noProof/>
          <w:lang w:val="fr-FR"/>
        </w:rPr>
        <w:t xml:space="preserve"> (document S/L/80 du 29 octobre 1999)</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b/>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 xml:space="preserve">À la suite de la soumission de la première communication, le territoire douanier distinct de Taïwan, Penghu, Kinmen et Matsu a présenté une déclaration d’intérêt (référencée sous le n° S/L/169), conformément à l’article XXI, paragraphe 2, point a), de l’AGCS, en ce qui concerne le document S/SECRET/8. Aucune déclaration d’intérêt n’a été présentée en ce qui concerne le document S/SECRET/9. Les CE et le territoire douanier distinct de Taïwan, Penghu, Kinmen et Matsu ont entamé des négociations conformément à l’article XXI, paragraphe 2, point a), de l’AGCS concernant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le territoire douanier distinct de Taïwan, Penghu, Kinmen et Matsu se sont accordés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le territoire douanier distinct de Taïwan, Penghu, Kinmen et Matsu.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le territoire douanier distinct de Taïwan, Penghu, Kinmen et Matsu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jc w:val="center"/>
        <w:rPr>
          <w:b/>
          <w:noProof/>
          <w:lang w:val="fr-FR"/>
        </w:rPr>
      </w:pPr>
      <w:r>
        <w:rPr>
          <w:b/>
          <w:noProof/>
          <w:lang w:val="fr-FR"/>
        </w:rPr>
        <w:br w:type="page"/>
        <w:t>Rapport sur les résultats des négociations conduites conformément à l’article XXI, paragraphe 2, point a), de l’Accord général sur le commerce des services (AGCS)</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noProof/>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 xml:space="preserve">Le territoire douanier distinct de Taïwan, Penghu, Kinmen et Matsu a présenté une déclaration d’intérêt (référencée sous le n° S/L/169), conformément à l’article XXI, paragraphe 2, point a), de l’AGCS, en ce qui concerne le document S/SECRET/8. Il n’a pas présenté de déclaration d’intérêt en ce qui concerne le document S/SECRET/9. Les CE et le territoire douanier distinct de Taïwan, Penghu, Kinmen et Matsu ont entamé des négociations conformément à l’article XXI, paragraphe 2, point a), de l’AGCS concernant le document S/SECRET/8. </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le territoire douanier distinct de Taïwan, Penghu, Kinmen et Matsu se sont accordés sur des compensations relatives aux modifications et retraits d’engagements contenus dans le document S/SECRET/8. Les annexes I et II du présent rapport, ainsi que la lettre commune à laquelle il est annexé, constituent l’Accord entre les CE et le territoire douanier distinct de Taïwan, Penghu, Kinmen et Matsu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le territoire douanier distinct de Taïwan, Penghu, Kinmen et Matsu.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i/>
          <w:noProof/>
          <w:lang w:val="fr-FR"/>
        </w:rPr>
      </w:pPr>
    </w:p>
    <w:p>
      <w:pPr>
        <w:jc w:val="center"/>
        <w:rPr>
          <w:b/>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709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220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696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723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214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6732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Le présent accord ne sera pas interprété comme préjugeant de l’issue des discussions séparées menées au sein de l’OMC en ce qui concerne la classification des services de télécommunication (télécommunications de base et services à valeur ajoutée).</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6"/>
    <w:docVar w:name="LW_ANNEX_NBR_LAST" w:val="16"/>
    <w:docVar w:name="LW_ANNEX_UNIQUE" w:val="0"/>
    <w:docVar w:name="LW_CORRIGENDUM" w:val="&lt;UNUSED&gt;"/>
    <w:docVar w:name="LW_COVERPAGE_EXISTS" w:val="True"/>
    <w:docVar w:name="LW_COVERPAGE_GUID" w:val="349772B6-3BD9-4B95-A8E3-4F5F13CB0F97"/>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731A-D556-432D-99D8-10BC0324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4076</Words>
  <Characters>22297</Characters>
  <Application>Microsoft Office Word</Application>
  <DocSecurity>0</DocSecurity>
  <Lines>437</Lines>
  <Paragraphs>146</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26227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12</cp:revision>
  <cp:lastPrinted>2006-08-30T05:46:00Z</cp:lastPrinted>
  <dcterms:created xsi:type="dcterms:W3CDTF">2018-08-07T08:36:00Z</dcterms:created>
  <dcterms:modified xsi:type="dcterms:W3CDTF">2018-11-08T11:23:00Z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S/SECRET/8/Add.10</vt:lpwstr>
  </property>
  <property fmtid="{D5CDD505-2E9C-101B-9397-08002B2CF9AE}" pid="3" name="Level of sensitivity">
    <vt:lpwstr>Standard treatment</vt:lpwstr>
  </property>
  <property fmtid="{D5CDD505-2E9C-101B-9397-08002B2CF9AE}" pid="4" name="First annex">
    <vt:lpwstr>16</vt:lpwstr>
  </property>
  <property fmtid="{D5CDD505-2E9C-101B-9397-08002B2CF9AE}" pid="5" name="Last annex">
    <vt:lpwstr>16</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