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41" w:rsidRPr="00C31605" w:rsidRDefault="00957C68" w:rsidP="00C3160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3125/18.&#10;Subject Codes: PRESSE 53 PR CO 53.&#10;Heading: RÉSULTATS DE LA SESSION DU CONSEIL.&#10;Institutional Framework: Conseil de l'Union européenne.&#10;Language: FR.&#10;Distribution Code: Not Set.&#10;GUID: 4673750917404510205_0" style="width:574.1pt;height:425.1pt">
            <v:imagedata r:id="rId7" o:title=""/>
          </v:shape>
        </w:pict>
      </w:r>
      <w:bookmarkEnd w:id="0"/>
    </w:p>
    <w:p w:rsidR="00CC3721" w:rsidRPr="00FF5280" w:rsidRDefault="00CC3721" w:rsidP="00CC3721">
      <w:pPr>
        <w:pStyle w:val="TechnicalBlock"/>
        <w:ind w:left="-1134" w:right="-1134"/>
        <w:sectPr w:rsidR="00CC3721" w:rsidRPr="00FF5280" w:rsidSect="00957C6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417109" w:rsidRPr="00FF5280" w:rsidRDefault="00EE7876" w:rsidP="00EE7876">
      <w:pPr>
        <w:pStyle w:val="TOCHeading"/>
      </w:pPr>
      <w:r w:rsidRPr="00FF5280">
        <w:lastRenderedPageBreak/>
        <w:t>SOMMAIRE</w:t>
      </w:r>
      <w:r w:rsidRPr="00FF5280">
        <w:rPr>
          <w:vertAlign w:val="superscript"/>
        </w:rPr>
        <w:t>1</w:t>
      </w:r>
    </w:p>
    <w:p w:rsidR="00EE7876" w:rsidRPr="00FF5280" w:rsidRDefault="00EE7876" w:rsidP="00EE7876">
      <w:pPr>
        <w:pStyle w:val="TOC5"/>
      </w:pPr>
      <w:r w:rsidRPr="00FF5280">
        <w:t>POINTS AYANT FAIT L'OBJET D'UN DÉBAT</w:t>
      </w:r>
    </w:p>
    <w:p w:rsidR="00EE7876" w:rsidRPr="00FF5280" w:rsidRDefault="00EE7876" w:rsidP="00EE7876">
      <w:pPr>
        <w:pStyle w:val="TOC6"/>
        <w:rPr>
          <w:rFonts w:asciiTheme="minorHAnsi" w:eastAsiaTheme="minorEastAsia" w:hAnsiTheme="minorHAnsi" w:cstheme="minorBidi"/>
          <w:noProof/>
          <w:sz w:val="22"/>
        </w:rPr>
      </w:pPr>
      <w:r w:rsidRPr="00FF5280">
        <w:t>Conseil européen d'octobre</w:t>
      </w:r>
      <w:r w:rsidRPr="00FF5280">
        <w:tab/>
      </w:r>
      <w:r w:rsidRPr="00FF5280">
        <w:fldChar w:fldCharType="begin"/>
      </w:r>
      <w:r w:rsidRPr="00FF5280">
        <w:instrText xml:space="preserve"> PAGEREF \h _Toc527477509 \* MERGEFORMAT </w:instrText>
      </w:r>
      <w:r w:rsidRPr="00FF5280">
        <w:fldChar w:fldCharType="separate"/>
      </w:r>
      <w:r w:rsidR="00EF1903" w:rsidRPr="00FF5280">
        <w:t>3</w:t>
      </w:r>
      <w:r w:rsidRPr="00FF5280">
        <w:fldChar w:fldCharType="end"/>
      </w:r>
    </w:p>
    <w:p w:rsidR="00EE7876" w:rsidRPr="00FF5280" w:rsidRDefault="00EE7876" w:rsidP="00EE7876">
      <w:pPr>
        <w:pStyle w:val="TOC6"/>
        <w:rPr>
          <w:rFonts w:asciiTheme="minorHAnsi" w:eastAsiaTheme="minorEastAsia" w:hAnsiTheme="minorHAnsi" w:cstheme="minorBidi"/>
          <w:noProof/>
          <w:sz w:val="22"/>
        </w:rPr>
      </w:pPr>
      <w:r w:rsidRPr="00FF5280">
        <w:t>État de droit en Pologne</w:t>
      </w:r>
      <w:r w:rsidRPr="00FF5280">
        <w:tab/>
      </w:r>
      <w:r w:rsidRPr="00FF5280">
        <w:fldChar w:fldCharType="begin"/>
      </w:r>
      <w:r w:rsidRPr="00FF5280">
        <w:instrText xml:space="preserve"> PAGEREF \h _Toc527477510 \* MERGEFORMAT </w:instrText>
      </w:r>
      <w:r w:rsidRPr="00FF5280">
        <w:fldChar w:fldCharType="separate"/>
      </w:r>
      <w:r w:rsidR="00EF1903" w:rsidRPr="00FF5280">
        <w:t>4</w:t>
      </w:r>
      <w:r w:rsidRPr="00FF5280">
        <w:fldChar w:fldCharType="end"/>
      </w:r>
    </w:p>
    <w:p w:rsidR="00EE7876" w:rsidRPr="00FF5280" w:rsidRDefault="00EE7876" w:rsidP="00EE7876">
      <w:pPr>
        <w:pStyle w:val="TOC6"/>
        <w:rPr>
          <w:rFonts w:asciiTheme="minorHAnsi" w:eastAsiaTheme="minorEastAsia" w:hAnsiTheme="minorHAnsi" w:cstheme="minorBidi"/>
          <w:noProof/>
          <w:sz w:val="22"/>
        </w:rPr>
      </w:pPr>
      <w:r w:rsidRPr="00FF5280">
        <w:t>Respect des valeurs de l'UE en Hongrie</w:t>
      </w:r>
      <w:r w:rsidRPr="00FF5280">
        <w:tab/>
      </w:r>
      <w:r w:rsidRPr="00FF5280">
        <w:fldChar w:fldCharType="begin"/>
      </w:r>
      <w:r w:rsidRPr="00FF5280">
        <w:instrText xml:space="preserve"> PAGEREF \h _Toc527477511 \* MERGEFORMAT </w:instrText>
      </w:r>
      <w:r w:rsidRPr="00FF5280">
        <w:fldChar w:fldCharType="separate"/>
      </w:r>
      <w:r w:rsidR="00EF1903" w:rsidRPr="00FF5280">
        <w:t>4</w:t>
      </w:r>
      <w:r w:rsidRPr="00FF5280">
        <w:fldChar w:fldCharType="end"/>
      </w:r>
    </w:p>
    <w:p w:rsidR="00EE7876" w:rsidRPr="00FF5280" w:rsidRDefault="00EE7876" w:rsidP="00EE7876">
      <w:pPr>
        <w:pStyle w:val="TOC6"/>
      </w:pPr>
      <w:r w:rsidRPr="00FF5280">
        <w:t>Prochain cadre financier pluriannuel</w:t>
      </w:r>
      <w:r w:rsidRPr="00FF5280">
        <w:tab/>
      </w:r>
      <w:r w:rsidRPr="00FF5280">
        <w:fldChar w:fldCharType="begin"/>
      </w:r>
      <w:r w:rsidRPr="00FF5280">
        <w:instrText xml:space="preserve"> PAGEREF \h _Toc527477512 \* MERGEFORMAT </w:instrText>
      </w:r>
      <w:r w:rsidRPr="00FF5280">
        <w:fldChar w:fldCharType="separate"/>
      </w:r>
      <w:r w:rsidR="00EF1903" w:rsidRPr="00FF5280">
        <w:t>5</w:t>
      </w:r>
      <w:r w:rsidRPr="00FF5280">
        <w:fldChar w:fldCharType="end"/>
      </w:r>
    </w:p>
    <w:p w:rsidR="00EE7876" w:rsidRPr="00FF5280" w:rsidRDefault="00EE7876" w:rsidP="00EE7876">
      <w:pPr>
        <w:pStyle w:val="TOC5"/>
      </w:pPr>
      <w:r w:rsidRPr="00FF5280">
        <w:t>AUTRES POINTS APPROUVÉS</w:t>
      </w:r>
    </w:p>
    <w:p w:rsidR="00EE7876" w:rsidRPr="00FF5280" w:rsidRDefault="00EE7876" w:rsidP="00EE7876">
      <w:pPr>
        <w:pStyle w:val="TOC8"/>
        <w:rPr>
          <w:rFonts w:asciiTheme="minorHAnsi" w:eastAsiaTheme="minorEastAsia" w:hAnsiTheme="minorHAnsi" w:cstheme="minorBidi"/>
          <w:i w:val="0"/>
          <w:noProof/>
          <w:sz w:val="22"/>
        </w:rPr>
      </w:pPr>
      <w:r w:rsidRPr="00FF5280">
        <w:t>AFFAIRES GÉNÉRALES</w:t>
      </w:r>
    </w:p>
    <w:p w:rsidR="00EE7876" w:rsidRPr="00FF5280" w:rsidRDefault="00EE7876" w:rsidP="00EE7876">
      <w:pPr>
        <w:pStyle w:val="TOC9"/>
        <w:rPr>
          <w:rFonts w:asciiTheme="minorHAnsi" w:eastAsiaTheme="minorEastAsia" w:hAnsiTheme="minorHAnsi" w:cstheme="minorBidi"/>
          <w:noProof/>
          <w:sz w:val="22"/>
        </w:rPr>
      </w:pPr>
      <w:r w:rsidRPr="00FF5280">
        <w:t>Conférence "Our ocean" - Engagements de l'UE</w:t>
      </w:r>
      <w:r w:rsidRPr="00FF5280">
        <w:tab/>
      </w:r>
      <w:r w:rsidRPr="00FF5280">
        <w:fldChar w:fldCharType="begin"/>
      </w:r>
      <w:r w:rsidRPr="00FF5280">
        <w:instrText xml:space="preserve"> PAGEREF \h _Toc527477514 \* MERGEFORMAT </w:instrText>
      </w:r>
      <w:r w:rsidRPr="00FF5280">
        <w:fldChar w:fldCharType="separate"/>
      </w:r>
      <w:r w:rsidR="00EF1903" w:rsidRPr="00FF5280">
        <w:t>6</w:t>
      </w:r>
      <w:r w:rsidRPr="00FF5280">
        <w:fldChar w:fldCharType="end"/>
      </w:r>
    </w:p>
    <w:p w:rsidR="00EE7876" w:rsidRPr="00FF5280" w:rsidRDefault="00EE7876" w:rsidP="00EE7876">
      <w:pPr>
        <w:pStyle w:val="TOC8"/>
        <w:rPr>
          <w:rFonts w:asciiTheme="minorHAnsi" w:eastAsiaTheme="minorEastAsia" w:hAnsiTheme="minorHAnsi" w:cstheme="minorBidi"/>
          <w:i w:val="0"/>
          <w:noProof/>
          <w:sz w:val="22"/>
        </w:rPr>
      </w:pPr>
      <w:r w:rsidRPr="00FF5280">
        <w:t>AGRICULTURE</w:t>
      </w:r>
    </w:p>
    <w:p w:rsidR="00EE7876" w:rsidRPr="00FF5280" w:rsidRDefault="00EE7876" w:rsidP="00EE7876">
      <w:pPr>
        <w:pStyle w:val="TOC9"/>
      </w:pPr>
      <w:r w:rsidRPr="00FF5280">
        <w:t>Financement des projets en faveur du développement rural</w:t>
      </w:r>
      <w:r w:rsidRPr="00FF5280">
        <w:tab/>
      </w:r>
      <w:r w:rsidRPr="00FF5280">
        <w:fldChar w:fldCharType="begin"/>
      </w:r>
      <w:r w:rsidRPr="00FF5280">
        <w:instrText xml:space="preserve"> PAGEREF \h _Toc527477516 \* MERGEFORMAT </w:instrText>
      </w:r>
      <w:r w:rsidRPr="00FF5280">
        <w:fldChar w:fldCharType="separate"/>
      </w:r>
      <w:r w:rsidR="00EF1903" w:rsidRPr="00FF5280">
        <w:t>6</w:t>
      </w:r>
      <w:r w:rsidRPr="00FF5280">
        <w:fldChar w:fldCharType="end"/>
      </w:r>
    </w:p>
    <w:p w:rsidR="00EE7876" w:rsidRPr="00FF5280" w:rsidRDefault="00EE7876" w:rsidP="00CC3721">
      <w:pPr>
        <w:sectPr w:rsidR="00EE7876" w:rsidRPr="00FF5280" w:rsidSect="00957C68">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CC3721" w:rsidRPr="00FF5280" w:rsidRDefault="00567623" w:rsidP="00567623">
      <w:pPr>
        <w:pStyle w:val="ItemsDebatedHeading"/>
      </w:pPr>
      <w:r w:rsidRPr="00FF5280">
        <w:lastRenderedPageBreak/>
        <w:t>POINTS AYANT FAIT L'OBJET D'UN DÉBAT</w:t>
      </w:r>
    </w:p>
    <w:p w:rsidR="00417109" w:rsidRPr="00FF5280" w:rsidRDefault="00417109" w:rsidP="00417109">
      <w:pPr>
        <w:pStyle w:val="ItemDebated"/>
      </w:pPr>
      <w:bookmarkStart w:id="6" w:name="_Toc527477509"/>
      <w:r w:rsidRPr="00FF5280">
        <w:t>Conseil européen d'octobre</w:t>
      </w:r>
      <w:bookmarkEnd w:id="6"/>
      <w:r w:rsidRPr="00FF5280">
        <w:t xml:space="preserve"> </w:t>
      </w:r>
    </w:p>
    <w:p w:rsidR="00417109" w:rsidRPr="00FF5280" w:rsidRDefault="00417109" w:rsidP="00417109">
      <w:pPr>
        <w:shd w:val="clear" w:color="auto" w:fill="FFFFFF"/>
        <w:rPr>
          <w:rFonts w:asciiTheme="majorBidi" w:eastAsia="Times New Roman" w:hAnsiTheme="majorBidi" w:cstheme="majorBidi"/>
          <w:szCs w:val="24"/>
        </w:rPr>
      </w:pPr>
      <w:r w:rsidRPr="00FF5280">
        <w:rPr>
          <w:rFonts w:asciiTheme="majorBidi" w:hAnsiTheme="majorBidi"/>
          <w:szCs w:val="24"/>
        </w:rPr>
        <w:t>Le Conseil a examiné le projet de conclusions du Conseil europée</w:t>
      </w:r>
      <w:r w:rsidR="001C2119">
        <w:rPr>
          <w:rFonts w:asciiTheme="majorBidi" w:hAnsiTheme="majorBidi"/>
          <w:szCs w:val="24"/>
        </w:rPr>
        <w:t>n du 18 octobre, élaboré par le </w:t>
      </w:r>
      <w:r w:rsidRPr="00FF5280">
        <w:rPr>
          <w:rFonts w:asciiTheme="majorBidi" w:hAnsiTheme="majorBidi"/>
          <w:szCs w:val="24"/>
        </w:rPr>
        <w:t>président du Conseil européen, Donald Tusk, en coopération avec l</w:t>
      </w:r>
      <w:r w:rsidR="001C2119">
        <w:rPr>
          <w:rFonts w:asciiTheme="majorBidi" w:hAnsiTheme="majorBidi"/>
          <w:szCs w:val="24"/>
        </w:rPr>
        <w:t>a présidence autrichienne et la </w:t>
      </w:r>
      <w:r w:rsidRPr="00FF5280">
        <w:rPr>
          <w:rFonts w:asciiTheme="majorBidi" w:hAnsiTheme="majorBidi"/>
          <w:szCs w:val="24"/>
        </w:rPr>
        <w:t>Commission.</w:t>
      </w:r>
    </w:p>
    <w:p w:rsidR="00417109" w:rsidRPr="00FF5280" w:rsidRDefault="00417109" w:rsidP="00417109">
      <w:pPr>
        <w:shd w:val="clear" w:color="auto" w:fill="FFFFFF"/>
        <w:rPr>
          <w:rFonts w:asciiTheme="majorBidi" w:eastAsia="Times New Roman" w:hAnsiTheme="majorBidi" w:cstheme="majorBidi"/>
          <w:szCs w:val="24"/>
        </w:rPr>
      </w:pPr>
      <w:r w:rsidRPr="00FF5280">
        <w:rPr>
          <w:rFonts w:asciiTheme="majorBidi" w:hAnsiTheme="majorBidi"/>
          <w:szCs w:val="24"/>
        </w:rPr>
        <w:t>Lors de sa réunion d'octobre, le Conseil européen devrait revenir sur l</w:t>
      </w:r>
      <w:r w:rsidR="001C2119">
        <w:rPr>
          <w:rFonts w:asciiTheme="majorBidi" w:hAnsiTheme="majorBidi"/>
          <w:szCs w:val="24"/>
        </w:rPr>
        <w:t>a question des migrations. Le </w:t>
      </w:r>
      <w:r w:rsidRPr="00FF5280">
        <w:rPr>
          <w:rFonts w:asciiTheme="majorBidi" w:hAnsiTheme="majorBidi"/>
          <w:szCs w:val="24"/>
        </w:rPr>
        <w:t>chancelier Sebastian Kurz rendra compte de la mise en œuvre</w:t>
      </w:r>
      <w:r w:rsidR="001C2119">
        <w:rPr>
          <w:rFonts w:asciiTheme="majorBidi" w:hAnsiTheme="majorBidi"/>
          <w:szCs w:val="24"/>
        </w:rPr>
        <w:t xml:space="preserve"> des précédentes conclusions du </w:t>
      </w:r>
      <w:r w:rsidRPr="00FF5280">
        <w:rPr>
          <w:rFonts w:asciiTheme="majorBidi" w:hAnsiTheme="majorBidi"/>
          <w:szCs w:val="24"/>
        </w:rPr>
        <w:t>Conseil européen. Comme convenu en juin 2018, il insister</w:t>
      </w:r>
      <w:r w:rsidR="001C2119">
        <w:rPr>
          <w:rFonts w:asciiTheme="majorBidi" w:hAnsiTheme="majorBidi"/>
          <w:szCs w:val="24"/>
        </w:rPr>
        <w:t>a plus particulièrement sur les </w:t>
      </w:r>
      <w:r w:rsidRPr="00FF5280">
        <w:rPr>
          <w:rFonts w:asciiTheme="majorBidi" w:hAnsiTheme="majorBidi"/>
          <w:szCs w:val="24"/>
        </w:rPr>
        <w:t xml:space="preserve">progrès réalisés en ce qui concerne la réforme du </w:t>
      </w:r>
      <w:r w:rsidR="001C2119">
        <w:rPr>
          <w:rFonts w:asciiTheme="majorBidi" w:hAnsiTheme="majorBidi"/>
          <w:szCs w:val="24"/>
        </w:rPr>
        <w:t>régime d'asile européen commun.</w:t>
      </w:r>
    </w:p>
    <w:p w:rsidR="00417109" w:rsidRPr="00FF5280" w:rsidRDefault="00417109" w:rsidP="00417109">
      <w:pPr>
        <w:shd w:val="clear" w:color="auto" w:fill="FFFFFF"/>
        <w:rPr>
          <w:rFonts w:asciiTheme="majorBidi" w:eastAsia="Times New Roman" w:hAnsiTheme="majorBidi" w:cstheme="majorBidi"/>
          <w:szCs w:val="24"/>
        </w:rPr>
      </w:pPr>
      <w:r w:rsidRPr="00FF5280">
        <w:rPr>
          <w:rFonts w:asciiTheme="majorBidi" w:hAnsiTheme="majorBidi"/>
          <w:szCs w:val="24"/>
        </w:rPr>
        <w:t>Le Conseil européen adoptera des conclusions sur la sécurité inté</w:t>
      </w:r>
      <w:r w:rsidR="001C2119">
        <w:rPr>
          <w:rFonts w:asciiTheme="majorBidi" w:hAnsiTheme="majorBidi"/>
          <w:szCs w:val="24"/>
        </w:rPr>
        <w:t>rieure, dans le prolongement du </w:t>
      </w:r>
      <w:r w:rsidRPr="00FF5280">
        <w:rPr>
          <w:rFonts w:asciiTheme="majorBidi" w:hAnsiTheme="majorBidi"/>
          <w:szCs w:val="24"/>
        </w:rPr>
        <w:t>débat thématique tenu par les dirigeants le 20 septembre à Salzbourg.</w:t>
      </w:r>
    </w:p>
    <w:p w:rsidR="00417109" w:rsidRPr="00FF5280" w:rsidRDefault="00417109" w:rsidP="00417109">
      <w:pPr>
        <w:shd w:val="clear" w:color="auto" w:fill="FFFFFF"/>
        <w:rPr>
          <w:rFonts w:asciiTheme="majorBidi" w:eastAsia="Times New Roman" w:hAnsiTheme="majorBidi" w:cstheme="majorBidi"/>
          <w:szCs w:val="24"/>
        </w:rPr>
      </w:pPr>
      <w:r w:rsidRPr="00FF5280">
        <w:rPr>
          <w:rFonts w:asciiTheme="majorBidi" w:hAnsiTheme="majorBidi"/>
          <w:szCs w:val="24"/>
        </w:rPr>
        <w:t>Le Conseil européen débattra également des relations extérieures, notamment du partenariat avec l'Afrique et du prochain sommet avec la Ligue des États arabes.</w:t>
      </w:r>
    </w:p>
    <w:p w:rsidR="00417109" w:rsidRPr="00FF5280" w:rsidRDefault="00417109" w:rsidP="00417109">
      <w:pPr>
        <w:pStyle w:val="ItemDebated"/>
      </w:pPr>
      <w:r w:rsidRPr="00FF5280">
        <w:br w:type="page"/>
      </w:r>
      <w:bookmarkStart w:id="7" w:name="_Toc527477510"/>
      <w:r w:rsidRPr="00FF5280">
        <w:lastRenderedPageBreak/>
        <w:t>État de droit en Pologne</w:t>
      </w:r>
      <w:bookmarkEnd w:id="7"/>
    </w:p>
    <w:p w:rsidR="00417109" w:rsidRPr="00FF5280" w:rsidRDefault="00417109" w:rsidP="00417109">
      <w:pPr>
        <w:rPr>
          <w:rFonts w:asciiTheme="majorBidi" w:hAnsiTheme="majorBidi" w:cstheme="majorBidi"/>
          <w:szCs w:val="24"/>
        </w:rPr>
      </w:pPr>
      <w:r w:rsidRPr="00FF5280">
        <w:rPr>
          <w:rFonts w:asciiTheme="majorBidi" w:hAnsiTheme="majorBidi"/>
          <w:szCs w:val="24"/>
        </w:rPr>
        <w:t>En vertu de la procédure prévue à l'article 7, paragraphe 1, du T</w:t>
      </w:r>
      <w:r w:rsidR="001C2119">
        <w:rPr>
          <w:rFonts w:asciiTheme="majorBidi" w:hAnsiTheme="majorBidi"/>
          <w:szCs w:val="24"/>
        </w:rPr>
        <w:t>UE, la Commission a présenté au </w:t>
      </w:r>
      <w:r w:rsidRPr="00FF5280">
        <w:rPr>
          <w:rFonts w:asciiTheme="majorBidi" w:hAnsiTheme="majorBidi"/>
          <w:szCs w:val="24"/>
        </w:rPr>
        <w:t xml:space="preserve">Conseil des informations actualisées sur les derniers développements de la réforme de la justice en Pologne. </w:t>
      </w:r>
    </w:p>
    <w:p w:rsidR="00417109" w:rsidRPr="00FF5280" w:rsidRDefault="00417109" w:rsidP="00417109">
      <w:pPr>
        <w:pStyle w:val="Point123"/>
        <w:numPr>
          <w:ilvl w:val="0"/>
          <w:numId w:val="0"/>
        </w:numPr>
        <w:spacing w:after="240" w:line="276" w:lineRule="auto"/>
        <w:rPr>
          <w:rFonts w:asciiTheme="majorBidi" w:hAnsiTheme="majorBidi" w:cstheme="majorBidi"/>
        </w:rPr>
      </w:pPr>
      <w:r w:rsidRPr="00FF5280">
        <w:rPr>
          <w:rFonts w:asciiTheme="majorBidi" w:hAnsiTheme="majorBidi"/>
        </w:rPr>
        <w:t xml:space="preserve">Les ministres ont réaffirmé qu'il importe de faire respecter l'État de droit dans tous les États membres de l'UE et ont insisté sur la nécessité de réaliser des progrès tangibles. </w:t>
      </w:r>
    </w:p>
    <w:p w:rsidR="00417109" w:rsidRPr="00FF5280" w:rsidRDefault="00417109" w:rsidP="00417109">
      <w:pPr>
        <w:pStyle w:val="Point123"/>
        <w:numPr>
          <w:ilvl w:val="0"/>
          <w:numId w:val="0"/>
        </w:numPr>
        <w:tabs>
          <w:tab w:val="left" w:pos="720"/>
        </w:tabs>
        <w:spacing w:after="240" w:line="276" w:lineRule="auto"/>
        <w:rPr>
          <w:rFonts w:asciiTheme="majorBidi" w:hAnsiTheme="majorBidi" w:cstheme="majorBidi"/>
        </w:rPr>
      </w:pPr>
      <w:r w:rsidRPr="00FF5280">
        <w:rPr>
          <w:rFonts w:asciiTheme="majorBidi" w:hAnsiTheme="majorBidi"/>
        </w:rPr>
        <w:t>Le Conseil reviendra sur ce point.</w:t>
      </w:r>
    </w:p>
    <w:p w:rsidR="00417109" w:rsidRPr="00FF5280" w:rsidRDefault="00417109" w:rsidP="00417109">
      <w:pPr>
        <w:pStyle w:val="ItemDebated"/>
      </w:pPr>
      <w:bookmarkStart w:id="8" w:name="_Toc527477511"/>
      <w:r w:rsidRPr="00FF5280">
        <w:t>Respect des valeurs de l'UE en Hongrie</w:t>
      </w:r>
      <w:bookmarkEnd w:id="8"/>
      <w:r w:rsidRPr="00FF5280">
        <w:t xml:space="preserve"> </w:t>
      </w:r>
    </w:p>
    <w:p w:rsidR="00417109" w:rsidRPr="00FF5280" w:rsidRDefault="00417109" w:rsidP="00417109">
      <w:pPr>
        <w:rPr>
          <w:rFonts w:asciiTheme="majorBidi" w:hAnsiTheme="majorBidi" w:cstheme="majorBidi"/>
          <w:szCs w:val="24"/>
        </w:rPr>
      </w:pPr>
      <w:r w:rsidRPr="00FF5280">
        <w:rPr>
          <w:rFonts w:asciiTheme="majorBidi" w:hAnsiTheme="majorBidi"/>
          <w:szCs w:val="24"/>
        </w:rPr>
        <w:t xml:space="preserve">La présidence a informé les ministres des prochaines étapes de la procédure à la suite du lancement de la procédure prévue à l'article 7, paragraphe 1, du TUE en ce qui concerne la Hongrie. </w:t>
      </w:r>
    </w:p>
    <w:p w:rsidR="00417109" w:rsidRPr="00FF5280" w:rsidRDefault="00417109" w:rsidP="00417109">
      <w:pPr>
        <w:pStyle w:val="Point123"/>
        <w:numPr>
          <w:ilvl w:val="0"/>
          <w:numId w:val="0"/>
        </w:numPr>
        <w:tabs>
          <w:tab w:val="left" w:pos="720"/>
        </w:tabs>
        <w:spacing w:after="240" w:line="276" w:lineRule="auto"/>
        <w:rPr>
          <w:rFonts w:asciiTheme="majorBidi" w:hAnsiTheme="majorBidi" w:cstheme="majorBidi"/>
        </w:rPr>
      </w:pPr>
      <w:r w:rsidRPr="00FF5280">
        <w:rPr>
          <w:rFonts w:asciiTheme="majorBidi" w:hAnsiTheme="majorBidi"/>
        </w:rPr>
        <w:t>La Commission transmettra au Conseil des données factuelles actualisées sur les procédures d'infraction pertinentes.</w:t>
      </w:r>
    </w:p>
    <w:p w:rsidR="00417109" w:rsidRPr="00FF5280" w:rsidRDefault="00417109" w:rsidP="00417109">
      <w:pPr>
        <w:pStyle w:val="Point123"/>
        <w:numPr>
          <w:ilvl w:val="0"/>
          <w:numId w:val="0"/>
        </w:numPr>
        <w:tabs>
          <w:tab w:val="left" w:pos="720"/>
        </w:tabs>
        <w:spacing w:after="240" w:line="276" w:lineRule="auto"/>
        <w:rPr>
          <w:rFonts w:asciiTheme="majorBidi" w:hAnsiTheme="majorBidi" w:cstheme="majorBidi"/>
        </w:rPr>
      </w:pPr>
      <w:r w:rsidRPr="00FF5280">
        <w:t xml:space="preserve">La Hongrie s'est dite disposée à fournir une contribution écrite sur </w:t>
      </w:r>
      <w:r w:rsidR="001C2119">
        <w:t>les questions soulevées dans la </w:t>
      </w:r>
      <w:hyperlink r:id="rId17" w:history="1">
        <w:r w:rsidRPr="00FF5280">
          <w:rPr>
            <w:rStyle w:val="Hyperlink"/>
            <w:rFonts w:asciiTheme="majorBidi" w:hAnsiTheme="majorBidi"/>
          </w:rPr>
          <w:t>proposition motivée du Parlement européen</w:t>
        </w:r>
      </w:hyperlink>
      <w:r w:rsidRPr="00FF5280">
        <w:t>.</w:t>
      </w:r>
      <w:r w:rsidRPr="00FF5280">
        <w:rPr>
          <w:rFonts w:asciiTheme="majorBidi" w:hAnsiTheme="majorBidi"/>
        </w:rPr>
        <w:t xml:space="preserve"> </w:t>
      </w:r>
    </w:p>
    <w:p w:rsidR="00417109" w:rsidRPr="00FF5280" w:rsidRDefault="00417109" w:rsidP="00417109">
      <w:pPr>
        <w:pStyle w:val="ItemDebated"/>
      </w:pPr>
      <w:r w:rsidRPr="00FF5280">
        <w:br w:type="page"/>
      </w:r>
      <w:bookmarkStart w:id="9" w:name="_Toc527477512"/>
      <w:r w:rsidRPr="00FF5280">
        <w:lastRenderedPageBreak/>
        <w:t>Prochain cadre financier pluriannuel</w:t>
      </w:r>
      <w:bookmarkEnd w:id="9"/>
    </w:p>
    <w:p w:rsidR="00417109" w:rsidRPr="00FF5280" w:rsidRDefault="00417109" w:rsidP="00417109">
      <w:pPr>
        <w:rPr>
          <w:szCs w:val="24"/>
        </w:rPr>
      </w:pPr>
      <w:r w:rsidRPr="00FF5280">
        <w:t>La présidence a présenté aux ministres une évaluation de l'ét</w:t>
      </w:r>
      <w:r w:rsidR="001C2119">
        <w:t>at d'avancement de l'examen des </w:t>
      </w:r>
      <w:r w:rsidRPr="00FF5280">
        <w:t>propositions de la Commission concernant le cadre financier p</w:t>
      </w:r>
      <w:r w:rsidR="001C2119">
        <w:t>luriannuel pour la période 2021</w:t>
      </w:r>
      <w:r w:rsidR="001C2119">
        <w:noBreakHyphen/>
      </w:r>
      <w:r w:rsidRPr="00FF5280">
        <w:t xml:space="preserve">2027. </w:t>
      </w:r>
    </w:p>
    <w:p w:rsidR="00417109" w:rsidRPr="00FF5280" w:rsidRDefault="00417109" w:rsidP="002372EE">
      <w:pPr>
        <w:rPr>
          <w:szCs w:val="24"/>
        </w:rPr>
      </w:pPr>
      <w:r w:rsidRPr="00FF5280">
        <w:t xml:space="preserve">Le Conseil a pris note du </w:t>
      </w:r>
      <w:hyperlink r:id="rId18" w:history="1">
        <w:r w:rsidRPr="00FF5280">
          <w:rPr>
            <w:rStyle w:val="Hyperlink"/>
          </w:rPr>
          <w:t>rapport sur l'état d'avancement des travaux</w:t>
        </w:r>
      </w:hyperlink>
      <w:r w:rsidR="001C2119">
        <w:t xml:space="preserve"> présenté par la présidence. Ce </w:t>
      </w:r>
      <w:r w:rsidRPr="00FF5280">
        <w:t>rapport donne un aperçu des travaux réalisés sur le CFP depuis la session du Conseil des affaires générales du 18 septembre. Sans préjudice des discussions en cours, il met également l'accent sur l'état d'avancement des travaux sur un certain nombre de thèmes concernant des questions horizontales, des rubriques spécifiques et les ressources propres.</w:t>
      </w:r>
    </w:p>
    <w:p w:rsidR="00CC3721" w:rsidRPr="00FF5280" w:rsidRDefault="00CC3721" w:rsidP="00417109"/>
    <w:p w:rsidR="00CC3721" w:rsidRPr="00FF5280" w:rsidRDefault="00CC3721" w:rsidP="00CC3721">
      <w:pPr>
        <w:sectPr w:rsidR="00CC3721" w:rsidRPr="00FF5280" w:rsidSect="00957C68">
          <w:footnotePr>
            <w:numRestart w:val="eachPage"/>
          </w:footnotePr>
          <w:pgSz w:w="11907" w:h="16839"/>
          <w:pgMar w:top="1134" w:right="1134" w:bottom="1134" w:left="1134" w:header="567" w:footer="567" w:gutter="0"/>
          <w:cols w:space="720"/>
          <w:docGrid w:linePitch="360"/>
        </w:sectPr>
      </w:pPr>
    </w:p>
    <w:p w:rsidR="00CC3721" w:rsidRPr="00FF5280" w:rsidRDefault="00567623" w:rsidP="00567623">
      <w:pPr>
        <w:pStyle w:val="ItemsApprovedHeading"/>
      </w:pPr>
      <w:r w:rsidRPr="00FF5280">
        <w:lastRenderedPageBreak/>
        <w:t>AUTRES POINTS APPROUVÉS</w:t>
      </w:r>
    </w:p>
    <w:p w:rsidR="00C00661" w:rsidRPr="00FF5280" w:rsidRDefault="00C00661" w:rsidP="00C00661">
      <w:pPr>
        <w:pStyle w:val="ItemApproved"/>
      </w:pPr>
      <w:r w:rsidRPr="00FF5280">
        <w:t>AFFAIRES GÉNÉRALES</w:t>
      </w:r>
    </w:p>
    <w:p w:rsidR="00C00661" w:rsidRPr="00FF5280" w:rsidRDefault="00C00661" w:rsidP="00C00661">
      <w:pPr>
        <w:pStyle w:val="Sub-itemApproved"/>
      </w:pPr>
      <w:bookmarkStart w:id="10" w:name="_Toc527477514"/>
      <w:r w:rsidRPr="00FF5280">
        <w:t>Conférence "Our ocean" - Engagements de l'UE</w:t>
      </w:r>
      <w:bookmarkEnd w:id="10"/>
    </w:p>
    <w:p w:rsidR="00C00661" w:rsidRPr="00FF5280" w:rsidRDefault="00C00661" w:rsidP="00C00661">
      <w:pPr>
        <w:tabs>
          <w:tab w:val="left" w:pos="1068"/>
        </w:tabs>
        <w:rPr>
          <w:rFonts w:asciiTheme="majorBidi" w:hAnsiTheme="majorBidi" w:cstheme="majorBidi"/>
          <w:szCs w:val="24"/>
        </w:rPr>
      </w:pPr>
      <w:r w:rsidRPr="00FF5280">
        <w:t>Le Conseil a approuvé une liste d'engagements destinés à être présentés par l'Union européenne lors de la conférence "Our ocean" qui doit se tenir à Bali les 29 et 30 octobre 2018 (</w:t>
      </w:r>
      <w:hyperlink r:id="rId19" w:history="1">
        <w:r w:rsidRPr="00FF5280">
          <w:rPr>
            <w:rStyle w:val="Hyperlink"/>
            <w:rFonts w:asciiTheme="majorBidi" w:hAnsiTheme="majorBidi"/>
            <w:szCs w:val="24"/>
          </w:rPr>
          <w:t>12180/18</w:t>
        </w:r>
      </w:hyperlink>
      <w:r w:rsidRPr="00FF5280">
        <w:t>).</w:t>
      </w:r>
      <w:r w:rsidRPr="00FF5280">
        <w:rPr>
          <w:rFonts w:asciiTheme="majorBidi" w:hAnsiTheme="majorBidi"/>
          <w:szCs w:val="24"/>
        </w:rPr>
        <w:t xml:space="preserve"> </w:t>
      </w:r>
    </w:p>
    <w:p w:rsidR="00C00661" w:rsidRPr="00FF5280" w:rsidRDefault="00C00661" w:rsidP="002372EE">
      <w:pPr>
        <w:tabs>
          <w:tab w:val="left" w:pos="1068"/>
        </w:tabs>
        <w:rPr>
          <w:rFonts w:asciiTheme="majorBidi" w:hAnsiTheme="majorBidi" w:cstheme="majorBidi"/>
          <w:szCs w:val="24"/>
        </w:rPr>
      </w:pPr>
      <w:r w:rsidRPr="00FF5280">
        <w:rPr>
          <w:rFonts w:asciiTheme="majorBidi" w:hAnsiTheme="majorBidi"/>
          <w:szCs w:val="24"/>
        </w:rPr>
        <w:t>La conférence a pour objectif de trouver des solutions et de prendre des engagements concernant des mesures visant à faire face à certains des défis les plus importan</w:t>
      </w:r>
      <w:r w:rsidR="001C2119">
        <w:rPr>
          <w:rFonts w:asciiTheme="majorBidi" w:hAnsiTheme="majorBidi"/>
          <w:szCs w:val="24"/>
        </w:rPr>
        <w:t>ts auxquels sont confrontés les </w:t>
      </w:r>
      <w:r w:rsidRPr="00FF5280">
        <w:rPr>
          <w:rFonts w:asciiTheme="majorBidi" w:hAnsiTheme="majorBidi"/>
          <w:szCs w:val="24"/>
        </w:rPr>
        <w:t xml:space="preserve">océans: la protection du milieu marin, la pollution marine, les incidences du changement climatique et la pêche durable. Le principal résultat qui en est attendu est l'annonce de divers engagements concernant des mesures qui contribuent à des océans plus propres, plus sûrs et plus sains, conformément à l'ODD 14 du programme de développement durable à l'horizon 2030. </w:t>
      </w:r>
    </w:p>
    <w:p w:rsidR="00C00661" w:rsidRPr="00FF5280" w:rsidRDefault="00C00661" w:rsidP="00C00661">
      <w:pPr>
        <w:pStyle w:val="ItemApproved"/>
      </w:pPr>
      <w:r w:rsidRPr="00FF5280">
        <w:t>AGRICULTURE</w:t>
      </w:r>
    </w:p>
    <w:p w:rsidR="00C00661" w:rsidRPr="00FF5280" w:rsidRDefault="00C00661" w:rsidP="00C00661">
      <w:pPr>
        <w:pStyle w:val="Sub-itemApproved"/>
      </w:pPr>
      <w:bookmarkStart w:id="11" w:name="_Toc527477516"/>
      <w:r w:rsidRPr="00FF5280">
        <w:t>Financement des projets en faveur du développement rural</w:t>
      </w:r>
      <w:bookmarkEnd w:id="11"/>
    </w:p>
    <w:p w:rsidR="002372EE" w:rsidRPr="00FF5280" w:rsidRDefault="00C00661" w:rsidP="002372EE">
      <w:pPr>
        <w:rPr>
          <w:rFonts w:asciiTheme="majorBidi" w:hAnsiTheme="majorBidi" w:cstheme="majorBidi"/>
          <w:szCs w:val="24"/>
        </w:rPr>
      </w:pPr>
      <w:r w:rsidRPr="00FF5280">
        <w:t xml:space="preserve">Le Conseil a adopté des conclusions sur le </w:t>
      </w:r>
      <w:hyperlink r:id="rId20" w:history="1">
        <w:r w:rsidRPr="00FF5280">
          <w:rPr>
            <w:rStyle w:val="Hyperlink"/>
            <w:rFonts w:asciiTheme="majorBidi" w:hAnsiTheme="majorBidi"/>
            <w:szCs w:val="24"/>
          </w:rPr>
          <w:t>rapport spécial n° 11/2018</w:t>
        </w:r>
      </w:hyperlink>
      <w:r w:rsidRPr="00FF5280">
        <w:t xml:space="preserve"> de la Cour des comptes européennes intitulé "Nouvelles options de financement des projets de développement durable: plus simples, mais pas axées sur les résultats".</w:t>
      </w:r>
      <w:r w:rsidRPr="00FF5280">
        <w:rPr>
          <w:rFonts w:asciiTheme="majorBidi" w:hAnsiTheme="majorBidi"/>
          <w:szCs w:val="24"/>
        </w:rPr>
        <w:t xml:space="preserve"> </w:t>
      </w:r>
    </w:p>
    <w:p w:rsidR="00C00661" w:rsidRPr="00FF5280" w:rsidRDefault="00C00661" w:rsidP="002372EE">
      <w:pPr>
        <w:rPr>
          <w:rFonts w:asciiTheme="majorBidi" w:hAnsiTheme="majorBidi" w:cstheme="majorBidi"/>
          <w:szCs w:val="24"/>
        </w:rPr>
      </w:pPr>
      <w:r w:rsidRPr="00FF5280">
        <w:rPr>
          <w:rFonts w:asciiTheme="majorBidi" w:hAnsiTheme="majorBidi"/>
          <w:szCs w:val="24"/>
        </w:rPr>
        <w:t>Le Conseil prend note de l'évaluation de la Cour selon laquelle la nouvelle méthode de remboursement des coûts des projets de développement d</w:t>
      </w:r>
      <w:r w:rsidR="001C2119">
        <w:rPr>
          <w:rFonts w:asciiTheme="majorBidi" w:hAnsiTheme="majorBidi"/>
          <w:szCs w:val="24"/>
        </w:rPr>
        <w:t>urable est plus simple pour les </w:t>
      </w:r>
      <w:r w:rsidRPr="00FF5280">
        <w:rPr>
          <w:rFonts w:asciiTheme="majorBidi" w:hAnsiTheme="majorBidi"/>
          <w:szCs w:val="24"/>
        </w:rPr>
        <w:t xml:space="preserve">bénéficiaires mais devrait être plus largement utilisée. </w:t>
      </w:r>
    </w:p>
    <w:p w:rsidR="00E52E6E" w:rsidRPr="00567623" w:rsidRDefault="00E52E6E" w:rsidP="00CC3721">
      <w:pPr>
        <w:pStyle w:val="FinalLine"/>
      </w:pPr>
    </w:p>
    <w:sectPr w:rsidR="00E52E6E" w:rsidRPr="00567623" w:rsidSect="00957C68">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21" w:rsidRDefault="00CC3721" w:rsidP="00CC05AB">
      <w:pPr>
        <w:spacing w:before="0" w:after="0" w:line="240" w:lineRule="auto"/>
      </w:pPr>
      <w:r>
        <w:separator/>
      </w:r>
    </w:p>
  </w:endnote>
  <w:endnote w:type="continuationSeparator" w:id="0">
    <w:p w:rsidR="00CC3721" w:rsidRDefault="00CC3721"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19" w:rsidRPr="00957C68" w:rsidRDefault="001C2119" w:rsidP="00957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57C68" w:rsidRPr="007410E8" w:rsidTr="00957C68">
      <w:trPr>
        <w:jc w:val="center"/>
      </w:trPr>
      <w:tc>
        <w:tcPr>
          <w:tcW w:w="2604" w:type="pct"/>
          <w:shd w:val="clear" w:color="auto" w:fill="auto"/>
        </w:tcPr>
        <w:p w:rsidR="00957C68" w:rsidRPr="007410E8" w:rsidRDefault="00957C68" w:rsidP="0035025C">
          <w:pPr>
            <w:pStyle w:val="FooterText"/>
            <w:rPr>
              <w:sz w:val="16"/>
              <w:szCs w:val="16"/>
            </w:rPr>
          </w:pPr>
          <w:bookmarkStart w:id="2" w:name="FOOTER_PR_STANDARD"/>
        </w:p>
      </w:tc>
      <w:tc>
        <w:tcPr>
          <w:tcW w:w="1319" w:type="pct"/>
          <w:shd w:val="clear" w:color="auto" w:fill="auto"/>
        </w:tcPr>
        <w:p w:rsidR="00957C68" w:rsidRPr="007410E8" w:rsidRDefault="00957C68" w:rsidP="0035025C">
          <w:pPr>
            <w:pStyle w:val="FooterText"/>
            <w:rPr>
              <w:sz w:val="16"/>
              <w:szCs w:val="16"/>
            </w:rPr>
          </w:pPr>
        </w:p>
      </w:tc>
      <w:tc>
        <w:tcPr>
          <w:tcW w:w="1077" w:type="pct"/>
          <w:shd w:val="clear" w:color="auto" w:fill="auto"/>
        </w:tcPr>
        <w:p w:rsidR="00957C68" w:rsidRPr="007410E8" w:rsidRDefault="00957C68" w:rsidP="0035025C">
          <w:pPr>
            <w:pStyle w:val="FooterText"/>
            <w:jc w:val="right"/>
            <w:rPr>
              <w:sz w:val="16"/>
              <w:szCs w:val="16"/>
            </w:rPr>
          </w:pPr>
        </w:p>
      </w:tc>
    </w:tr>
    <w:tr w:rsidR="00957C68" w:rsidRPr="007410E8" w:rsidTr="00957C68">
      <w:trPr>
        <w:jc w:val="center"/>
      </w:trPr>
      <w:tc>
        <w:tcPr>
          <w:tcW w:w="2604" w:type="pct"/>
          <w:shd w:val="clear" w:color="auto" w:fill="auto"/>
        </w:tcPr>
        <w:p w:rsidR="00957C68" w:rsidRPr="007410E8" w:rsidRDefault="00957C68" w:rsidP="0035025C">
          <w:pPr>
            <w:pStyle w:val="FooterText"/>
            <w:rPr>
              <w:sz w:val="16"/>
            </w:rPr>
          </w:pPr>
          <w:r>
            <w:t>13125/18</w:t>
          </w:r>
          <w:r w:rsidRPr="002511D8">
            <w:t xml:space="preserve"> </w:t>
          </w:r>
        </w:p>
      </w:tc>
      <w:tc>
        <w:tcPr>
          <w:tcW w:w="1319" w:type="pct"/>
          <w:shd w:val="clear" w:color="auto" w:fill="auto"/>
        </w:tcPr>
        <w:p w:rsidR="00957C68" w:rsidRPr="007410E8" w:rsidRDefault="00957C68" w:rsidP="0035025C">
          <w:pPr>
            <w:pStyle w:val="FooterText"/>
            <w:rPr>
              <w:sz w:val="16"/>
            </w:rPr>
          </w:pPr>
        </w:p>
      </w:tc>
      <w:tc>
        <w:tcPr>
          <w:tcW w:w="1077" w:type="pct"/>
          <w:shd w:val="clear" w:color="auto" w:fill="auto"/>
        </w:tcPr>
        <w:p w:rsidR="00957C68" w:rsidRPr="007410E8" w:rsidRDefault="00957C68" w:rsidP="00957C68">
          <w:pPr>
            <w:pStyle w:val="FooterText"/>
            <w:jc w:val="right"/>
            <w:rPr>
              <w:sz w:val="16"/>
            </w:rPr>
          </w:pPr>
          <w:r>
            <w:fldChar w:fldCharType="begin"/>
          </w:r>
          <w:r>
            <w:instrText xml:space="preserve"> PAGE  \* MERGEFORMAT </w:instrText>
          </w:r>
          <w:r>
            <w:fldChar w:fldCharType="separate"/>
          </w:r>
          <w:r>
            <w:rPr>
              <w:noProof/>
            </w:rPr>
            <w:t>3</w:t>
          </w:r>
          <w:r>
            <w:fldChar w:fldCharType="end"/>
          </w:r>
        </w:p>
      </w:tc>
    </w:tr>
    <w:tr w:rsidR="00957C68" w:rsidRPr="007410E8" w:rsidTr="00957C68">
      <w:trPr>
        <w:jc w:val="center"/>
      </w:trPr>
      <w:tc>
        <w:tcPr>
          <w:tcW w:w="2604" w:type="pct"/>
          <w:shd w:val="clear" w:color="auto" w:fill="auto"/>
        </w:tcPr>
        <w:p w:rsidR="00957C68" w:rsidRPr="007410E8" w:rsidRDefault="00957C68" w:rsidP="0035025C">
          <w:pPr>
            <w:pStyle w:val="FooterText"/>
            <w:rPr>
              <w:sz w:val="16"/>
            </w:rPr>
          </w:pPr>
        </w:p>
      </w:tc>
      <w:tc>
        <w:tcPr>
          <w:tcW w:w="1319" w:type="pct"/>
          <w:shd w:val="clear" w:color="auto" w:fill="auto"/>
        </w:tcPr>
        <w:p w:rsidR="00957C68" w:rsidRPr="007410E8" w:rsidRDefault="00957C68" w:rsidP="0035025C">
          <w:pPr>
            <w:pStyle w:val="FooterText"/>
            <w:rPr>
              <w:sz w:val="16"/>
            </w:rPr>
          </w:pPr>
        </w:p>
      </w:tc>
      <w:tc>
        <w:tcPr>
          <w:tcW w:w="1077" w:type="pct"/>
          <w:shd w:val="clear" w:color="auto" w:fill="auto"/>
        </w:tcPr>
        <w:p w:rsidR="00957C68" w:rsidRPr="007410E8" w:rsidRDefault="00957C68" w:rsidP="0035025C">
          <w:pPr>
            <w:pStyle w:val="FooterText"/>
            <w:jc w:val="right"/>
            <w:rPr>
              <w:sz w:val="16"/>
            </w:rPr>
          </w:pPr>
          <w:r>
            <w:rPr>
              <w:b/>
              <w:position w:val="-4"/>
              <w:sz w:val="36"/>
            </w:rPr>
            <w:t>FR</w:t>
          </w:r>
        </w:p>
      </w:tc>
    </w:tr>
    <w:bookmarkEnd w:id="2"/>
  </w:tbl>
  <w:p w:rsidR="00CC05AB" w:rsidRPr="00957C68" w:rsidRDefault="00CC05AB" w:rsidP="00957C6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957C68" w:rsidRPr="009C2FB3" w:rsidTr="00957C68">
      <w:trPr>
        <w:jc w:val="center"/>
      </w:trPr>
      <w:tc>
        <w:tcPr>
          <w:tcW w:w="569" w:type="pct"/>
          <w:shd w:val="clear" w:color="auto" w:fill="auto"/>
        </w:tcPr>
        <w:p w:rsidR="00957C68" w:rsidRPr="009C2FB3" w:rsidRDefault="00957C68" w:rsidP="0035025C">
          <w:pPr>
            <w:pStyle w:val="FooterText"/>
          </w:pPr>
          <w:bookmarkStart w:id="3" w:name="FOOTER_PR_COVERPAGE"/>
        </w:p>
      </w:tc>
      <w:tc>
        <w:tcPr>
          <w:tcW w:w="3760" w:type="pct"/>
          <w:gridSpan w:val="3"/>
          <w:shd w:val="clear" w:color="auto" w:fill="auto"/>
          <w:noWrap/>
        </w:tcPr>
        <w:p w:rsidR="00957C68" w:rsidRPr="00F37CD6" w:rsidRDefault="00957C6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957C68" w:rsidRPr="009C2FB3" w:rsidRDefault="00957C68" w:rsidP="0035025C">
          <w:pPr>
            <w:pStyle w:val="FooterText"/>
          </w:pPr>
        </w:p>
      </w:tc>
    </w:tr>
    <w:tr w:rsidR="00957C68" w:rsidRPr="007410E8" w:rsidTr="00957C68">
      <w:trPr>
        <w:jc w:val="center"/>
      </w:trPr>
      <w:tc>
        <w:tcPr>
          <w:tcW w:w="5000" w:type="pct"/>
          <w:gridSpan w:val="5"/>
          <w:shd w:val="clear" w:color="auto" w:fill="auto"/>
        </w:tcPr>
        <w:p w:rsidR="00957C68" w:rsidRPr="00827A78" w:rsidRDefault="00957C68" w:rsidP="0035025C">
          <w:pPr>
            <w:pStyle w:val="FooterAddressText"/>
          </w:pPr>
        </w:p>
        <w:p w:rsidR="00957C68" w:rsidRPr="007410E8" w:rsidRDefault="00957C68" w:rsidP="0035025C">
          <w:pPr>
            <w:pStyle w:val="FooterAddressText"/>
          </w:pPr>
          <w:r>
            <w:t>Rue de la Loi 175  B – 1048 BRUXELLES  Tél. +32 (0)2 281 6319  Fax +32 (0)2 281 8026</w:t>
          </w:r>
        </w:p>
      </w:tc>
    </w:tr>
    <w:tr w:rsidR="00957C68" w:rsidRPr="007410E8" w:rsidTr="00957C68">
      <w:trPr>
        <w:jc w:val="center"/>
      </w:trPr>
      <w:tc>
        <w:tcPr>
          <w:tcW w:w="5000" w:type="pct"/>
          <w:gridSpan w:val="5"/>
          <w:shd w:val="clear" w:color="auto" w:fill="auto"/>
        </w:tcPr>
        <w:p w:rsidR="00957C68" w:rsidRPr="007410E8" w:rsidRDefault="00957C68" w:rsidP="0035025C">
          <w:pPr>
            <w:pStyle w:val="FooterText"/>
            <w:jc w:val="center"/>
            <w:rPr>
              <w:sz w:val="20"/>
              <w:szCs w:val="20"/>
            </w:rPr>
          </w:pPr>
          <w:hyperlink r:id="rId1" w:history="1">
            <w:r w:rsidRPr="00957C68">
              <w:rPr>
                <w:rStyle w:val="Hyperlink"/>
                <w:sz w:val="20"/>
                <w:szCs w:val="20"/>
              </w:rPr>
              <w:t>press.office@consilium.europa.eu</w:t>
            </w:r>
          </w:hyperlink>
          <w:r w:rsidRPr="007410E8">
            <w:rPr>
              <w:sz w:val="20"/>
              <w:szCs w:val="20"/>
            </w:rPr>
            <w:t xml:space="preserve">  </w:t>
          </w:r>
          <w:hyperlink r:id="rId2" w:history="1">
            <w:r w:rsidRPr="00957C68">
              <w:rPr>
                <w:rStyle w:val="Hyperlink"/>
                <w:sz w:val="20"/>
                <w:szCs w:val="20"/>
              </w:rPr>
              <w:t>http://www.consilium.europa.eu/press</w:t>
            </w:r>
          </w:hyperlink>
        </w:p>
      </w:tc>
    </w:tr>
    <w:tr w:rsidR="00957C68" w:rsidRPr="007410E8" w:rsidTr="00957C68">
      <w:trPr>
        <w:jc w:val="center"/>
      </w:trPr>
      <w:tc>
        <w:tcPr>
          <w:tcW w:w="2602" w:type="pct"/>
          <w:gridSpan w:val="2"/>
          <w:shd w:val="clear" w:color="auto" w:fill="auto"/>
        </w:tcPr>
        <w:p w:rsidR="00957C68" w:rsidRPr="007410E8" w:rsidRDefault="00957C68" w:rsidP="0035025C">
          <w:pPr>
            <w:pStyle w:val="FooterText"/>
            <w:spacing w:before="60"/>
            <w:rPr>
              <w:sz w:val="16"/>
            </w:rPr>
          </w:pPr>
          <w:r>
            <w:t>13125/18</w:t>
          </w:r>
          <w:r w:rsidRPr="002511D8">
            <w:t xml:space="preserve"> </w:t>
          </w:r>
        </w:p>
      </w:tc>
      <w:tc>
        <w:tcPr>
          <w:tcW w:w="1295" w:type="pct"/>
          <w:shd w:val="clear" w:color="auto" w:fill="auto"/>
        </w:tcPr>
        <w:p w:rsidR="00957C68" w:rsidRPr="007410E8" w:rsidRDefault="00957C68" w:rsidP="0035025C">
          <w:pPr>
            <w:pStyle w:val="FooterText"/>
            <w:spacing w:before="120"/>
            <w:rPr>
              <w:sz w:val="16"/>
            </w:rPr>
          </w:pPr>
        </w:p>
      </w:tc>
      <w:tc>
        <w:tcPr>
          <w:tcW w:w="1103" w:type="pct"/>
          <w:gridSpan w:val="2"/>
          <w:shd w:val="clear" w:color="auto" w:fill="auto"/>
        </w:tcPr>
        <w:p w:rsidR="00957C68" w:rsidRPr="007410E8" w:rsidRDefault="00957C68" w:rsidP="00957C68">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957C68" w:rsidRPr="007410E8" w:rsidTr="00957C68">
      <w:trPr>
        <w:jc w:val="center"/>
      </w:trPr>
      <w:tc>
        <w:tcPr>
          <w:tcW w:w="2602" w:type="pct"/>
          <w:gridSpan w:val="2"/>
          <w:shd w:val="clear" w:color="auto" w:fill="auto"/>
        </w:tcPr>
        <w:p w:rsidR="00957C68" w:rsidRPr="007410E8" w:rsidRDefault="00957C68" w:rsidP="0035025C">
          <w:pPr>
            <w:pStyle w:val="FooterText"/>
            <w:rPr>
              <w:sz w:val="16"/>
            </w:rPr>
          </w:pPr>
        </w:p>
      </w:tc>
      <w:tc>
        <w:tcPr>
          <w:tcW w:w="1295" w:type="pct"/>
          <w:shd w:val="clear" w:color="auto" w:fill="auto"/>
        </w:tcPr>
        <w:p w:rsidR="00957C68" w:rsidRPr="007410E8" w:rsidRDefault="00957C68" w:rsidP="0035025C">
          <w:pPr>
            <w:pStyle w:val="FooterText"/>
            <w:rPr>
              <w:sz w:val="16"/>
            </w:rPr>
          </w:pPr>
        </w:p>
      </w:tc>
      <w:tc>
        <w:tcPr>
          <w:tcW w:w="1103" w:type="pct"/>
          <w:gridSpan w:val="2"/>
          <w:shd w:val="clear" w:color="auto" w:fill="auto"/>
        </w:tcPr>
        <w:p w:rsidR="00957C68" w:rsidRPr="007410E8" w:rsidRDefault="00957C68" w:rsidP="0035025C">
          <w:pPr>
            <w:pStyle w:val="FooterText"/>
            <w:jc w:val="right"/>
            <w:rPr>
              <w:sz w:val="16"/>
            </w:rPr>
          </w:pPr>
          <w:r>
            <w:rPr>
              <w:b/>
              <w:position w:val="-4"/>
              <w:sz w:val="36"/>
            </w:rPr>
            <w:t>FR</w:t>
          </w:r>
        </w:p>
      </w:tc>
    </w:tr>
    <w:bookmarkEnd w:id="3"/>
  </w:tbl>
  <w:p w:rsidR="00CC05AB" w:rsidRPr="00957C68" w:rsidRDefault="00CC05AB" w:rsidP="00957C6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57C68" w:rsidRPr="007410E8" w:rsidTr="00957C68">
      <w:trPr>
        <w:jc w:val="center"/>
      </w:trPr>
      <w:tc>
        <w:tcPr>
          <w:tcW w:w="5000" w:type="pct"/>
          <w:gridSpan w:val="3"/>
          <w:shd w:val="clear" w:color="auto" w:fill="auto"/>
        </w:tcPr>
        <w:p w:rsidR="00957C68" w:rsidRPr="007410E8" w:rsidRDefault="00957C6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957C68" w:rsidRPr="007410E8" w:rsidRDefault="00957C6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957C68" w:rsidRPr="007410E8" w:rsidRDefault="00957C6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957C68" w:rsidRPr="007410E8" w:rsidRDefault="00957C68" w:rsidP="0035025C">
          <w:pPr>
            <w:pStyle w:val="FooterText"/>
            <w:tabs>
              <w:tab w:val="left" w:pos="285"/>
              <w:tab w:val="left" w:pos="585"/>
            </w:tabs>
            <w:rPr>
              <w:sz w:val="21"/>
              <w:szCs w:val="21"/>
            </w:rPr>
          </w:pPr>
        </w:p>
      </w:tc>
    </w:tr>
    <w:tr w:rsidR="00957C68" w:rsidRPr="007410E8" w:rsidTr="00957C68">
      <w:trPr>
        <w:jc w:val="center"/>
      </w:trPr>
      <w:tc>
        <w:tcPr>
          <w:tcW w:w="2604" w:type="pct"/>
          <w:shd w:val="clear" w:color="auto" w:fill="auto"/>
        </w:tcPr>
        <w:p w:rsidR="00957C68" w:rsidRPr="007410E8" w:rsidRDefault="00957C68" w:rsidP="0035025C">
          <w:pPr>
            <w:pStyle w:val="FooterText"/>
            <w:rPr>
              <w:sz w:val="16"/>
            </w:rPr>
          </w:pPr>
          <w:r>
            <w:t>13125/18</w:t>
          </w:r>
          <w:r w:rsidRPr="002511D8">
            <w:t xml:space="preserve"> </w:t>
          </w:r>
        </w:p>
      </w:tc>
      <w:tc>
        <w:tcPr>
          <w:tcW w:w="1319" w:type="pct"/>
          <w:shd w:val="clear" w:color="auto" w:fill="auto"/>
        </w:tcPr>
        <w:p w:rsidR="00957C68" w:rsidRPr="007410E8" w:rsidRDefault="00957C68" w:rsidP="0035025C">
          <w:pPr>
            <w:pStyle w:val="FooterText"/>
            <w:rPr>
              <w:sz w:val="16"/>
            </w:rPr>
          </w:pPr>
        </w:p>
      </w:tc>
      <w:tc>
        <w:tcPr>
          <w:tcW w:w="1077" w:type="pct"/>
          <w:shd w:val="clear" w:color="auto" w:fill="auto"/>
        </w:tcPr>
        <w:p w:rsidR="00957C68" w:rsidRPr="007410E8" w:rsidRDefault="00957C68" w:rsidP="00957C68">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957C68" w:rsidRPr="007410E8" w:rsidTr="00957C68">
      <w:trPr>
        <w:jc w:val="center"/>
      </w:trPr>
      <w:tc>
        <w:tcPr>
          <w:tcW w:w="2604" w:type="pct"/>
          <w:shd w:val="clear" w:color="auto" w:fill="auto"/>
        </w:tcPr>
        <w:p w:rsidR="00957C68" w:rsidRPr="007410E8" w:rsidRDefault="00957C68" w:rsidP="0035025C">
          <w:pPr>
            <w:pStyle w:val="FooterText"/>
            <w:rPr>
              <w:sz w:val="16"/>
            </w:rPr>
          </w:pPr>
        </w:p>
      </w:tc>
      <w:tc>
        <w:tcPr>
          <w:tcW w:w="1319" w:type="pct"/>
          <w:shd w:val="clear" w:color="auto" w:fill="auto"/>
        </w:tcPr>
        <w:p w:rsidR="00957C68" w:rsidRPr="007410E8" w:rsidRDefault="00957C68" w:rsidP="0035025C">
          <w:pPr>
            <w:pStyle w:val="FooterText"/>
            <w:rPr>
              <w:sz w:val="16"/>
            </w:rPr>
          </w:pPr>
        </w:p>
      </w:tc>
      <w:tc>
        <w:tcPr>
          <w:tcW w:w="1077" w:type="pct"/>
          <w:shd w:val="clear" w:color="auto" w:fill="auto"/>
        </w:tcPr>
        <w:p w:rsidR="00957C68" w:rsidRPr="007410E8" w:rsidRDefault="00957C68" w:rsidP="0035025C">
          <w:pPr>
            <w:pStyle w:val="FooterText"/>
            <w:jc w:val="right"/>
            <w:rPr>
              <w:sz w:val="16"/>
            </w:rPr>
          </w:pPr>
          <w:r>
            <w:rPr>
              <w:b/>
              <w:position w:val="-4"/>
              <w:sz w:val="36"/>
            </w:rPr>
            <w:t>FR</w:t>
          </w:r>
        </w:p>
      </w:tc>
    </w:tr>
    <w:bookmarkEnd w:id="5"/>
  </w:tbl>
  <w:p w:rsidR="00CC3721" w:rsidRPr="00957C68" w:rsidRDefault="00CC3721" w:rsidP="00957C68">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21" w:rsidRDefault="00CC3721" w:rsidP="00CC05AB">
      <w:pPr>
        <w:spacing w:before="0" w:after="0" w:line="240" w:lineRule="auto"/>
      </w:pPr>
      <w:r>
        <w:separator/>
      </w:r>
    </w:p>
  </w:footnote>
  <w:footnote w:type="continuationSeparator" w:id="0">
    <w:p w:rsidR="00CC3721" w:rsidRDefault="00CC3721"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19" w:rsidRPr="00957C68" w:rsidRDefault="001C2119" w:rsidP="00957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957C68" w:rsidRDefault="00957C68" w:rsidP="00957C6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957C68" w:rsidRDefault="00957C68" w:rsidP="00957C6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57C68" w:rsidRPr="007410E8" w:rsidTr="00957C68">
      <w:trPr>
        <w:jc w:val="center"/>
      </w:trPr>
      <w:tc>
        <w:tcPr>
          <w:tcW w:w="2500" w:type="pct"/>
          <w:shd w:val="clear" w:color="auto" w:fill="auto"/>
        </w:tcPr>
        <w:p w:rsidR="00957C68" w:rsidRPr="007410E8" w:rsidRDefault="00957C68" w:rsidP="0035025C">
          <w:pPr>
            <w:pStyle w:val="HeaderText"/>
            <w:rPr>
              <w:b/>
              <w:i/>
              <w:sz w:val="16"/>
              <w:u w:val="single"/>
            </w:rPr>
          </w:pPr>
          <w:bookmarkStart w:id="4" w:name="HEADER_PRMEET"/>
        </w:p>
      </w:tc>
      <w:tc>
        <w:tcPr>
          <w:tcW w:w="2500" w:type="pct"/>
          <w:shd w:val="clear" w:color="auto" w:fill="auto"/>
        </w:tcPr>
        <w:p w:rsidR="00957C68" w:rsidRPr="007410E8" w:rsidRDefault="00957C68" w:rsidP="00957C68">
          <w:pPr>
            <w:pStyle w:val="HeaderText"/>
            <w:jc w:val="right"/>
            <w:rPr>
              <w:sz w:val="16"/>
            </w:rPr>
          </w:pPr>
          <w:r w:rsidRPr="00957C68">
            <w:t>16 octobre 2018</w:t>
          </w:r>
        </w:p>
      </w:tc>
    </w:tr>
    <w:bookmarkEnd w:id="4"/>
  </w:tbl>
  <w:p w:rsidR="00CC3721" w:rsidRPr="00957C68" w:rsidRDefault="00CC3721" w:rsidP="00957C68">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57C68" w:rsidRPr="007410E8" w:rsidTr="00957C68">
      <w:trPr>
        <w:jc w:val="center"/>
      </w:trPr>
      <w:tc>
        <w:tcPr>
          <w:tcW w:w="2500" w:type="pct"/>
          <w:shd w:val="clear" w:color="auto" w:fill="auto"/>
        </w:tcPr>
        <w:p w:rsidR="00957C68" w:rsidRPr="007410E8" w:rsidRDefault="00957C68" w:rsidP="0035025C">
          <w:pPr>
            <w:pStyle w:val="HeaderText"/>
            <w:rPr>
              <w:b/>
              <w:i/>
              <w:sz w:val="16"/>
              <w:u w:val="single"/>
            </w:rPr>
          </w:pPr>
        </w:p>
      </w:tc>
      <w:tc>
        <w:tcPr>
          <w:tcW w:w="2500" w:type="pct"/>
          <w:shd w:val="clear" w:color="auto" w:fill="auto"/>
        </w:tcPr>
        <w:p w:rsidR="00957C68" w:rsidRPr="007410E8" w:rsidRDefault="00957C68" w:rsidP="00957C68">
          <w:pPr>
            <w:pStyle w:val="HeaderText"/>
            <w:jc w:val="right"/>
            <w:rPr>
              <w:sz w:val="16"/>
            </w:rPr>
          </w:pPr>
          <w:r w:rsidRPr="00957C68">
            <w:t>16 octobre 2018</w:t>
          </w:r>
        </w:p>
      </w:tc>
    </w:tr>
  </w:tbl>
  <w:p w:rsidR="00CC3721" w:rsidRPr="00957C68" w:rsidRDefault="00CC3721" w:rsidP="00957C68">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8F424D0"/>
    <w:multiLevelType w:val="multilevel"/>
    <w:tmpl w:val="48741C5E"/>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2"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5"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6"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7"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9"/>
  </w:num>
  <w:num w:numId="3">
    <w:abstractNumId w:val="12"/>
  </w:num>
  <w:num w:numId="4">
    <w:abstractNumId w:val="11"/>
  </w:num>
  <w:num w:numId="5">
    <w:abstractNumId w:val="16"/>
  </w:num>
  <w:num w:numId="6">
    <w:abstractNumId w:val="4"/>
  </w:num>
  <w:num w:numId="7">
    <w:abstractNumId w:val="0"/>
  </w:num>
  <w:num w:numId="8">
    <w:abstractNumId w:val="17"/>
  </w:num>
  <w:num w:numId="9">
    <w:abstractNumId w:val="5"/>
  </w:num>
  <w:num w:numId="10">
    <w:abstractNumId w:val="2"/>
  </w:num>
  <w:num w:numId="11">
    <w:abstractNumId w:val="1"/>
  </w:num>
  <w:num w:numId="12">
    <w:abstractNumId w:val="15"/>
  </w:num>
  <w:num w:numId="13">
    <w:abstractNumId w:val="14"/>
  </w:num>
  <w:num w:numId="14">
    <w:abstractNumId w:val="7"/>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8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467375091740451020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125&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3&lt;/text&gt;_x000d__x000a_      &lt;text&gt;PR CO 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fédéral autrichien des affaires relatives à l'UE, des arts, de la culture et des médias&quot; name=&quot;Gernot Blümel&quot; text=&quot;Gernot Blümel, Ministre fédéral autrichien des affaires relatives à l'UE, des arts, de la culture et des médias&quot; genderKeyBds=&quot;gend_01&quot; /&gt;_x000d__x000a_    &lt;/presidents&gt;_x000d__x000a_  &lt;/metadata&gt;_x000d__x000a_  &lt;metadata key=&quot;md_MeetingNumber&quot;&gt;_x000d__x000a_    &lt;text&gt;3644&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10-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CC3721"/>
    <w:rsid w:val="000C2605"/>
    <w:rsid w:val="0013170C"/>
    <w:rsid w:val="001928B3"/>
    <w:rsid w:val="001C2119"/>
    <w:rsid w:val="002372EE"/>
    <w:rsid w:val="003D4ABF"/>
    <w:rsid w:val="00417109"/>
    <w:rsid w:val="00511916"/>
    <w:rsid w:val="005236A8"/>
    <w:rsid w:val="00567623"/>
    <w:rsid w:val="00784063"/>
    <w:rsid w:val="007D0D0C"/>
    <w:rsid w:val="008469DD"/>
    <w:rsid w:val="00884B1B"/>
    <w:rsid w:val="00896E19"/>
    <w:rsid w:val="008E54CB"/>
    <w:rsid w:val="00915DCC"/>
    <w:rsid w:val="00957C68"/>
    <w:rsid w:val="00A130A5"/>
    <w:rsid w:val="00AE442A"/>
    <w:rsid w:val="00BB5340"/>
    <w:rsid w:val="00C00661"/>
    <w:rsid w:val="00C102BC"/>
    <w:rsid w:val="00C21127"/>
    <w:rsid w:val="00C31605"/>
    <w:rsid w:val="00CC05AB"/>
    <w:rsid w:val="00CC3721"/>
    <w:rsid w:val="00CF4991"/>
    <w:rsid w:val="00D42241"/>
    <w:rsid w:val="00DB4A83"/>
    <w:rsid w:val="00DE11A8"/>
    <w:rsid w:val="00DE787A"/>
    <w:rsid w:val="00E52E6E"/>
    <w:rsid w:val="00E53F33"/>
    <w:rsid w:val="00E72F0E"/>
    <w:rsid w:val="00E77FCB"/>
    <w:rsid w:val="00EA55AB"/>
    <w:rsid w:val="00EE4DF9"/>
    <w:rsid w:val="00EE7876"/>
    <w:rsid w:val="00EF1903"/>
    <w:rsid w:val="00F335F2"/>
    <w:rsid w:val="00FE5FB8"/>
    <w:rsid w:val="00FF4780"/>
    <w:rsid w:val="00FF5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60DF08A-B650-4950-8AAD-4E16030C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C31605"/>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CC3721"/>
    <w:pPr>
      <w:spacing w:before="0" w:after="440"/>
      <w:ind w:left="-1134" w:right="-1134"/>
    </w:pPr>
    <w:rPr>
      <w:sz w:val="2"/>
    </w:rPr>
  </w:style>
  <w:style w:type="character" w:customStyle="1" w:styleId="TechnicalBlockChar">
    <w:name w:val="Technical Block Char"/>
    <w:basedOn w:val="DefaultParagraphFont"/>
    <w:link w:val="TechnicalBlock"/>
    <w:rsid w:val="00CC3721"/>
    <w:rPr>
      <w:rFonts w:ascii="Times New Roman" w:hAnsi="Times New Roman" w:cs="Times New Roman"/>
      <w:sz w:val="24"/>
    </w:rPr>
  </w:style>
  <w:style w:type="character" w:customStyle="1" w:styleId="HeaderCouncilLargeChar">
    <w:name w:val="Header Council Large Char"/>
    <w:basedOn w:val="TechnicalBlockChar"/>
    <w:link w:val="HeaderCouncilLarge"/>
    <w:rsid w:val="00CC3721"/>
    <w:rPr>
      <w:rFonts w:ascii="Times New Roman" w:hAnsi="Times New Roman" w:cs="Times New Roman"/>
      <w:sz w:val="2"/>
    </w:rPr>
  </w:style>
  <w:style w:type="paragraph" w:customStyle="1" w:styleId="FooterText">
    <w:name w:val="Footer Text"/>
    <w:basedOn w:val="Normal"/>
    <w:rsid w:val="00CC3721"/>
    <w:pPr>
      <w:spacing w:before="0" w:after="0" w:line="240" w:lineRule="auto"/>
    </w:pPr>
    <w:rPr>
      <w:rFonts w:eastAsia="Times New Roman"/>
      <w:szCs w:val="24"/>
    </w:rPr>
  </w:style>
  <w:style w:type="character" w:styleId="PlaceholderText">
    <w:name w:val="Placeholder Text"/>
    <w:basedOn w:val="DefaultParagraphFont"/>
    <w:uiPriority w:val="99"/>
    <w:semiHidden/>
    <w:rsid w:val="00CC3721"/>
    <w:rPr>
      <w:color w:val="808080"/>
    </w:rPr>
  </w:style>
  <w:style w:type="paragraph" w:customStyle="1" w:styleId="FooterAddressText">
    <w:name w:val="Footer Address Text"/>
    <w:basedOn w:val="FooterText"/>
    <w:qFormat/>
    <w:rsid w:val="00CC3721"/>
    <w:pPr>
      <w:jc w:val="center"/>
    </w:pPr>
    <w:rPr>
      <w:spacing w:val="10"/>
      <w:sz w:val="16"/>
      <w:szCs w:val="16"/>
    </w:rPr>
  </w:style>
  <w:style w:type="character" w:styleId="Hyperlink">
    <w:name w:val="Hyperlink"/>
    <w:basedOn w:val="DefaultParagraphFont"/>
    <w:uiPriority w:val="99"/>
    <w:unhideWhenUsed/>
    <w:qFormat/>
    <w:rsid w:val="00CC3721"/>
    <w:rPr>
      <w:color w:val="0000FF" w:themeColor="hyperlink"/>
      <w:u w:val="single"/>
    </w:rPr>
  </w:style>
  <w:style w:type="paragraph" w:customStyle="1" w:styleId="HeaderText">
    <w:name w:val="Header Text"/>
    <w:basedOn w:val="Normal"/>
    <w:rsid w:val="00CC3721"/>
    <w:pPr>
      <w:spacing w:before="0" w:after="0" w:line="240" w:lineRule="auto"/>
    </w:pPr>
    <w:rPr>
      <w:rFonts w:eastAsia="Times New Roman"/>
      <w:szCs w:val="24"/>
    </w:rPr>
  </w:style>
  <w:style w:type="character" w:customStyle="1" w:styleId="PointManualChar">
    <w:name w:val="Point Manual Char"/>
    <w:basedOn w:val="DefaultParagraphFont"/>
    <w:link w:val="PointManual"/>
    <w:locked/>
    <w:rsid w:val="00C00661"/>
  </w:style>
  <w:style w:type="paragraph" w:customStyle="1" w:styleId="PointManual">
    <w:name w:val="Point Manual"/>
    <w:basedOn w:val="Normal"/>
    <w:link w:val="PointManualChar"/>
    <w:rsid w:val="00C00661"/>
    <w:pPr>
      <w:spacing w:before="0" w:after="0" w:line="240" w:lineRule="auto"/>
      <w:ind w:left="567" w:hanging="567"/>
    </w:pPr>
    <w:rPr>
      <w:rFonts w:asciiTheme="minorHAnsi" w:hAnsiTheme="minorHAnsi" w:cstheme="minorBidi"/>
      <w:sz w:val="22"/>
    </w:rPr>
  </w:style>
  <w:style w:type="paragraph" w:customStyle="1" w:styleId="Default">
    <w:name w:val="Default"/>
    <w:basedOn w:val="Normal"/>
    <w:rsid w:val="00C00661"/>
    <w:pPr>
      <w:autoSpaceDE w:val="0"/>
      <w:autoSpaceDN w:val="0"/>
      <w:spacing w:before="0" w:after="0" w:line="240" w:lineRule="auto"/>
    </w:pPr>
    <w:rPr>
      <w:rFonts w:ascii="EUAlbertina" w:hAnsi="EUAlbertina"/>
      <w:color w:val="000000"/>
      <w:szCs w:val="24"/>
    </w:rPr>
  </w:style>
  <w:style w:type="paragraph" w:customStyle="1" w:styleId="Pointabc">
    <w:name w:val="Point abc"/>
    <w:basedOn w:val="Normal"/>
    <w:rsid w:val="00417109"/>
    <w:pPr>
      <w:numPr>
        <w:ilvl w:val="1"/>
        <w:numId w:val="16"/>
      </w:numPr>
      <w:spacing w:after="120" w:line="360" w:lineRule="auto"/>
    </w:pPr>
    <w:rPr>
      <w:rFonts w:eastAsia="Times New Roman"/>
      <w:szCs w:val="24"/>
    </w:rPr>
  </w:style>
  <w:style w:type="paragraph" w:customStyle="1" w:styleId="Pointabc1">
    <w:name w:val="Point abc (1)"/>
    <w:basedOn w:val="Normal"/>
    <w:rsid w:val="00417109"/>
    <w:pPr>
      <w:numPr>
        <w:ilvl w:val="3"/>
        <w:numId w:val="16"/>
      </w:numPr>
      <w:spacing w:after="120" w:line="360" w:lineRule="auto"/>
      <w:outlineLvl w:val="0"/>
    </w:pPr>
    <w:rPr>
      <w:rFonts w:eastAsia="Times New Roman"/>
      <w:szCs w:val="24"/>
    </w:rPr>
  </w:style>
  <w:style w:type="paragraph" w:customStyle="1" w:styleId="Pointabc2">
    <w:name w:val="Point abc (2)"/>
    <w:basedOn w:val="Normal"/>
    <w:rsid w:val="00417109"/>
    <w:pPr>
      <w:numPr>
        <w:ilvl w:val="5"/>
        <w:numId w:val="16"/>
      </w:numPr>
      <w:spacing w:after="120" w:line="360" w:lineRule="auto"/>
      <w:outlineLvl w:val="1"/>
    </w:pPr>
    <w:rPr>
      <w:rFonts w:eastAsia="Times New Roman"/>
      <w:szCs w:val="24"/>
    </w:rPr>
  </w:style>
  <w:style w:type="paragraph" w:customStyle="1" w:styleId="Pointabc3">
    <w:name w:val="Point abc (3)"/>
    <w:basedOn w:val="Normal"/>
    <w:rsid w:val="00417109"/>
    <w:pPr>
      <w:numPr>
        <w:ilvl w:val="7"/>
        <w:numId w:val="16"/>
      </w:numPr>
      <w:spacing w:after="120" w:line="360" w:lineRule="auto"/>
      <w:outlineLvl w:val="2"/>
    </w:pPr>
    <w:rPr>
      <w:rFonts w:eastAsia="Times New Roman"/>
      <w:szCs w:val="24"/>
    </w:rPr>
  </w:style>
  <w:style w:type="paragraph" w:customStyle="1" w:styleId="Pointabc4">
    <w:name w:val="Point abc (4)"/>
    <w:basedOn w:val="Normal"/>
    <w:rsid w:val="00417109"/>
    <w:pPr>
      <w:numPr>
        <w:ilvl w:val="8"/>
        <w:numId w:val="16"/>
      </w:numPr>
      <w:spacing w:after="120" w:line="360" w:lineRule="auto"/>
      <w:outlineLvl w:val="3"/>
    </w:pPr>
    <w:rPr>
      <w:rFonts w:eastAsia="Times New Roman"/>
      <w:szCs w:val="24"/>
    </w:rPr>
  </w:style>
  <w:style w:type="paragraph" w:customStyle="1" w:styleId="Point123">
    <w:name w:val="Point 123"/>
    <w:basedOn w:val="Normal"/>
    <w:rsid w:val="00417109"/>
    <w:pPr>
      <w:numPr>
        <w:numId w:val="16"/>
      </w:numPr>
      <w:spacing w:after="120" w:line="360" w:lineRule="auto"/>
    </w:pPr>
    <w:rPr>
      <w:rFonts w:eastAsia="Times New Roman"/>
      <w:szCs w:val="24"/>
    </w:rPr>
  </w:style>
  <w:style w:type="paragraph" w:customStyle="1" w:styleId="Point1231">
    <w:name w:val="Point 123 (1)"/>
    <w:basedOn w:val="Normal"/>
    <w:rsid w:val="00417109"/>
    <w:pPr>
      <w:numPr>
        <w:ilvl w:val="2"/>
        <w:numId w:val="16"/>
      </w:numPr>
      <w:spacing w:after="120" w:line="360" w:lineRule="auto"/>
      <w:outlineLvl w:val="0"/>
    </w:pPr>
    <w:rPr>
      <w:rFonts w:eastAsia="Times New Roman"/>
      <w:szCs w:val="24"/>
    </w:rPr>
  </w:style>
  <w:style w:type="paragraph" w:customStyle="1" w:styleId="Point1232">
    <w:name w:val="Point 123 (2)"/>
    <w:basedOn w:val="Normal"/>
    <w:rsid w:val="00417109"/>
    <w:pPr>
      <w:numPr>
        <w:ilvl w:val="4"/>
        <w:numId w:val="16"/>
      </w:numPr>
      <w:spacing w:after="120" w:line="360" w:lineRule="auto"/>
      <w:outlineLvl w:val="1"/>
    </w:pPr>
    <w:rPr>
      <w:rFonts w:eastAsia="Times New Roman"/>
      <w:szCs w:val="24"/>
    </w:rPr>
  </w:style>
  <w:style w:type="paragraph" w:customStyle="1" w:styleId="Point1233">
    <w:name w:val="Point 123 (3)"/>
    <w:basedOn w:val="Normal"/>
    <w:rsid w:val="00417109"/>
    <w:pPr>
      <w:numPr>
        <w:ilvl w:val="6"/>
        <w:numId w:val="16"/>
      </w:numPr>
      <w:spacing w:after="120" w:line="360" w:lineRule="auto"/>
      <w:outlineLvl w:val="2"/>
    </w:pPr>
    <w:rPr>
      <w:rFonts w:eastAsia="Times New Roman"/>
      <w:szCs w:val="24"/>
    </w:rPr>
  </w:style>
  <w:style w:type="paragraph" w:styleId="BalloonText">
    <w:name w:val="Balloon Text"/>
    <w:basedOn w:val="Normal"/>
    <w:link w:val="BalloonTextChar"/>
    <w:uiPriority w:val="99"/>
    <w:semiHidden/>
    <w:unhideWhenUsed/>
    <w:rsid w:val="00FF47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0"/>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13047-2018-INIT/fr/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12266-2018-REV-1/fr/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eca.europa.eu/Lists/ECADocuments/SR18_11/SR_SCO_F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data.consilium.europa.eu/doc/document/ST-12180-2018-INIT/fr/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4</TotalTime>
  <Pages>6</Pages>
  <Words>752</Words>
  <Characters>4185</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BOUCHER Jean-Marc</cp:lastModifiedBy>
  <cp:revision>7</cp:revision>
  <cp:lastPrinted>2018-11-07T14:31:00Z</cp:lastPrinted>
  <dcterms:created xsi:type="dcterms:W3CDTF">2018-11-08T11:10:00Z</dcterms:created>
  <dcterms:modified xsi:type="dcterms:W3CDTF">2018-11-08T11:17:00Z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4.2.2, Build 20181002</vt:lpwstr>
  </property>
  <property fmtid="{D5CDD505-2E9C-101B-9397-08002B2CF9AE}" pid="4" name="Last edited using">
    <vt:lpwstr>DocuWrite 4.2.2, Build 20181002</vt:lpwstr>
  </property>
</Properties>
</file>