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C2AC88-9C00-4B51-A5A2-DACE382F8415" style="width:450.75pt;height:348.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numPr>
          <w:ilvl w:val="0"/>
          <w:numId w:val="1"/>
        </w:numPr>
        <w:contextualSpacing/>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Изпълнение на нашите обещания и подготовка за бъдещето</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Предстоящите месеци ще бъдат от решаващо значение за нашия Европейски съюз. През май догодина европейците ще гласуват на изборите за Европейски парламент. Както подчерта председателят на Комисията в своята реч за състоянието на Съюза на 12 септември 2018 г., техните решения ще бъдат отражение на вярата им в способността на Европейския съюз да намира начини за преодоляване на предизвикателствата, които не могат да бъдат преодолени самостоятелно от нито една от нашите държави членки. </w:t>
      </w:r>
    </w:p>
    <w:p>
      <w:pPr>
        <w:jc w:val="both"/>
        <w:rPr>
          <w:rFonts w:ascii="Times New Roman" w:hAnsi="Times New Roman" w:cs="Times New Roman"/>
          <w:noProof/>
          <w:sz w:val="24"/>
          <w:szCs w:val="24"/>
        </w:rPr>
      </w:pPr>
      <w:r>
        <w:rPr>
          <w:rFonts w:ascii="Times New Roman" w:hAnsi="Times New Roman"/>
          <w:noProof/>
          <w:sz w:val="24"/>
        </w:rPr>
        <w:t xml:space="preserve">Предизвикателства като това да се осигури възобновяването на икономическия растеж на Европа действително са от полза за всички, а това означава да се инвестира в работните места на бъдещето и да се направи така, че преходът към цифрови технологии и нисковъглеродна икономика да се превърне във възможност. Предизвикателства, свързани с миграцията, които дори и да са намалели значително в сравнение с кризата от 2015—2016 г., ще останат още известно време и ще се нуждаят от устойчиви решения на европейско равнище. Предизвикателства, пред които са изправени нашите демократични общества, нашите ценности и нашата сигурност и които произтичат от терористични и кибератаки и все по-често са резултат от кампании за дезинформация. Предизвикателства, произтичащи от все по-нестабилната обстановка в световен мащаб, определяна от демографското положение, конкуренцията по отношение на ресурсите и изменението на климата, които изискват да се положат съвместни усилия с цел постигане на устойчивост, докато някои поставят под въпрос своя ангажимент към институциите и правилата, оформили световния ред за добро през последните 50 години.  </w:t>
      </w:r>
    </w:p>
    <w:p>
      <w:pPr>
        <w:jc w:val="both"/>
        <w:rPr>
          <w:rFonts w:ascii="Times New Roman" w:hAnsi="Times New Roman" w:cs="Times New Roman"/>
          <w:noProof/>
          <w:sz w:val="24"/>
          <w:szCs w:val="24"/>
        </w:rPr>
      </w:pPr>
      <w:r>
        <w:rPr>
          <w:rFonts w:ascii="Times New Roman" w:hAnsi="Times New Roman"/>
          <w:noProof/>
          <w:sz w:val="24"/>
        </w:rPr>
        <w:t xml:space="preserve">Повече от всякога Европа трябва да покаже, че нашият Съюз е обединен, силен и демократичен и че само заедно можем да намерим решения за преодоляване на тези предизвикателства и по този начин да осигурим закрила, възможности и защита на нашите граждани. </w:t>
      </w:r>
    </w:p>
    <w:p>
      <w:pPr>
        <w:jc w:val="both"/>
        <w:rPr>
          <w:rFonts w:ascii="Times New Roman" w:hAnsi="Times New Roman" w:cs="Times New Roman"/>
          <w:noProof/>
          <w:sz w:val="24"/>
          <w:szCs w:val="24"/>
        </w:rPr>
      </w:pPr>
      <w:r>
        <w:rPr>
          <w:rFonts w:ascii="Times New Roman" w:hAnsi="Times New Roman"/>
          <w:noProof/>
          <w:sz w:val="24"/>
        </w:rPr>
        <w:t>В годишните си работни програми от началото на своя мандат настоящата Комисия е съсредоточена върху най-големите предизвикателства, по отношение на които смятаме, че действията на европейско равнище могат да бъдат от полза. С инициативите, представени заедно с речта за състоянието на Съюза, ние вече внесохме всички законодателни предложения, необходими за постигането на положителна промяна по десетте приоритета на Европейската комисия за периода 2014—2019 г. Заедно с Европейския парламент и Съвета постигнахме съгласие по почти половината от тези предложения, други 20 % са в напреднал етап от законодателния процес. Сега останалата част от предложенията, включително всички приоритетни предложения, набелязани в съвместните декларации, трябва да се превърнат приоритетно в законодателство, което след това да се приложи ефективно. По време на диалога, който Комисията проведе с Европейския парламент и Съвета при подготовката на настоящата работна програма, беше потвърдено, че е налице общ ангажимент за поддържане и допълнително засилване на динамиката на този процес. Сега е моментът да покажем, че заедно можем да постигнем тези цели.</w:t>
      </w:r>
    </w:p>
    <w:p>
      <w:pPr>
        <w:jc w:val="both"/>
        <w:rPr>
          <w:rFonts w:ascii="Times New Roman" w:hAnsi="Times New Roman" w:cs="Times New Roman"/>
          <w:noProof/>
          <w:sz w:val="24"/>
          <w:szCs w:val="24"/>
        </w:rPr>
      </w:pPr>
      <w:r>
        <w:rPr>
          <w:rFonts w:ascii="Times New Roman" w:hAnsi="Times New Roman"/>
          <w:noProof/>
          <w:sz w:val="24"/>
        </w:rPr>
        <w:t xml:space="preserve">За да може вниманието да се задържи върху вече внесените предложения, в тазгодишната работна програма Комисията представя само ограничен брой нови инициативи, които наред с инициативите, представени заедно с речта за състоянието на Съюза, са от ключово значение за цялостното изпълнение на 10-те приоритета. Тези инициативи са насочени към неразрешени предизвикателства, които изискват колективни и решителни действия: приключване на работата в областта на миграцията; укрепване на икономическия и паричен съюз; справяне с нарастващото напрежение в световната търговска система; справяне с продължаващите предизвикателства в някои държави членки, свързани с принципите на правовата държава; както и постигане на споразумение с Обединеното кралство във връзка с оттеглянето му от Съюза. Комисията ще обърне също така внимание на прилагането на приетото законодателство и на оценяването на съществуващите достижения на правото с оглед на подготовката за бъдещето. Предлагаме също така оттегляне или отмяна на редица неактуални предложения и закони. </w:t>
      </w:r>
    </w:p>
    <w:p>
      <w:pPr>
        <w:spacing w:after="120"/>
        <w:jc w:val="both"/>
        <w:rPr>
          <w:rFonts w:ascii="Times New Roman" w:hAnsi="Times New Roman" w:cs="Times New Roman"/>
          <w:noProof/>
          <w:sz w:val="24"/>
          <w:szCs w:val="24"/>
        </w:rPr>
      </w:pPr>
      <w:r>
        <w:rPr>
          <w:rFonts w:ascii="Times New Roman" w:hAnsi="Times New Roman"/>
          <w:noProof/>
          <w:sz w:val="24"/>
        </w:rPr>
        <w:t xml:space="preserve">Накрая, настоящата работна програма доразвива Пътната карта до Сибиу, която получи силна подкрепа в Европейския парламент и беше включена в програмата на лидерите. Срещата на върха в Сибиу ще се проведе в Деня на Европа на 9 май 2019 г., шест седмици след Брексит и две седмици преди изборите за Европейски парламент. Това ще бъде решаващ момент, в който ЕС от 27 държави членки да определи бъдещето си за 2025 г. Във връзка с това е важно преди Сибиу да бъде постигнато политическо споразумение по предложението на Комисията за опростена и гъвкава бъдеща бюджетна рамка. Освен това през следващите месеци Комисията ще представи поредица от ориентирани към бъдещето данни за подготовка на срещата на върха, така че лидерите на ЕС да осигурят подновяване на доверието в бъдещето на нашия Съюз от 27 държави членки.  </w:t>
      </w:r>
    </w:p>
    <w:p>
      <w:pPr>
        <w:spacing w:after="120"/>
        <w:jc w:val="both"/>
        <w:rPr>
          <w:rFonts w:ascii="Times New Roman" w:hAnsi="Times New Roman" w:cs="Times New Roman"/>
          <w:b/>
          <w:noProof/>
          <w:sz w:val="24"/>
          <w:szCs w:val="24"/>
        </w:rPr>
      </w:pPr>
    </w:p>
    <w:p>
      <w:pPr>
        <w:numPr>
          <w:ilvl w:val="0"/>
          <w:numId w:val="1"/>
        </w:numPr>
        <w:contextualSpacing/>
        <w:rPr>
          <w:rFonts w:ascii="Times New Roman" w:hAnsi="Times New Roman" w:cs="Times New Roman"/>
          <w:b/>
          <w:noProof/>
          <w:sz w:val="24"/>
          <w:szCs w:val="24"/>
        </w:rPr>
      </w:pPr>
      <w:r>
        <w:rPr>
          <w:rFonts w:ascii="Times New Roman" w:hAnsi="Times New Roman"/>
          <w:b/>
          <w:noProof/>
          <w:sz w:val="24"/>
        </w:rPr>
        <w:t>Цялостно изпълнение на 10-те приоритета на Комисията „Юнкер“ преди изборите за Европейски парламент</w:t>
      </w:r>
      <w:r>
        <w:rPr>
          <w:noProof/>
        </w:rPr>
        <w:tab/>
      </w:r>
    </w:p>
    <w:p>
      <w:pPr>
        <w:ind w:left="1080"/>
        <w:contextualSpacing/>
        <w:rPr>
          <w:rFonts w:ascii="Times New Roman" w:hAnsi="Times New Roman" w:cs="Times New Roman"/>
          <w:b/>
          <w:noProof/>
          <w:sz w:val="24"/>
          <w:szCs w:val="24"/>
        </w:rPr>
      </w:pPr>
    </w:p>
    <w:p>
      <w:pPr>
        <w:tabs>
          <w:tab w:val="left" w:pos="5652"/>
        </w:tabs>
        <w:rPr>
          <w:rFonts w:ascii="Times New Roman" w:hAnsi="Times New Roman" w:cs="Times New Roman"/>
          <w:noProof/>
          <w:sz w:val="24"/>
          <w:szCs w:val="24"/>
        </w:rPr>
      </w:pPr>
      <w:r>
        <w:rPr>
          <w:rFonts w:ascii="Times New Roman" w:hAnsi="Times New Roman"/>
          <w:i/>
          <w:noProof/>
          <w:sz w:val="24"/>
        </w:rPr>
        <w:t>Нови стимули за работните места, растежа и инвестициите</w:t>
      </w:r>
    </w:p>
    <w:p>
      <w:pPr>
        <w:tabs>
          <w:tab w:val="left" w:pos="5652"/>
        </w:tabs>
        <w:jc w:val="both"/>
        <w:rPr>
          <w:rFonts w:ascii="Times New Roman" w:hAnsi="Times New Roman" w:cs="Times New Roman"/>
          <w:b/>
          <w:noProof/>
          <w:sz w:val="24"/>
          <w:szCs w:val="24"/>
        </w:rPr>
      </w:pPr>
      <w:r>
        <w:rPr>
          <w:rFonts w:ascii="Times New Roman" w:hAnsi="Times New Roman"/>
          <w:noProof/>
          <w:sz w:val="24"/>
        </w:rPr>
        <w:t>Икономиката на Европа функционира добре. През 2017 г. растежът достигна най-високата си стойност за последните десет години. Заетостта и инвестициите са отново на равнищата отпреди кризата, а състоянието на публичните финанси се подобри значително. Въпреки това икономическото, социалното и фискалното положение е различно в отделните държави членки. Предвид променливите икономически условия в световен мащаб трябва да използваме сегашната динамика, за да продължим да насърчаваме политики, които ни позволяват да се възползваме от новите икономически възможности и които подготвят икономиката да устоява на бъдещите предизвикателства, пред които ще бъдем изправени.</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Това означава да продължим да инвестираме в реформите, необходими за придържането на Съюза към стабилен и устойчив растеж. Съвременните, справедливи и балансирани предложения на Комисията за следващата многогодишна финансова рамка на Съюза от 27 държави членки ще подкрепят изпълнението на общите цели на Съюза за следващото десетилетие. Те са съсредоточени върху области, за които в Братислава и Рим лидерите на ЕС се съгласиха, че Съюзът ще постигне най-добри резултати. Благодарение на тях ще можем да се заемем със сериозни предизвикателства като безработицата сред младите хора, миграцията, сигурността, технологичната и цифровата трансформация, както и прехода към по-устойчива, нисковъглеродна икономика. На срещата на върха в Сибиу следва да се потвърди политическото споразумение за бъдещия бюджет. Това ще покаже, че Съюзът от 27 държави членки е обединен, има ясна концепция за посока на развитие и е готов и способен да направлява съдбата си и да постига резултати в полза на своите граждани. </w:t>
      </w:r>
    </w:p>
    <w:p>
      <w:pPr>
        <w:jc w:val="both"/>
        <w:rPr>
          <w:rFonts w:ascii="Times New Roman" w:eastAsia="Times New Roman" w:hAnsi="Times New Roman" w:cs="Times New Roman"/>
          <w:noProof/>
          <w:sz w:val="24"/>
          <w:szCs w:val="24"/>
        </w:rPr>
      </w:pPr>
      <w:r>
        <w:rPr>
          <w:rFonts w:ascii="Times New Roman" w:hAnsi="Times New Roman"/>
          <w:noProof/>
          <w:sz w:val="24"/>
        </w:rPr>
        <w:t>Публичните средства са от значение за стимулирането на точния вид инвестиции, но в крайна сметка предприятията са тези, които създават работни места и растеж. Ето защо трябва да продължим да мобилизираме наличните ресурси. По линия на Плана за инвестиции за Европа (плана „Юнкер“) вече са направени допълнителни инвестиции в размер на 344 милиарда евро, като по този начин първоначалната му цел от 315 милиарда евро беше надмината.Очаква се той да доведе до създаването на 1,4 милиона работни места и да увеличи брутния вътрешен продукт на ЕС с 1,3 % до 2020 г. Планът „Юнкер“ беше укрепен и разширен, за да се мобилизират близо 500 милиарда евро допълнителни инвестиции до края на 2020 г. Комисията ще направи преглед на постигнатия напредък и ще определи нови начини за стимулиране на инвестициите, включително в рамките на бъдещата програма InvestEU.</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Трябва също така да постигнем съгласие по оставащите предложения за осъществяване на прехода към кръгова икономика, която подкрепя иновациите, работните места и растежа и насърчава устойчивото използване на нашите оскъдни ресурси. Необходимо е да се постигне бързо съгласие по предложението относно пластмасите за еднократна употреба, за да се намали количеството на вредните пластмаси в нашите океани и морета, както и да се стимулира активно търсенето на устойчиви и новаторски алтернативи от страна на предприятията. Това ще стимулира европейските иновации и ще даде на европейските дружества технологично предимство пред техните конкуренти в световен мащаб, като по този начин ще се насърчат бъдещият устойчив растеж и работни места. </w:t>
      </w:r>
    </w:p>
    <w:p>
      <w:pPr>
        <w:tabs>
          <w:tab w:val="left" w:pos="5652"/>
        </w:tabs>
        <w:jc w:val="both"/>
        <w:rPr>
          <w:rFonts w:ascii="Times New Roman" w:hAnsi="Times New Roman" w:cs="Times New Roman"/>
          <w:i/>
          <w:noProof/>
          <w:sz w:val="24"/>
          <w:szCs w:val="24"/>
        </w:rPr>
      </w:pPr>
      <w:r>
        <w:rPr>
          <w:rFonts w:ascii="Times New Roman" w:hAnsi="Times New Roman"/>
          <w:i/>
          <w:noProof/>
          <w:sz w:val="24"/>
        </w:rPr>
        <w:t>Свързан цифров единен пазар</w:t>
      </w:r>
    </w:p>
    <w:p>
      <w:pPr>
        <w:tabs>
          <w:tab w:val="left" w:pos="5652"/>
        </w:tabs>
        <w:jc w:val="both"/>
        <w:rPr>
          <w:rFonts w:ascii="Times New Roman" w:hAnsi="Times New Roman" w:cs="Times New Roman"/>
          <w:noProof/>
          <w:sz w:val="24"/>
          <w:szCs w:val="24"/>
        </w:rPr>
      </w:pPr>
      <w:r>
        <w:rPr>
          <w:rFonts w:ascii="Times New Roman" w:hAnsi="Times New Roman"/>
          <w:noProof/>
          <w:sz w:val="24"/>
        </w:rPr>
        <w:t>Европейците вече се възползват от цифровия единен пазар: таксите за роуминг са премахнати, гражданите вече разполагат с достъп до абонаментите си за филми, спортни програми, музика, видео игри и електронни книги навсякъде в ЕС, а от декември тази година ще могат да пазаруват онлайн, без да бъдат дискриминирани неоснователно единствено заради мястото, на което живеят.</w:t>
      </w:r>
    </w:p>
    <w:p>
      <w:pPr>
        <w:tabs>
          <w:tab w:val="left" w:pos="5652"/>
        </w:tabs>
        <w:jc w:val="both"/>
        <w:rPr>
          <w:rFonts w:ascii="Times New Roman" w:hAnsi="Times New Roman" w:cs="Times New Roman"/>
          <w:noProof/>
          <w:sz w:val="24"/>
          <w:szCs w:val="24"/>
        </w:rPr>
      </w:pPr>
      <w:r>
        <w:rPr>
          <w:rFonts w:ascii="Times New Roman" w:hAnsi="Times New Roman"/>
          <w:noProof/>
          <w:sz w:val="24"/>
        </w:rPr>
        <w:t>От 30-те законодателни инициативи, които Комисията е представила за цифровия единен пазар, са приети 18 законодателни акта. Сега е изключително важно да приключи работата по оставащите предложения, в т.ч. относно авторските права, правото на неприкосновеност на личния живот и договорното право. Важно е да се създаде Европейският център за промишлени, технологични и изследователски експертни познания в областта на киберсигурността заедно с Мрежата от национални координационни центрове, за да може ЕС да запази и да разгърне необходимия за осигуряване на нашия цифров единен пазар технологичен и промишлен капацитет в областта на киберсигурността.</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Ще продължим работата по нововъзникналото предизвикателство, свързано с изкуствения интелект, като осигурим възможност за координирани действия в целия Европейския съюз и осъществим различните етапи, определени по-рано тази година. Комисията и върховният представител ще представят също така нов съвместен план за действие за справяне с широкото разпространение на онлайн дезинформацията в Европа, която подкопава доверието на европейците в демократичните процеси и институции, както и в нашите независими и свободни медии. Изключително важно е този въпрос да бъде решен преди изборите за Европейски парламент следващата година. </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Ще изготвим и препоръка за установяване на формат за обмен на европейски електронни здравни досиета. Това ще улесни трансграничния обмен на данни на пациенти, ще бъде от полза за пациентите и доставчиците на здравно обслужване и ще помогне за насърчаване на напредъка в медицината чрез цифровизация на услугите в областта на здравеопазването. В областта на общественото здравеопазване ще представим също цялостна рамка за веществата, нарушаващи функциите на ендокринната система. </w:t>
      </w:r>
    </w:p>
    <w:p>
      <w:pPr>
        <w:tabs>
          <w:tab w:val="left" w:pos="5652"/>
        </w:tabs>
        <w:rPr>
          <w:rFonts w:ascii="Times New Roman" w:hAnsi="Times New Roman" w:cs="Times New Roman"/>
          <w:i/>
          <w:noProof/>
          <w:sz w:val="24"/>
          <w:szCs w:val="24"/>
        </w:rPr>
      </w:pPr>
      <w:r>
        <w:rPr>
          <w:rFonts w:ascii="Times New Roman" w:hAnsi="Times New Roman"/>
          <w:i/>
          <w:noProof/>
          <w:sz w:val="24"/>
        </w:rPr>
        <w:t>Устойчив енергиен съюз с ориентирана към бъдещето политика по въпросите на изменението на климата</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През последните четири години ЕС инвестира в нашия енергиен съюз с цел насърчаване на устойчивите, независими и сигурни доставки за гражданите. Застанахме начело на световната борба с изменението на климата и сме единствената голяма икономика, която приема законодателство за намаляване на емисиите на парникови газове с поне 40 % до 2030 г. в съответствие с Парижкото споразумение. </w:t>
      </w:r>
    </w:p>
    <w:p>
      <w:pPr>
        <w:tabs>
          <w:tab w:val="left" w:pos="5652"/>
        </w:tabs>
        <w:jc w:val="both"/>
        <w:rPr>
          <w:rFonts w:ascii="Times New Roman" w:hAnsi="Times New Roman" w:cs="Times New Roman"/>
          <w:noProof/>
          <w:sz w:val="24"/>
          <w:szCs w:val="24"/>
        </w:rPr>
      </w:pPr>
      <w:r>
        <w:rPr>
          <w:rFonts w:ascii="Times New Roman" w:hAnsi="Times New Roman"/>
          <w:noProof/>
          <w:sz w:val="24"/>
        </w:rPr>
        <w:t>Трябва да продължим да работим за осигуряването на съгласие от страна на съзаконодателите по оставащите предложения в пакета „Чиста енергия за всички европейци“. За да се подобри функционирането на вътрешния енергиен пазар на ЕС и да се засили солидарността между държавите членки, е от ключово значение също така съзаконодателите да договорят общи правила за газопроводите, които навлизат на европейския пазар на газ и да финализират новото законодателство относно пазарите на електроенергия. Нуждаем се също така от съгласие по предложенията на Комисията в рамките на пакетите за мобилност „Европа в движение“, за да се осигури своевременното изпълнение на програмата ни за безопасна, чиста и свързана мобилност, както и по предложенията на Комисията в областта на устойчивото финансиране за мобилизиране на частния капитал, необходим за подкрепа на програмата на ЕС в областта на климата и устойчивото развитие.</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Навременното приемане на тези мерки ще гарантира, че са налице помощните инструменти и правната рамка на политиката на ЕС в областта на климата за 2030 г. Взети заедно, тези политики в областта на климата и енергетиката ще доведат до общо намаление на емисиите на парникови газове от около 45 % до 2030 г., като по този начин ще бъде надхвърлен ангажиментът на ЕС в рамките на Парижкото споразумение за намаляване на емисиите с поне 40 % до 2030 г. в сравнение с 1990 г. Благодарение на тях ще поемем по пътя за постигане на планираното намаление на емисиите от около 60 % до 2050 г. Това обаче не е достатъчно, за да може ЕС да допринесе за целите на Парижкото споразумение във връзка с температурата. Последният специален доклад на Междуправителствения комитет по изменение на климата потвърждава недвусмислено отрицателните въздействия от изменението на климата и във връзка с това Комисията ще предложи стратегия на ЕС за дългосрочно намаляване на емисиите на парникови газове преди Конференцията по въпросите на изменението на климата в Катовице през декември 2018 г. Също така ще докладваме за състоянието на енергийния съюз, както и за постигнатия напредък за насърчаване на капацитета на Европа да изпълнява водеща роля в сектора на акумулаторните батерии. </w:t>
      </w:r>
    </w:p>
    <w:p>
      <w:pPr>
        <w:tabs>
          <w:tab w:val="left" w:pos="5652"/>
        </w:tabs>
        <w:rPr>
          <w:rFonts w:ascii="Times New Roman" w:hAnsi="Times New Roman" w:cs="Times New Roman"/>
          <w:noProof/>
          <w:sz w:val="24"/>
          <w:szCs w:val="24"/>
        </w:rPr>
      </w:pPr>
      <w:r>
        <w:rPr>
          <w:rFonts w:ascii="Times New Roman" w:hAnsi="Times New Roman"/>
          <w:i/>
          <w:noProof/>
          <w:sz w:val="24"/>
        </w:rPr>
        <w:t>По-задълбочен и по-справедлив вътрешен пазар със засилена промишлена база</w:t>
      </w:r>
    </w:p>
    <w:p>
      <w:pPr>
        <w:jc w:val="both"/>
        <w:rPr>
          <w:rFonts w:ascii="Times New Roman" w:hAnsi="Times New Roman" w:cs="Times New Roman"/>
          <w:noProof/>
          <w:sz w:val="24"/>
          <w:szCs w:val="24"/>
          <w:highlight w:val="yellow"/>
        </w:rPr>
      </w:pPr>
      <w:r>
        <w:rPr>
          <w:rFonts w:ascii="Times New Roman" w:hAnsi="Times New Roman"/>
          <w:noProof/>
          <w:sz w:val="24"/>
        </w:rPr>
        <w:t>През 2018 г. се отбелязва 25-ата годишнина на единния пазар. Единният пазар е уникален по рода си със своя дял от една пета от световната икономика. Той е най-голямото предимство на Европа за генериране на икономически растеж и подпомагане на европейските предприятия да процъфтяват, да въвеждат иновации и да създават работни места. Нашата колективна тежест ни позволява да определяме успешно стандартите и да служим за ориентир в световен мащаб по въпроси като защитата на личните данни, големите информационни масиви, изкуствения интелект и автоматизацията и по този начин да изнасяме нашите ценности и да определяме облика на световната икономика.</w:t>
      </w:r>
    </w:p>
    <w:p>
      <w:pPr>
        <w:jc w:val="both"/>
        <w:rPr>
          <w:rFonts w:ascii="Times New Roman" w:eastAsia="Times New Roman" w:hAnsi="Times New Roman" w:cs="Times New Roman"/>
          <w:noProof/>
          <w:sz w:val="24"/>
          <w:szCs w:val="24"/>
        </w:rPr>
      </w:pPr>
      <w:r>
        <w:rPr>
          <w:rFonts w:ascii="Times New Roman" w:hAnsi="Times New Roman"/>
          <w:noProof/>
          <w:sz w:val="24"/>
        </w:rPr>
        <w:t>Сега е необходимо да изпълним обещанието си да се възползваме максимално от потенциала на единния пазар във всичките му измерения. От съществено значение е да бъде постигнато съгласие по висящите предложения в рамите на пакетите за стоките и услугите, за да се осигурят безопасни продукти и да се засили доверието в единния пазар. Трябва да увеличим усилията си за постигане на съгласие по обща консолидирана основа за облагане с корпоративен данък и по предложенията за справедливо и ефикасно данъчно облагане на цифровата икономика, позволяващо всички дружества — и малки, и големи — да заплащат своя справедлив дял от данъците там, където са реализират техните печалби. Време е също така да се постигне съгласие за справедливи и ефикасни предложения за ДДС, за да се опрости системата, особено за малките предприятия, и да се защити от измами, както и за да се модернизира системата за определяне на намалени ставки на ДДС. Следва да бъде постигнато съгласие и по предложенията в областта на дружественото право, за да се гарантира, че не се злоупотребява с правото на дружествата да се местят и развиват отвъд националните граници с цел укриване на данъци или подкопаване на правата на работниците. Следва също така незабавно да бъде постигнато съгласие по законодателните предложения за нов търговски механизъм за потребителите. Благодарение на него ще се модернизира и опрости законодателството за защита на потребителите и ще се въведе по-голямо индивидуално обезщетение чрез представителни искове.</w:t>
      </w:r>
    </w:p>
    <w:p>
      <w:pPr>
        <w:jc w:val="both"/>
        <w:rPr>
          <w:rFonts w:ascii="Times New Roman" w:hAnsi="Times New Roman" w:cs="Times New Roman"/>
          <w:noProof/>
          <w:sz w:val="24"/>
          <w:szCs w:val="24"/>
        </w:rPr>
      </w:pPr>
      <w:r>
        <w:rPr>
          <w:rFonts w:ascii="Times New Roman" w:hAnsi="Times New Roman"/>
          <w:noProof/>
          <w:sz w:val="24"/>
        </w:rPr>
        <w:t>Функциониращият пълноценно съюз на капиталовите пазари със силно развити и ликвидни пазари е от решаващо значение за финансовата стабилност, за подкрепата на единния пазар и за диверсификацията на източниците на финансиране за европейските предприятия, включително за по-малките дружества. Крайно време е да се постигне съгласие по предложенията за общоевропейския продукт за лично пенсионно осигуряване, реформата на европейската пазарна инфраструктура, подобряването на структурата на финансовия надзор на ЕС и предложението относно несъстоятелността на предприятията, преструктурирането и предоставянето на втори шанс. Съгласие следва да бъде постигнато и по други предложения, свързани със съюза на капиталовите пазари, относно колективното финансиране, покритите облигации, улесняването на трансграничното разпространение на инвестиционни фондове, насърчаването на включването на МСП на публичните пазари и по-пропорционалните и по-ефективни правила за инвестиционните посредници. В контекста на неотдавнашните сериозни разкрития на случаи на изпиране на пари във финансовия сектор е от изключително значение също така да се постигне бързо съгласие по предложенията за установяване на по-строг надзор в борбата с изпирането на пари, за да се гарантират по-добър надзор и по-добро прилагане на правилата в целия ЕС.</w:t>
      </w:r>
    </w:p>
    <w:p>
      <w:pPr>
        <w:jc w:val="both"/>
        <w:rPr>
          <w:rFonts w:ascii="Times New Roman" w:hAnsi="Times New Roman" w:cs="Times New Roman"/>
          <w:noProof/>
          <w:sz w:val="24"/>
          <w:szCs w:val="24"/>
        </w:rPr>
      </w:pPr>
      <w:r>
        <w:rPr>
          <w:rFonts w:ascii="Times New Roman" w:hAnsi="Times New Roman"/>
          <w:noProof/>
          <w:sz w:val="24"/>
        </w:rPr>
        <w:t xml:space="preserve">Освен че единният пазар води до резултати за предприятията, той е също така гарант за високи социални стандарти и защита на работниците. Преди една година, на социалната среща на върха в Гьотеборг Европейският парламент, Съветът на Европейския съюз и Европейската комисия обявиха европейския стълб на социалните права. В рамките на своята област на компетентност Комисията предприе действия за подемане на конкретни последващи инициативи. Сега е необходимо да се постигне съгласие относно създаването на европейски орган по труда и относно предложенията за установяване на по-добро равновесие между професионалния и личния живот и по-прозрачни и предвидими условия на труд за всички, включително за хората, които работят на нестандартни договори. Трябва да постигнем съгласие относно преразглеждането на правилата за координация на системите за социална сигурност на държавите членки, за защита на работниците от химични вещества, които причиняват рак, и за достъп до социална закрила. Освен това е крайно време да се завърши Европейският акт за достъпността, така че хората с увреждания да могат по-ефективно да упражняват своите равни права, за да участват пълноценно в обществото и на пазара на труда. </w:t>
      </w:r>
    </w:p>
    <w:p>
      <w:pPr>
        <w:jc w:val="both"/>
        <w:rPr>
          <w:rFonts w:ascii="Times New Roman" w:hAnsi="Times New Roman" w:cs="Times New Roman"/>
          <w:noProof/>
          <w:sz w:val="24"/>
          <w:szCs w:val="24"/>
        </w:rPr>
      </w:pPr>
      <w:r>
        <w:rPr>
          <w:rFonts w:ascii="Times New Roman" w:hAnsi="Times New Roman"/>
          <w:noProof/>
          <w:sz w:val="24"/>
        </w:rPr>
        <w:t xml:space="preserve">Поддържането, укрепването и задълбочаването на единния пазар са постоянна задача. Трябва да се справим с оставащите пропуски и да подобрим начина, по който той функционира. Ето защо постигането на съгласие по висящите законодателни досиета и правилното изпълнение на нормативната уредба в държавите членки са от изключително значение. С оглед на дискусията на лидерите по време на Европейския съвет през декември Комисията ще представи съобщение с акцент върху премахването на оставащите пречки и възможностите за действие, за да се гарантира, че Европа се възползва от новите възможности, които предлага променящата се глобална среда. </w:t>
      </w:r>
    </w:p>
    <w:p>
      <w:pPr>
        <w:rPr>
          <w:rFonts w:ascii="Times New Roman" w:hAnsi="Times New Roman" w:cs="Times New Roman"/>
          <w:noProof/>
          <w:sz w:val="24"/>
          <w:szCs w:val="24"/>
        </w:rPr>
      </w:pPr>
      <w:r>
        <w:rPr>
          <w:rFonts w:ascii="Times New Roman" w:hAnsi="Times New Roman"/>
          <w:i/>
          <w:noProof/>
          <w:sz w:val="24"/>
        </w:rPr>
        <w:t>По-задълбочен и по-справедлив икономически и паричен съюз</w:t>
      </w:r>
    </w:p>
    <w:p>
      <w:pPr>
        <w:jc w:val="both"/>
        <w:rPr>
          <w:rFonts w:ascii="Times New Roman" w:hAnsi="Times New Roman" w:cs="Times New Roman"/>
          <w:noProof/>
          <w:sz w:val="24"/>
          <w:szCs w:val="24"/>
        </w:rPr>
      </w:pPr>
      <w:r>
        <w:rPr>
          <w:rFonts w:ascii="Times New Roman" w:hAnsi="Times New Roman"/>
          <w:noProof/>
          <w:sz w:val="24"/>
        </w:rPr>
        <w:t xml:space="preserve">На 1 януари 2019 г. ще честваме 20-ата годишнина на единната валута. 340 милиона европейци използват ежедневно еврото в 19 държави членки. На еврозоната се дължат почти 85 % от брутния вътрешен продукт на Съюза от 27 държави членки. Тя устоя на най-тежката финансова криза на нашето време и излезе от нея по-силна. Сега е моментът да се съсредоточим по-отчетливо върху стратегическата роля, която еврото следва да играе на световната сцена, и да укрепим неговите основи. Завършването на съюза на капиталовите пазари е от особено значение в този контекст. </w:t>
      </w:r>
    </w:p>
    <w:p>
      <w:pPr>
        <w:jc w:val="both"/>
        <w:rPr>
          <w:rFonts w:ascii="Times New Roman" w:hAnsi="Times New Roman" w:cs="Times New Roman"/>
          <w:noProof/>
          <w:sz w:val="24"/>
          <w:szCs w:val="24"/>
        </w:rPr>
      </w:pPr>
      <w:r>
        <w:rPr>
          <w:rFonts w:ascii="Times New Roman" w:hAnsi="Times New Roman"/>
          <w:noProof/>
          <w:sz w:val="24"/>
        </w:rPr>
        <w:t>Изключително важно е също така да приключи работата по предложенията, които са част от пътната карта за задълбочаване на европейския икономически и паричен съюз, включително бюджетните инструменти, предложени в рамките на следващата многогодишна финансова рамка. Това ще предостави на икономическия и паричен съюз, особено на функцията за стабилизация на европейско равнище и на програмата за подкрепа на реформите, възможност да се гарантира по-голяма макроикономическа устойчивост, както и да се осъществят структурни реформи и да се засили сближаването. През юни 2018 г. на срещата на върха на държавите от еврозоната, в която участваха всички държави членки, лидерите постигнаха съгласие за завършване на банковия съюз, включително чрез създаване на общ предпазен механизъм за Единния фонд за преструктуриране и напредък по отношение на европейската схема за застраховане на депозитите. Те се договориха също така за засилване на ролята и по-нататъшно развитие на Европейския механизъм за стабилност като инструмент за управление на кризи. Работата в тази насока трябва да продължи приоритетно, а по отношение на предложенията за намаляване на риска в банковия сектор и пакета за намаляване на необслужваните кредити е необходимо бързо постигане на съгласие. Постигането на устойчива еврозона изисква самите държави членки да бъдат устойчиви, както и нов тласък за икономическото и социалното сближаване. С оглед на тази цел Комисията ще продължи да засилва и направлява европейския семестър с цел държавите членки да получат подкрепа и насоки за постигане на устойчив, приобщаващ и дългосрочен растеж.</w:t>
      </w:r>
    </w:p>
    <w:p>
      <w:pPr>
        <w:tabs>
          <w:tab w:val="left" w:pos="5652"/>
        </w:tabs>
        <w:rPr>
          <w:rFonts w:ascii="Times New Roman" w:hAnsi="Times New Roman" w:cs="Times New Roman"/>
          <w:noProof/>
          <w:sz w:val="24"/>
          <w:szCs w:val="24"/>
        </w:rPr>
      </w:pPr>
      <w:r>
        <w:rPr>
          <w:rFonts w:ascii="Times New Roman" w:hAnsi="Times New Roman"/>
          <w:i/>
          <w:noProof/>
          <w:sz w:val="24"/>
        </w:rPr>
        <w:t>Търговия: балансирана и прогресивна търговска политика с цел да се извлекат ползи от глобализацията</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Нашите мащаб, общи ценности и цел са знак за това, че Европейският съюз е уникален по рода си със своите търговски споразумения, сключени с 69 държави по целия свят, на които се падат 40 % от световния брутен вътрешен продукт. Нарастващото напрежение и все по-голямата липса на предвидимост в световния търговски ред обаче свидетелстват за това, че е необходимо непрекъснато да потвърждаваме ангажимента си за запазването и укрепването на основаната на правила международна система. Бързото сключване на Споразумението за икономическо партньорство между ЕС и Япония, най-голямото търговско споразумение, договаряно някога от Европейския съюз, ще бъде ярък пример за ангажимента на ЕС в тази област. Ще работим също за бързото влизане в сила на споразуменията със Сингапур и Виетнам и за приключването на преговорите по споразуменията, за които е постигнато принципно съгласие (Мексико) или които вече са в напреднал стадий, като споразуменията с Чили и Меркосур. Трябва също така да напреднем максимално по други текущи търговски преговори, включително с Австралия и Нова Зеландия. </w:t>
      </w:r>
    </w:p>
    <w:p>
      <w:pPr>
        <w:tabs>
          <w:tab w:val="left" w:pos="5652"/>
        </w:tabs>
        <w:jc w:val="both"/>
        <w:rPr>
          <w:rFonts w:ascii="Times New Roman" w:hAnsi="Times New Roman" w:cs="Times New Roman"/>
          <w:noProof/>
          <w:sz w:val="24"/>
          <w:szCs w:val="24"/>
        </w:rPr>
      </w:pPr>
      <w:r>
        <w:rPr>
          <w:rFonts w:ascii="Times New Roman" w:hAnsi="Times New Roman"/>
          <w:noProof/>
          <w:sz w:val="24"/>
        </w:rPr>
        <w:t>Ние в ЕС имаме всички основания да вярваме и да бъдем настоятелни в нашите търговски отношения, но няма да проявим наивност. Важно е съзаконодателите бързо да постигнат съгласие по предложението за скрининга на преките чуждестранни инвестиции, за да се следят и да се предотвратяват придобивания от чуждестранни инвеститори, които биха били в ущърб на интересите на ЕС. Освен това е време държавите членки да преодолеят застоя по предложението за международен инструмент в областта на обществените поръчки, за да може да предотвратим дискриминацията срещу дружествата от ЕС на пазарите за обществени поръчки на трети държави, както и да се даде съгласие за реформиране на правилата за двойна употреба, за да не се допуска търговията да се използва неправомерно като прикритие за стоки, които могат да се използват за нарушаване на основни права на човека.</w:t>
      </w:r>
    </w:p>
    <w:p>
      <w:pPr>
        <w:tabs>
          <w:tab w:val="left" w:pos="5652"/>
        </w:tabs>
        <w:rPr>
          <w:rFonts w:ascii="Times New Roman" w:hAnsi="Times New Roman" w:cs="Times New Roman"/>
          <w:noProof/>
          <w:sz w:val="24"/>
          <w:szCs w:val="24"/>
        </w:rPr>
      </w:pPr>
      <w:r>
        <w:rPr>
          <w:rFonts w:ascii="Times New Roman" w:hAnsi="Times New Roman"/>
          <w:i/>
          <w:noProof/>
          <w:sz w:val="24"/>
        </w:rPr>
        <w:t>Пространство на правосъдие и основни права, изградено върху взаимно доверие</w:t>
      </w:r>
    </w:p>
    <w:p>
      <w:pPr>
        <w:tabs>
          <w:tab w:val="left" w:pos="5652"/>
        </w:tabs>
        <w:jc w:val="both"/>
        <w:rPr>
          <w:rFonts w:ascii="Times New Roman" w:hAnsi="Times New Roman" w:cs="Times New Roman"/>
          <w:noProof/>
          <w:sz w:val="24"/>
          <w:szCs w:val="24"/>
        </w:rPr>
      </w:pPr>
      <w:r>
        <w:rPr>
          <w:rFonts w:ascii="Times New Roman" w:hAnsi="Times New Roman"/>
          <w:noProof/>
          <w:sz w:val="24"/>
        </w:rPr>
        <w:t>През последните четири години защитата на основните права и сигурността са основен приоритет. За да приключи работата по осигуряването на ефективен Съюз на сигурност, сега е изключително важно да се постигне съгласие по предложенията относно трансграничния достъп на правоприлагащите органи до електронни доказателства, относно предлагането на пазара и използването на прекурсори на взривни вещества, относно подобряването на защитите на личните карти и относно улесняване на трансграничния достъп и използването на финансови данни от правоприлагащите органи. Трябва да стигнем и по-далеч, като лишим терористите от средства за действие чрез договаряне на мерки за предотвратяване на разпространението на терористично съдържание онлайн и чрез разширяване на мандата на Европейската прокуратура с цел включване на борбата с трансграничния тероризъм.</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За да се гарантира, че европейските информационни системи в областта на сигурността, миграцията и управлението на границите работят съвместно по по-интелигентен и по-ефикасен начин, предложението относно оперативната съвместимост на тези системи следва да бъде прието бързо, заедно с осъвременяването например на Европейската информационна система за регистрите за съдимост, Евродак и Визовата информационна система. </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Направените разкрития, като се започне от </w:t>
      </w:r>
      <w:r>
        <w:rPr>
          <w:rFonts w:ascii="Times New Roman" w:hAnsi="Times New Roman"/>
          <w:i/>
          <w:noProof/>
          <w:sz w:val="24"/>
        </w:rPr>
        <w:t>„Дизелгейт“</w:t>
      </w:r>
      <w:r>
        <w:rPr>
          <w:rFonts w:ascii="Times New Roman" w:hAnsi="Times New Roman"/>
          <w:noProof/>
          <w:sz w:val="24"/>
        </w:rPr>
        <w:t xml:space="preserve"> и се стигне до </w:t>
      </w:r>
      <w:r>
        <w:rPr>
          <w:rFonts w:ascii="Times New Roman" w:hAnsi="Times New Roman"/>
          <w:i/>
          <w:noProof/>
          <w:sz w:val="24"/>
        </w:rPr>
        <w:t>„Люкслийкс“</w:t>
      </w:r>
      <w:r>
        <w:rPr>
          <w:rFonts w:ascii="Times New Roman" w:hAnsi="Times New Roman"/>
          <w:noProof/>
          <w:sz w:val="24"/>
        </w:rPr>
        <w:t xml:space="preserve">, както и от „Панамските документи“ до </w:t>
      </w:r>
      <w:r>
        <w:rPr>
          <w:rFonts w:ascii="Times New Roman" w:hAnsi="Times New Roman"/>
          <w:i/>
          <w:noProof/>
          <w:sz w:val="24"/>
        </w:rPr>
        <w:t>Cambridge Analytica</w:t>
      </w:r>
      <w:r>
        <w:rPr>
          <w:rFonts w:ascii="Times New Roman" w:hAnsi="Times New Roman"/>
          <w:noProof/>
          <w:sz w:val="24"/>
        </w:rPr>
        <w:t xml:space="preserve">, показаха, че лицата, сигнализиращи за нередности, играят важна роля за разкриването на незаконни дейности, които вредят на обществения интерес и на благосъстоянието на гражданите. Поради това е необходимо да постигнем съгласие за по-добра защита на лицата, сигнализиращи за нередности, които докладват за нарушения на правото на ЕС. </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Трябва също така да гарантираме, че ЕС може да помага по-ефективно на хората, засегнати от природни бедствия, като постигнем съгласие по предложението относно Механизма за гражданска защита на Европейския съюз (rescEU). </w:t>
      </w:r>
    </w:p>
    <w:p>
      <w:pPr>
        <w:jc w:val="both"/>
        <w:rPr>
          <w:rFonts w:ascii="Times New Roman" w:hAnsi="Times New Roman" w:cs="Times New Roman"/>
          <w:noProof/>
          <w:sz w:val="24"/>
          <w:szCs w:val="24"/>
        </w:rPr>
      </w:pPr>
      <w:r>
        <w:rPr>
          <w:rFonts w:ascii="Times New Roman" w:hAnsi="Times New Roman"/>
          <w:noProof/>
          <w:sz w:val="24"/>
        </w:rPr>
        <w:t xml:space="preserve">Спазването на принципите на правовата държава като една от ценностите на Съюза е от съществено значение за демокрацията и за зачитането на основните права. Това е също така основна гаранция за функционирането на Европейския съюз — като вътрешен пазар и като пространство, в което законодателството се прилага еднакво и бюджетът се изразходва правилно, както и в което държавите членки и техните граждани могат да работят заедно в дух на взаимно доверие за постигане на общи цели. Установената в Договорите процедура за определяне на евентуално наличие на явен риск от тежко нарушение на ценностите, и по-специално на принципите на правовата държава, е била задействана по отношение на две държави членки. Безпокойството нараства и по отношение на някои други държави членки. В резултат на това се разпространява все повече разбирането, че Европейският съюз и неговите държави членки трябва да положат повече усилия за гарантиране и укрепване на принципите на правовата държава. В този контекст Комисията възнамерява да представи инициатива с цел по-нататъшно укрепване на рамката за принципите на правовата държава от 2014 г. </w:t>
      </w:r>
    </w:p>
    <w:p>
      <w:pPr>
        <w:jc w:val="both"/>
        <w:rPr>
          <w:rFonts w:ascii="Times New Roman" w:hAnsi="Times New Roman" w:cs="Times New Roman"/>
          <w:noProof/>
          <w:sz w:val="24"/>
          <w:szCs w:val="24"/>
        </w:rPr>
      </w:pPr>
      <w:r>
        <w:rPr>
          <w:rFonts w:ascii="Times New Roman" w:hAnsi="Times New Roman"/>
          <w:i/>
          <w:noProof/>
          <w:sz w:val="24"/>
        </w:rPr>
        <w:t>Към нова политика за миграцията</w:t>
      </w:r>
    </w:p>
    <w:p>
      <w:pPr>
        <w:jc w:val="both"/>
        <w:rPr>
          <w:rFonts w:ascii="Times New Roman" w:hAnsi="Times New Roman" w:cs="Times New Roman"/>
          <w:noProof/>
          <w:sz w:val="24"/>
          <w:szCs w:val="24"/>
        </w:rPr>
      </w:pPr>
      <w:r>
        <w:rPr>
          <w:rFonts w:ascii="Times New Roman" w:hAnsi="Times New Roman"/>
          <w:noProof/>
          <w:sz w:val="24"/>
        </w:rPr>
        <w:t xml:space="preserve">Миграционният натиск продължава да бъде основен повод за притеснение от страна на европейските граждани въпреки факта, че кризата е преодоляна. Подходящото управление на миграцията ще продължи да бъде предизвикателство за много години напред и изисква всеобхватен отговор. </w:t>
      </w:r>
    </w:p>
    <w:p>
      <w:pPr>
        <w:jc w:val="both"/>
        <w:rPr>
          <w:rFonts w:ascii="Times New Roman" w:hAnsi="Times New Roman" w:cs="Times New Roman"/>
          <w:noProof/>
          <w:sz w:val="24"/>
          <w:szCs w:val="24"/>
        </w:rPr>
      </w:pPr>
      <w:r>
        <w:rPr>
          <w:rFonts w:ascii="Times New Roman" w:hAnsi="Times New Roman"/>
          <w:noProof/>
          <w:sz w:val="24"/>
        </w:rPr>
        <w:t xml:space="preserve">Незаконно пристигащите лица в Европейския съюз са намалели с 95 % спрямо върховите стойности през октомври 2015 г. През тази година обаче стана ясно също така значението на това да се проявява бдителност по всички маршрути, тъй като беше отбелязан значителен спад по маршрута през Централното Средиземноморие, но се наблюдаваше и нарастване по маршрутите по Източното и по-специално по Западното Средиземноморие. Миграционните маршрути и причините за използването им се променят постоянно и трябва да се подготвим за бъдещето. Основният приоритет продължава да бъде приемането на добре функционираща обща европейска система за убежище, която се основава на принципите на отговорност и солидарност. Пет от седемте първоначални предложения за реформиране на системата са временно или частично приети и предстои да бъдат предприети последните стъпки за приемането им, като се внесат промените за засилване на оперативните способности на новата Европейска агенция в областта на убежището, чието създаване беше предложено заедно с речта за състоянието на Съюза. Едновременно с това трябва да съсредоточим усилията си върху приемането на останалите две предложения: реформата на системата от Дъблин и Регламента относно процедурите за убежище. </w:t>
      </w:r>
    </w:p>
    <w:p>
      <w:pPr>
        <w:jc w:val="both"/>
        <w:rPr>
          <w:rFonts w:ascii="Times New Roman" w:hAnsi="Times New Roman" w:cs="Times New Roman"/>
          <w:noProof/>
          <w:sz w:val="24"/>
          <w:szCs w:val="24"/>
        </w:rPr>
      </w:pPr>
      <w:r>
        <w:rPr>
          <w:rFonts w:ascii="Times New Roman" w:hAnsi="Times New Roman"/>
          <w:noProof/>
          <w:sz w:val="24"/>
        </w:rPr>
        <w:t xml:space="preserve">Надеждната миграционна политика означава да гарантираме на гражданите, че управляваме ефективно нашите външни граници и че сме в състояние както да защитим нуждаещите се, така и да върнем тези, които не са такива. Укрепването на съгласуваността и ефективността на нашата политика за връщане и намаляването на стимулите за незаконна миграция са от ключово значение и Комисията представи необходимите предложения в тази връзка. Също така трябва бързо да се споразумеем за реформата на Директивата за връщането и да засилим капацитета на Европейската агенция за гранична и брегова охрана, като създадем постоянен корпус от 10 000 гранични служители на ЕС до 2020 г., укрепвайки правомощията ѝ в областта на връщанията и осигурявайки възможност да функционира по-мащабно в страните партньори извън ЕС. </w:t>
      </w:r>
    </w:p>
    <w:p>
      <w:pPr>
        <w:jc w:val="both"/>
        <w:rPr>
          <w:rFonts w:ascii="Times New Roman" w:hAnsi="Times New Roman" w:cs="Times New Roman"/>
          <w:noProof/>
          <w:sz w:val="24"/>
          <w:szCs w:val="24"/>
        </w:rPr>
      </w:pPr>
      <w:r>
        <w:rPr>
          <w:rFonts w:ascii="Times New Roman" w:hAnsi="Times New Roman"/>
          <w:noProof/>
          <w:sz w:val="24"/>
        </w:rPr>
        <w:t xml:space="preserve">В същото време Европа трябва да направи повече по отношение на законната миграция. Трябва да сме в състояние да удовлетворим подобаващо потребностите на пазара на труда и да се справим по подходящ начин с недостига на квалифицирана работна ръка в бъдеще, като същевременно се стремим да задоволяваме интересите на ЕС. Поради това е от съществено значение да се постигне съгласие относно преработената схема за синя карта на ЕС, която ще улесни и ще направи по-привлекателна възможността висококвалифицираните граждани на трети държави да идват да работят в Европа и да допринасят за функционирането на нашите икономики. </w:t>
      </w:r>
    </w:p>
    <w:p>
      <w:pPr>
        <w:jc w:val="both"/>
        <w:rPr>
          <w:rFonts w:ascii="Times New Roman" w:hAnsi="Times New Roman" w:cs="Times New Roman"/>
          <w:noProof/>
          <w:sz w:val="24"/>
          <w:szCs w:val="24"/>
        </w:rPr>
      </w:pPr>
      <w:r>
        <w:rPr>
          <w:rFonts w:ascii="Times New Roman" w:hAnsi="Times New Roman"/>
          <w:noProof/>
          <w:sz w:val="24"/>
        </w:rPr>
        <w:t>До декември 2018 г. Комисията ще публикува съобщение относно визовата реципрочност, за да се направи преглед на актуалното състояние и евентуалните следващи стъпки по отношение на липсата на реципрочност със САЩ в областта на визовата политика.</w:t>
      </w:r>
    </w:p>
    <w:p>
      <w:pPr>
        <w:tabs>
          <w:tab w:val="left" w:pos="5652"/>
        </w:tabs>
        <w:rPr>
          <w:rFonts w:ascii="Times New Roman" w:hAnsi="Times New Roman" w:cs="Times New Roman"/>
          <w:noProof/>
          <w:sz w:val="24"/>
          <w:szCs w:val="24"/>
        </w:rPr>
      </w:pPr>
      <w:r>
        <w:rPr>
          <w:rFonts w:ascii="Times New Roman" w:hAnsi="Times New Roman"/>
          <w:i/>
          <w:noProof/>
          <w:sz w:val="24"/>
        </w:rPr>
        <w:t>По-силен участник на световната сцена</w:t>
      </w:r>
    </w:p>
    <w:p>
      <w:pPr>
        <w:jc w:val="both"/>
        <w:rPr>
          <w:rFonts w:ascii="Times New Roman" w:hAnsi="Times New Roman" w:cs="Times New Roman"/>
          <w:noProof/>
          <w:sz w:val="24"/>
          <w:szCs w:val="24"/>
        </w:rPr>
      </w:pPr>
      <w:r>
        <w:rPr>
          <w:rFonts w:ascii="Times New Roman" w:hAnsi="Times New Roman"/>
          <w:noProof/>
          <w:sz w:val="24"/>
        </w:rPr>
        <w:t xml:space="preserve">Когато действаме заедно, Европа разполага с цялата тежест, която ни е необходима, за да може тя да бъде силен участник на световната сцена, като работи за мира, устойчивото развитие, сигурността и стабилността, подкрепяйки демокрацията, защитавайки правата на човека и насърчавайки принципите на правовата държава. </w:t>
      </w:r>
    </w:p>
    <w:p>
      <w:pPr>
        <w:jc w:val="both"/>
        <w:rPr>
          <w:rFonts w:ascii="Times New Roman" w:hAnsi="Times New Roman" w:cs="Times New Roman"/>
          <w:noProof/>
          <w:sz w:val="24"/>
          <w:szCs w:val="24"/>
        </w:rPr>
      </w:pPr>
      <w:r>
        <w:rPr>
          <w:rFonts w:ascii="Times New Roman" w:hAnsi="Times New Roman"/>
          <w:noProof/>
          <w:sz w:val="24"/>
        </w:rPr>
        <w:t>За да може това да се случи и едновременно с усилията за постигане на споразумение относно предложените финансови програми в подкрепа на ролята на Европа като участник на световната сцена, Комисията ще продължи да призовава за бързи последващи действия по отношение на нейната инициатива за по-ефикасно вземане на решения в рамките на общата външна политика и политика на сигурност. Тя ще продължи също така да работи по изпълнението на Глобалната стратегия на ЕС за външната политика и политиката на сигурност, особено що се отнася до Индия, Латинска Америка и Централна Азия.</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Ще бъдат предприети действия за осъществяването на предложения нов алианс между Африка и Европа за устойчиви инвестиции и работни места. За тази цел Планът на ЕС за външни инвестиции ще бъде допълнително конкретизиран и приложен, за да изпълни амбициозната си цел за мобилизиране на до 44 милиарда евро под формата на инвестиции за устойчиво развитие до 2020 г. </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Прилагането на нашата политика за съседство както на изток, така и на юг, ще продължи да бъде основен приоритет. Що се отнася до разширяването на ЕС, Комисията ще публикува годишните доклади относно постигнатия напредък в отношенията с всички заинтересовани партньори. Освен това Комисията ще направи оценка и ще приеме становище по отношение на искането на Босна и Херцеговина да стане кандидат за членство.  </w:t>
      </w:r>
    </w:p>
    <w:p>
      <w:pPr>
        <w:tabs>
          <w:tab w:val="left" w:pos="5652"/>
        </w:tabs>
        <w:jc w:val="both"/>
        <w:rPr>
          <w:rFonts w:ascii="Times New Roman" w:hAnsi="Times New Roman" w:cs="Times New Roman"/>
          <w:noProof/>
          <w:sz w:val="24"/>
          <w:szCs w:val="24"/>
        </w:rPr>
      </w:pPr>
      <w:r>
        <w:rPr>
          <w:rFonts w:ascii="Times New Roman" w:hAnsi="Times New Roman"/>
          <w:i/>
          <w:noProof/>
          <w:sz w:val="24"/>
        </w:rPr>
        <w:t>Съюз на демократичната промяна</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През последните четири години Комисията се стреми да направи Европейския съюз по-демократичен, например чрез предоставяне на възможност гражданите да дават своя принос за създаването на политики, чрез увеличаване на прозрачността на срещите между лицата, които вземат решения в Комисията, и представителите на различни интереси, чрез публикуване на мандатите за водене на преговори за търговски споразумения и посредством включване на принципите за по-добро регулиране в разработването на политики. Бяха направени важни прегледи на правилата за финансиране на европейските политически партии, които ще увеличат прозрачността на връзките между европейските политически партии и членуващите в тях партии, ще повишат демократичната легитимност чрез финансиране, което отразява по-добре избора на електората, и ще укрепят правоприлагането, за да се предотвратяват злоупотребите с публични разходи. </w:t>
      </w:r>
    </w:p>
    <w:p>
      <w:pPr>
        <w:jc w:val="both"/>
        <w:rPr>
          <w:rFonts w:ascii="Times New Roman" w:hAnsi="Times New Roman" w:cs="Times New Roman"/>
          <w:noProof/>
          <w:sz w:val="24"/>
          <w:szCs w:val="24"/>
        </w:rPr>
      </w:pPr>
      <w:r>
        <w:rPr>
          <w:rFonts w:ascii="Times New Roman" w:hAnsi="Times New Roman"/>
          <w:noProof/>
          <w:sz w:val="24"/>
        </w:rPr>
        <w:t xml:space="preserve">За да защитим демократичните си ценности, ние трябва да гарантираме свободно и справедливо провеждане на предстоящите избори, поради което е наложително бързо да се постигне съгласие по предложенията за по-добра защита на нашите демократични процеси от манипулиране от страна на трети държави или частни интереси. Предложението да се осигури възможност европейските политически партии да бъдат санкционирани за нарушаване на защитата на личните данни с цел съзнателно да се повлияе на резултата от изборите за Европейски парламент също следва да бъде одобрено приоритетно. </w:t>
      </w:r>
    </w:p>
    <w:p>
      <w:pPr>
        <w:tabs>
          <w:tab w:val="left" w:pos="5652"/>
        </w:tabs>
        <w:jc w:val="both"/>
        <w:rPr>
          <w:rFonts w:ascii="Times New Roman" w:hAnsi="Times New Roman" w:cs="Times New Roman"/>
          <w:noProof/>
          <w:sz w:val="24"/>
          <w:szCs w:val="24"/>
        </w:rPr>
      </w:pPr>
      <w:r>
        <w:rPr>
          <w:rFonts w:ascii="Times New Roman" w:hAnsi="Times New Roman"/>
          <w:noProof/>
          <w:sz w:val="24"/>
        </w:rPr>
        <w:t xml:space="preserve">Европейската гражданска инициатива осигурява на гражданите единствен по рода си и новаторски начин да участват в определянето на дневния ред на равнище ЕС, приканвайки пряко Комисията да предприеме действия по важен за тях въпрос. За да може този инструмент да стане по-лесен за използване и за да се реализира пълният му потенциал, е от съществено значение бързо да се постигне съгласие относно реформата на регламента, улесняваща възможността гражданите да предприемат и подкрепят нови инициативи. Освен това задоволяваме желанията, които гражданите изразяват в обществени консултации, например с предложението за отпадане на смяната на часовото време два пъти в годината. </w:t>
      </w:r>
    </w:p>
    <w:p>
      <w:pPr>
        <w:tabs>
          <w:tab w:val="left" w:pos="5652"/>
        </w:tabs>
        <w:jc w:val="both"/>
        <w:rPr>
          <w:rFonts w:ascii="Times New Roman" w:hAnsi="Times New Roman" w:cs="Times New Roman"/>
          <w:noProof/>
          <w:sz w:val="24"/>
          <w:szCs w:val="24"/>
        </w:rPr>
      </w:pPr>
      <w:r>
        <w:rPr>
          <w:rFonts w:ascii="Times New Roman" w:hAnsi="Times New Roman"/>
          <w:noProof/>
          <w:sz w:val="24"/>
        </w:rPr>
        <w:t>От началото на мандата си настоящата Комисия изтъква необходимостта Съюзът да акцентира в по-голяма степен върху значимите въпроси и върху необходимостта демократичната легитимност на действията на Съюза да се подобри. Важен аспект в това отношение е да се гарантира зачитането на принципите на субсидиарност и пропорционалност. Заедно с настоящата работна програма Комисията представя съобщение, в което се посочва как възнамеряваме да засилим ролята на принципите на субсидиарност и пропорционалност за изготвянето на политиките на ЕС, като се основаваме на богатия принос на работната група по въпросите на субсидиарността, пропорционалността и принципа „правим по-малко, но по-ефективно“. В съответствие с вижданията на работната група това ще бъде осъществено като част от по-обхватната програма за по-добро регулиране, включително в рамките на планираните прегледи. Съобщението е придружено от годишните доклади относно отношенията между Европейската комисия и националните парламенти и относно прилагането на принципите на субсидиарност и пропорционалност.</w:t>
      </w:r>
    </w:p>
    <w:p>
      <w:pPr>
        <w:rPr>
          <w:rFonts w:ascii="Times New Roman" w:hAnsi="Times New Roman" w:cs="Times New Roman"/>
          <w:noProof/>
          <w:sz w:val="24"/>
          <w:szCs w:val="24"/>
        </w:rPr>
      </w:pPr>
    </w:p>
    <w:p>
      <w:pPr>
        <w:numPr>
          <w:ilvl w:val="0"/>
          <w:numId w:val="1"/>
        </w:numPr>
        <w:contextualSpacing/>
        <w:rPr>
          <w:rFonts w:ascii="Times New Roman" w:hAnsi="Times New Roman" w:cs="Times New Roman"/>
          <w:b/>
          <w:noProof/>
          <w:sz w:val="24"/>
          <w:szCs w:val="24"/>
        </w:rPr>
      </w:pPr>
      <w:r>
        <w:rPr>
          <w:rFonts w:ascii="Times New Roman" w:hAnsi="Times New Roman"/>
          <w:b/>
          <w:noProof/>
          <w:sz w:val="24"/>
        </w:rPr>
        <w:t>Осигуряване на стабилна бъдеща перспектива за всички европейци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Срещата на върха в Сибиу на 9 май 2019 г. ще се проведе в ключов момент — шест седмици след Брексит и две седмици преди изборите за Европейски парламент. Тогава лидерите ще трябва да подсигурят подновяване на доверието в бъдещето на новия Съюз от 27 държави членки. Комисията ще даде своя принос за процеса до срещата в Сибиу и след нея, като представи редица доклади и съобщения с оглед на перспективата до 2025 г. Тя представи или ще представи инициативи, които имат за цел:</w:t>
      </w:r>
    </w:p>
    <w:p>
      <w:pPr>
        <w:numPr>
          <w:ilvl w:val="0"/>
          <w:numId w:val="2"/>
        </w:numPr>
        <w:contextualSpacing/>
        <w:jc w:val="both"/>
        <w:rPr>
          <w:rFonts w:ascii="Times New Roman" w:hAnsi="Times New Roman" w:cs="Times New Roman"/>
          <w:noProof/>
          <w:sz w:val="24"/>
          <w:szCs w:val="24"/>
        </w:rPr>
      </w:pPr>
      <w:r>
        <w:rPr>
          <w:rFonts w:ascii="Times New Roman" w:hAnsi="Times New Roman"/>
          <w:noProof/>
          <w:sz w:val="24"/>
        </w:rPr>
        <w:t>Укрепване на международната роля на еврото като част от цялостните усилия за укрепване на европейския суверенитет;</w:t>
      </w:r>
    </w:p>
    <w:p>
      <w:pPr>
        <w:numPr>
          <w:ilvl w:val="0"/>
          <w:numId w:val="2"/>
        </w:numPr>
        <w:contextualSpacing/>
        <w:jc w:val="both"/>
        <w:rPr>
          <w:rFonts w:ascii="Times New Roman" w:hAnsi="Times New Roman" w:cs="Times New Roman"/>
          <w:noProof/>
          <w:sz w:val="24"/>
          <w:szCs w:val="24"/>
        </w:rPr>
      </w:pPr>
      <w:r>
        <w:rPr>
          <w:rFonts w:ascii="Times New Roman" w:hAnsi="Times New Roman"/>
          <w:noProof/>
          <w:sz w:val="24"/>
        </w:rPr>
        <w:t>Подобряване на използването на гласуването с квалифицирано мнозинство и осигуряване на възможност за по-ефикасно вземане на решения в ключовите области на данъчното облагане и социалните политики, така че законодателството на ЕС за единния пазар да е в крак с икономическите и обществените промени, както и в няколко целеви области на външните ни отношения, така че да се предложат подходящите инструменти за вземане на решения за общата ни външна политика и политика на сигурност;</w:t>
      </w:r>
    </w:p>
    <w:p>
      <w:pPr>
        <w:numPr>
          <w:ilvl w:val="0"/>
          <w:numId w:val="2"/>
        </w:numPr>
        <w:contextualSpacing/>
        <w:jc w:val="both"/>
        <w:rPr>
          <w:rFonts w:ascii="Times New Roman" w:hAnsi="Times New Roman" w:cs="Times New Roman"/>
          <w:noProof/>
          <w:sz w:val="24"/>
          <w:szCs w:val="24"/>
        </w:rPr>
      </w:pPr>
      <w:r>
        <w:rPr>
          <w:rFonts w:ascii="Times New Roman" w:hAnsi="Times New Roman"/>
          <w:noProof/>
          <w:sz w:val="24"/>
        </w:rPr>
        <w:t>Обмисляне на пътя към устойчива Европа до 2030 г. с цел осъществяване на последващи действия във връзка с целите за устойчиво развитие на ООН, включително Парижкото споразумение относно изменението на климата;</w:t>
      </w:r>
    </w:p>
    <w:p>
      <w:pPr>
        <w:numPr>
          <w:ilvl w:val="0"/>
          <w:numId w:val="2"/>
        </w:numPr>
        <w:contextualSpacing/>
        <w:jc w:val="both"/>
        <w:rPr>
          <w:rFonts w:ascii="Times New Roman" w:hAnsi="Times New Roman" w:cs="Times New Roman"/>
          <w:noProof/>
          <w:sz w:val="24"/>
          <w:szCs w:val="24"/>
        </w:rPr>
      </w:pPr>
      <w:r>
        <w:rPr>
          <w:rFonts w:ascii="Times New Roman" w:hAnsi="Times New Roman"/>
          <w:noProof/>
          <w:sz w:val="24"/>
        </w:rPr>
        <w:t>Проправяне на пътя за нова институционална рамка за политиката ни в областта на енергетиката и климата, като се очертаят възможности за засилено гласуване с квалифицирано мнозинство и евентуална реформа на Договора за Евратом;</w:t>
      </w:r>
    </w:p>
    <w:p>
      <w:pPr>
        <w:numPr>
          <w:ilvl w:val="0"/>
          <w:numId w:val="2"/>
        </w:numPr>
        <w:contextualSpacing/>
        <w:jc w:val="both"/>
        <w:rPr>
          <w:rFonts w:ascii="Times New Roman" w:hAnsi="Times New Roman" w:cs="Times New Roman"/>
          <w:noProof/>
          <w:sz w:val="24"/>
          <w:szCs w:val="24"/>
        </w:rPr>
      </w:pPr>
      <w:r>
        <w:rPr>
          <w:rFonts w:ascii="Times New Roman" w:hAnsi="Times New Roman"/>
          <w:noProof/>
          <w:sz w:val="24"/>
        </w:rPr>
        <w:t>По-нататъшно укрепване на рамката за принципите на правовата държава от 2014 г.;</w:t>
      </w:r>
    </w:p>
    <w:p>
      <w:pPr>
        <w:numPr>
          <w:ilvl w:val="0"/>
          <w:numId w:val="2"/>
        </w:numPr>
        <w:contextualSpacing/>
        <w:jc w:val="both"/>
        <w:rPr>
          <w:rFonts w:ascii="Times New Roman" w:hAnsi="Times New Roman" w:cs="Times New Roman"/>
          <w:noProof/>
          <w:sz w:val="24"/>
          <w:szCs w:val="24"/>
        </w:rPr>
      </w:pPr>
      <w:r>
        <w:rPr>
          <w:rFonts w:ascii="Times New Roman" w:hAnsi="Times New Roman"/>
          <w:noProof/>
          <w:sz w:val="24"/>
        </w:rPr>
        <w:t xml:space="preserve">Очертаване на план как Съюзът да стане по-единен, по-силен и по-демократичен от гледна точка на комуникацията. </w:t>
      </w:r>
    </w:p>
    <w:p>
      <w:pPr>
        <w:ind w:left="720"/>
        <w:contextualSpacing/>
        <w:jc w:val="both"/>
        <w:rPr>
          <w:rFonts w:ascii="Times New Roman" w:hAnsi="Times New Roman" w:cs="Times New Roman"/>
          <w:noProof/>
          <w:sz w:val="24"/>
          <w:szCs w:val="24"/>
        </w:rPr>
      </w:pPr>
    </w:p>
    <w:p>
      <w:pPr>
        <w:numPr>
          <w:ilvl w:val="0"/>
          <w:numId w:val="1"/>
        </w:numPr>
        <w:contextualSpacing/>
        <w:rPr>
          <w:rFonts w:ascii="Times New Roman" w:hAnsi="Times New Roman" w:cs="Times New Roman"/>
          <w:b/>
          <w:noProof/>
          <w:sz w:val="24"/>
          <w:szCs w:val="24"/>
        </w:rPr>
      </w:pPr>
      <w:r>
        <w:rPr>
          <w:rFonts w:ascii="Times New Roman" w:hAnsi="Times New Roman"/>
          <w:b/>
          <w:noProof/>
          <w:sz w:val="24"/>
        </w:rPr>
        <w:t>Брексит и подготвеност</w:t>
      </w:r>
    </w:p>
    <w:p>
      <w:pPr>
        <w:jc w:val="both"/>
        <w:rPr>
          <w:rFonts w:ascii="Times New Roman" w:hAnsi="Times New Roman" w:cs="Times New Roman"/>
          <w:iCs/>
          <w:noProof/>
          <w:sz w:val="24"/>
          <w:szCs w:val="24"/>
        </w:rPr>
      </w:pPr>
    </w:p>
    <w:p>
      <w:pPr>
        <w:jc w:val="both"/>
        <w:rPr>
          <w:rFonts w:ascii="Times New Roman" w:hAnsi="Times New Roman" w:cs="Times New Roman"/>
          <w:iCs/>
          <w:noProof/>
          <w:sz w:val="24"/>
          <w:szCs w:val="24"/>
        </w:rPr>
      </w:pPr>
      <w:r>
        <w:rPr>
          <w:rFonts w:ascii="Times New Roman" w:hAnsi="Times New Roman"/>
          <w:noProof/>
          <w:sz w:val="24"/>
        </w:rPr>
        <w:t>Въпреки че се полагат значителни усилия, за да се гарантира сключването на споразумение за организирано оттегляне на Обединеното кралство от Европейския съюз и на рамка за бъдещите отношения между ЕС и Обединеното кралство, ще бъде необходимо да се предвидят някои мерки за адаптиране на достиженията на правото на ЕС в контекста на оттеглянето на Обединеното кралство и независимо от изхода на преговорите. Освен шестте законодателни акта, които вече са представени на съзаконодателите, Комисията ще приеме още две законодателни предложения в рамките на подготовката за Брексит, които се отнасят съответно до визовия статус на гражданите на Обединеното кралство след оттеглянето на Обединеното кралство и до корекцията на данните за първичното и крайното енергопотребление в законодателството за енергийната ефективност. Предложенията ще бъдат внесени през ноември 2018 г., за да има достатъчно време съзаконодателите да ги приемат преди датата на оттегляне.</w:t>
      </w:r>
    </w:p>
    <w:p>
      <w:pPr>
        <w:jc w:val="both"/>
        <w:rPr>
          <w:rFonts w:ascii="Times New Roman" w:hAnsi="Times New Roman" w:cs="Times New Roman"/>
          <w:iCs/>
          <w:noProof/>
          <w:sz w:val="24"/>
          <w:szCs w:val="24"/>
        </w:rPr>
      </w:pPr>
      <w:r>
        <w:rPr>
          <w:rFonts w:ascii="Times New Roman" w:hAnsi="Times New Roman"/>
          <w:noProof/>
          <w:sz w:val="24"/>
        </w:rPr>
        <w:t>Освен това Комисията ще представи преди края на 2018 г. редица делегирани актове и актове за изпълнение, които са необходими в контекста на подготовката за Брексит. Тя ще продължи да следи ситуацията отблизо в хода на преговорите и ако е необходимо, ще предложи допълнителни мерки, отчитайки надлежно времето, от което се нуждаят съзаконодателите, за да приключат своята работа.</w:t>
      </w:r>
    </w:p>
    <w:p>
      <w:pPr>
        <w:numPr>
          <w:ilvl w:val="0"/>
          <w:numId w:val="1"/>
        </w:numPr>
        <w:contextualSpacing/>
        <w:rPr>
          <w:rFonts w:ascii="Times New Roman" w:hAnsi="Times New Roman" w:cs="Times New Roman"/>
          <w:b/>
          <w:noProof/>
          <w:sz w:val="24"/>
          <w:szCs w:val="24"/>
        </w:rPr>
      </w:pPr>
      <w:r>
        <w:rPr>
          <w:rFonts w:ascii="Times New Roman" w:hAnsi="Times New Roman"/>
          <w:b/>
          <w:noProof/>
          <w:sz w:val="24"/>
        </w:rPr>
        <w:t xml:space="preserve">По-доброто регулиране и изпълнението и прилагането на правото на ЕС </w:t>
      </w:r>
      <w:r>
        <w:rPr>
          <w:rFonts w:ascii="Times New Roman" w:hAnsi="Times New Roman" w:cs="Times New Roman"/>
          <w:b/>
          <w:noProof/>
          <w:sz w:val="24"/>
          <w:szCs w:val="24"/>
        </w:rPr>
        <w:br/>
      </w:r>
    </w:p>
    <w:p>
      <w:pPr>
        <w:contextualSpacing/>
        <w:jc w:val="both"/>
        <w:rPr>
          <w:rFonts w:ascii="Times New Roman" w:hAnsi="Times New Roman" w:cs="Times New Roman"/>
          <w:noProof/>
          <w:sz w:val="24"/>
          <w:szCs w:val="24"/>
        </w:rPr>
      </w:pPr>
      <w:r>
        <w:rPr>
          <w:rFonts w:ascii="Times New Roman" w:hAnsi="Times New Roman"/>
          <w:noProof/>
          <w:sz w:val="24"/>
        </w:rPr>
        <w:t>От началото на своя мандат настоящата Комисия полага значителни усилия за по-добро регулиране, което вече е част от нашата ДНК. Наскоро ОИСР постави Комисията на едно от челните места в областта на добрите регулаторни практики. За да консолидираме допълнително този напредък, ще направим преглед на нашата политика за по-добро регулиране и ще докладваме през пролетта за резултатите и извлечените поуки. Междувременно ще обърнем специално внимание на използването на нашите инструменти за по-добро регулиране за осъществяване на критичен преглед на нашите действащи политики, за гарантиране на тяхната целесъобразност и за избягване на ненужни разходи. В приложение II към настоящата работна програма са поместени най-значимите оценки и проверки за пригодност, които ще предприемем, включително тези, които са резултат от становищата на платформата REFIT. Платформата продължава да действа и се очаква скоро да бъдат приети допълнителни становища. След това Комисията ще представи подробно последващите действия във връзка с всички предишни и нови становища в рамките на онлайн анализа по REFIT, както и във второто годишно изследване относно тежестта.</w:t>
      </w: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r>
        <w:rPr>
          <w:rFonts w:ascii="Times New Roman" w:hAnsi="Times New Roman"/>
          <w:noProof/>
          <w:sz w:val="24"/>
        </w:rPr>
        <w:t xml:space="preserve">Всяко правило, независимо от това колко прецизно е формулирано и изготвено, е ефективно само ако се прилага правилно на практика. Ето защо за да гарантира, че законодателството се прилага правилно, Комисията ще продължи да обръща същото внимание, каквото обръща още в самото начало при неговото формулиране. Тясното сътрудничество и комуникацията между Комисията и държавите членки са от ключово значение за ефективното прилагане на правото на ЕС. Ще продължим да водим диалог с държавите членки, за да ги подкрепим при прилагането на правото на ЕС. През следващите месеци ще бъде необходимо да се положат съществени усилия що се отнася до процеса на транспониране и прилагане на законодателство, което наскоро е било или скоро ще бъде прието. В същото време Комисията ще продължи да отдава приоритет на сериозни нарушения на правото на ЕС, които поставят под въпрос добавената стойност на правилата на ЕС, и ще предприема решителни действия в случай на нужда, както направи неотдавна в области като качеството на въздуха. </w:t>
      </w:r>
    </w:p>
    <w:p>
      <w:pPr>
        <w:jc w:val="both"/>
        <w:rPr>
          <w:rFonts w:ascii="Times New Roman" w:hAnsi="Times New Roman" w:cs="Times New Roman"/>
          <w:noProof/>
          <w:sz w:val="24"/>
          <w:szCs w:val="24"/>
        </w:rPr>
      </w:pPr>
    </w:p>
    <w:p>
      <w:pPr>
        <w:numPr>
          <w:ilvl w:val="0"/>
          <w:numId w:val="1"/>
        </w:numPr>
        <w:contextualSpacing/>
        <w:rPr>
          <w:rFonts w:ascii="Times New Roman" w:hAnsi="Times New Roman" w:cs="Times New Roman"/>
          <w:b/>
          <w:noProof/>
          <w:sz w:val="24"/>
          <w:szCs w:val="24"/>
        </w:rPr>
      </w:pPr>
      <w:r>
        <w:rPr>
          <w:rFonts w:ascii="Times New Roman" w:hAnsi="Times New Roman"/>
          <w:b/>
          <w:noProof/>
          <w:sz w:val="24"/>
        </w:rPr>
        <w:t>Заключение</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Оставащите месеци от този мандат ще бъдат от решаващо значение, за да покажем на гражданите, че сме изпълнили програмата си за работни места, растеж, справедливост и демократична промяна. В Работната програма на Комисията за 2019 г. е очертан ясен и целенасочен дневен ред за приключване на работата, с която се ангажирахме в началото на този мандат. Комисията ще продължи да работи активно с Европейския парламент и Съвета за приключването на тази програма, като се приемат и изпълнят всички предложения, които е представила. Това общо усилие е от решаващо значение, ако искаме да покажем на гражданите, че Европа е способна да се отличи с целенасочени и ефективни действия и осезаеми резултати. На 9 май в Сибиу ще можем също така да покажем, че Европейският съюз от 27 държави членки има ясна перспектива за бъдещето и е укрепил основите на една силна, обединена и суверенна Европа.  </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5510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1A5"/>
    <w:multiLevelType w:val="hybridMultilevel"/>
    <w:tmpl w:val="B708544A"/>
    <w:lvl w:ilvl="0" w:tplc="3D3CB81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B120576"/>
    <w:multiLevelType w:val="hybridMultilevel"/>
    <w:tmpl w:val="58540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drawingGridHorizontalSpacing w:val="8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5C2AC88-9C00-4B51-A5A2-DACE382F8415"/>
    <w:docVar w:name="LW_COVERPAGE_TYPE" w:val="1"/>
    <w:docVar w:name="LW_CROSSREFERENCE" w:val="&lt;UNUSED&gt;"/>
    <w:docVar w:name="LW_DATE.ADOPT.CP_ISODATE" w:val="&lt;EMPTY&gt;"/>
    <w:docVar w:name="LW_DocType" w:val="NORMAL"/>
    <w:docVar w:name="LW_EMISSION" w:val="23.10.2018"/>
    <w:docVar w:name="LW_EMISSION_ISODATE" w:val="2018-10-23"/>
    <w:docVar w:name="LW_EMISSION_LOCATION" w:val="STR"/>
    <w:docVar w:name="LW_EMISSION_PREFIX" w:val="Страсбург, "/>
    <w:docVar w:name="LW_EMISSION_SUFFIX" w:val=" \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6?\u1072?\u1073?\u1086?\u1090?\u1085?\u1072? \u1087?\u1088?\u1086?\u1075?\u1088?\u1072?\u1084?\u1072? \u1085?\u1072? \u1050?\u1086?\u1084?\u1080?\u1089?\u1080?\u1103?\u1090?\u1072? \u1079?\u1072? 2019 \u1075?._x000b__x000b_&lt;FMT:Bold&gt;\u1048?\u1079?\u1087?\u1098?\u1083?\u1085?\u1077?\u1085?\u1080?\u1077? \u1085?\u1072? \u1085?\u1072?\u1096?\u1080?\u1090?\u1077? \u1086?\u1073?\u1077?\u1097?\u1072?\u1085?\u1080?\u1103? \u1080? \u1087?\u1086?\u1076?\u1075?\u1086?\u1090?\u1086?\u1074?\u1082?\u1072? \u1079?\u1072? \u1073?\u1098?\u1076?\u1077?\u1097?\u1077?\u1090?\u1086?&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23781">
      <w:bodyDiv w:val="1"/>
      <w:marLeft w:val="0"/>
      <w:marRight w:val="0"/>
      <w:marTop w:val="0"/>
      <w:marBottom w:val="0"/>
      <w:divBdr>
        <w:top w:val="none" w:sz="0" w:space="0" w:color="auto"/>
        <w:left w:val="none" w:sz="0" w:space="0" w:color="auto"/>
        <w:bottom w:val="none" w:sz="0" w:space="0" w:color="auto"/>
        <w:right w:val="none" w:sz="0" w:space="0" w:color="auto"/>
      </w:divBdr>
    </w:div>
    <w:div w:id="18230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46F0E-84F6-4EC1-9592-E618F285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5948</Words>
  <Characters>34504</Characters>
  <Application>Microsoft Office Word</Application>
  <DocSecurity>0</DocSecurity>
  <Lines>565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2018-10-22T16:21:00Z</dcterms:created>
  <dcterms:modified xsi:type="dcterms:W3CDTF">2018-11-09T16:36:00Z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