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F7" w:rsidRDefault="00966621" w:rsidP="0096662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427DF04-22C1-4F3D-A249-D98907B39324" style="width:450.75pt;height:540.75pt">
            <v:imagedata r:id="rId8" o:title=""/>
          </v:shape>
        </w:pict>
      </w:r>
    </w:p>
    <w:p w:rsidR="007917F7" w:rsidRDefault="007917F7">
      <w:pPr>
        <w:rPr>
          <w:noProof/>
        </w:rPr>
        <w:sectPr w:rsidR="007917F7" w:rsidSect="0096662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7917F7" w:rsidRDefault="00966621">
      <w:pPr>
        <w:pStyle w:val="Exposdesmotifstitre"/>
        <w:rPr>
          <w:noProof/>
        </w:rPr>
      </w:pPr>
      <w:bookmarkStart w:id="0" w:name="_GoBack"/>
      <w:bookmarkEnd w:id="0"/>
      <w:r>
        <w:rPr>
          <w:noProof/>
        </w:rPr>
        <w:lastRenderedPageBreak/>
        <w:t>ОБЯСНИТЕЛЕН МЕМОРАНДУМ</w:t>
      </w:r>
    </w:p>
    <w:p w:rsidR="007917F7" w:rsidRDefault="00966621">
      <w:pPr>
        <w:pStyle w:val="ManualHeading1"/>
        <w:rPr>
          <w:noProof/>
        </w:rPr>
      </w:pPr>
      <w:r>
        <w:rPr>
          <w:noProof/>
        </w:rPr>
        <w:t>1.</w:t>
      </w:r>
      <w:r>
        <w:rPr>
          <w:noProof/>
        </w:rPr>
        <w:tab/>
        <w:t>КОНТЕКСТ НА ПРЕДЛОЖЕНИЕТО</w:t>
      </w:r>
    </w:p>
    <w:p w:rsidR="007917F7" w:rsidRDefault="00966621">
      <w:pPr>
        <w:pStyle w:val="ManualHeading2"/>
        <w:rPr>
          <w:noProof/>
        </w:rPr>
      </w:pPr>
      <w:r>
        <w:rPr>
          <w:noProof/>
        </w:rPr>
        <w:t>•</w:t>
      </w:r>
      <w:r>
        <w:rPr>
          <w:noProof/>
        </w:rPr>
        <w:tab/>
        <w:t>Основания и цели на предложението</w:t>
      </w:r>
    </w:p>
    <w:p w:rsidR="007917F7" w:rsidRDefault="00966621">
      <w:pPr>
        <w:pBdr>
          <w:top w:val="nil"/>
          <w:left w:val="nil"/>
          <w:bottom w:val="nil"/>
          <w:right w:val="nil"/>
          <w:between w:val="nil"/>
          <w:bar w:val="nil"/>
        </w:pBdr>
        <w:spacing w:before="0" w:after="240"/>
        <w:rPr>
          <w:noProof/>
        </w:rPr>
      </w:pPr>
      <w:r>
        <w:rPr>
          <w:noProof/>
        </w:rPr>
        <w:t>Настоящото предложение на Комисията за решение на Съвета има за цел да бъдат официално сключени компенсаторните споразумения, постигнати между Европейския съюз и няколко членове на СТО, с оглед да се стигне до консолидиран списък със специфичните задължени</w:t>
      </w:r>
      <w:r>
        <w:rPr>
          <w:noProof/>
        </w:rPr>
        <w:t xml:space="preserve">я по ГАТС, включващ всички държави членки, които са били членове на Европейския съюз през 2006 г. (наричани по-нататък „Споразуменията“). </w:t>
      </w:r>
    </w:p>
    <w:p w:rsidR="007917F7" w:rsidRDefault="00966621">
      <w:pPr>
        <w:pBdr>
          <w:top w:val="nil"/>
          <w:left w:val="nil"/>
          <w:bottom w:val="nil"/>
          <w:right w:val="nil"/>
          <w:between w:val="nil"/>
          <w:bar w:val="nil"/>
        </w:pBdr>
        <w:spacing w:before="0" w:after="240"/>
        <w:rPr>
          <w:noProof/>
        </w:rPr>
      </w:pPr>
      <w:r>
        <w:rPr>
          <w:noProof/>
        </w:rPr>
        <w:t xml:space="preserve">Редът и условията, съгласно които членовете на СТО допускат до своите пазари услуги и доставчици на услуги на други </w:t>
      </w:r>
      <w:r>
        <w:rPr>
          <w:noProof/>
        </w:rPr>
        <w:t>членове на СТО, са посочени в техните списъци със специфични задължения по ГАТС. Първоначалният списък със специфични задължения на Европейския съюз и неговите държави членки (наричан по-нататък „списъкът на ЕС по ГАТС“) датира от 1994 г. и се отнася единс</w:t>
      </w:r>
      <w:r>
        <w:rPr>
          <w:noProof/>
        </w:rPr>
        <w:t>твено за онези дванадесет държави членки, които бяха членове на Европейския съюз по онова време. Тринадесетте държави членки, които се присъединиха към Европейския съюз през 1995 г. и 2004 г., продължиха да поддържат индивидуалните си списъци по ГАТС, прие</w:t>
      </w:r>
      <w:r>
        <w:rPr>
          <w:noProof/>
        </w:rPr>
        <w:t>ти преди присъединяването им към Европейския съюз.</w:t>
      </w:r>
    </w:p>
    <w:p w:rsidR="007917F7" w:rsidRDefault="00966621">
      <w:pPr>
        <w:pBdr>
          <w:top w:val="nil"/>
          <w:left w:val="nil"/>
          <w:bottom w:val="nil"/>
          <w:right w:val="nil"/>
          <w:between w:val="nil"/>
          <w:bar w:val="nil"/>
        </w:pBdr>
        <w:spacing w:before="0" w:after="240"/>
        <w:rPr>
          <w:noProof/>
        </w:rPr>
      </w:pPr>
      <w:r>
        <w:rPr>
          <w:noProof/>
        </w:rPr>
        <w:t>За да се гарантира, че тези тринадесет държави членки не продължават да поемат задължения, които да са в нарушение на достиженията на правото на ЕС, и че са обхванати от хоризонталните ограничения, включен</w:t>
      </w:r>
      <w:r>
        <w:rPr>
          <w:noProof/>
        </w:rPr>
        <w:t>и в списъка на ЕС по ГАТС, беше необходимо да се отбележи изменението и оттеглянето на определени специфични задължения, включени в списъка на ЕС по ГАТС и в индивидуалните списъци по ГАТС на съответните тринадесет държави членки, и тези индивидуални списъ</w:t>
      </w:r>
      <w:r>
        <w:rPr>
          <w:noProof/>
        </w:rPr>
        <w:t>ци да се консолидират със списъка на ЕС по ГАТС.</w:t>
      </w:r>
    </w:p>
    <w:p w:rsidR="007917F7" w:rsidRDefault="00966621">
      <w:pPr>
        <w:pBdr>
          <w:top w:val="nil"/>
          <w:left w:val="nil"/>
          <w:bottom w:val="nil"/>
          <w:right w:val="nil"/>
          <w:between w:val="nil"/>
          <w:bar w:val="nil"/>
        </w:pBdr>
        <w:spacing w:before="0" w:after="240"/>
        <w:rPr>
          <w:noProof/>
        </w:rPr>
      </w:pPr>
      <w:r>
        <w:rPr>
          <w:noProof/>
        </w:rPr>
        <w:t>За тази цел на 28 май 2004 г. Европейският съюз уведоми СТО за изменението и оттеглянето на определени задължения, включени в списъка на ЕС по ГАТС и в списъците по ГАТС на съответните тринадесет държави чле</w:t>
      </w:r>
      <w:r>
        <w:rPr>
          <w:noProof/>
        </w:rPr>
        <w:t>нки. След това Европейският съюз започна преговори с осемнадесет членове на СТО, които твърдяха, че са засегнати от тези изменения и оттегляния, съгласно член ХХІ от ГАТС. В хода на тези преговори, в съответствие със заключенията на Съвета от 26 юли 2006 г</w:t>
      </w:r>
      <w:r>
        <w:rPr>
          <w:noProof/>
        </w:rPr>
        <w:t>.</w:t>
      </w:r>
      <w:r>
        <w:rPr>
          <w:rStyle w:val="FootnoteReference"/>
          <w:noProof/>
        </w:rPr>
        <w:footnoteReference w:id="1"/>
      </w:r>
      <w:r>
        <w:rPr>
          <w:noProof/>
        </w:rPr>
        <w:t>, Европейският съюз постигна съгласие по отношение на обезщетението, което да бъде предложено на засегнатите членове на СТО. Отбелязаните изменения и оттегляния, заедно с договорените компенсаторни корекции, бяха включени в консолидиран списък на ЕО по Г</w:t>
      </w:r>
      <w:r>
        <w:rPr>
          <w:noProof/>
        </w:rPr>
        <w:t>АТС, сертифицирането на който приключи съгласно приложимите правила на СТО на 15 декември 2006 г.</w:t>
      </w:r>
    </w:p>
    <w:p w:rsidR="007917F7" w:rsidRDefault="00966621">
      <w:pPr>
        <w:pBdr>
          <w:top w:val="nil"/>
          <w:left w:val="nil"/>
          <w:bottom w:val="nil"/>
          <w:right w:val="nil"/>
          <w:between w:val="nil"/>
          <w:bar w:val="nil"/>
        </w:pBdr>
        <w:spacing w:before="0" w:after="240"/>
        <w:rPr>
          <w:noProof/>
        </w:rPr>
      </w:pPr>
      <w:r>
        <w:rPr>
          <w:noProof/>
        </w:rPr>
        <w:t>По този начин Европейският съюз стана първият член на Световната търговска организация, който приложи успешно разпоредбите на ГАТС относно изменението и оттег</w:t>
      </w:r>
      <w:r>
        <w:rPr>
          <w:noProof/>
        </w:rPr>
        <w:t>лянето на задължения. Успешното консолидиране на списъка на ЕС по ГАТС даде възможност задълженията от него в областта на услугите да се изложат в единен документ, който по онова време обхващаше двадесет и пет държави членки (наричан по-нататък „консолидир</w:t>
      </w:r>
      <w:r>
        <w:rPr>
          <w:noProof/>
        </w:rPr>
        <w:t>ан списък на ЕС-25“).</w:t>
      </w:r>
    </w:p>
    <w:p w:rsidR="007917F7" w:rsidRDefault="00966621">
      <w:pPr>
        <w:pBdr>
          <w:top w:val="nil"/>
          <w:left w:val="nil"/>
          <w:bottom w:val="nil"/>
          <w:right w:val="nil"/>
          <w:between w:val="nil"/>
          <w:bar w:val="nil"/>
        </w:pBdr>
        <w:spacing w:before="0" w:after="240"/>
        <w:rPr>
          <w:noProof/>
        </w:rPr>
      </w:pPr>
      <w:r>
        <w:rPr>
          <w:noProof/>
        </w:rPr>
        <w:t xml:space="preserve">Договорените компенсаторни корекции представляваха задоволителен и балансиран резултат от преговорите, поради което следва да бъдат одобрени от името на Европейския съюз. </w:t>
      </w:r>
    </w:p>
    <w:p w:rsidR="007917F7" w:rsidRDefault="00966621">
      <w:pPr>
        <w:pBdr>
          <w:top w:val="nil"/>
          <w:left w:val="nil"/>
          <w:bottom w:val="nil"/>
          <w:right w:val="nil"/>
          <w:between w:val="nil"/>
          <w:bar w:val="nil"/>
        </w:pBdr>
        <w:spacing w:before="0" w:after="240"/>
        <w:rPr>
          <w:noProof/>
        </w:rPr>
      </w:pPr>
      <w:r>
        <w:rPr>
          <w:noProof/>
        </w:rPr>
        <w:t>Вследствие на това на 27 март 2007 г. Комисията представи пред</w:t>
      </w:r>
      <w:r>
        <w:rPr>
          <w:noProof/>
        </w:rPr>
        <w:t>ложение за решение на Съвета относно сключването на Споразуменията</w:t>
      </w:r>
      <w:r>
        <w:rPr>
          <w:rStyle w:val="FootnoteReference"/>
          <w:noProof/>
        </w:rPr>
        <w:footnoteReference w:id="2"/>
      </w:r>
      <w:r>
        <w:rPr>
          <w:noProof/>
        </w:rPr>
        <w:t xml:space="preserve">. </w:t>
      </w:r>
    </w:p>
    <w:p w:rsidR="007917F7" w:rsidRDefault="00966621">
      <w:pPr>
        <w:pBdr>
          <w:top w:val="nil"/>
          <w:left w:val="nil"/>
          <w:bottom w:val="nil"/>
          <w:right w:val="nil"/>
          <w:between w:val="nil"/>
          <w:bar w:val="nil"/>
        </w:pBdr>
        <w:spacing w:before="0" w:after="240"/>
        <w:rPr>
          <w:noProof/>
        </w:rPr>
      </w:pPr>
      <w:r>
        <w:rPr>
          <w:noProof/>
        </w:rPr>
        <w:t>На 23 юли 2007 г. Съветът постигна договореност по текста на проекторешение на Съвета и на представителите на правителствата на държавите членки на срещата в рамките на Съвета, одобряващ</w:t>
      </w:r>
      <w:r>
        <w:rPr>
          <w:noProof/>
        </w:rPr>
        <w:t>о сключването на Споразуменията от името на Европейския съюз и неговите държави членки</w:t>
      </w:r>
      <w:r>
        <w:rPr>
          <w:rStyle w:val="FootnoteReference"/>
          <w:noProof/>
        </w:rPr>
        <w:footnoteReference w:id="3"/>
      </w:r>
      <w:r>
        <w:rPr>
          <w:noProof/>
        </w:rPr>
        <w:t>.</w:t>
      </w:r>
    </w:p>
    <w:p w:rsidR="007917F7" w:rsidRDefault="00966621">
      <w:pPr>
        <w:pBdr>
          <w:top w:val="nil"/>
          <w:left w:val="nil"/>
          <w:bottom w:val="nil"/>
          <w:right w:val="nil"/>
          <w:between w:val="nil"/>
          <w:bar w:val="nil"/>
        </w:pBdr>
        <w:spacing w:before="0" w:after="240"/>
        <w:rPr>
          <w:noProof/>
        </w:rPr>
      </w:pPr>
      <w:r>
        <w:rPr>
          <w:noProof/>
        </w:rPr>
        <w:t>На 11 октомври 2007 г. Парламентът, в процедура на консултация, одобри сключването на Споразуменията</w:t>
      </w:r>
      <w:r>
        <w:rPr>
          <w:rStyle w:val="FootnoteReference"/>
          <w:noProof/>
        </w:rPr>
        <w:footnoteReference w:id="4"/>
      </w:r>
      <w:r>
        <w:rPr>
          <w:noProof/>
        </w:rPr>
        <w:t>.</w:t>
      </w:r>
    </w:p>
    <w:p w:rsidR="007917F7" w:rsidRDefault="00966621">
      <w:pPr>
        <w:pBdr>
          <w:top w:val="nil"/>
          <w:left w:val="nil"/>
          <w:bottom w:val="nil"/>
          <w:right w:val="nil"/>
          <w:between w:val="nil"/>
          <w:bar w:val="nil"/>
        </w:pBdr>
        <w:spacing w:before="0" w:after="240"/>
        <w:rPr>
          <w:noProof/>
        </w:rPr>
      </w:pPr>
      <w:r>
        <w:rPr>
          <w:noProof/>
        </w:rPr>
        <w:t>На този етап Съветът все още не е одобрил сключването на Споразу</w:t>
      </w:r>
      <w:r>
        <w:rPr>
          <w:noProof/>
        </w:rPr>
        <w:t xml:space="preserve">менията, които не са ратифицирани от всички засегнати държави членки. </w:t>
      </w:r>
    </w:p>
    <w:p w:rsidR="007917F7" w:rsidRDefault="00966621">
      <w:pPr>
        <w:pBdr>
          <w:top w:val="nil"/>
          <w:left w:val="nil"/>
          <w:bottom w:val="nil"/>
          <w:right w:val="nil"/>
          <w:between w:val="nil"/>
          <w:bar w:val="nil"/>
        </w:pBdr>
        <w:spacing w:before="0" w:after="240"/>
        <w:rPr>
          <w:noProof/>
        </w:rPr>
      </w:pPr>
      <w:r>
        <w:rPr>
          <w:noProof/>
        </w:rPr>
        <w:t>Фактът, че Споразуменията все още не са официално сключени, е пречка за процеса на консолидиране на списъка на ЕС по ГАТС по отношение на държавите членки, присъединили се към Европейск</w:t>
      </w:r>
      <w:r>
        <w:rPr>
          <w:noProof/>
        </w:rPr>
        <w:t>ия съюз след 2006 г., тъй като членовете на СТО, които твърдят, че са засегнати от измененията на списъците на тези държави членки, отказват да участват в този процес, докато не бъде изяснен правният статут на Споразуменията.</w:t>
      </w:r>
    </w:p>
    <w:p w:rsidR="007917F7" w:rsidRDefault="00966621">
      <w:pPr>
        <w:pStyle w:val="ManualHeading2"/>
        <w:rPr>
          <w:noProof/>
        </w:rPr>
      </w:pPr>
      <w:r>
        <w:rPr>
          <w:noProof/>
        </w:rPr>
        <w:t>•</w:t>
      </w:r>
      <w:r>
        <w:rPr>
          <w:noProof/>
        </w:rPr>
        <w:tab/>
        <w:t>Съгласуваност със съществува</w:t>
      </w:r>
      <w:r>
        <w:rPr>
          <w:noProof/>
        </w:rPr>
        <w:t>щите разпоредби в тази област на политиката</w:t>
      </w:r>
    </w:p>
    <w:p w:rsidR="007917F7" w:rsidRDefault="00966621">
      <w:pPr>
        <w:pBdr>
          <w:top w:val="nil"/>
          <w:left w:val="nil"/>
          <w:bottom w:val="nil"/>
          <w:right w:val="nil"/>
          <w:between w:val="nil"/>
          <w:bar w:val="nil"/>
        </w:pBdr>
        <w:spacing w:before="0" w:after="240"/>
        <w:rPr>
          <w:noProof/>
        </w:rPr>
      </w:pPr>
      <w:r>
        <w:rPr>
          <w:noProof/>
        </w:rPr>
        <w:t>Договарянето и сключването на Споразуменията са необходима стъпка за влизането в сила на общ списък по ГАТС за целия Европейски съюз. Влизането в сила на списъка на ЕС-25 е необходимо, от една страна, за да се га</w:t>
      </w:r>
      <w:r>
        <w:rPr>
          <w:noProof/>
        </w:rPr>
        <w:t>рантира, че всички засегнати държави членки са обхванати от едни и същи хоризонтални ограничения и че техните задължения не са в нарушение на достиженията на правото на ЕС, а от друга страна, за да се постигне напредък в процесите за по-нататъшно консолиди</w:t>
      </w:r>
      <w:r>
        <w:rPr>
          <w:noProof/>
        </w:rPr>
        <w:t>ране.</w:t>
      </w:r>
    </w:p>
    <w:p w:rsidR="007917F7" w:rsidRDefault="00966621">
      <w:pPr>
        <w:pStyle w:val="ManualHeading2"/>
        <w:rPr>
          <w:noProof/>
        </w:rPr>
      </w:pPr>
      <w:r>
        <w:rPr>
          <w:noProof/>
        </w:rPr>
        <w:t>•</w:t>
      </w:r>
      <w:r>
        <w:rPr>
          <w:noProof/>
        </w:rPr>
        <w:tab/>
        <w:t>Съгласуваност с другите политики на Съюза</w:t>
      </w:r>
    </w:p>
    <w:p w:rsidR="007917F7" w:rsidRDefault="00966621">
      <w:pPr>
        <w:pBdr>
          <w:top w:val="nil"/>
          <w:left w:val="nil"/>
          <w:bottom w:val="nil"/>
          <w:right w:val="nil"/>
          <w:between w:val="nil"/>
          <w:bar w:val="nil"/>
        </w:pBdr>
        <w:spacing w:before="0" w:after="240"/>
        <w:rPr>
          <w:noProof/>
        </w:rPr>
      </w:pPr>
      <w:r>
        <w:rPr>
          <w:noProof/>
        </w:rPr>
        <w:t>Споразуменията са в пълно съответствие с политиките на Европейския съюз и не изискват от Европейския съюз да променя своите правила, разпоредби или стандарти в нито една регулирана област. Споразуменията за</w:t>
      </w:r>
      <w:r>
        <w:rPr>
          <w:noProof/>
        </w:rPr>
        <w:t>щитават обществените услуги и не засягат по никакъв начин правото на правителствата да приемат разпоредби в защита на обществения интерес.</w:t>
      </w:r>
    </w:p>
    <w:p w:rsidR="007917F7" w:rsidRDefault="00966621">
      <w:pPr>
        <w:pStyle w:val="ManualHeading1"/>
        <w:rPr>
          <w:noProof/>
        </w:rPr>
      </w:pPr>
      <w:r>
        <w:rPr>
          <w:noProof/>
        </w:rPr>
        <w:t>2.</w:t>
      </w:r>
      <w:r>
        <w:rPr>
          <w:noProof/>
        </w:rPr>
        <w:tab/>
        <w:t>ПРАВНО ОСНОВАНИЕ, СУБСИДИАРНОСТ И ПРОПОРЦИОНАЛНОСТ</w:t>
      </w:r>
    </w:p>
    <w:p w:rsidR="007917F7" w:rsidRDefault="00966621">
      <w:pPr>
        <w:pStyle w:val="ManualHeading2"/>
        <w:rPr>
          <w:noProof/>
        </w:rPr>
      </w:pPr>
      <w:r>
        <w:rPr>
          <w:noProof/>
        </w:rPr>
        <w:t>•</w:t>
      </w:r>
      <w:r>
        <w:rPr>
          <w:noProof/>
        </w:rPr>
        <w:tab/>
        <w:t>Правно основание</w:t>
      </w:r>
    </w:p>
    <w:p w:rsidR="007917F7" w:rsidRDefault="00966621">
      <w:pPr>
        <w:pBdr>
          <w:top w:val="nil"/>
          <w:left w:val="nil"/>
          <w:bottom w:val="nil"/>
          <w:right w:val="nil"/>
          <w:between w:val="nil"/>
          <w:bar w:val="nil"/>
        </w:pBdr>
        <w:spacing w:before="0" w:after="240"/>
        <w:rPr>
          <w:noProof/>
        </w:rPr>
      </w:pPr>
      <w:r>
        <w:rPr>
          <w:noProof/>
        </w:rPr>
        <w:t>На 18 февруари 2008 г. Комисията сезира Съда</w:t>
      </w:r>
      <w:r>
        <w:rPr>
          <w:noProof/>
        </w:rPr>
        <w:t xml:space="preserve"> на Европейския съюз за становище по силата на член 300, параграф 6 ЕО по въпроса дали Европейският съюз притежава необходимата компетентност да подпише и сключи самостоятелно Споразуменията. В своето Становище 1/08 от 30 ноември 2009 г.</w:t>
      </w:r>
      <w:r>
        <w:rPr>
          <w:rStyle w:val="FootnoteReference"/>
          <w:noProof/>
        </w:rPr>
        <w:footnoteReference w:id="5"/>
      </w:r>
      <w:r>
        <w:rPr>
          <w:noProof/>
        </w:rPr>
        <w:t xml:space="preserve"> Съдът стигна до з</w:t>
      </w:r>
      <w:r>
        <w:rPr>
          <w:noProof/>
        </w:rPr>
        <w:t>аключението, че съгласно правилата, съществуващи преди влизането в сила на Договора от Лисабон, Споразуменията трябва да бъдат сключени от Европейския съюз и неговите държави членки.</w:t>
      </w:r>
    </w:p>
    <w:p w:rsidR="007917F7" w:rsidRDefault="00966621">
      <w:pPr>
        <w:pBdr>
          <w:top w:val="nil"/>
          <w:left w:val="nil"/>
          <w:bottom w:val="nil"/>
          <w:right w:val="nil"/>
          <w:between w:val="nil"/>
          <w:bar w:val="nil"/>
        </w:pBdr>
        <w:spacing w:before="0" w:after="240"/>
        <w:rPr>
          <w:noProof/>
        </w:rPr>
      </w:pPr>
      <w:r>
        <w:rPr>
          <w:noProof/>
        </w:rPr>
        <w:t>В своето становище 2/15 от 16 май 2017 г.</w:t>
      </w:r>
      <w:r>
        <w:rPr>
          <w:rStyle w:val="FootnoteReference"/>
          <w:noProof/>
        </w:rPr>
        <w:footnoteReference w:id="6"/>
      </w:r>
      <w:r>
        <w:rPr>
          <w:noProof/>
        </w:rPr>
        <w:t xml:space="preserve"> Съдът потвърди, съгласно прави</w:t>
      </w:r>
      <w:r>
        <w:rPr>
          <w:noProof/>
        </w:rPr>
        <w:t>лата, съществуващи след влизането в сила на Договора от Лисабон, изключителната компетентност на ЕС по отношение на всички въпроси, обхванати от споразумението, договорено със Сингапур, освен непреките инвестиции и уреждането на спорове между държава и инв</w:t>
      </w:r>
      <w:r>
        <w:rPr>
          <w:noProof/>
        </w:rPr>
        <w:t>еститор, по които държавите членки са ответници — сфери, за които Съдът счита, че са от споделена компетентност между ЕС и държавите членки. Съдът стигна до заключението за изключителната компетентност на ЕС въз основа на обхвата на общата търговска полити</w:t>
      </w:r>
      <w:r>
        <w:rPr>
          <w:noProof/>
        </w:rPr>
        <w:t>ка по член 207, параграф 1 от ДФЕС и въз основа на член 3, параграф 2 от ДФЕС (на базата на факта, че са засегнати съществуващите общи правила, съдържащи се във вторичното законодателство).</w:t>
      </w:r>
    </w:p>
    <w:p w:rsidR="007917F7" w:rsidRDefault="00966621">
      <w:pPr>
        <w:pBdr>
          <w:top w:val="nil"/>
          <w:left w:val="nil"/>
          <w:bottom w:val="nil"/>
          <w:right w:val="nil"/>
          <w:between w:val="nil"/>
          <w:bar w:val="nil"/>
        </w:pBdr>
        <w:spacing w:before="0" w:after="240"/>
        <w:rPr>
          <w:noProof/>
        </w:rPr>
      </w:pPr>
      <w:r>
        <w:rPr>
          <w:noProof/>
        </w:rPr>
        <w:t>Съгласно становище 2/15 за всички въпроси, обхванати от Споразумен</w:t>
      </w:r>
      <w:r>
        <w:rPr>
          <w:noProof/>
        </w:rPr>
        <w:t xml:space="preserve">ията, трябва да се счита, че са в обхвата на компетентността на Европейския съюз, и по-специално в обхвата на член 91, член 100, параграф 2 и член 207 от ДФЕС. </w:t>
      </w:r>
    </w:p>
    <w:p w:rsidR="007917F7" w:rsidRDefault="00966621">
      <w:pPr>
        <w:pBdr>
          <w:top w:val="nil"/>
          <w:left w:val="nil"/>
          <w:bottom w:val="nil"/>
          <w:right w:val="nil"/>
          <w:between w:val="nil"/>
          <w:bar w:val="nil"/>
        </w:pBdr>
        <w:spacing w:before="0" w:after="240"/>
        <w:rPr>
          <w:noProof/>
        </w:rPr>
      </w:pPr>
      <w:r>
        <w:rPr>
          <w:noProof/>
        </w:rPr>
        <w:t>Споразуменията трябва да се сключат от Европейския съюз съгласно решение на Съвета на основание</w:t>
      </w:r>
      <w:r>
        <w:rPr>
          <w:noProof/>
        </w:rPr>
        <w:t xml:space="preserve"> член 218, параграф 6 от ДФЕС, след като се получи съгласието на Европейския парламент.</w:t>
      </w:r>
    </w:p>
    <w:p w:rsidR="007917F7" w:rsidRDefault="00966621">
      <w:pPr>
        <w:pStyle w:val="ManualHeading2"/>
        <w:rPr>
          <w:noProof/>
        </w:rPr>
      </w:pPr>
      <w:r>
        <w:rPr>
          <w:noProof/>
        </w:rPr>
        <w:t>•</w:t>
      </w:r>
      <w:r>
        <w:rPr>
          <w:noProof/>
        </w:rPr>
        <w:tab/>
        <w:t xml:space="preserve">Субсидиарност (при неизключителна компетентност) </w:t>
      </w:r>
    </w:p>
    <w:p w:rsidR="007917F7" w:rsidRDefault="00966621">
      <w:pPr>
        <w:pBdr>
          <w:top w:val="nil"/>
          <w:left w:val="nil"/>
          <w:bottom w:val="nil"/>
          <w:right w:val="nil"/>
          <w:between w:val="nil"/>
          <w:bar w:val="nil"/>
        </w:pBdr>
        <w:spacing w:before="0" w:after="240"/>
        <w:rPr>
          <w:noProof/>
        </w:rPr>
      </w:pPr>
      <w:r>
        <w:rPr>
          <w:noProof/>
        </w:rPr>
        <w:t>Представените на Съвета Споразумения не обхващат аспекти, които са извън изключителната компетентност на Европейския</w:t>
      </w:r>
      <w:r>
        <w:rPr>
          <w:noProof/>
        </w:rPr>
        <w:t xml:space="preserve"> съюз.</w:t>
      </w:r>
    </w:p>
    <w:p w:rsidR="007917F7" w:rsidRDefault="00966621">
      <w:pPr>
        <w:pStyle w:val="ManualHeading2"/>
        <w:rPr>
          <w:noProof/>
        </w:rPr>
      </w:pPr>
      <w:r>
        <w:rPr>
          <w:noProof/>
        </w:rPr>
        <w:t>•</w:t>
      </w:r>
      <w:r>
        <w:rPr>
          <w:noProof/>
        </w:rPr>
        <w:tab/>
        <w:t>Пропорционалност</w:t>
      </w:r>
    </w:p>
    <w:p w:rsidR="007917F7" w:rsidRDefault="00966621">
      <w:pPr>
        <w:pBdr>
          <w:top w:val="nil"/>
          <w:left w:val="nil"/>
          <w:bottom w:val="nil"/>
          <w:right w:val="nil"/>
          <w:between w:val="nil"/>
          <w:bar w:val="nil"/>
        </w:pBdr>
        <w:spacing w:before="0" w:after="240"/>
        <w:rPr>
          <w:noProof/>
        </w:rPr>
      </w:pPr>
      <w:r>
        <w:rPr>
          <w:noProof/>
        </w:rPr>
        <w:t>Предложението за сключване на Споразуменията не надхвърля необходимото за постигането на целта да се разполага с консолидиран списък по ГАТС за целия Европейски съюз.</w:t>
      </w:r>
    </w:p>
    <w:p w:rsidR="007917F7" w:rsidRDefault="00966621">
      <w:pPr>
        <w:pStyle w:val="ManualHeading2"/>
        <w:rPr>
          <w:noProof/>
        </w:rPr>
      </w:pPr>
      <w:r>
        <w:rPr>
          <w:noProof/>
        </w:rPr>
        <w:t>•</w:t>
      </w:r>
      <w:r>
        <w:rPr>
          <w:noProof/>
        </w:rPr>
        <w:tab/>
        <w:t>Избор на инструмент</w:t>
      </w:r>
    </w:p>
    <w:p w:rsidR="007917F7" w:rsidRDefault="00966621">
      <w:pPr>
        <w:pBdr>
          <w:top w:val="nil"/>
          <w:left w:val="nil"/>
          <w:bottom w:val="nil"/>
          <w:right w:val="nil"/>
          <w:between w:val="nil"/>
          <w:bar w:val="nil"/>
        </w:pBdr>
        <w:spacing w:before="0" w:after="240"/>
        <w:rPr>
          <w:noProof/>
        </w:rPr>
      </w:pPr>
      <w:r>
        <w:rPr>
          <w:noProof/>
        </w:rPr>
        <w:t xml:space="preserve">Настоящото предложение за Решение на </w:t>
      </w:r>
      <w:r>
        <w:rPr>
          <w:noProof/>
        </w:rPr>
        <w:t>Съвета се представя в съответствие с член 218, параграф 6 от ДФЕС, който предвижда Съветът да приеме решение с оглед на оправомощаването за сключване на споразумението. Не съществува друг правен инструмент, който би могъл да се използва за постигане на цел</w:t>
      </w:r>
      <w:r>
        <w:rPr>
          <w:noProof/>
        </w:rPr>
        <w:t>та, изложена в настоящото предложение.</w:t>
      </w:r>
    </w:p>
    <w:p w:rsidR="007917F7" w:rsidRDefault="00966621">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7917F7" w:rsidRDefault="00966621">
      <w:pPr>
        <w:pStyle w:val="ManualHeading2"/>
        <w:rPr>
          <w:noProof/>
        </w:rPr>
      </w:pPr>
      <w:r>
        <w:rPr>
          <w:noProof/>
        </w:rPr>
        <w:t>•</w:t>
      </w:r>
      <w:r>
        <w:rPr>
          <w:noProof/>
        </w:rPr>
        <w:tab/>
        <w:t>Последващи оценки/проверки за пригодност на действащото законодателство</w:t>
      </w:r>
    </w:p>
    <w:p w:rsidR="007917F7" w:rsidRDefault="00966621">
      <w:pPr>
        <w:pBdr>
          <w:top w:val="nil"/>
          <w:left w:val="nil"/>
          <w:bottom w:val="nil"/>
          <w:right w:val="nil"/>
          <w:between w:val="nil"/>
          <w:bar w:val="nil"/>
        </w:pBdr>
        <w:spacing w:before="0" w:after="240"/>
        <w:rPr>
          <w:noProof/>
        </w:rPr>
      </w:pPr>
      <w:r>
        <w:rPr>
          <w:noProof/>
        </w:rPr>
        <w:t>Не е приложимо</w:t>
      </w:r>
    </w:p>
    <w:p w:rsidR="007917F7" w:rsidRDefault="00966621">
      <w:pPr>
        <w:pStyle w:val="ManualHeading2"/>
        <w:rPr>
          <w:noProof/>
        </w:rPr>
      </w:pPr>
      <w:r>
        <w:rPr>
          <w:noProof/>
        </w:rPr>
        <w:t>•</w:t>
      </w:r>
      <w:r>
        <w:rPr>
          <w:noProof/>
        </w:rPr>
        <w:tab/>
        <w:t>Консултации със заинтер</w:t>
      </w:r>
      <w:r>
        <w:rPr>
          <w:noProof/>
        </w:rPr>
        <w:t>есованите страни</w:t>
      </w:r>
    </w:p>
    <w:p w:rsidR="007917F7" w:rsidRDefault="00966621">
      <w:pPr>
        <w:pBdr>
          <w:top w:val="nil"/>
          <w:left w:val="nil"/>
          <w:bottom w:val="nil"/>
          <w:right w:val="nil"/>
          <w:between w:val="nil"/>
          <w:bar w:val="nil"/>
        </w:pBdr>
        <w:spacing w:before="0" w:after="240"/>
        <w:rPr>
          <w:noProof/>
        </w:rPr>
      </w:pPr>
      <w:r>
        <w:rPr>
          <w:noProof/>
        </w:rPr>
        <w:t>Не е приложимо</w:t>
      </w:r>
    </w:p>
    <w:p w:rsidR="007917F7" w:rsidRDefault="00966621">
      <w:pPr>
        <w:pStyle w:val="ManualHeading2"/>
        <w:rPr>
          <w:noProof/>
        </w:rPr>
      </w:pPr>
      <w:r>
        <w:rPr>
          <w:noProof/>
        </w:rPr>
        <w:t>•</w:t>
      </w:r>
      <w:r>
        <w:rPr>
          <w:noProof/>
        </w:rPr>
        <w:tab/>
        <w:t>Събиране и използване на експертни становища</w:t>
      </w:r>
    </w:p>
    <w:p w:rsidR="007917F7" w:rsidRDefault="00966621">
      <w:pPr>
        <w:pBdr>
          <w:top w:val="nil"/>
          <w:left w:val="nil"/>
          <w:bottom w:val="nil"/>
          <w:right w:val="nil"/>
          <w:between w:val="nil"/>
          <w:bar w:val="nil"/>
        </w:pBdr>
        <w:spacing w:before="0" w:after="240"/>
        <w:rPr>
          <w:noProof/>
        </w:rPr>
      </w:pPr>
      <w:r>
        <w:rPr>
          <w:noProof/>
        </w:rPr>
        <w:t>Не е приложимо</w:t>
      </w:r>
    </w:p>
    <w:p w:rsidR="007917F7" w:rsidRDefault="00966621">
      <w:pPr>
        <w:pStyle w:val="ManualHeading2"/>
        <w:rPr>
          <w:noProof/>
        </w:rPr>
      </w:pPr>
      <w:r>
        <w:rPr>
          <w:noProof/>
        </w:rPr>
        <w:t>•</w:t>
      </w:r>
      <w:r>
        <w:rPr>
          <w:noProof/>
        </w:rPr>
        <w:tab/>
        <w:t>Оценка на въздействието</w:t>
      </w:r>
    </w:p>
    <w:p w:rsidR="007917F7" w:rsidRDefault="00966621">
      <w:pPr>
        <w:pBdr>
          <w:top w:val="nil"/>
          <w:left w:val="nil"/>
          <w:bottom w:val="nil"/>
          <w:right w:val="nil"/>
          <w:between w:val="nil"/>
          <w:bar w:val="nil"/>
        </w:pBdr>
        <w:spacing w:before="0" w:after="240"/>
        <w:rPr>
          <w:noProof/>
        </w:rPr>
      </w:pPr>
      <w:r>
        <w:rPr>
          <w:noProof/>
        </w:rPr>
        <w:t>Не е приложимо</w:t>
      </w:r>
    </w:p>
    <w:p w:rsidR="007917F7" w:rsidRDefault="00966621">
      <w:pPr>
        <w:pStyle w:val="ManualHeading2"/>
        <w:rPr>
          <w:noProof/>
        </w:rPr>
      </w:pPr>
      <w:r>
        <w:rPr>
          <w:noProof/>
        </w:rPr>
        <w:t>•</w:t>
      </w:r>
      <w:r>
        <w:rPr>
          <w:noProof/>
        </w:rPr>
        <w:tab/>
        <w:t>Пригодност и опростяване на законодателството</w:t>
      </w:r>
    </w:p>
    <w:p w:rsidR="007917F7" w:rsidRDefault="00966621">
      <w:pPr>
        <w:pBdr>
          <w:top w:val="nil"/>
          <w:left w:val="nil"/>
          <w:bottom w:val="nil"/>
          <w:right w:val="nil"/>
          <w:between w:val="nil"/>
          <w:bar w:val="nil"/>
        </w:pBdr>
        <w:spacing w:before="0" w:after="240"/>
        <w:rPr>
          <w:noProof/>
        </w:rPr>
      </w:pPr>
      <w:r>
        <w:rPr>
          <w:noProof/>
        </w:rPr>
        <w:t>Споразуменията не подлежат на процедурите по REFIT.</w:t>
      </w:r>
    </w:p>
    <w:p w:rsidR="007917F7" w:rsidRDefault="00966621">
      <w:pPr>
        <w:pStyle w:val="ManualHeading2"/>
        <w:rPr>
          <w:noProof/>
        </w:rPr>
      </w:pPr>
      <w:r>
        <w:rPr>
          <w:noProof/>
        </w:rPr>
        <w:t>•</w:t>
      </w:r>
      <w:r>
        <w:rPr>
          <w:noProof/>
        </w:rPr>
        <w:tab/>
        <w:t>Основни права</w:t>
      </w:r>
    </w:p>
    <w:p w:rsidR="007917F7" w:rsidRDefault="00966621">
      <w:pPr>
        <w:pBdr>
          <w:top w:val="nil"/>
          <w:left w:val="nil"/>
          <w:bottom w:val="nil"/>
          <w:right w:val="nil"/>
          <w:between w:val="nil"/>
          <w:bar w:val="nil"/>
        </w:pBdr>
        <w:spacing w:before="0" w:after="240"/>
        <w:rPr>
          <w:noProof/>
        </w:rPr>
      </w:pPr>
      <w:r>
        <w:rPr>
          <w:noProof/>
        </w:rPr>
        <w:t>Предл</w:t>
      </w:r>
      <w:r>
        <w:rPr>
          <w:noProof/>
        </w:rPr>
        <w:t>ожението не засяга защитата на основните права в Европейския съюз.</w:t>
      </w:r>
    </w:p>
    <w:p w:rsidR="007917F7" w:rsidRDefault="00966621">
      <w:pPr>
        <w:pStyle w:val="ManualHeading1"/>
        <w:rPr>
          <w:noProof/>
        </w:rPr>
      </w:pPr>
      <w:r>
        <w:rPr>
          <w:noProof/>
        </w:rPr>
        <w:t>4.</w:t>
      </w:r>
      <w:r>
        <w:rPr>
          <w:noProof/>
        </w:rPr>
        <w:tab/>
        <w:t>ОТРАЖЕНИЕ ВЪРХУ БЮДЖЕТА</w:t>
      </w:r>
    </w:p>
    <w:p w:rsidR="007917F7" w:rsidRDefault="00966621">
      <w:pPr>
        <w:pBdr>
          <w:top w:val="nil"/>
          <w:left w:val="nil"/>
          <w:bottom w:val="nil"/>
          <w:right w:val="nil"/>
          <w:between w:val="nil"/>
          <w:bar w:val="nil"/>
        </w:pBdr>
        <w:spacing w:before="0" w:after="240"/>
        <w:rPr>
          <w:noProof/>
        </w:rPr>
      </w:pPr>
      <w:r>
        <w:rPr>
          <w:noProof/>
        </w:rPr>
        <w:t>Не се очаква Споразуменията да имат финансово отражение върху бюджета на ЕС.</w:t>
      </w:r>
    </w:p>
    <w:p w:rsidR="007917F7" w:rsidRDefault="00966621">
      <w:pPr>
        <w:pStyle w:val="ManualHeading1"/>
        <w:rPr>
          <w:noProof/>
        </w:rPr>
      </w:pPr>
      <w:r>
        <w:rPr>
          <w:noProof/>
        </w:rPr>
        <w:t>5.</w:t>
      </w:r>
      <w:r>
        <w:rPr>
          <w:noProof/>
        </w:rPr>
        <w:tab/>
        <w:t>ДРУГИ ЕЛЕМЕНТИ</w:t>
      </w:r>
    </w:p>
    <w:p w:rsidR="007917F7" w:rsidRDefault="00966621">
      <w:pPr>
        <w:pStyle w:val="ManualHeading2"/>
        <w:rPr>
          <w:noProof/>
        </w:rPr>
      </w:pPr>
      <w:r>
        <w:rPr>
          <w:noProof/>
        </w:rPr>
        <w:t>•</w:t>
      </w:r>
      <w:r>
        <w:rPr>
          <w:noProof/>
        </w:rPr>
        <w:tab/>
        <w:t>Планове за изпълнение и механизъм за мониторинг, оценка и докладв</w:t>
      </w:r>
      <w:r>
        <w:rPr>
          <w:noProof/>
        </w:rPr>
        <w:t>ане</w:t>
      </w:r>
    </w:p>
    <w:p w:rsidR="007917F7" w:rsidRDefault="00966621">
      <w:pPr>
        <w:pBdr>
          <w:top w:val="nil"/>
          <w:left w:val="nil"/>
          <w:bottom w:val="nil"/>
          <w:right w:val="nil"/>
          <w:between w:val="nil"/>
          <w:bar w:val="nil"/>
        </w:pBdr>
        <w:spacing w:before="0" w:after="240"/>
        <w:rPr>
          <w:noProof/>
        </w:rPr>
      </w:pPr>
      <w:r>
        <w:rPr>
          <w:noProof/>
        </w:rPr>
        <w:t>Не е приложимо.</w:t>
      </w:r>
    </w:p>
    <w:p w:rsidR="007917F7" w:rsidRDefault="00966621">
      <w:pPr>
        <w:pStyle w:val="ManualHeading2"/>
        <w:rPr>
          <w:noProof/>
        </w:rPr>
      </w:pPr>
      <w:r>
        <w:rPr>
          <w:noProof/>
        </w:rPr>
        <w:t>•</w:t>
      </w:r>
      <w:r>
        <w:rPr>
          <w:noProof/>
        </w:rPr>
        <w:tab/>
        <w:t>Обяснителни документи (за директивите)</w:t>
      </w:r>
    </w:p>
    <w:p w:rsidR="007917F7" w:rsidRDefault="00966621">
      <w:pPr>
        <w:pBdr>
          <w:top w:val="nil"/>
          <w:left w:val="nil"/>
          <w:bottom w:val="nil"/>
          <w:right w:val="nil"/>
          <w:between w:val="nil"/>
          <w:bar w:val="nil"/>
        </w:pBdr>
        <w:spacing w:before="0" w:after="240"/>
        <w:rPr>
          <w:noProof/>
        </w:rPr>
      </w:pPr>
      <w:r>
        <w:rPr>
          <w:noProof/>
        </w:rPr>
        <w:t>Не е приложимо.</w:t>
      </w:r>
    </w:p>
    <w:p w:rsidR="007917F7" w:rsidRDefault="00966621">
      <w:pPr>
        <w:pStyle w:val="ManualHeading2"/>
        <w:rPr>
          <w:noProof/>
        </w:rPr>
      </w:pPr>
      <w:r>
        <w:rPr>
          <w:noProof/>
        </w:rPr>
        <w:t>•</w:t>
      </w:r>
      <w:r>
        <w:rPr>
          <w:noProof/>
        </w:rPr>
        <w:tab/>
        <w:t>Подробно разяснение на конкретните разпоредби на предложението</w:t>
      </w:r>
    </w:p>
    <w:p w:rsidR="007917F7" w:rsidRDefault="00966621">
      <w:pPr>
        <w:pBdr>
          <w:top w:val="nil"/>
          <w:left w:val="nil"/>
          <w:bottom w:val="nil"/>
          <w:right w:val="nil"/>
          <w:between w:val="nil"/>
          <w:bar w:val="nil"/>
        </w:pBdr>
        <w:spacing w:before="0" w:after="240"/>
        <w:rPr>
          <w:noProof/>
        </w:rPr>
        <w:sectPr w:rsidR="007917F7" w:rsidSect="00966621">
          <w:footerReference w:type="default" r:id="rId15"/>
          <w:footerReference w:type="first" r:id="rId16"/>
          <w:pgSz w:w="11907" w:h="16839"/>
          <w:pgMar w:top="1134" w:right="1417" w:bottom="1134" w:left="1417" w:header="709" w:footer="709" w:gutter="0"/>
          <w:cols w:space="708"/>
          <w:docGrid w:linePitch="360"/>
        </w:sectPr>
      </w:pPr>
      <w:r>
        <w:rPr>
          <w:noProof/>
        </w:rPr>
        <w:t xml:space="preserve">Споразуменията дават възможност за консолидиране в единен </w:t>
      </w:r>
      <w:r>
        <w:rPr>
          <w:noProof/>
        </w:rPr>
        <w:t>текст на четиринадесет от седемнадесетте различни списъка по ГАТС, приложими на територията на Европейския съюз.</w:t>
      </w:r>
    </w:p>
    <w:p w:rsidR="007917F7" w:rsidRDefault="00966621" w:rsidP="00966621">
      <w:pPr>
        <w:pStyle w:val="Rfrenceinterinstitutionnelle"/>
        <w:rPr>
          <w:noProof/>
        </w:rPr>
      </w:pPr>
      <w:r w:rsidRPr="00966621">
        <w:t>2018/0384 (NLE)</w:t>
      </w:r>
    </w:p>
    <w:p w:rsidR="007917F7" w:rsidRDefault="00966621" w:rsidP="00966621">
      <w:pPr>
        <w:pStyle w:val="Statut"/>
        <w:rPr>
          <w:noProof/>
        </w:rPr>
      </w:pPr>
      <w:r w:rsidRPr="00966621">
        <w:t>Предложение за</w:t>
      </w:r>
    </w:p>
    <w:p w:rsidR="007917F7" w:rsidRDefault="00966621" w:rsidP="00966621">
      <w:pPr>
        <w:pStyle w:val="Typedudocument"/>
        <w:rPr>
          <w:noProof/>
        </w:rPr>
      </w:pPr>
      <w:r w:rsidRPr="00966621">
        <w:t>РЕШЕНИЕ НА СЪВЕТА</w:t>
      </w:r>
    </w:p>
    <w:p w:rsidR="007917F7" w:rsidRDefault="00966621" w:rsidP="00966621">
      <w:pPr>
        <w:pStyle w:val="Titreobjet"/>
        <w:rPr>
          <w:noProof/>
        </w:rPr>
      </w:pPr>
      <w:r w:rsidRPr="00966621">
        <w:t>относно сключването на съответните споразумения съгласно член XXI от ГАТС с Аржентина, Австралия, Бразилия, Канада, Китай, Отделната митническа територия на Тайван, Пенгу, Кинмен и Матцу („Китайски Тайпе“), Колумбия, Куба, Еквадор, Хонг Конг (Китай), Индия, Япония, Корея, Нова Зеландия, Филипините, Швейцария и Съединените Щати относно необходимите компенсаторни корекции в резултат на присъединяването към Европейския съюз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Кралство Швеция</w:t>
      </w:r>
    </w:p>
    <w:p w:rsidR="007917F7" w:rsidRDefault="00966621">
      <w:pPr>
        <w:pStyle w:val="Institutionquiagit"/>
        <w:rPr>
          <w:noProof/>
        </w:rPr>
      </w:pPr>
      <w:r>
        <w:rPr>
          <w:noProof/>
        </w:rPr>
        <w:t>С</w:t>
      </w:r>
      <w:r>
        <w:rPr>
          <w:noProof/>
        </w:rPr>
        <w:t>ЪВЕТЪТ НА ЕВРОПЕЙСКИЯ СЪЮЗ,</w:t>
      </w:r>
    </w:p>
    <w:p w:rsidR="007917F7" w:rsidRDefault="00966621">
      <w:pPr>
        <w:rPr>
          <w:noProof/>
        </w:rPr>
      </w:pPr>
      <w:r>
        <w:rPr>
          <w:noProof/>
        </w:rPr>
        <w:t>като взе предвид Договора за функционирането на Европейския съюз, и по-специално член 91, член 100, параграф 2 и член 207 във връзка с член 218, параграф 6, буква </w:t>
      </w:r>
      <w:r>
        <w:rPr>
          <w:noProof/>
        </w:rPr>
        <w:t>а) подточка v) от него,</w:t>
      </w:r>
    </w:p>
    <w:p w:rsidR="007917F7" w:rsidRDefault="00966621">
      <w:pPr>
        <w:rPr>
          <w:noProof/>
        </w:rPr>
      </w:pPr>
      <w:r>
        <w:rPr>
          <w:noProof/>
        </w:rPr>
        <w:t>като взе предвид предложението на Европейската комисия,</w:t>
      </w:r>
    </w:p>
    <w:p w:rsidR="007917F7" w:rsidRDefault="00966621">
      <w:pPr>
        <w:rPr>
          <w:noProof/>
        </w:rPr>
      </w:pPr>
      <w:r>
        <w:rPr>
          <w:noProof/>
        </w:rPr>
        <w:t xml:space="preserve">като взе предвид одобрението на Европейския парламент, </w:t>
      </w:r>
    </w:p>
    <w:p w:rsidR="007917F7" w:rsidRDefault="00966621">
      <w:pPr>
        <w:rPr>
          <w:noProof/>
        </w:rPr>
      </w:pPr>
      <w:r>
        <w:rPr>
          <w:noProof/>
        </w:rPr>
        <w:t>като има предвид, че:</w:t>
      </w:r>
    </w:p>
    <w:p w:rsidR="007917F7" w:rsidRDefault="00966621">
      <w:pPr>
        <w:pStyle w:val="ManualConsidrant"/>
        <w:rPr>
          <w:noProof/>
        </w:rPr>
      </w:pPr>
      <w:r>
        <w:rPr>
          <w:noProof/>
        </w:rPr>
        <w:t>(1)</w:t>
      </w:r>
      <w:r>
        <w:rPr>
          <w:noProof/>
        </w:rPr>
        <w:tab/>
        <w:t>Договорът относно присъединяването на Кралство Норвегия, Република Австрия, Република Финланди</w:t>
      </w:r>
      <w:r>
        <w:rPr>
          <w:noProof/>
        </w:rPr>
        <w:t>я и Кралство Швеция към Европейския съюз влезе в сила на 1 януари 1995 г.</w:t>
      </w:r>
    </w:p>
    <w:p w:rsidR="007917F7" w:rsidRDefault="00966621">
      <w:pPr>
        <w:pStyle w:val="ManualConsidrant"/>
        <w:rPr>
          <w:noProof/>
        </w:rPr>
      </w:pPr>
      <w:r>
        <w:rPr>
          <w:noProof/>
        </w:rPr>
        <w:t>(2)</w:t>
      </w:r>
      <w:r>
        <w:rPr>
          <w:noProof/>
        </w:rPr>
        <w:tab/>
        <w:t>Договорът относно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Полш</w:t>
      </w:r>
      <w:r>
        <w:rPr>
          <w:noProof/>
        </w:rPr>
        <w:t>а, Република Словения и Словашката република към Европейския съюз влезе в сила на 1 май 2004 г.</w:t>
      </w:r>
    </w:p>
    <w:p w:rsidR="007917F7" w:rsidRDefault="00966621">
      <w:pPr>
        <w:pStyle w:val="ManualConsidrant"/>
        <w:rPr>
          <w:noProof/>
        </w:rPr>
      </w:pPr>
      <w:r>
        <w:rPr>
          <w:noProof/>
        </w:rPr>
        <w:t>(3)</w:t>
      </w:r>
      <w:r>
        <w:rPr>
          <w:noProof/>
        </w:rPr>
        <w:tab/>
        <w:t>В съответствие с член XX от Общото споразумение по търговията с услуги (наричано по-нататък „ГАТС“), членовете на СТО установяват в списък специфичните задъ</w:t>
      </w:r>
      <w:r>
        <w:rPr>
          <w:noProof/>
        </w:rPr>
        <w:t>лжения, поети съгласно част III от ГАТС.</w:t>
      </w:r>
    </w:p>
    <w:p w:rsidR="007917F7" w:rsidRDefault="00966621">
      <w:pPr>
        <w:pStyle w:val="ManualConsidrant"/>
        <w:rPr>
          <w:noProof/>
        </w:rPr>
      </w:pPr>
      <w:r>
        <w:rPr>
          <w:noProof/>
        </w:rPr>
        <w:t>(4)</w:t>
      </w:r>
      <w:r>
        <w:rPr>
          <w:noProof/>
        </w:rPr>
        <w:tab/>
        <w:t xml:space="preserve">Настоящият списък на Европейския съюз и неговите държави членки обхваща единствено специфичните задължения, отнасящи се до дванадесетте държави членки от 1994 г. Индивидуалните списъци със специфичните </w:t>
      </w:r>
      <w:r>
        <w:rPr>
          <w:noProof/>
        </w:rPr>
        <w:t>задължения на държавите членки, присъединили се към Европейския съюз през 1995 г. и 2004 г. (наричани по-нататък „присъединилите се държави членки“), бяха приети преди присъединяването им.</w:t>
      </w:r>
    </w:p>
    <w:p w:rsidR="007917F7" w:rsidRDefault="00966621">
      <w:pPr>
        <w:pStyle w:val="ManualConsidrant"/>
        <w:rPr>
          <w:noProof/>
        </w:rPr>
      </w:pPr>
      <w:r>
        <w:rPr>
          <w:noProof/>
        </w:rPr>
        <w:t>(5)</w:t>
      </w:r>
      <w:r>
        <w:rPr>
          <w:noProof/>
        </w:rPr>
        <w:tab/>
        <w:t>За да се гарантира, че присъединилите се държави членки попадат</w:t>
      </w:r>
      <w:r>
        <w:rPr>
          <w:noProof/>
        </w:rPr>
        <w:t xml:space="preserve"> в обхвата на ограниченията, включени в списъка на специфичните задължения на Европейския съюз, и за да се гарантира съгласуваност с достиженията на правото на Европейския съюз, бе необходимо да се изменят или оттеглят някои специфични задължения, включени</w:t>
      </w:r>
      <w:r>
        <w:rPr>
          <w:noProof/>
        </w:rPr>
        <w:t xml:space="preserve"> в списъка със специфичните задължения на Европейския съюз и в списъците със специфичните задължения на присъединилите се държави членки.</w:t>
      </w:r>
    </w:p>
    <w:p w:rsidR="007917F7" w:rsidRDefault="00966621">
      <w:pPr>
        <w:pStyle w:val="ManualConsidrant"/>
        <w:rPr>
          <w:noProof/>
        </w:rPr>
      </w:pPr>
      <w:r>
        <w:rPr>
          <w:noProof/>
        </w:rPr>
        <w:t>(6)</w:t>
      </w:r>
      <w:r>
        <w:rPr>
          <w:noProof/>
        </w:rPr>
        <w:tab/>
        <w:t xml:space="preserve">С оглед да се представи консолидиран списък, на 28 май 2004 г. Европейският съюз представи съобщение в </w:t>
      </w:r>
      <w:r>
        <w:rPr>
          <w:noProof/>
        </w:rPr>
        <w:t>съответствие с член V от ГАТС, с което уведоми за намерението си да се изменят или оттеглят някои специфични задължения, включени в неговия списък и в списъците на присъединилите се държави членки, съгласно член V, параграф 5 от ГАТС и в съответствие с раз</w:t>
      </w:r>
      <w:r>
        <w:rPr>
          <w:noProof/>
        </w:rPr>
        <w:t>поредбите на член XXI, параграф 1, буква б) от ГАТС.</w:t>
      </w:r>
    </w:p>
    <w:p w:rsidR="007917F7" w:rsidRDefault="00966621">
      <w:pPr>
        <w:pStyle w:val="ManualConsidrant"/>
        <w:rPr>
          <w:noProof/>
        </w:rPr>
      </w:pPr>
      <w:r>
        <w:rPr>
          <w:noProof/>
        </w:rPr>
        <w:t>(7)</w:t>
      </w:r>
      <w:r>
        <w:rPr>
          <w:noProof/>
        </w:rPr>
        <w:tab/>
        <w:t>След представянето на уведомяването и съгласно член XXI, параграф 2, буква а) от ГАТС осемнадесет членове на СТО (Аржентина, Австралия, Бразилия, Канада, Китай, Отделната митническа територия на Тайв</w:t>
      </w:r>
      <w:r>
        <w:rPr>
          <w:noProof/>
        </w:rPr>
        <w:t>ан, Пенгу, Кинмен и Матцу (Китайски Тайпе), Колумбия, Куба, Еквадор, Хонг Конг (Китай), Индия, Япония, Корея, Нова Зеландия, Филипините, Швейцария, Уругвай и Съединените американски щати (наричани по-нататък „засегнатите членове на СТО“) представиха искани</w:t>
      </w:r>
      <w:r>
        <w:rPr>
          <w:noProof/>
        </w:rPr>
        <w:t>я за компенсация.</w:t>
      </w:r>
    </w:p>
    <w:p w:rsidR="007917F7" w:rsidRDefault="00966621">
      <w:pPr>
        <w:pStyle w:val="ManualConsidrant"/>
        <w:rPr>
          <w:noProof/>
        </w:rPr>
      </w:pPr>
      <w:r>
        <w:rPr>
          <w:noProof/>
        </w:rPr>
        <w:t>(8)</w:t>
      </w:r>
      <w:r>
        <w:rPr>
          <w:noProof/>
        </w:rPr>
        <w:tab/>
        <w:t>Комисията проведе преговори със засегнатите членове на СТО. В резултат на тези преговори бе постигната договореност относно компенсаторните корекции, свързани с измененията и оттеглянията, известени на 28 май 2004 г.,</w:t>
      </w:r>
    </w:p>
    <w:p w:rsidR="007917F7" w:rsidRDefault="00966621">
      <w:pPr>
        <w:pStyle w:val="ManualConsidrant"/>
        <w:rPr>
          <w:noProof/>
        </w:rPr>
      </w:pPr>
      <w:r>
        <w:rPr>
          <w:noProof/>
        </w:rPr>
        <w:t>(9)</w:t>
      </w:r>
      <w:r>
        <w:rPr>
          <w:noProof/>
        </w:rPr>
        <w:tab/>
        <w:t>Вследствие н</w:t>
      </w:r>
      <w:r>
        <w:rPr>
          <w:noProof/>
        </w:rPr>
        <w:t>а приключването на преговорите и в съответствие със заключенията на Съвета от 26 юли 2006 г. Комисията бе упълномощена да подпише съответните споразумения с всеки от въпросните засегнати членове на СТО. С оглед на започването на процедурата по сертифициран</w:t>
      </w:r>
      <w:r>
        <w:rPr>
          <w:noProof/>
        </w:rPr>
        <w:t>е, предвидена в приложимите правила на СТО, на 14 септември 2006 г. Комисията предаде проекта за консолидирания списък на секретариата на СТО. Сертифицирането приключи на 15 декември 2006 г.</w:t>
      </w:r>
    </w:p>
    <w:p w:rsidR="007917F7" w:rsidRDefault="00966621">
      <w:pPr>
        <w:pStyle w:val="ManualConsidrant"/>
        <w:rPr>
          <w:noProof/>
        </w:rPr>
      </w:pPr>
      <w:r>
        <w:rPr>
          <w:noProof/>
        </w:rPr>
        <w:t>(10)</w:t>
      </w:r>
      <w:r>
        <w:rPr>
          <w:noProof/>
        </w:rPr>
        <w:tab/>
        <w:t>Договорените компенсаторни корекции представляват задоволите</w:t>
      </w:r>
      <w:r>
        <w:rPr>
          <w:noProof/>
        </w:rPr>
        <w:t>лен и балансиран изход на преговорите. Поради това те следва да бъдат одобрени от името на Европейския съюз,</w:t>
      </w:r>
    </w:p>
    <w:p w:rsidR="007917F7" w:rsidRDefault="00966621">
      <w:pPr>
        <w:pStyle w:val="Formuledadoption"/>
        <w:rPr>
          <w:noProof/>
        </w:rPr>
      </w:pPr>
      <w:r>
        <w:rPr>
          <w:noProof/>
        </w:rPr>
        <w:t xml:space="preserve">ПРИЕ НАСТОЯЩОТО РЕШЕНИЕ: </w:t>
      </w:r>
    </w:p>
    <w:p w:rsidR="007917F7" w:rsidRDefault="00966621">
      <w:pPr>
        <w:pStyle w:val="Titrearticle"/>
        <w:rPr>
          <w:noProof/>
        </w:rPr>
      </w:pPr>
      <w:r>
        <w:rPr>
          <w:noProof/>
        </w:rPr>
        <w:t>Член 1</w:t>
      </w:r>
    </w:p>
    <w:p w:rsidR="007917F7" w:rsidRDefault="00966621">
      <w:pPr>
        <w:pStyle w:val="ManualNumPar1"/>
        <w:rPr>
          <w:noProof/>
        </w:rPr>
      </w:pPr>
      <w:r>
        <w:rPr>
          <w:noProof/>
        </w:rPr>
        <w:t>1.</w:t>
      </w:r>
      <w:r>
        <w:rPr>
          <w:noProof/>
        </w:rPr>
        <w:tab/>
        <w:t>Споразуменията с Аржентина, Австралия, Бразилия, Канада, Китай, Отделната митническа територия на Тайван, Пенгу</w:t>
      </w:r>
      <w:r>
        <w:rPr>
          <w:noProof/>
        </w:rPr>
        <w:t>, Кинмен и Матцу („Китайски Тайпе“), Колумбия, Куба, Еквадор, Хонг Конг (Китай), Индия, Япония, Корея, Нова Зеландия, Филипините, Швейцария и Съединените Щати относно необходимите компенсаторни корекции съгласно член XXI от ГАТС в резултат на присъединяван</w:t>
      </w:r>
      <w:r>
        <w:rPr>
          <w:noProof/>
        </w:rPr>
        <w:t>ето към Европейския съюз на Чешката република, Република Естония, Република Кипър, Република Латвия, Република Литва, Република Унгария, Република Малта, Република Австрия, Република Полша, Република Словения, Словашката република, Република Финландия и Кр</w:t>
      </w:r>
      <w:r>
        <w:rPr>
          <w:noProof/>
        </w:rPr>
        <w:t>алство Швеция се одобряват от името на Европейския съюз.</w:t>
      </w:r>
    </w:p>
    <w:p w:rsidR="007917F7" w:rsidRDefault="00966621">
      <w:pPr>
        <w:pStyle w:val="ManualNumPar1"/>
        <w:rPr>
          <w:noProof/>
        </w:rPr>
      </w:pPr>
      <w:r>
        <w:rPr>
          <w:noProof/>
        </w:rPr>
        <w:t>2.</w:t>
      </w:r>
      <w:r>
        <w:rPr>
          <w:noProof/>
        </w:rPr>
        <w:tab/>
        <w:t>Споразуменията, посочени в параграф 1, се прилагат към настоящото решение.</w:t>
      </w:r>
    </w:p>
    <w:p w:rsidR="007917F7" w:rsidRDefault="00966621">
      <w:pPr>
        <w:pStyle w:val="Titrearticle"/>
        <w:rPr>
          <w:noProof/>
        </w:rPr>
      </w:pPr>
      <w:r>
        <w:rPr>
          <w:noProof/>
        </w:rPr>
        <w:t>Член 2</w:t>
      </w:r>
    </w:p>
    <w:p w:rsidR="007917F7" w:rsidRDefault="00966621">
      <w:pPr>
        <w:rPr>
          <w:noProof/>
        </w:rPr>
      </w:pPr>
      <w:r>
        <w:rPr>
          <w:noProof/>
        </w:rPr>
        <w:t>Председателят на Съвета определя лицето, упълномощено да изрази съгласието на Европейския съюз да бъде обвързан съ</w:t>
      </w:r>
      <w:r>
        <w:rPr>
          <w:noProof/>
        </w:rPr>
        <w:t>с Споразуменията.</w:t>
      </w:r>
    </w:p>
    <w:p w:rsidR="007917F7" w:rsidRDefault="00966621">
      <w:pPr>
        <w:pStyle w:val="Titrearticle"/>
        <w:rPr>
          <w:noProof/>
        </w:rPr>
      </w:pPr>
      <w:r>
        <w:rPr>
          <w:noProof/>
        </w:rPr>
        <w:t>Член 3</w:t>
      </w:r>
    </w:p>
    <w:p w:rsidR="007917F7" w:rsidRDefault="00966621">
      <w:pPr>
        <w:rPr>
          <w:noProof/>
        </w:rPr>
      </w:pPr>
      <w:r>
        <w:rPr>
          <w:noProof/>
        </w:rPr>
        <w:t xml:space="preserve">Настоящото решение влиза в сила в деня на приемането му и се публикува в </w:t>
      </w:r>
      <w:r>
        <w:rPr>
          <w:i/>
          <w:noProof/>
        </w:rPr>
        <w:t>Официален вестник на Европейския съюз</w:t>
      </w:r>
      <w:r>
        <w:rPr>
          <w:noProof/>
        </w:rPr>
        <w:t>.</w:t>
      </w:r>
    </w:p>
    <w:p w:rsidR="007917F7" w:rsidRDefault="00966621" w:rsidP="00966621">
      <w:pPr>
        <w:pStyle w:val="Fait"/>
        <w:rPr>
          <w:noProof/>
        </w:rPr>
      </w:pPr>
      <w:r w:rsidRPr="00966621">
        <w:t xml:space="preserve">Съставено в Брюксел на </w:t>
      </w:r>
      <w:r w:rsidRPr="00966621">
        <w:rPr>
          <w:rStyle w:val="Marker"/>
        </w:rPr>
        <w:t>[…]</w:t>
      </w:r>
      <w:r w:rsidRPr="00966621">
        <w:t xml:space="preserve"> година.</w:t>
      </w:r>
    </w:p>
    <w:p w:rsidR="007917F7" w:rsidRDefault="00966621">
      <w:pPr>
        <w:pStyle w:val="Institutionquisigne"/>
        <w:rPr>
          <w:noProof/>
        </w:rPr>
      </w:pPr>
      <w:r>
        <w:rPr>
          <w:noProof/>
        </w:rPr>
        <w:tab/>
      </w:r>
      <w:r>
        <w:rPr>
          <w:noProof/>
        </w:rPr>
        <w:t>За Съвета</w:t>
      </w:r>
    </w:p>
    <w:p w:rsidR="007917F7" w:rsidRDefault="00966621">
      <w:pPr>
        <w:pStyle w:val="Personnequisigne"/>
        <w:rPr>
          <w:noProof/>
        </w:rPr>
      </w:pPr>
      <w:r>
        <w:rPr>
          <w:noProof/>
        </w:rPr>
        <w:tab/>
        <w:t>Председател</w:t>
      </w:r>
    </w:p>
    <w:sectPr w:rsidR="007917F7" w:rsidSect="009666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7F7" w:rsidRDefault="00966621">
      <w:pPr>
        <w:spacing w:before="0" w:after="0"/>
      </w:pPr>
      <w:r>
        <w:separator/>
      </w:r>
    </w:p>
  </w:endnote>
  <w:endnote w:type="continuationSeparator" w:id="0">
    <w:p w:rsidR="007917F7" w:rsidRDefault="009666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7F7" w:rsidRPr="00966621" w:rsidRDefault="00966621" w:rsidP="00966621">
    <w:pPr>
      <w:pStyle w:val="Footer"/>
      <w:rPr>
        <w:rFonts w:ascii="Arial" w:hAnsi="Arial" w:cs="Arial"/>
        <w:b/>
        <w:sz w:val="48"/>
      </w:rPr>
    </w:pPr>
    <w:r w:rsidRPr="00966621">
      <w:rPr>
        <w:rFonts w:ascii="Arial" w:hAnsi="Arial" w:cs="Arial"/>
        <w:b/>
        <w:sz w:val="48"/>
      </w:rPr>
      <w:t>BG</w:t>
    </w:r>
    <w:r w:rsidRPr="00966621">
      <w:rPr>
        <w:rFonts w:ascii="Arial" w:hAnsi="Arial" w:cs="Arial"/>
        <w:b/>
        <w:sz w:val="48"/>
      </w:rPr>
      <w:tab/>
    </w:r>
    <w:r w:rsidRPr="00966621">
      <w:rPr>
        <w:rFonts w:ascii="Arial" w:hAnsi="Arial" w:cs="Arial"/>
        <w:b/>
        <w:sz w:val="48"/>
      </w:rPr>
      <w:tab/>
    </w:r>
    <w:r w:rsidRPr="00966621">
      <w:tab/>
    </w:r>
    <w:r w:rsidRPr="0096662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Footer"/>
      <w:rPr>
        <w:rFonts w:ascii="Arial" w:hAnsi="Arial" w:cs="Arial"/>
        <w:b/>
        <w:sz w:val="48"/>
      </w:rPr>
    </w:pPr>
    <w:r w:rsidRPr="00966621">
      <w:rPr>
        <w:rFonts w:ascii="Arial" w:hAnsi="Arial" w:cs="Arial"/>
        <w:b/>
        <w:sz w:val="48"/>
      </w:rPr>
      <w:t>BG</w:t>
    </w:r>
    <w:r w:rsidRPr="00966621">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966621">
      <w:tab/>
    </w:r>
    <w:r w:rsidRPr="00966621">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7F7" w:rsidRDefault="00966621">
      <w:pPr>
        <w:spacing w:before="0" w:after="0"/>
      </w:pPr>
      <w:r>
        <w:separator/>
      </w:r>
    </w:p>
  </w:footnote>
  <w:footnote w:type="continuationSeparator" w:id="0">
    <w:p w:rsidR="007917F7" w:rsidRDefault="00966621">
      <w:pPr>
        <w:spacing w:before="0" w:after="0"/>
      </w:pPr>
      <w:r>
        <w:continuationSeparator/>
      </w:r>
    </w:p>
  </w:footnote>
  <w:footnote w:id="1">
    <w:p w:rsidR="007917F7" w:rsidRDefault="00966621">
      <w:pPr>
        <w:pStyle w:val="FootnoteText"/>
      </w:pPr>
      <w:r>
        <w:rPr>
          <w:rStyle w:val="FootnoteReference"/>
        </w:rPr>
        <w:footnoteRef/>
      </w:r>
      <w:r>
        <w:tab/>
        <w:t>12019/06 Limited WTO 135 Services 34.</w:t>
      </w:r>
    </w:p>
  </w:footnote>
  <w:footnote w:id="2">
    <w:p w:rsidR="007917F7" w:rsidRDefault="00966621">
      <w:pPr>
        <w:pStyle w:val="FootnoteText"/>
      </w:pPr>
      <w:r>
        <w:rPr>
          <w:rStyle w:val="FootnoteReference"/>
        </w:rPr>
        <w:footnoteRef/>
      </w:r>
      <w:r>
        <w:tab/>
      </w:r>
      <w:hyperlink r:id="rId1">
        <w:r>
          <w:rPr>
            <w:rStyle w:val="Hyperlink"/>
          </w:rPr>
          <w:t>COM(2007) 154 окончателен</w:t>
        </w:r>
      </w:hyperlink>
      <w:r>
        <w:t>, номер в Съвета 2007/0055 (ACC); 8121/07 LIMITE.</w:t>
      </w:r>
    </w:p>
  </w:footnote>
  <w:footnote w:id="3">
    <w:p w:rsidR="007917F7" w:rsidRDefault="00966621">
      <w:pPr>
        <w:pStyle w:val="FootnoteText"/>
      </w:pPr>
      <w:r>
        <w:rPr>
          <w:rStyle w:val="FootnoteReference"/>
        </w:rPr>
        <w:footnoteRef/>
      </w:r>
      <w:r>
        <w:tab/>
        <w:t>Документ 8123/07. Това решение още не е официално прието.</w:t>
      </w:r>
    </w:p>
  </w:footnote>
  <w:footnote w:id="4">
    <w:p w:rsidR="007917F7" w:rsidRDefault="00966621">
      <w:pPr>
        <w:pStyle w:val="FootnoteText"/>
        <w:rPr>
          <w:lang w:val="fr-BE"/>
        </w:rPr>
      </w:pPr>
      <w:r>
        <w:rPr>
          <w:rStyle w:val="FootnoteReference"/>
        </w:rPr>
        <w:footnoteRef/>
      </w:r>
      <w:r>
        <w:tab/>
      </w:r>
      <w:hyperlink r:id="rId2">
        <w:r>
          <w:rPr>
            <w:rStyle w:val="Hyperlink"/>
          </w:rPr>
          <w:t>P6_TA(2007)0424</w:t>
        </w:r>
      </w:hyperlink>
      <w:r>
        <w:rPr>
          <w:rStyle w:val="Hyperlink"/>
        </w:rPr>
        <w:t>.</w:t>
      </w:r>
    </w:p>
  </w:footnote>
  <w:footnote w:id="5">
    <w:p w:rsidR="007917F7" w:rsidRDefault="00966621">
      <w:pPr>
        <w:pStyle w:val="FootnoteText"/>
        <w:rPr>
          <w:lang w:val="fr-BE"/>
        </w:rPr>
      </w:pPr>
      <w:r>
        <w:rPr>
          <w:rStyle w:val="FootnoteReference"/>
        </w:rPr>
        <w:footnoteRef/>
      </w:r>
      <w:r>
        <w:tab/>
        <w:t>EU:C:2009:739.</w:t>
      </w:r>
    </w:p>
  </w:footnote>
  <w:footnote w:id="6">
    <w:p w:rsidR="007917F7" w:rsidRDefault="00966621">
      <w:pPr>
        <w:pStyle w:val="FootnoteText"/>
        <w:rPr>
          <w:lang w:val="fr-BE"/>
        </w:rPr>
      </w:pPr>
      <w:r>
        <w:rPr>
          <w:rStyle w:val="FootnoteReference"/>
        </w:rPr>
        <w:footnoteRef/>
      </w:r>
      <w:r>
        <w:tab/>
        <w:t>EU:C:2017:376.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21" w:rsidRPr="00966621" w:rsidRDefault="00966621" w:rsidP="0096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AE43D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93EB8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4FAA0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D1292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C458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5C9F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270D4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2F432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2 16:16: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CORRIGENDUM_x000b_This document corrects document COM(2018)733 of 8.11.2018_x000b_Addition of the interinstitutional reference 2018/0384 (NLE)_x000b_Concerns all language versions_x000b_The text shall read as follows :"/>
    <w:docVar w:name="LW_COVERPAGE_EXISTS" w:val="True"/>
    <w:docVar w:name="LW_COVERPAGE_GUID" w:val="D427DF04-22C1-4F3D-A249-D98907B39324"/>
    <w:docVar w:name="LW_COVERPAGE_TYPE" w:val="1"/>
    <w:docVar w:name="LW_CROSSREFERENCE" w:val="&lt;UNUSED&gt;"/>
    <w:docVar w:name="LW_DocType" w:val="COM"/>
    <w:docVar w:name="LW_EMISSION" w:val="12.11.2018"/>
    <w:docVar w:name="LW_EMISSION_ISODATE" w:val="2018-11-12"/>
    <w:docVar w:name="LW_EMISSION_LOCATION" w:val="BRX"/>
    <w:docVar w:name="LW_EMISSION_PREFIX" w:val="\u1041?\u1088?\u1102?\u1082?\u1089?\u1077?\u1083?,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84"/>
    <w:docVar w:name="LW_REF.II.NEW.CP_YEAR" w:val="2018"/>
    <w:docVar w:name="LW_REF.INST.NEW" w:val="COM"/>
    <w:docVar w:name="LW_REF.INST.NEW_ADOPTED" w:val="final/2"/>
    <w:docVar w:name="LW_REF.INST.NEW_TEXT" w:val="(2018)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89?\u1098?\u1086?\u1090?\u1074?\u1077?\u1090?\u1085?\u1080?\u1090?\u1077? \u1089?\u1087?\u1086?\u1088?\u1072?\u1079?\u1091?\u1084?\u1077?\u1085?\u1080?\u1103? \u1089?\u1098?\u1075?\u1083?\u1072?\u1089?\u1085?\u1086? \u1095?\u1083?\u1077?\u1085? XXI \u1086?\u1090? \u1043?\u1040?\u1058?\u1057? \u1089? \u1040?\u1088?\u1078?\u1077?\u1085?\u1090?\u1080?\u1085?\u1072?, \u1040?\u1074?\u1089?\u1090?\u1088?\u1072?\u1083?\u1080?\u1103?, \u1041?\u1088?\u1072?\u1079?\u1080?\u1083?\u1080?\u1103?, \u1050?\u1072?\u1085?\u1072?\u1076?\u1072?, \u1050?\u1080?\u1090?\u1072?\u1081?, \u1054?\u1090?\u1076?\u1077?\u1083?\u1085?\u1072?\u1090?\u1072? \u1084?\u1080?\u1090?\u1085?\u1080?\u1095?\u1077?\u1089?\u1082?\u1072? \u1090?\u1077?\u1088?\u1080?\u1090?\u1086?\u1088?\u1080?\u1103? \u1085?\u1072? \u1058?\u1072?\u1081?\u1074?\u1072?\u1085?, \u1055?\u1077?\u1085?\u1075?\u1091?, \u1050?\u1080?\u1085?\u1084?\u1077?\u1085? \u1080? \u1052?\u1072?\u1090?\u1094?\u1091? (\u8222?\u1050?\u1080?\u1090?\u1072?\u1081?\u1089?\u1082?\u1080? \u1058?\u1072?\u1081?\u1087?\u1077?\u8220?), \u1050?\u1086?\u1083?\u1091?\u1084?\u1073?\u1080?\u1103?, \u1050?\u1091?\u1073?\u1072?, \u1045?\u1082?\u1074?\u1072?\u1076?\u1086?\u1088?, \u1061?\u1086?\u1085?\u1075? \u1050?\u1086?\u1085?\u1075? (\u1050?\u1080?\u1090?\u1072?\u1081?), \u1048?\u1085?\u1076?\u1080?\u1103?, \u1071?\u1087?\u1086?\u1085?\u1080?\u1103?, \u1050?\u1086?\u1088?\u1077?\u1103?, \u1053?\u1086?\u1074?\u1072? \u1047?\u1077?\u1083?\u1072?\u1085?\u1076?\u1080?\u1103?, \u1060?\u1080?\u1083?\u1080?\u1087?\u1080?\u1085?\u1080?\u1090?\u1077?, \u1064?\u1074?\u1077?\u1081?\u1094?\u1072?\u1088?\u1080?\u1103? \u1080? \u1057?\u1098?\u1077?\u1076?\u1080?\u1085?\u1077?\u1085?\u1080?\u1090?\u1077? \u1065?\u1072?\u1090?\u1080? \u1086?\u1090?\u1085?\u1086?\u1089?\u1085?\u1086? \u1085?\u1077?\u1086?\u1073?\u1093?\u1086?\u1076?\u1080?\u1084?\u1080?\u1090?\u1077? \u1082?\u1086?\u1084?\u1087?\u1077?\u1085?\u1089?\u1072?\u1090?\u1086?\u1088?\u1085?\u1080? \u1082?\u1086?\u1088?\u1077?\u1082?\u1094?\u1080?\u1080? \u1074? \u1088?\u1077?\u1079?\u1091?\u1083?\u1090?\u1072?\u1090? \u1085?\u1072? \u1087?\u1088?\u1080?\u1089?\u1098?\u1077?\u1076?\u1080?\u1085?\u1103?\u1074?\u1072?\u1085?\u1077?\u1090?\u1086? \u1082?\u1098?\u1084? \u1045?\u1074?\u1088?\u1086?\u1087?\u1077?\u1081?\u1089?\u1082?\u1080?\u1103? \u1089?\u1098?\u1102?\u1079? \u1085?\u1072? \u1063?\u1077?\u1096?\u1082?\u1072?\u1090?\u1072? \u1088?\u1077?\u1087?\u1091?\u1073?\u1083?\u1080?\u1082?\u1072?, \u1056?\u1077?\u1087?\u1091?\u1073?\u1083?\u1080?\u1082?\u1072? \u1045?\u1089?\u1090?\u1086?\u1085?\u1080?\u1103?, \u1056?\u1077?\u1087?\u1091?\u1073?\u1083?\u1080?\u1082?\u1072? \u1050?\u1080?\u1087?\u1098?\u1088?, \u1056?\u1077?\u1087?\u1091?\u1073?\u1083?\u1080?\u1082?\u1072? \u1051?\u1072?\u1090?\u1074?\u1080?\u1103?, \u1056?\u1077?\u1087?\u1091?\u1073?\u1083?\u1080?\u1082?\u1072? \u1051?\u1080?\u1090?\u1074?\u1072?, \u1056?\u1077?\u1087?\u1091?\u1073?\u1083?\u1080?\u1082?\u1072? \u1059?\u1085?\u1075?\u1072?\u1088?\u1080?\u1103?, \u1056?\u1077?\u1087?\u1091?\u1073?\u1083?\u1080?\u1082?\u1072? \u1052?\u1072?\u1083?\u1090?\u1072?, \u1056?\u1077?\u1087?\u1091?\u1073?\u1083?\u1080?\u1082?\u1072? \u1040?\u1074?\u1089?\u1090?\u1088?\u1080?\u1103?, \u1056?\u1077?\u1087?\u1091?\u1073?\u1083?\u1080?\u1082?\u1072? \u1055?\u1086?\u1083?\u1096?\u1072?, \u1056?\u1077?\u1087?\u1091?\u1073?\u1083?\u1080?\u1082?\u1072? \u1057?\u1083?\u1086?\u1074?\u1077?\u1085?\u1080?\u1103?, \u1057?\u1083?\u1086?\u1074?\u1072?\u1096?\u1082?\u1072?\u1090?\u1072? \u1088?\u1077?\u1087?\u1091?\u1073?\u1083?\u1080?\u1082?\u1072?, \u1056?\u1077?\u1087?\u1091?\u1073?\u1083?\u1080?\u1082?\u1072? \u1060?\u1080?\u1085?\u1083?\u1072?\u1085?\u1076?\u1080?\u1103? \u1080? \u1050?\u1088?\u1072?\u1083?\u1089?\u1090?\u1074?\u1086? \u1064?\u1074?\u1077?\u1094?\u1080?\u1103?"/>
    <w:docVar w:name="LW_TYPE.DOC.CP" w:val="\u1056?\u1045?\u1064?\u1045?\u1053?\u1048?\u1045? \u1053?\u1040? \u1057?\u1066?\u1042?\u1045?\u1058?\u1040?"/>
  </w:docVars>
  <w:rsids>
    <w:rsidRoot w:val="007917F7"/>
    <w:rsid w:val="007917F7"/>
    <w:rsid w:val="0096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B351DD0-EEC1-4525-A4AE-897736F7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66621"/>
    <w:pPr>
      <w:tabs>
        <w:tab w:val="center" w:pos="4535"/>
        <w:tab w:val="right" w:pos="9071"/>
      </w:tabs>
      <w:spacing w:before="0"/>
    </w:pPr>
  </w:style>
  <w:style w:type="character" w:customStyle="1" w:styleId="HeaderChar">
    <w:name w:val="Header Char"/>
    <w:basedOn w:val="DefaultParagraphFont"/>
    <w:link w:val="Header"/>
    <w:uiPriority w:val="99"/>
    <w:rsid w:val="00966621"/>
    <w:rPr>
      <w:rFonts w:ascii="Times New Roman" w:hAnsi="Times New Roman" w:cs="Times New Roman"/>
      <w:sz w:val="24"/>
      <w:lang w:val="bg-BG"/>
    </w:rPr>
  </w:style>
  <w:style w:type="paragraph" w:styleId="Footer">
    <w:name w:val="footer"/>
    <w:basedOn w:val="Normal"/>
    <w:link w:val="FooterChar"/>
    <w:uiPriority w:val="99"/>
    <w:unhideWhenUsed/>
    <w:rsid w:val="0096662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66621"/>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66621"/>
    <w:pPr>
      <w:tabs>
        <w:tab w:val="center" w:pos="7285"/>
        <w:tab w:val="right" w:pos="14003"/>
      </w:tabs>
      <w:spacing w:before="0"/>
    </w:pPr>
  </w:style>
  <w:style w:type="paragraph" w:customStyle="1" w:styleId="FooterLandscape">
    <w:name w:val="FooterLandscape"/>
    <w:basedOn w:val="Normal"/>
    <w:rsid w:val="0096662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6662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6662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document/activities/cont/201003/20100330ATT71953/20100330ATT71953EN.pdf" TargetMode="External"/><Relationship Id="rId1" Type="http://schemas.openxmlformats.org/officeDocument/2006/relationships/hyperlink" Target="http://eur-lex.europa.eu/legal-content/BG/TXT/?qid=1507219015626&amp;uri=CELEX:52007PC0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EC73F6-3331-43F4-90C7-8BA213FB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8</Pages>
  <Words>2036</Words>
  <Characters>11994</Characters>
  <Application>Microsoft Office Word</Application>
  <DocSecurity>0</DocSecurity>
  <Lines>235</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ANTONACCIO Raimondo (SG)</cp:lastModifiedBy>
  <cp:revision>48</cp:revision>
  <cp:lastPrinted>2018-11-12T15:43:00Z</cp:lastPrinted>
  <dcterms:created xsi:type="dcterms:W3CDTF">2018-10-12T10:22:00Z</dcterms:created>
  <dcterms:modified xsi:type="dcterms:W3CDTF">2018-11-12T15:43:00Z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