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90CAF2C-FC39-4DA1-9728-981B079D41CE"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ANNEXE 2-A</w:t>
      </w:r>
    </w:p>
    <w:p>
      <w:pPr>
        <w:rPr>
          <w:noProof/>
        </w:rPr>
      </w:pPr>
    </w:p>
    <w:p>
      <w:pPr>
        <w:rPr>
          <w:noProof/>
        </w:rPr>
      </w:pPr>
    </w:p>
    <w:p>
      <w:pPr>
        <w:jc w:val="center"/>
        <w:rPr>
          <w:noProof/>
        </w:rPr>
      </w:pPr>
      <w:r>
        <w:rPr>
          <w:noProof/>
        </w:rPr>
        <w:t>Réduction ou élimination des droits de douane</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DISPOSITIONS GÉNÉRALES</w:t>
      </w:r>
    </w:p>
    <w:p>
      <w:pPr>
        <w:rPr>
          <w:noProof/>
        </w:rPr>
      </w:pPr>
    </w:p>
    <w:p>
      <w:pPr>
        <w:ind w:left="567" w:hanging="567"/>
        <w:rPr>
          <w:noProof/>
        </w:rPr>
      </w:pPr>
      <w:r>
        <w:rPr>
          <w:noProof/>
        </w:rPr>
        <w:t>1.</w:t>
      </w:r>
      <w:r>
        <w:rPr>
          <w:noProof/>
        </w:rPr>
        <w:tab/>
        <w:t>Sauf disposition contraire prévue dans la liste tarifaire d’une partie jointe à la présente annexe, les catégories de démantèlement ci-après s’appliquent conformément à l’article 2.7 (Réduction ou élimination des droits de douane) à la réduction ou à l’élimination des droits de douane appliqués sur les marchandises originaires de l’autre partie et figurant à l’appendice 2</w:t>
      </w:r>
      <w:r>
        <w:rPr>
          <w:noProof/>
        </w:rPr>
        <w:noBreakHyphen/>
        <w:t>A</w:t>
      </w:r>
      <w:r>
        <w:rPr>
          <w:noProof/>
        </w:rPr>
        <w:noBreakHyphen/>
        <w:t>1 (Liste tarifaire de l’Union) et à l’appendice 2-A-2 (Liste tarifaire du Viêt Nam):</w:t>
      </w:r>
    </w:p>
    <w:p>
      <w:pPr>
        <w:ind w:left="1134" w:hanging="567"/>
        <w:rPr>
          <w:noProof/>
        </w:rPr>
      </w:pPr>
    </w:p>
    <w:p>
      <w:pPr>
        <w:ind w:left="1134" w:hanging="567"/>
        <w:rPr>
          <w:noProof/>
        </w:rPr>
      </w:pPr>
      <w:r>
        <w:rPr>
          <w:noProof/>
        </w:rPr>
        <w:t>a)</w:t>
      </w:r>
      <w:r>
        <w:rPr>
          <w:noProof/>
        </w:rPr>
        <w:tab/>
        <w:t>les droits de douane sur les marchandises originaires visées dans les positions relevant de la catégorie de démantèlement tarifaire «A» de la liste d’une partie sont entièrement éliminés et ces marchandises sont exemptes de tous droits de douane à partir de la date d’entrée en vigueur du présent accord;</w:t>
      </w:r>
    </w:p>
    <w:p>
      <w:pPr>
        <w:ind w:left="1134" w:hanging="567"/>
        <w:rPr>
          <w:noProof/>
        </w:rPr>
      </w:pPr>
    </w:p>
    <w:p>
      <w:pPr>
        <w:ind w:left="1134" w:hanging="567"/>
        <w:rPr>
          <w:noProof/>
        </w:rPr>
      </w:pPr>
      <w:r>
        <w:rPr>
          <w:noProof/>
        </w:rPr>
        <w:br w:type="page"/>
        <w:t>b)</w:t>
      </w:r>
      <w:r>
        <w:rPr>
          <w:noProof/>
        </w:rPr>
        <w:tab/>
        <w:t>les droits de douane sur les marchandises originaires visées dans les positions relevant de la catégorie de démantèlement tarifaire «B3» de la liste d’une partie sont éliminés en quatre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t>c)</w:t>
      </w:r>
      <w:r>
        <w:rPr>
          <w:noProof/>
        </w:rPr>
        <w:tab/>
        <w:t>les droits de douane sur les marchandises originaires visées dans les positions relevant de la catégorie de démantèlement tarifaire «B5» de la liste d’une partie sont éliminés en six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t>d)</w:t>
      </w:r>
      <w:r>
        <w:rPr>
          <w:noProof/>
        </w:rPr>
        <w:tab/>
        <w:t>les droits de douane sur les marchandises originaires visées dans les positions relevant de la catégorie de démantèlement tarifaire «B7» de la liste d’une partie sont éliminés en huit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t>f)</w:t>
      </w:r>
      <w:r>
        <w:rPr>
          <w:noProof/>
        </w:rPr>
        <w:tab/>
        <w:t>les droits de douane sur les marchandises originaires visées dans les positions relevant de la catégorie de démantèlement tarifaire «B9» de la liste du Viêt Nam sont éliminés en 10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br w:type="page"/>
        <w:t>g)</w:t>
      </w:r>
      <w:r>
        <w:rPr>
          <w:noProof/>
        </w:rPr>
        <w:tab/>
        <w:t>les droits de douane sur les marchandises originaires visées dans les positions relevant de la catégorie de démantèlement tarifaire «B10» de la liste d’une partie sont éliminés en 11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t>h)</w:t>
      </w:r>
      <w:r>
        <w:rPr>
          <w:noProof/>
        </w:rPr>
        <w:tab/>
        <w:t>les droits de douane sur les marchandises originaires visées dans les positions relevant de la catégorie de démantèlement tarifaire «B10*» de la liste du Viêt Nam sont éliminés en 11 tranches annuelles commençant à la date d’entrée en vigueur du présent accord conformément au tableau ci-après et ces marchandises sont ensuite exemptes de tous droits de douane;</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0"/>
        <w:gridCol w:w="770"/>
        <w:gridCol w:w="770"/>
        <w:gridCol w:w="771"/>
        <w:gridCol w:w="771"/>
        <w:gridCol w:w="771"/>
        <w:gridCol w:w="771"/>
        <w:gridCol w:w="771"/>
        <w:gridCol w:w="771"/>
        <w:gridCol w:w="771"/>
        <w:gridCol w:w="773"/>
      </w:tblGrid>
      <w:tr>
        <w:trPr>
          <w:trHeight w:val="227"/>
          <w:tblHeader/>
        </w:trPr>
        <w:tc>
          <w:tcPr>
            <w:tcW w:w="698" w:type="pct"/>
            <w:shd w:val="clear" w:color="auto" w:fill="auto"/>
            <w:vAlign w:val="center"/>
          </w:tcPr>
          <w:p>
            <w:pPr>
              <w:spacing w:before="60" w:after="60" w:line="240" w:lineRule="auto"/>
              <w:jc w:val="center"/>
              <w:rPr>
                <w:noProof/>
              </w:rPr>
            </w:pPr>
            <w:r>
              <w:rPr>
                <w:noProof/>
              </w:rPr>
              <w:t>Code tarifaire</w:t>
            </w:r>
          </w:p>
        </w:tc>
        <w:tc>
          <w:tcPr>
            <w:tcW w:w="4302" w:type="pct"/>
            <w:gridSpan w:val="11"/>
            <w:shd w:val="clear" w:color="auto" w:fill="auto"/>
            <w:vAlign w:val="center"/>
          </w:tcPr>
          <w:p>
            <w:pPr>
              <w:spacing w:before="60" w:after="60" w:line="240" w:lineRule="auto"/>
              <w:jc w:val="center"/>
              <w:rPr>
                <w:noProof/>
              </w:rPr>
            </w:pPr>
            <w:r>
              <w:rPr>
                <w:noProof/>
              </w:rPr>
              <w:t>Année</w:t>
            </w:r>
          </w:p>
        </w:tc>
      </w:tr>
      <w:tr>
        <w:trPr>
          <w:trHeight w:val="227"/>
          <w:tblHeader/>
        </w:trPr>
        <w:tc>
          <w:tcPr>
            <w:tcW w:w="698" w:type="pct"/>
            <w:shd w:val="clear" w:color="auto" w:fill="auto"/>
            <w:vAlign w:val="center"/>
          </w:tcPr>
          <w:p>
            <w:pPr>
              <w:spacing w:before="60" w:after="60" w:line="240" w:lineRule="auto"/>
              <w:jc w:val="center"/>
              <w:rPr>
                <w:noProof/>
              </w:rPr>
            </w:pPr>
            <w:r>
              <w:rPr>
                <w:noProof/>
              </w:rPr>
              <w:t>SH 2012</w:t>
            </w:r>
          </w:p>
        </w:tc>
        <w:tc>
          <w:tcPr>
            <w:tcW w:w="391" w:type="pct"/>
            <w:shd w:val="clear" w:color="auto" w:fill="auto"/>
            <w:vAlign w:val="center"/>
          </w:tcPr>
          <w:p>
            <w:pPr>
              <w:spacing w:before="60" w:after="60" w:line="240" w:lineRule="auto"/>
              <w:jc w:val="center"/>
              <w:rPr>
                <w:noProof/>
              </w:rPr>
            </w:pPr>
            <w:r>
              <w:rPr>
                <w:noProof/>
              </w:rPr>
              <w:t>1</w:t>
            </w:r>
          </w:p>
        </w:tc>
        <w:tc>
          <w:tcPr>
            <w:tcW w:w="391" w:type="pct"/>
            <w:shd w:val="clear" w:color="auto" w:fill="auto"/>
            <w:vAlign w:val="center"/>
          </w:tcPr>
          <w:p>
            <w:pPr>
              <w:spacing w:before="60" w:after="60" w:line="240" w:lineRule="auto"/>
              <w:jc w:val="center"/>
              <w:rPr>
                <w:noProof/>
              </w:rPr>
            </w:pPr>
            <w:r>
              <w:rPr>
                <w:noProof/>
              </w:rPr>
              <w:t>2</w:t>
            </w:r>
          </w:p>
        </w:tc>
        <w:tc>
          <w:tcPr>
            <w:tcW w:w="391" w:type="pct"/>
            <w:shd w:val="clear" w:color="auto" w:fill="auto"/>
            <w:vAlign w:val="center"/>
          </w:tcPr>
          <w:p>
            <w:pPr>
              <w:spacing w:before="60" w:after="60" w:line="240" w:lineRule="auto"/>
              <w:jc w:val="center"/>
              <w:rPr>
                <w:noProof/>
              </w:rPr>
            </w:pPr>
            <w:r>
              <w:rPr>
                <w:noProof/>
              </w:rPr>
              <w:t>3</w:t>
            </w:r>
          </w:p>
        </w:tc>
        <w:tc>
          <w:tcPr>
            <w:tcW w:w="391" w:type="pct"/>
            <w:shd w:val="clear" w:color="auto" w:fill="auto"/>
            <w:vAlign w:val="center"/>
          </w:tcPr>
          <w:p>
            <w:pPr>
              <w:spacing w:before="60" w:after="60" w:line="240" w:lineRule="auto"/>
              <w:jc w:val="center"/>
              <w:rPr>
                <w:noProof/>
              </w:rPr>
            </w:pPr>
            <w:r>
              <w:rPr>
                <w:noProof/>
              </w:rPr>
              <w:t>4</w:t>
            </w:r>
          </w:p>
        </w:tc>
        <w:tc>
          <w:tcPr>
            <w:tcW w:w="391" w:type="pct"/>
            <w:shd w:val="clear" w:color="auto" w:fill="auto"/>
            <w:vAlign w:val="center"/>
          </w:tcPr>
          <w:p>
            <w:pPr>
              <w:spacing w:before="60" w:after="60" w:line="240" w:lineRule="auto"/>
              <w:jc w:val="center"/>
              <w:rPr>
                <w:noProof/>
              </w:rPr>
            </w:pPr>
            <w:r>
              <w:rPr>
                <w:noProof/>
              </w:rPr>
              <w:t>5</w:t>
            </w:r>
          </w:p>
        </w:tc>
        <w:tc>
          <w:tcPr>
            <w:tcW w:w="391" w:type="pct"/>
            <w:shd w:val="clear" w:color="auto" w:fill="auto"/>
            <w:vAlign w:val="center"/>
          </w:tcPr>
          <w:p>
            <w:pPr>
              <w:spacing w:before="60" w:after="60" w:line="240" w:lineRule="auto"/>
              <w:jc w:val="center"/>
              <w:rPr>
                <w:noProof/>
              </w:rPr>
            </w:pPr>
            <w:r>
              <w:rPr>
                <w:noProof/>
              </w:rPr>
              <w:t>6</w:t>
            </w:r>
          </w:p>
        </w:tc>
        <w:tc>
          <w:tcPr>
            <w:tcW w:w="391" w:type="pct"/>
            <w:shd w:val="clear" w:color="auto" w:fill="auto"/>
            <w:vAlign w:val="center"/>
          </w:tcPr>
          <w:p>
            <w:pPr>
              <w:spacing w:before="60" w:after="60" w:line="240" w:lineRule="auto"/>
              <w:jc w:val="center"/>
              <w:rPr>
                <w:noProof/>
              </w:rPr>
            </w:pPr>
            <w:r>
              <w:rPr>
                <w:noProof/>
              </w:rPr>
              <w:t>7</w:t>
            </w:r>
          </w:p>
        </w:tc>
        <w:tc>
          <w:tcPr>
            <w:tcW w:w="391" w:type="pct"/>
            <w:shd w:val="clear" w:color="auto" w:fill="auto"/>
            <w:vAlign w:val="center"/>
          </w:tcPr>
          <w:p>
            <w:pPr>
              <w:spacing w:before="60" w:after="60" w:line="240" w:lineRule="auto"/>
              <w:jc w:val="center"/>
              <w:rPr>
                <w:noProof/>
              </w:rPr>
            </w:pPr>
            <w:r>
              <w:rPr>
                <w:noProof/>
              </w:rPr>
              <w:t>8</w:t>
            </w:r>
          </w:p>
        </w:tc>
        <w:tc>
          <w:tcPr>
            <w:tcW w:w="391" w:type="pct"/>
            <w:shd w:val="clear" w:color="auto" w:fill="auto"/>
            <w:vAlign w:val="center"/>
          </w:tcPr>
          <w:p>
            <w:pPr>
              <w:spacing w:before="60" w:after="60" w:line="240" w:lineRule="auto"/>
              <w:jc w:val="center"/>
              <w:rPr>
                <w:noProof/>
              </w:rPr>
            </w:pPr>
            <w:r>
              <w:rPr>
                <w:noProof/>
              </w:rPr>
              <w:t>9</w:t>
            </w:r>
          </w:p>
        </w:tc>
        <w:tc>
          <w:tcPr>
            <w:tcW w:w="391" w:type="pct"/>
            <w:shd w:val="clear" w:color="auto" w:fill="auto"/>
            <w:vAlign w:val="center"/>
          </w:tcPr>
          <w:p>
            <w:pPr>
              <w:spacing w:before="60" w:after="60" w:line="240" w:lineRule="auto"/>
              <w:jc w:val="center"/>
              <w:rPr>
                <w:noProof/>
              </w:rPr>
            </w:pPr>
            <w:r>
              <w:rPr>
                <w:noProof/>
              </w:rPr>
              <w:t>10</w:t>
            </w:r>
          </w:p>
        </w:tc>
        <w:tc>
          <w:tcPr>
            <w:tcW w:w="391" w:type="pct"/>
            <w:shd w:val="clear" w:color="auto" w:fill="auto"/>
            <w:vAlign w:val="center"/>
          </w:tcPr>
          <w:p>
            <w:pPr>
              <w:spacing w:before="60" w:after="60" w:line="240" w:lineRule="auto"/>
              <w:jc w:val="center"/>
              <w:rPr>
                <w:noProof/>
              </w:rPr>
            </w:pPr>
            <w:r>
              <w:rPr>
                <w:noProof/>
              </w:rPr>
              <w:t>11</w:t>
            </w:r>
          </w:p>
        </w:tc>
      </w:tr>
      <w:tr>
        <w:trPr>
          <w:trHeight w:val="227"/>
        </w:trPr>
        <w:tc>
          <w:tcPr>
            <w:tcW w:w="698" w:type="pct"/>
            <w:shd w:val="clear" w:color="auto" w:fill="auto"/>
          </w:tcPr>
          <w:p>
            <w:pPr>
              <w:spacing w:before="60" w:after="60" w:line="240" w:lineRule="auto"/>
              <w:rPr>
                <w:noProof/>
              </w:rPr>
            </w:pPr>
            <w:r>
              <w:rPr>
                <w:noProof/>
              </w:rPr>
              <w:t>2203.00.10</w:t>
            </w:r>
          </w:p>
          <w:p>
            <w:pPr>
              <w:spacing w:before="60" w:after="60" w:line="240" w:lineRule="auto"/>
              <w:rPr>
                <w:noProof/>
              </w:rPr>
            </w:pPr>
            <w:r>
              <w:rPr>
                <w:noProof/>
              </w:rPr>
              <w:t>2203.00.90</w:t>
            </w:r>
          </w:p>
        </w:tc>
        <w:tc>
          <w:tcPr>
            <w:tcW w:w="391" w:type="pct"/>
            <w:shd w:val="clear" w:color="auto" w:fill="auto"/>
            <w:vAlign w:val="center"/>
          </w:tcPr>
          <w:p>
            <w:pPr>
              <w:spacing w:before="60" w:after="60" w:line="240" w:lineRule="auto"/>
              <w:rPr>
                <w:noProof/>
              </w:rPr>
            </w:pPr>
            <w:r>
              <w:rPr>
                <w:noProof/>
              </w:rPr>
              <w:t>34 %</w:t>
            </w:r>
          </w:p>
        </w:tc>
        <w:tc>
          <w:tcPr>
            <w:tcW w:w="391" w:type="pct"/>
            <w:shd w:val="clear" w:color="auto" w:fill="auto"/>
            <w:vAlign w:val="center"/>
          </w:tcPr>
          <w:p>
            <w:pPr>
              <w:spacing w:before="60" w:after="60" w:line="240" w:lineRule="auto"/>
              <w:rPr>
                <w:noProof/>
              </w:rPr>
            </w:pPr>
            <w:r>
              <w:rPr>
                <w:noProof/>
              </w:rPr>
              <w:t>33 %</w:t>
            </w:r>
          </w:p>
        </w:tc>
        <w:tc>
          <w:tcPr>
            <w:tcW w:w="391" w:type="pct"/>
            <w:shd w:val="clear" w:color="auto" w:fill="auto"/>
            <w:vAlign w:val="center"/>
          </w:tcPr>
          <w:p>
            <w:pPr>
              <w:spacing w:before="60" w:after="60" w:line="240" w:lineRule="auto"/>
              <w:rPr>
                <w:noProof/>
              </w:rPr>
            </w:pPr>
            <w:r>
              <w:rPr>
                <w:noProof/>
              </w:rPr>
              <w:t>32 %</w:t>
            </w:r>
          </w:p>
        </w:tc>
        <w:tc>
          <w:tcPr>
            <w:tcW w:w="391" w:type="pct"/>
            <w:shd w:val="clear" w:color="auto" w:fill="auto"/>
            <w:vAlign w:val="center"/>
          </w:tcPr>
          <w:p>
            <w:pPr>
              <w:spacing w:before="60" w:after="60" w:line="240" w:lineRule="auto"/>
              <w:rPr>
                <w:noProof/>
              </w:rPr>
            </w:pPr>
            <w:r>
              <w:rPr>
                <w:noProof/>
              </w:rPr>
              <w:t>30 %</w:t>
            </w:r>
          </w:p>
        </w:tc>
        <w:tc>
          <w:tcPr>
            <w:tcW w:w="391" w:type="pct"/>
            <w:shd w:val="clear" w:color="auto" w:fill="auto"/>
            <w:vAlign w:val="center"/>
          </w:tcPr>
          <w:p>
            <w:pPr>
              <w:spacing w:before="60" w:after="60" w:line="240" w:lineRule="auto"/>
              <w:rPr>
                <w:noProof/>
              </w:rPr>
            </w:pPr>
            <w:r>
              <w:rPr>
                <w:noProof/>
              </w:rPr>
              <w:t>29 %</w:t>
            </w:r>
          </w:p>
        </w:tc>
        <w:tc>
          <w:tcPr>
            <w:tcW w:w="391" w:type="pct"/>
            <w:shd w:val="clear" w:color="auto" w:fill="auto"/>
            <w:vAlign w:val="center"/>
          </w:tcPr>
          <w:p>
            <w:pPr>
              <w:spacing w:before="60" w:after="60" w:line="240" w:lineRule="auto"/>
              <w:rPr>
                <w:noProof/>
              </w:rPr>
            </w:pPr>
            <w:r>
              <w:rPr>
                <w:noProof/>
              </w:rPr>
              <w:t>25 %</w:t>
            </w:r>
          </w:p>
        </w:tc>
        <w:tc>
          <w:tcPr>
            <w:tcW w:w="391" w:type="pct"/>
            <w:shd w:val="clear" w:color="auto" w:fill="auto"/>
            <w:vAlign w:val="center"/>
          </w:tcPr>
          <w:p>
            <w:pPr>
              <w:spacing w:before="60" w:after="60" w:line="240" w:lineRule="auto"/>
              <w:rPr>
                <w:noProof/>
              </w:rPr>
            </w:pPr>
            <w:r>
              <w:rPr>
                <w:noProof/>
              </w:rPr>
              <w:t>22 %</w:t>
            </w:r>
          </w:p>
        </w:tc>
        <w:tc>
          <w:tcPr>
            <w:tcW w:w="391" w:type="pct"/>
            <w:shd w:val="clear" w:color="auto" w:fill="auto"/>
            <w:vAlign w:val="center"/>
          </w:tcPr>
          <w:p>
            <w:pPr>
              <w:spacing w:before="60" w:after="60" w:line="240" w:lineRule="auto"/>
              <w:rPr>
                <w:noProof/>
              </w:rPr>
            </w:pPr>
            <w:r>
              <w:rPr>
                <w:noProof/>
              </w:rPr>
              <w:t>18 %</w:t>
            </w:r>
          </w:p>
        </w:tc>
        <w:tc>
          <w:tcPr>
            <w:tcW w:w="391" w:type="pct"/>
            <w:shd w:val="clear" w:color="auto" w:fill="auto"/>
            <w:vAlign w:val="center"/>
          </w:tcPr>
          <w:p>
            <w:pPr>
              <w:spacing w:before="60" w:after="60" w:line="240" w:lineRule="auto"/>
              <w:rPr>
                <w:noProof/>
              </w:rPr>
            </w:pPr>
            <w:r>
              <w:rPr>
                <w:noProof/>
              </w:rPr>
              <w:t>15 %</w:t>
            </w:r>
          </w:p>
        </w:tc>
        <w:tc>
          <w:tcPr>
            <w:tcW w:w="391" w:type="pct"/>
            <w:shd w:val="clear" w:color="auto" w:fill="auto"/>
            <w:vAlign w:val="center"/>
          </w:tcPr>
          <w:p>
            <w:pPr>
              <w:spacing w:before="60" w:after="60" w:line="240" w:lineRule="auto"/>
              <w:rPr>
                <w:noProof/>
              </w:rPr>
            </w:pPr>
            <w:r>
              <w:rPr>
                <w:noProof/>
              </w:rPr>
              <w:t>11 %</w:t>
            </w:r>
          </w:p>
        </w:tc>
        <w:tc>
          <w:tcPr>
            <w:tcW w:w="391" w:type="pct"/>
            <w:shd w:val="clear" w:color="auto" w:fill="auto"/>
            <w:vAlign w:val="center"/>
          </w:tcPr>
          <w:p>
            <w:pPr>
              <w:spacing w:before="60" w:after="60" w:line="240" w:lineRule="auto"/>
              <w:rPr>
                <w:noProof/>
              </w:rPr>
            </w:pPr>
            <w:r>
              <w:rPr>
                <w:noProof/>
              </w:rPr>
              <w:t>0 %</w:t>
            </w:r>
          </w:p>
        </w:tc>
      </w:tr>
    </w:tbl>
    <w:p>
      <w:pPr>
        <w:rPr>
          <w:noProof/>
        </w:rPr>
      </w:pPr>
    </w:p>
    <w:p>
      <w:pPr>
        <w:ind w:left="1134" w:hanging="567"/>
        <w:rPr>
          <w:noProof/>
        </w:rPr>
      </w:pPr>
      <w:r>
        <w:rPr>
          <w:noProof/>
        </w:rPr>
        <w:t>i)</w:t>
      </w:r>
      <w:r>
        <w:rPr>
          <w:noProof/>
        </w:rPr>
        <w:tab/>
        <w:t>les droits de douane sur les marchandises originaires visées dans les positions relevant de la catégorie de démantèlement tarifaire «B10**» de la liste du Viêt Nam sont éliminés en 11 tranches annuelles commençant à la date d’entrée en vigueur du présent accord conformément au tableau ci-après et ces marchandises sont ensuite exemptes de tous droits de douane;</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16"/>
        <w:gridCol w:w="716"/>
        <w:gridCol w:w="716"/>
        <w:gridCol w:w="716"/>
        <w:gridCol w:w="716"/>
        <w:gridCol w:w="716"/>
        <w:gridCol w:w="716"/>
        <w:gridCol w:w="661"/>
        <w:gridCol w:w="671"/>
        <w:gridCol w:w="671"/>
        <w:gridCol w:w="770"/>
        <w:gridCol w:w="774"/>
      </w:tblGrid>
      <w:tr>
        <w:trPr>
          <w:trHeight w:val="227"/>
          <w:tblHeader/>
        </w:trPr>
        <w:tc>
          <w:tcPr>
            <w:tcW w:w="625" w:type="pct"/>
            <w:shd w:val="clear" w:color="auto" w:fill="auto"/>
            <w:vAlign w:val="center"/>
          </w:tcPr>
          <w:p>
            <w:pPr>
              <w:pageBreakBefore/>
              <w:spacing w:before="60" w:after="60" w:line="240" w:lineRule="auto"/>
              <w:jc w:val="center"/>
              <w:rPr>
                <w:noProof/>
              </w:rPr>
            </w:pPr>
            <w:r>
              <w:rPr>
                <w:noProof/>
              </w:rPr>
              <w:t>Code tarifaire</w:t>
            </w:r>
          </w:p>
        </w:tc>
        <w:tc>
          <w:tcPr>
            <w:tcW w:w="365" w:type="pct"/>
            <w:vMerge w:val="restart"/>
            <w:vAlign w:val="center"/>
          </w:tcPr>
          <w:p>
            <w:pPr>
              <w:spacing w:before="60" w:after="60" w:line="240" w:lineRule="auto"/>
              <w:jc w:val="center"/>
              <w:rPr>
                <w:noProof/>
              </w:rPr>
            </w:pPr>
            <w:r>
              <w:rPr>
                <w:noProof/>
              </w:rPr>
              <w:t>Taux de base</w:t>
            </w:r>
          </w:p>
        </w:tc>
        <w:tc>
          <w:tcPr>
            <w:tcW w:w="4010" w:type="pct"/>
            <w:gridSpan w:val="11"/>
            <w:shd w:val="clear" w:color="auto" w:fill="auto"/>
            <w:vAlign w:val="center"/>
          </w:tcPr>
          <w:p>
            <w:pPr>
              <w:spacing w:before="60" w:after="60" w:line="240" w:lineRule="auto"/>
              <w:jc w:val="center"/>
              <w:rPr>
                <w:noProof/>
              </w:rPr>
            </w:pPr>
            <w:r>
              <w:rPr>
                <w:noProof/>
              </w:rPr>
              <w:t>Année</w:t>
            </w:r>
          </w:p>
        </w:tc>
      </w:tr>
      <w:tr>
        <w:trPr>
          <w:trHeight w:val="227"/>
          <w:tblHeader/>
        </w:trPr>
        <w:tc>
          <w:tcPr>
            <w:tcW w:w="625" w:type="pct"/>
            <w:shd w:val="clear" w:color="auto" w:fill="auto"/>
            <w:vAlign w:val="center"/>
          </w:tcPr>
          <w:p>
            <w:pPr>
              <w:spacing w:before="60" w:after="60" w:line="240" w:lineRule="auto"/>
              <w:jc w:val="center"/>
              <w:rPr>
                <w:noProof/>
              </w:rPr>
            </w:pPr>
            <w:r>
              <w:rPr>
                <w:noProof/>
              </w:rPr>
              <w:t>SH 2012</w:t>
            </w:r>
          </w:p>
        </w:tc>
        <w:tc>
          <w:tcPr>
            <w:tcW w:w="365" w:type="pct"/>
            <w:vMerge/>
            <w:vAlign w:val="center"/>
          </w:tcPr>
          <w:p>
            <w:pPr>
              <w:spacing w:before="60" w:after="60" w:line="240" w:lineRule="auto"/>
              <w:jc w:val="center"/>
              <w:rPr>
                <w:noProof/>
              </w:rPr>
            </w:pPr>
          </w:p>
        </w:tc>
        <w:tc>
          <w:tcPr>
            <w:tcW w:w="360" w:type="pct"/>
            <w:shd w:val="clear" w:color="auto" w:fill="auto"/>
            <w:vAlign w:val="center"/>
          </w:tcPr>
          <w:p>
            <w:pPr>
              <w:spacing w:before="60" w:after="60" w:line="240" w:lineRule="auto"/>
              <w:jc w:val="center"/>
              <w:rPr>
                <w:noProof/>
              </w:rPr>
            </w:pPr>
            <w:r>
              <w:rPr>
                <w:noProof/>
              </w:rPr>
              <w:t>1</w:t>
            </w:r>
          </w:p>
        </w:tc>
        <w:tc>
          <w:tcPr>
            <w:tcW w:w="353" w:type="pct"/>
            <w:shd w:val="clear" w:color="auto" w:fill="auto"/>
            <w:vAlign w:val="center"/>
          </w:tcPr>
          <w:p>
            <w:pPr>
              <w:spacing w:before="60" w:after="60" w:line="240" w:lineRule="auto"/>
              <w:jc w:val="center"/>
              <w:rPr>
                <w:noProof/>
              </w:rPr>
            </w:pPr>
            <w:r>
              <w:rPr>
                <w:noProof/>
              </w:rPr>
              <w:t>2</w:t>
            </w:r>
          </w:p>
        </w:tc>
        <w:tc>
          <w:tcPr>
            <w:tcW w:w="353" w:type="pct"/>
            <w:shd w:val="clear" w:color="auto" w:fill="auto"/>
            <w:vAlign w:val="center"/>
          </w:tcPr>
          <w:p>
            <w:pPr>
              <w:spacing w:before="60" w:after="60" w:line="240" w:lineRule="auto"/>
              <w:jc w:val="center"/>
              <w:rPr>
                <w:noProof/>
              </w:rPr>
            </w:pPr>
            <w:r>
              <w:rPr>
                <w:noProof/>
              </w:rPr>
              <w:t>3</w:t>
            </w:r>
          </w:p>
        </w:tc>
        <w:tc>
          <w:tcPr>
            <w:tcW w:w="353" w:type="pct"/>
            <w:shd w:val="clear" w:color="auto" w:fill="auto"/>
            <w:vAlign w:val="center"/>
          </w:tcPr>
          <w:p>
            <w:pPr>
              <w:spacing w:before="60" w:after="60" w:line="240" w:lineRule="auto"/>
              <w:jc w:val="center"/>
              <w:rPr>
                <w:noProof/>
              </w:rPr>
            </w:pPr>
            <w:r>
              <w:rPr>
                <w:noProof/>
              </w:rPr>
              <w:t>4</w:t>
            </w:r>
          </w:p>
        </w:tc>
        <w:tc>
          <w:tcPr>
            <w:tcW w:w="376" w:type="pct"/>
            <w:shd w:val="clear" w:color="auto" w:fill="auto"/>
            <w:vAlign w:val="center"/>
          </w:tcPr>
          <w:p>
            <w:pPr>
              <w:spacing w:before="60" w:after="60" w:line="240" w:lineRule="auto"/>
              <w:jc w:val="center"/>
              <w:rPr>
                <w:noProof/>
              </w:rPr>
            </w:pPr>
            <w:r>
              <w:rPr>
                <w:noProof/>
              </w:rPr>
              <w:t>5</w:t>
            </w:r>
          </w:p>
        </w:tc>
        <w:tc>
          <w:tcPr>
            <w:tcW w:w="363" w:type="pct"/>
            <w:shd w:val="clear" w:color="auto" w:fill="auto"/>
            <w:vAlign w:val="center"/>
          </w:tcPr>
          <w:p>
            <w:pPr>
              <w:spacing w:before="60" w:after="60" w:line="240" w:lineRule="auto"/>
              <w:jc w:val="center"/>
              <w:rPr>
                <w:noProof/>
              </w:rPr>
            </w:pPr>
            <w:r>
              <w:rPr>
                <w:noProof/>
              </w:rPr>
              <w:t>6</w:t>
            </w:r>
          </w:p>
        </w:tc>
        <w:tc>
          <w:tcPr>
            <w:tcW w:w="350" w:type="pct"/>
            <w:shd w:val="clear" w:color="auto" w:fill="auto"/>
            <w:vAlign w:val="center"/>
          </w:tcPr>
          <w:p>
            <w:pPr>
              <w:spacing w:before="60" w:after="60" w:line="240" w:lineRule="auto"/>
              <w:jc w:val="center"/>
              <w:rPr>
                <w:noProof/>
              </w:rPr>
            </w:pPr>
            <w:r>
              <w:rPr>
                <w:noProof/>
              </w:rPr>
              <w:t>7</w:t>
            </w:r>
          </w:p>
        </w:tc>
        <w:tc>
          <w:tcPr>
            <w:tcW w:w="350" w:type="pct"/>
            <w:shd w:val="clear" w:color="auto" w:fill="auto"/>
            <w:vAlign w:val="center"/>
          </w:tcPr>
          <w:p>
            <w:pPr>
              <w:spacing w:before="60" w:after="60" w:line="240" w:lineRule="auto"/>
              <w:jc w:val="center"/>
              <w:rPr>
                <w:noProof/>
              </w:rPr>
            </w:pPr>
            <w:r>
              <w:rPr>
                <w:noProof/>
              </w:rPr>
              <w:t>8</w:t>
            </w:r>
          </w:p>
        </w:tc>
        <w:tc>
          <w:tcPr>
            <w:tcW w:w="350" w:type="pct"/>
            <w:shd w:val="clear" w:color="auto" w:fill="auto"/>
            <w:vAlign w:val="center"/>
          </w:tcPr>
          <w:p>
            <w:pPr>
              <w:spacing w:before="60" w:after="60" w:line="240" w:lineRule="auto"/>
              <w:jc w:val="center"/>
              <w:rPr>
                <w:noProof/>
              </w:rPr>
            </w:pPr>
            <w:r>
              <w:rPr>
                <w:noProof/>
              </w:rPr>
              <w:t>9</w:t>
            </w:r>
          </w:p>
        </w:tc>
        <w:tc>
          <w:tcPr>
            <w:tcW w:w="400" w:type="pct"/>
            <w:shd w:val="clear" w:color="auto" w:fill="auto"/>
            <w:vAlign w:val="center"/>
          </w:tcPr>
          <w:p>
            <w:pPr>
              <w:spacing w:before="60" w:after="60" w:line="240" w:lineRule="auto"/>
              <w:jc w:val="center"/>
              <w:rPr>
                <w:noProof/>
              </w:rPr>
            </w:pPr>
            <w:r>
              <w:rPr>
                <w:noProof/>
              </w:rPr>
              <w:t>10</w:t>
            </w:r>
          </w:p>
        </w:tc>
        <w:tc>
          <w:tcPr>
            <w:tcW w:w="400" w:type="pct"/>
            <w:shd w:val="clear" w:color="auto" w:fill="auto"/>
            <w:vAlign w:val="center"/>
          </w:tcPr>
          <w:p>
            <w:pPr>
              <w:spacing w:before="60" w:after="60" w:line="240" w:lineRule="auto"/>
              <w:jc w:val="center"/>
              <w:rPr>
                <w:noProof/>
              </w:rPr>
            </w:pPr>
            <w:r>
              <w:rPr>
                <w:noProof/>
              </w:rPr>
              <w:t>11</w:t>
            </w:r>
          </w:p>
        </w:tc>
      </w:tr>
      <w:tr>
        <w:trPr>
          <w:trHeight w:val="227"/>
        </w:trPr>
        <w:tc>
          <w:tcPr>
            <w:tcW w:w="625" w:type="pct"/>
            <w:shd w:val="clear" w:color="auto" w:fill="auto"/>
          </w:tcPr>
          <w:p>
            <w:pPr>
              <w:spacing w:before="60" w:after="60" w:line="240" w:lineRule="auto"/>
              <w:rPr>
                <w:noProof/>
              </w:rPr>
            </w:pPr>
            <w:r>
              <w:rPr>
                <w:noProof/>
              </w:rPr>
              <w:t>2710.12.11</w:t>
            </w:r>
          </w:p>
          <w:p>
            <w:pPr>
              <w:spacing w:before="60" w:after="60" w:line="240" w:lineRule="auto"/>
              <w:rPr>
                <w:noProof/>
              </w:rPr>
            </w:pPr>
            <w:r>
              <w:rPr>
                <w:noProof/>
              </w:rPr>
              <w:t>2710.12.12</w:t>
            </w:r>
          </w:p>
          <w:p>
            <w:pPr>
              <w:spacing w:before="60" w:after="60" w:line="240" w:lineRule="auto"/>
              <w:rPr>
                <w:noProof/>
              </w:rPr>
            </w:pPr>
            <w:r>
              <w:rPr>
                <w:noProof/>
              </w:rPr>
              <w:t>2710.12.13</w:t>
            </w:r>
          </w:p>
          <w:p>
            <w:pPr>
              <w:spacing w:before="60" w:after="60" w:line="240" w:lineRule="auto"/>
              <w:rPr>
                <w:noProof/>
              </w:rPr>
            </w:pPr>
            <w:r>
              <w:rPr>
                <w:noProof/>
              </w:rPr>
              <w:t>2710.12.14</w:t>
            </w:r>
          </w:p>
          <w:p>
            <w:pPr>
              <w:spacing w:before="60" w:after="60" w:line="240" w:lineRule="auto"/>
              <w:rPr>
                <w:noProof/>
              </w:rPr>
            </w:pPr>
            <w:r>
              <w:rPr>
                <w:noProof/>
              </w:rPr>
              <w:t>2710.12.15</w:t>
            </w:r>
          </w:p>
          <w:p>
            <w:pPr>
              <w:spacing w:before="60" w:after="60" w:line="240" w:lineRule="auto"/>
              <w:rPr>
                <w:noProof/>
              </w:rPr>
            </w:pPr>
            <w:r>
              <w:rPr>
                <w:noProof/>
              </w:rPr>
              <w:t>2710.12.16</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2710.12.20</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2710.12.30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2710.12.40</w:t>
            </w:r>
          </w:p>
          <w:p>
            <w:pPr>
              <w:spacing w:before="60" w:after="60" w:line="240" w:lineRule="auto"/>
              <w:rPr>
                <w:noProof/>
              </w:rPr>
            </w:pPr>
            <w:r>
              <w:rPr>
                <w:noProof/>
              </w:rPr>
              <w:t>2710.12.50</w:t>
            </w:r>
          </w:p>
          <w:p>
            <w:pPr>
              <w:spacing w:before="60" w:after="60" w:line="240" w:lineRule="auto"/>
              <w:rPr>
                <w:noProof/>
              </w:rPr>
            </w:pPr>
            <w:r>
              <w:rPr>
                <w:noProof/>
              </w:rPr>
              <w:t>2710.12.60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17 %</w:t>
            </w:r>
          </w:p>
        </w:tc>
        <w:tc>
          <w:tcPr>
            <w:tcW w:w="353" w:type="pct"/>
            <w:shd w:val="clear" w:color="auto" w:fill="auto"/>
          </w:tcPr>
          <w:p>
            <w:pPr>
              <w:spacing w:before="60" w:after="60" w:line="240" w:lineRule="auto"/>
              <w:rPr>
                <w:noProof/>
              </w:rPr>
            </w:pPr>
            <w:r>
              <w:rPr>
                <w:noProof/>
              </w:rPr>
              <w:t>16 %</w:t>
            </w:r>
          </w:p>
        </w:tc>
        <w:tc>
          <w:tcPr>
            <w:tcW w:w="353" w:type="pct"/>
            <w:shd w:val="clear" w:color="auto" w:fill="auto"/>
          </w:tcPr>
          <w:p>
            <w:pPr>
              <w:spacing w:before="60" w:after="60" w:line="240" w:lineRule="auto"/>
              <w:rPr>
                <w:noProof/>
              </w:rPr>
            </w:pPr>
            <w:r>
              <w:rPr>
                <w:noProof/>
              </w:rPr>
              <w:t>14 %</w:t>
            </w:r>
          </w:p>
        </w:tc>
        <w:tc>
          <w:tcPr>
            <w:tcW w:w="353" w:type="pct"/>
            <w:shd w:val="clear" w:color="auto" w:fill="auto"/>
          </w:tcPr>
          <w:p>
            <w:pPr>
              <w:spacing w:before="60" w:after="60" w:line="240" w:lineRule="auto"/>
              <w:rPr>
                <w:noProof/>
              </w:rPr>
            </w:pPr>
            <w:r>
              <w:rPr>
                <w:noProof/>
              </w:rPr>
              <w:t>13 %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2710.12.70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2710.12.80</w:t>
            </w:r>
          </w:p>
          <w:p>
            <w:pPr>
              <w:spacing w:before="60" w:after="60" w:line="240" w:lineRule="auto"/>
              <w:rPr>
                <w:noProof/>
              </w:rPr>
            </w:pPr>
            <w:r>
              <w:rPr>
                <w:noProof/>
              </w:rPr>
              <w:t>2710.12.90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15 %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2710.19.71</w:t>
            </w:r>
          </w:p>
          <w:p>
            <w:pPr>
              <w:spacing w:before="60" w:after="60" w:line="240" w:lineRule="auto"/>
              <w:rPr>
                <w:noProof/>
              </w:rPr>
            </w:pPr>
            <w:r>
              <w:rPr>
                <w:noProof/>
              </w:rPr>
              <w:t>2710.19.72</w:t>
            </w:r>
          </w:p>
        </w:tc>
        <w:tc>
          <w:tcPr>
            <w:tcW w:w="365" w:type="pct"/>
          </w:tcPr>
          <w:p>
            <w:pPr>
              <w:spacing w:before="60" w:after="60" w:line="240" w:lineRule="auto"/>
              <w:rPr>
                <w:noProof/>
              </w:rPr>
            </w:pPr>
            <w:r>
              <w:rPr>
                <w:noProof/>
              </w:rPr>
              <w:t>8 %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2710.19.79</w:t>
            </w:r>
          </w:p>
          <w:p>
            <w:pPr>
              <w:spacing w:before="60" w:after="60" w:line="240" w:lineRule="auto"/>
              <w:rPr>
                <w:noProof/>
              </w:rPr>
            </w:pPr>
            <w:r>
              <w:rPr>
                <w:noProof/>
              </w:rPr>
              <w:t>2710.19.81</w:t>
            </w:r>
          </w:p>
          <w:p>
            <w:pPr>
              <w:spacing w:before="60" w:after="60" w:line="240" w:lineRule="auto"/>
              <w:rPr>
                <w:noProof/>
              </w:rPr>
            </w:pPr>
            <w:r>
              <w:rPr>
                <w:noProof/>
              </w:rPr>
              <w:t>2710.19.82</w:t>
            </w:r>
          </w:p>
          <w:p>
            <w:pPr>
              <w:spacing w:before="60" w:after="60" w:line="240" w:lineRule="auto"/>
              <w:rPr>
                <w:noProof/>
              </w:rPr>
            </w:pPr>
            <w:r>
              <w:rPr>
                <w:noProof/>
              </w:rPr>
              <w:t>2710.19.83</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9 %</w:t>
            </w:r>
          </w:p>
        </w:tc>
        <w:tc>
          <w:tcPr>
            <w:tcW w:w="353" w:type="pct"/>
            <w:shd w:val="clear" w:color="auto" w:fill="auto"/>
          </w:tcPr>
          <w:p>
            <w:pPr>
              <w:spacing w:before="60" w:after="60" w:line="240" w:lineRule="auto"/>
              <w:rPr>
                <w:noProof/>
              </w:rPr>
            </w:pPr>
            <w:r>
              <w:rPr>
                <w:noProof/>
              </w:rPr>
              <w:t>8 %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2710.20.00</w:t>
            </w:r>
          </w:p>
        </w:tc>
        <w:tc>
          <w:tcPr>
            <w:tcW w:w="365" w:type="pct"/>
          </w:tcPr>
          <w:p>
            <w:pPr>
              <w:spacing w:before="60" w:after="60" w:line="240" w:lineRule="auto"/>
              <w:rPr>
                <w:noProof/>
              </w:rPr>
            </w:pPr>
            <w:r>
              <w:rPr>
                <w:noProof/>
              </w:rPr>
              <w:t>7 %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2710.91.00</w:t>
            </w:r>
          </w:p>
          <w:p>
            <w:pPr>
              <w:spacing w:before="60" w:after="60" w:line="240" w:lineRule="auto"/>
              <w:rPr>
                <w:noProof/>
              </w:rPr>
            </w:pPr>
            <w:r>
              <w:rPr>
                <w:noProof/>
              </w:rPr>
              <w:t>2710.99.00</w:t>
            </w:r>
          </w:p>
        </w:tc>
        <w:tc>
          <w:tcPr>
            <w:tcW w:w="365" w:type="pct"/>
          </w:tcPr>
          <w:p>
            <w:pPr>
              <w:spacing w:before="60" w:after="60" w:line="240" w:lineRule="auto"/>
              <w:rPr>
                <w:noProof/>
              </w:rPr>
            </w:pPr>
            <w:r>
              <w:rPr>
                <w:noProof/>
              </w:rPr>
              <w:t>40 %</w:t>
            </w:r>
          </w:p>
        </w:tc>
        <w:tc>
          <w:tcPr>
            <w:tcW w:w="360" w:type="pct"/>
            <w:shd w:val="clear" w:color="auto" w:fill="auto"/>
          </w:tcPr>
          <w:p>
            <w:pPr>
              <w:spacing w:before="60" w:after="60" w:line="240" w:lineRule="auto"/>
              <w:rPr>
                <w:noProof/>
              </w:rPr>
            </w:pPr>
            <w:r>
              <w:rPr>
                <w:noProof/>
              </w:rPr>
              <w:t>40 %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9 %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bl>
    <w:p>
      <w:pPr>
        <w:rPr>
          <w:noProof/>
        </w:rPr>
      </w:pPr>
    </w:p>
    <w:p>
      <w:pPr>
        <w:ind w:left="1134" w:hanging="567"/>
        <w:rPr>
          <w:noProof/>
        </w:rPr>
      </w:pPr>
      <w:r>
        <w:rPr>
          <w:noProof/>
        </w:rPr>
        <w:br w:type="page"/>
        <w:t>j)</w:t>
      </w:r>
      <w:r>
        <w:rPr>
          <w:noProof/>
        </w:rPr>
        <w:tab/>
        <w:t>les droits de douane sur les marchandises originaires visées dans les positions relevant de la catégorie de démantèlement tarifaire «B15» de la liste du Viêt Nam sont éliminés en 16 tranches annuelles égales commençant à la date d’entrée en vigueur du présent accord et ces marchandises sont ensuite exemptes de tous droits de douane;</w:t>
      </w:r>
    </w:p>
    <w:p>
      <w:pPr>
        <w:ind w:left="1134" w:hanging="567"/>
        <w:rPr>
          <w:noProof/>
        </w:rPr>
      </w:pPr>
    </w:p>
    <w:p>
      <w:pPr>
        <w:ind w:left="1134" w:hanging="567"/>
        <w:rPr>
          <w:noProof/>
        </w:rPr>
      </w:pPr>
      <w:r>
        <w:rPr>
          <w:noProof/>
        </w:rPr>
        <w:t>k)</w:t>
      </w:r>
      <w:r>
        <w:rPr>
          <w:noProof/>
        </w:rPr>
        <w:tab/>
        <w:t>l’élément ad valorem des droits de douane sur les marchandises originaires visées dans les positions relevant de la catégorie de démantèlement tarifaire «A + EP» de la liste de l’Union est éliminé à la date d’entrée en vigueur du présent accord; l’élimination des droits de douane s’applique uniquement au droit ad valorem; le droit spécifique résultant du système des prix d’entrée que l’Union applique à certains fruits et légumes conformément au tarif douanier commun, prévu par le règlement d’exécution (UE) nº 543/2011 de la Commission du 7 juin 2011 portant modalités d’application du règlement (CE) nº 1234/2007 du Conseil en ce qui concerne les secteurs des fruits et légumes et des fruits et légumes transformés</w:t>
      </w:r>
      <w:r>
        <w:rPr>
          <w:rStyle w:val="FootnoteReference"/>
          <w:noProof/>
        </w:rPr>
        <w:footnoteReference w:id="1"/>
      </w:r>
      <w:r>
        <w:rPr>
          <w:noProof/>
        </w:rPr>
        <w:t>, est maintenu;</w:t>
      </w:r>
    </w:p>
    <w:p>
      <w:pPr>
        <w:rPr>
          <w:noProof/>
        </w:rPr>
      </w:pPr>
    </w:p>
    <w:p>
      <w:pPr>
        <w:ind w:left="1134" w:hanging="567"/>
        <w:rPr>
          <w:noProof/>
        </w:rPr>
      </w:pPr>
      <w:r>
        <w:rPr>
          <w:noProof/>
        </w:rPr>
        <w:br w:type="page"/>
        <w:t>l)</w:t>
      </w:r>
      <w:r>
        <w:rPr>
          <w:noProof/>
        </w:rPr>
        <w:tab/>
        <w:t>les droits de douane sur les marchandises originaires visées dans les positions relevant de la catégorie de démantèlement tarifaire «R75» de la liste de l’Union sont appliqués conformément au tableau ci-après:</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tblGrid>
      <w:tr>
        <w:trPr>
          <w:trHeight w:val="227"/>
          <w:tblHeader/>
          <w:jc w:val="center"/>
        </w:trPr>
        <w:tc>
          <w:tcPr>
            <w:tcW w:w="2919" w:type="dxa"/>
            <w:shd w:val="clear" w:color="auto" w:fill="auto"/>
            <w:vAlign w:val="center"/>
          </w:tcPr>
          <w:p>
            <w:pPr>
              <w:spacing w:before="60" w:after="60" w:line="240" w:lineRule="auto"/>
              <w:jc w:val="center"/>
              <w:rPr>
                <w:noProof/>
              </w:rPr>
            </w:pPr>
            <w:r>
              <w:rPr>
                <w:noProof/>
              </w:rPr>
              <w:t>Année</w:t>
            </w:r>
          </w:p>
        </w:tc>
        <w:tc>
          <w:tcPr>
            <w:tcW w:w="2919" w:type="dxa"/>
            <w:shd w:val="clear" w:color="auto" w:fill="auto"/>
            <w:vAlign w:val="center"/>
          </w:tcPr>
          <w:p>
            <w:pPr>
              <w:spacing w:before="60" w:after="60" w:line="240" w:lineRule="auto"/>
              <w:jc w:val="center"/>
              <w:rPr>
                <w:noProof/>
              </w:rPr>
            </w:pPr>
            <w:r>
              <w:rPr>
                <w:noProof/>
              </w:rPr>
              <w:t>Droit de douane</w:t>
            </w:r>
            <w:r>
              <w:rPr>
                <w:noProof/>
              </w:rPr>
              <w:br/>
              <w:t>(EUR/tonne)</w:t>
            </w:r>
          </w:p>
        </w:tc>
      </w:tr>
      <w:tr>
        <w:trPr>
          <w:trHeight w:val="227"/>
          <w:jc w:val="center"/>
        </w:trPr>
        <w:tc>
          <w:tcPr>
            <w:tcW w:w="2919" w:type="dxa"/>
            <w:shd w:val="clear" w:color="auto" w:fill="auto"/>
          </w:tcPr>
          <w:p>
            <w:pPr>
              <w:spacing w:before="60" w:after="60" w:line="240" w:lineRule="auto"/>
              <w:rPr>
                <w:noProof/>
              </w:rPr>
            </w:pPr>
            <w:r>
              <w:rPr>
                <w:noProof/>
              </w:rPr>
              <w:t>2016</w:t>
            </w:r>
          </w:p>
        </w:tc>
        <w:tc>
          <w:tcPr>
            <w:tcW w:w="2919" w:type="dxa"/>
            <w:shd w:val="clear" w:color="auto" w:fill="auto"/>
          </w:tcPr>
          <w:p>
            <w:pPr>
              <w:spacing w:before="60" w:after="60" w:line="240" w:lineRule="auto"/>
              <w:rPr>
                <w:noProof/>
              </w:rPr>
            </w:pPr>
            <w:r>
              <w:rPr>
                <w:noProof/>
              </w:rPr>
              <w:t>120</w:t>
            </w:r>
          </w:p>
        </w:tc>
      </w:tr>
      <w:tr>
        <w:trPr>
          <w:trHeight w:val="227"/>
          <w:jc w:val="center"/>
        </w:trPr>
        <w:tc>
          <w:tcPr>
            <w:tcW w:w="2919" w:type="dxa"/>
            <w:shd w:val="clear" w:color="auto" w:fill="auto"/>
          </w:tcPr>
          <w:p>
            <w:pPr>
              <w:spacing w:before="60" w:after="60" w:line="240" w:lineRule="auto"/>
              <w:rPr>
                <w:noProof/>
              </w:rPr>
            </w:pPr>
            <w:r>
              <w:rPr>
                <w:noProof/>
              </w:rPr>
              <w:t>2017</w:t>
            </w:r>
          </w:p>
        </w:tc>
        <w:tc>
          <w:tcPr>
            <w:tcW w:w="2919" w:type="dxa"/>
            <w:shd w:val="clear" w:color="auto" w:fill="auto"/>
          </w:tcPr>
          <w:p>
            <w:pPr>
              <w:spacing w:before="60" w:after="60" w:line="240" w:lineRule="auto"/>
              <w:rPr>
                <w:noProof/>
              </w:rPr>
            </w:pPr>
            <w:r>
              <w:rPr>
                <w:noProof/>
              </w:rPr>
              <w:t>115</w:t>
            </w:r>
          </w:p>
        </w:tc>
      </w:tr>
      <w:tr>
        <w:trPr>
          <w:trHeight w:val="227"/>
          <w:jc w:val="center"/>
        </w:trPr>
        <w:tc>
          <w:tcPr>
            <w:tcW w:w="2919" w:type="dxa"/>
            <w:shd w:val="clear" w:color="auto" w:fill="auto"/>
          </w:tcPr>
          <w:p>
            <w:pPr>
              <w:spacing w:before="60" w:after="60" w:line="240" w:lineRule="auto"/>
              <w:rPr>
                <w:noProof/>
              </w:rPr>
            </w:pPr>
            <w:r>
              <w:rPr>
                <w:noProof/>
              </w:rPr>
              <w:t>2018</w:t>
            </w:r>
          </w:p>
        </w:tc>
        <w:tc>
          <w:tcPr>
            <w:tcW w:w="2919" w:type="dxa"/>
            <w:shd w:val="clear" w:color="auto" w:fill="auto"/>
          </w:tcPr>
          <w:p>
            <w:pPr>
              <w:spacing w:before="60" w:after="60" w:line="240" w:lineRule="auto"/>
              <w:rPr>
                <w:noProof/>
              </w:rPr>
            </w:pPr>
            <w:r>
              <w:rPr>
                <w:noProof/>
              </w:rPr>
              <w:t>110</w:t>
            </w:r>
          </w:p>
        </w:tc>
      </w:tr>
      <w:tr>
        <w:trPr>
          <w:trHeight w:val="227"/>
          <w:jc w:val="center"/>
        </w:trPr>
        <w:tc>
          <w:tcPr>
            <w:tcW w:w="2919" w:type="dxa"/>
            <w:shd w:val="clear" w:color="auto" w:fill="auto"/>
          </w:tcPr>
          <w:p>
            <w:pPr>
              <w:spacing w:before="60" w:after="60" w:line="240" w:lineRule="auto"/>
              <w:rPr>
                <w:noProof/>
              </w:rPr>
            </w:pPr>
            <w:r>
              <w:rPr>
                <w:noProof/>
              </w:rPr>
              <w:t>2019</w:t>
            </w:r>
          </w:p>
        </w:tc>
        <w:tc>
          <w:tcPr>
            <w:tcW w:w="2919" w:type="dxa"/>
            <w:shd w:val="clear" w:color="auto" w:fill="auto"/>
          </w:tcPr>
          <w:p>
            <w:pPr>
              <w:spacing w:before="60" w:after="60" w:line="240" w:lineRule="auto"/>
              <w:rPr>
                <w:noProof/>
              </w:rPr>
            </w:pPr>
            <w:r>
              <w:rPr>
                <w:noProof/>
              </w:rPr>
              <w:t>105</w:t>
            </w:r>
          </w:p>
        </w:tc>
      </w:tr>
      <w:tr>
        <w:trPr>
          <w:trHeight w:val="227"/>
          <w:jc w:val="center"/>
        </w:trPr>
        <w:tc>
          <w:tcPr>
            <w:tcW w:w="2919" w:type="dxa"/>
            <w:shd w:val="clear" w:color="auto" w:fill="auto"/>
          </w:tcPr>
          <w:p>
            <w:pPr>
              <w:spacing w:before="60" w:after="60" w:line="240" w:lineRule="auto"/>
              <w:rPr>
                <w:noProof/>
              </w:rPr>
            </w:pPr>
            <w:r>
              <w:rPr>
                <w:noProof/>
              </w:rPr>
              <w:t>2020</w:t>
            </w:r>
          </w:p>
        </w:tc>
        <w:tc>
          <w:tcPr>
            <w:tcW w:w="2919" w:type="dxa"/>
            <w:shd w:val="clear" w:color="auto" w:fill="auto"/>
          </w:tcPr>
          <w:p>
            <w:pPr>
              <w:spacing w:before="60" w:after="60" w:line="240" w:lineRule="auto"/>
              <w:rPr>
                <w:noProof/>
              </w:rPr>
            </w:pPr>
            <w:r>
              <w:rPr>
                <w:noProof/>
              </w:rPr>
              <w:t>100</w:t>
            </w:r>
          </w:p>
        </w:tc>
      </w:tr>
      <w:tr>
        <w:trPr>
          <w:trHeight w:val="227"/>
          <w:jc w:val="center"/>
        </w:trPr>
        <w:tc>
          <w:tcPr>
            <w:tcW w:w="2919" w:type="dxa"/>
            <w:shd w:val="clear" w:color="auto" w:fill="auto"/>
          </w:tcPr>
          <w:p>
            <w:pPr>
              <w:spacing w:before="60" w:after="60" w:line="240" w:lineRule="auto"/>
              <w:rPr>
                <w:noProof/>
              </w:rPr>
            </w:pPr>
            <w:r>
              <w:rPr>
                <w:noProof/>
              </w:rPr>
              <w:t>2021</w:t>
            </w:r>
          </w:p>
        </w:tc>
        <w:tc>
          <w:tcPr>
            <w:tcW w:w="2919" w:type="dxa"/>
            <w:shd w:val="clear" w:color="auto" w:fill="auto"/>
          </w:tcPr>
          <w:p>
            <w:pPr>
              <w:spacing w:before="60" w:after="60" w:line="240" w:lineRule="auto"/>
              <w:rPr>
                <w:noProof/>
              </w:rPr>
            </w:pPr>
            <w:r>
              <w:rPr>
                <w:noProof/>
              </w:rPr>
              <w:t>95</w:t>
            </w:r>
          </w:p>
        </w:tc>
      </w:tr>
      <w:tr>
        <w:trPr>
          <w:trHeight w:val="227"/>
          <w:jc w:val="center"/>
        </w:trPr>
        <w:tc>
          <w:tcPr>
            <w:tcW w:w="2919" w:type="dxa"/>
            <w:shd w:val="clear" w:color="auto" w:fill="auto"/>
          </w:tcPr>
          <w:p>
            <w:pPr>
              <w:spacing w:before="60" w:after="60" w:line="240" w:lineRule="auto"/>
              <w:rPr>
                <w:noProof/>
              </w:rPr>
            </w:pPr>
            <w:r>
              <w:rPr>
                <w:noProof/>
              </w:rPr>
              <w:t>2022</w:t>
            </w:r>
          </w:p>
        </w:tc>
        <w:tc>
          <w:tcPr>
            <w:tcW w:w="2919" w:type="dxa"/>
            <w:shd w:val="clear" w:color="auto" w:fill="auto"/>
          </w:tcPr>
          <w:p>
            <w:pPr>
              <w:spacing w:before="60" w:after="60" w:line="240" w:lineRule="auto"/>
              <w:rPr>
                <w:noProof/>
              </w:rPr>
            </w:pPr>
            <w:r>
              <w:rPr>
                <w:noProof/>
              </w:rPr>
              <w:t>90</w:t>
            </w:r>
          </w:p>
        </w:tc>
      </w:tr>
      <w:tr>
        <w:trPr>
          <w:trHeight w:val="227"/>
          <w:jc w:val="center"/>
        </w:trPr>
        <w:tc>
          <w:tcPr>
            <w:tcW w:w="2919" w:type="dxa"/>
            <w:shd w:val="clear" w:color="auto" w:fill="auto"/>
          </w:tcPr>
          <w:p>
            <w:pPr>
              <w:spacing w:before="60" w:after="60" w:line="240" w:lineRule="auto"/>
              <w:rPr>
                <w:noProof/>
              </w:rPr>
            </w:pPr>
            <w:r>
              <w:rPr>
                <w:noProof/>
              </w:rPr>
              <w:t>2023</w:t>
            </w:r>
          </w:p>
        </w:tc>
        <w:tc>
          <w:tcPr>
            <w:tcW w:w="2919" w:type="dxa"/>
            <w:shd w:val="clear" w:color="auto" w:fill="auto"/>
          </w:tcPr>
          <w:p>
            <w:pPr>
              <w:spacing w:before="60" w:after="60" w:line="240" w:lineRule="auto"/>
              <w:rPr>
                <w:noProof/>
              </w:rPr>
            </w:pPr>
            <w:r>
              <w:rPr>
                <w:noProof/>
              </w:rPr>
              <w:t>85</w:t>
            </w:r>
          </w:p>
        </w:tc>
      </w:tr>
      <w:tr>
        <w:trPr>
          <w:trHeight w:val="227"/>
          <w:jc w:val="center"/>
        </w:trPr>
        <w:tc>
          <w:tcPr>
            <w:tcW w:w="2919" w:type="dxa"/>
            <w:shd w:val="clear" w:color="auto" w:fill="auto"/>
          </w:tcPr>
          <w:p>
            <w:pPr>
              <w:spacing w:before="60" w:after="60" w:line="240" w:lineRule="auto"/>
              <w:rPr>
                <w:noProof/>
              </w:rPr>
            </w:pPr>
            <w:r>
              <w:rPr>
                <w:noProof/>
              </w:rPr>
              <w:t>2024</w:t>
            </w:r>
          </w:p>
        </w:tc>
        <w:tc>
          <w:tcPr>
            <w:tcW w:w="2919" w:type="dxa"/>
            <w:shd w:val="clear" w:color="auto" w:fill="auto"/>
          </w:tcPr>
          <w:p>
            <w:pPr>
              <w:spacing w:before="60" w:after="60" w:line="240" w:lineRule="auto"/>
              <w:rPr>
                <w:noProof/>
              </w:rPr>
            </w:pPr>
            <w:r>
              <w:rPr>
                <w:noProof/>
              </w:rPr>
              <w:t>80</w:t>
            </w:r>
          </w:p>
        </w:tc>
      </w:tr>
      <w:tr>
        <w:trPr>
          <w:trHeight w:val="227"/>
          <w:jc w:val="center"/>
        </w:trPr>
        <w:tc>
          <w:tcPr>
            <w:tcW w:w="2919" w:type="dxa"/>
            <w:shd w:val="clear" w:color="auto" w:fill="auto"/>
          </w:tcPr>
          <w:p>
            <w:pPr>
              <w:spacing w:before="60" w:after="60" w:line="240" w:lineRule="auto"/>
              <w:rPr>
                <w:noProof/>
              </w:rPr>
            </w:pPr>
            <w:r>
              <w:rPr>
                <w:noProof/>
              </w:rPr>
              <w:t>à partir de 2025</w:t>
            </w:r>
          </w:p>
        </w:tc>
        <w:tc>
          <w:tcPr>
            <w:tcW w:w="2919" w:type="dxa"/>
            <w:shd w:val="clear" w:color="auto" w:fill="auto"/>
          </w:tcPr>
          <w:p>
            <w:pPr>
              <w:spacing w:before="60" w:after="60" w:line="240" w:lineRule="auto"/>
              <w:rPr>
                <w:noProof/>
              </w:rPr>
            </w:pPr>
            <w:r>
              <w:rPr>
                <w:noProof/>
              </w:rPr>
              <w:t>75</w:t>
            </w:r>
          </w:p>
        </w:tc>
      </w:tr>
    </w:tbl>
    <w:p>
      <w:pPr>
        <w:rPr>
          <w:noProof/>
        </w:rPr>
      </w:pPr>
    </w:p>
    <w:p>
      <w:pPr>
        <w:ind w:left="1134"/>
        <w:rPr>
          <w:noProof/>
        </w:rPr>
      </w:pPr>
      <w:r>
        <w:rPr>
          <w:noProof/>
        </w:rPr>
        <w:t>les droits de douane préférentiels indiqués dans le tableau ci-dessus s’appliquent à partir de la date d’entrée en vigueur du présent accord pour l’année concernée et les années suivantes et les droits ne sont pas réduits rétroactivement;</w:t>
      </w:r>
    </w:p>
    <w:p>
      <w:pPr>
        <w:ind w:left="1134"/>
        <w:rPr>
          <w:noProof/>
        </w:rPr>
      </w:pPr>
    </w:p>
    <w:p>
      <w:pPr>
        <w:ind w:left="1134" w:hanging="567"/>
        <w:rPr>
          <w:noProof/>
        </w:rPr>
      </w:pPr>
      <w:r>
        <w:rPr>
          <w:noProof/>
        </w:rPr>
        <w:t>m)</w:t>
      </w:r>
      <w:r>
        <w:rPr>
          <w:noProof/>
        </w:rPr>
        <w:tab/>
        <w:t>les lignes tarifaires de la liste du Viêt Nam pour lesquelles l’indication «CKD» figure dans les colonnes «Taux de base» et «Catégorie» ne sont pas applicables.</w:t>
      </w:r>
    </w:p>
    <w:p>
      <w:pPr>
        <w:rPr>
          <w:noProof/>
        </w:rPr>
      </w:pPr>
    </w:p>
    <w:p>
      <w:pPr>
        <w:ind w:left="567" w:hanging="567"/>
        <w:rPr>
          <w:noProof/>
        </w:rPr>
      </w:pPr>
      <w:r>
        <w:rPr>
          <w:noProof/>
        </w:rPr>
        <w:br w:type="page"/>
        <w:t>2.</w:t>
      </w:r>
      <w:r>
        <w:rPr>
          <w:noProof/>
        </w:rPr>
        <w:tab/>
        <w:t>Le taux de base du droit de douane et la catégorie de démantèlement tarifaire pour déterminer le taux intermédiaire du droit de douane appliqué à une position pour chaque tranche de la réduction sont précisés dans la liste de chaque partie.</w:t>
      </w:r>
    </w:p>
    <w:p>
      <w:pPr>
        <w:ind w:left="567" w:hanging="567"/>
        <w:rPr>
          <w:noProof/>
        </w:rPr>
      </w:pPr>
    </w:p>
    <w:p>
      <w:pPr>
        <w:ind w:left="567" w:hanging="567"/>
        <w:rPr>
          <w:noProof/>
        </w:rPr>
      </w:pPr>
      <w:r>
        <w:rPr>
          <w:noProof/>
        </w:rPr>
        <w:t>3.</w:t>
      </w:r>
      <w:r>
        <w:rPr>
          <w:noProof/>
        </w:rPr>
        <w:tab/>
        <w:t>Sans préjudice de l’article 2.7 (Réduction ou élimination des droits de douane), le droit de douane préférentiel de l’Union au titre du présent accord ne peut en aucun cas être supérieur aux droits de douane de l’Union appliqués à des marchandises originaires du Viêt Nam la veille de la date d’entrée en vigueur du présent accord. Cette obligation s’applique à compter de cette date et jusqu’à la septième année après l’entrée en vigueur.</w:t>
      </w:r>
    </w:p>
    <w:p>
      <w:pPr>
        <w:ind w:left="567" w:hanging="567"/>
        <w:rPr>
          <w:noProof/>
        </w:rPr>
      </w:pPr>
    </w:p>
    <w:p>
      <w:pPr>
        <w:ind w:left="567" w:hanging="567"/>
        <w:rPr>
          <w:noProof/>
        </w:rPr>
      </w:pPr>
      <w:r>
        <w:rPr>
          <w:noProof/>
        </w:rPr>
        <w:t>4.</w:t>
      </w:r>
      <w:r>
        <w:rPr>
          <w:noProof/>
        </w:rPr>
        <w:tab/>
        <w:t>Les taux des droits de douane des tranches intermédiaires sont arrondis au moins au dixième de point de pourcentage inférieur le plus proche, ou, si le taux du droit de douane est exprimé en unités monétaires, au moins au dixième de centime d’euro inférieur le plus proche dans le cas de l’Union.</w:t>
      </w:r>
    </w:p>
    <w:p>
      <w:pPr>
        <w:ind w:left="567" w:hanging="567"/>
        <w:rPr>
          <w:noProof/>
        </w:rPr>
      </w:pPr>
    </w:p>
    <w:p>
      <w:pPr>
        <w:ind w:left="567" w:hanging="567"/>
        <w:rPr>
          <w:noProof/>
        </w:rPr>
      </w:pPr>
      <w:r>
        <w:rPr>
          <w:noProof/>
        </w:rPr>
        <w:t>5.</w:t>
      </w:r>
      <w:r>
        <w:rPr>
          <w:noProof/>
        </w:rPr>
        <w:tab/>
        <w:t>Aux fins de la présente annexe, y compris les listes tarifaires des parties figurant à l’appendice 2-A-1 (Liste tarifaire de l’Union) et à l’appendice 2-A-2 (Liste tarifaire du Viêt Nam), la première réduction prend effet à la date d’entrée en vigueur du présent accord. Toute réduction annuelle ultérieure prend effet au 1</w:t>
      </w:r>
      <w:r>
        <w:rPr>
          <w:noProof/>
          <w:vertAlign w:val="superscript"/>
        </w:rPr>
        <w:t>er</w:t>
      </w:r>
      <w:r>
        <w:rPr>
          <w:noProof/>
        </w:rPr>
        <w:t> janvier de l’année concernée qui suit l’année d’entrée en vigueur conformément aux dispositions de l’article 17.16 (Entrée en vigueur).</w:t>
      </w:r>
    </w:p>
    <w:p>
      <w:pPr>
        <w:ind w:left="567" w:hanging="567"/>
        <w:rPr>
          <w:noProof/>
        </w:rPr>
      </w:pPr>
    </w:p>
    <w:p>
      <w:pPr>
        <w:ind w:left="567" w:hanging="567"/>
        <w:rPr>
          <w:noProof/>
        </w:rPr>
      </w:pPr>
      <w:r>
        <w:rPr>
          <w:noProof/>
        </w:rPr>
        <w:br w:type="page"/>
        <w:t>6.</w:t>
      </w:r>
      <w:r>
        <w:rPr>
          <w:noProof/>
        </w:rPr>
        <w:tab/>
        <w:t>L’appendice 2-A-1 (Liste tarifaire de l’Union) et l’appendice 2-A-2 (Liste tarifaire du Viêt Nam) font partie intégrante de la présente annexe.</w:t>
      </w:r>
    </w:p>
    <w:p>
      <w:pPr>
        <w:ind w:left="567" w:hanging="567"/>
        <w:rPr>
          <w:noProof/>
        </w:rPr>
      </w:pPr>
    </w:p>
    <w:p>
      <w:pPr>
        <w:ind w:left="567" w:hanging="567"/>
        <w:rPr>
          <w:noProof/>
        </w:rPr>
      </w:pPr>
      <w:r>
        <w:rPr>
          <w:noProof/>
        </w:rPr>
        <w:t>7.</w:t>
      </w:r>
      <w:r>
        <w:rPr>
          <w:noProof/>
        </w:rPr>
        <w:tab/>
        <w:t>Les définitions figurant au chapitre 2 (Traitement national et accès aux marchés en ce qui concerne les marchandises) s’appliquent à la présente annexe.</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CONTINGENTS TARIFAIRES</w:t>
      </w:r>
    </w:p>
    <w:p>
      <w:pPr>
        <w:jc w:val="center"/>
        <w:rPr>
          <w:noProof/>
        </w:rPr>
      </w:pPr>
    </w:p>
    <w:p>
      <w:pPr>
        <w:ind w:left="567" w:hanging="567"/>
        <w:rPr>
          <w:noProof/>
        </w:rPr>
      </w:pPr>
      <w:r>
        <w:rPr>
          <w:noProof/>
        </w:rPr>
        <w:t>1.</w:t>
      </w:r>
      <w:r>
        <w:rPr>
          <w:noProof/>
        </w:rPr>
        <w:tab/>
        <w:t>Pour l’administration durant l’année 1 de chaque contingent tarifaire établi au titre du présent accord, les parties calculent le volume du contingent tarifaire en retranchant le volume correspondant à la période allant du 1</w:t>
      </w:r>
      <w:r>
        <w:rPr>
          <w:noProof/>
          <w:vertAlign w:val="superscript"/>
        </w:rPr>
        <w:t>er</w:t>
      </w:r>
      <w:r>
        <w:rPr>
          <w:noProof/>
        </w:rPr>
        <w:t> janvier à la date d’entrée en vigueur du présent accord.</w:t>
      </w:r>
    </w:p>
    <w:p>
      <w:pPr>
        <w:rPr>
          <w:noProof/>
        </w:rPr>
      </w:pPr>
    </w:p>
    <w:p>
      <w:pPr>
        <w:rPr>
          <w:noProof/>
        </w:rPr>
      </w:pPr>
    </w:p>
    <w:p>
      <w:pPr>
        <w:jc w:val="center"/>
        <w:rPr>
          <w:noProof/>
        </w:rPr>
      </w:pPr>
      <w:r>
        <w:rPr>
          <w:noProof/>
        </w:rPr>
        <w:br w:type="page"/>
        <w:t>SOUS-SECTION 1</w:t>
      </w:r>
    </w:p>
    <w:p>
      <w:pPr>
        <w:jc w:val="center"/>
        <w:rPr>
          <w:noProof/>
        </w:rPr>
      </w:pPr>
    </w:p>
    <w:p>
      <w:pPr>
        <w:jc w:val="center"/>
        <w:rPr>
          <w:noProof/>
        </w:rPr>
      </w:pPr>
      <w:r>
        <w:rPr>
          <w:noProof/>
        </w:rPr>
        <w:t>CONTINGENTS TARIFAIRES DE L’UNION</w:t>
      </w:r>
    </w:p>
    <w:p>
      <w:pPr>
        <w:jc w:val="center"/>
        <w:rPr>
          <w:noProof/>
        </w:rPr>
      </w:pPr>
    </w:p>
    <w:p>
      <w:pPr>
        <w:ind w:left="567" w:hanging="567"/>
        <w:rPr>
          <w:noProof/>
        </w:rPr>
      </w:pPr>
      <w:r>
        <w:rPr>
          <w:noProof/>
        </w:rPr>
        <w:t>1.</w:t>
      </w:r>
      <w:r>
        <w:rPr>
          <w:noProof/>
        </w:rPr>
        <w:tab/>
        <w:t>L’Union administre ses contingents tarifaires conformément à ses règles internes qui facilitent les échanges entre les parties en vue de maximiser l’utilisation des volumes sous contingent tarifaire.</w:t>
      </w:r>
    </w:p>
    <w:p>
      <w:pPr>
        <w:rPr>
          <w:noProof/>
        </w:rPr>
      </w:pPr>
    </w:p>
    <w:p>
      <w:pPr>
        <w:rPr>
          <w:noProof/>
        </w:rPr>
      </w:pPr>
      <w:r>
        <w:rPr>
          <w:noProof/>
        </w:rPr>
        <w:t>Œufs d’oiseaux et jaunes d’œufs</w:t>
      </w:r>
    </w:p>
    <w:p>
      <w:pPr>
        <w:rPr>
          <w:noProof/>
        </w:rPr>
      </w:pPr>
    </w:p>
    <w:p>
      <w:pPr>
        <w:ind w:left="567" w:hanging="567"/>
        <w:rPr>
          <w:noProof/>
        </w:rPr>
      </w:pPr>
      <w:r>
        <w:rPr>
          <w:noProof/>
        </w:rPr>
        <w:t>2.</w:t>
      </w:r>
      <w:r>
        <w:rPr>
          <w:noProof/>
        </w:rPr>
        <w:tab/>
        <w:t>Les marchandises originaires classées dans les lignes tarifaires 0408.11.80, 0408.19.81, 0408.19.89, 0408.91.80 et 0408.99.80 de la liste de l’Union sont exemptes de droits dans les limites d’un volume annuel agrégé de 500 tonnes.</w:t>
      </w:r>
    </w:p>
    <w:p>
      <w:pPr>
        <w:rPr>
          <w:noProof/>
        </w:rPr>
      </w:pPr>
    </w:p>
    <w:p>
      <w:pPr>
        <w:rPr>
          <w:noProof/>
        </w:rPr>
      </w:pPr>
      <w:r>
        <w:rPr>
          <w:noProof/>
        </w:rPr>
        <w:t>Aulx</w:t>
      </w:r>
    </w:p>
    <w:p>
      <w:pPr>
        <w:rPr>
          <w:noProof/>
        </w:rPr>
      </w:pPr>
    </w:p>
    <w:p>
      <w:pPr>
        <w:ind w:left="567" w:hanging="567"/>
        <w:rPr>
          <w:noProof/>
        </w:rPr>
      </w:pPr>
      <w:r>
        <w:rPr>
          <w:noProof/>
        </w:rPr>
        <w:t>3.</w:t>
      </w:r>
      <w:r>
        <w:rPr>
          <w:noProof/>
        </w:rPr>
        <w:tab/>
        <w:t>Les marchandises originaires classées dans la ligne tarifaire 0703.20.00 de la liste de l’Union sont exemptes de droits dans les limites d’un volume annuel agrégé de 400 tonnes.</w:t>
      </w:r>
    </w:p>
    <w:p>
      <w:pPr>
        <w:rPr>
          <w:noProof/>
        </w:rPr>
      </w:pPr>
    </w:p>
    <w:p>
      <w:pPr>
        <w:rPr>
          <w:noProof/>
        </w:rPr>
      </w:pPr>
      <w:r>
        <w:rPr>
          <w:noProof/>
        </w:rPr>
        <w:br w:type="page"/>
        <w:t>Maïs doux</w:t>
      </w:r>
    </w:p>
    <w:p>
      <w:pPr>
        <w:rPr>
          <w:noProof/>
        </w:rPr>
      </w:pPr>
    </w:p>
    <w:p>
      <w:pPr>
        <w:ind w:left="567" w:hanging="567"/>
        <w:rPr>
          <w:noProof/>
        </w:rPr>
      </w:pPr>
      <w:r>
        <w:rPr>
          <w:noProof/>
        </w:rPr>
        <w:t>4.</w:t>
      </w:r>
      <w:r>
        <w:rPr>
          <w:noProof/>
        </w:rPr>
        <w:tab/>
        <w:t>Les marchandises originaires classées dans les lignes tarifaires 0710.40.00A, 2001.90.30A et 2005.80.00A de la liste de l’Union sont exemptes de droits dans les limites d’un volume annuel agrégé de 5 000 tonnes.</w:t>
      </w:r>
    </w:p>
    <w:p>
      <w:pPr>
        <w:rPr>
          <w:noProof/>
        </w:rPr>
      </w:pPr>
    </w:p>
    <w:p>
      <w:pPr>
        <w:ind w:left="567"/>
        <w:rPr>
          <w:noProof/>
        </w:rPr>
      </w:pPr>
      <w:r>
        <w:rPr>
          <w:noProof/>
        </w:rPr>
        <w:t>Le volume agrégé des marchandises originaires classées dans les lignes tarifaires 0710.40.00B, 2001.90.30B et 2005.80.00B de la liste de l’Union n’est pas comptabilisé dans le volume sous contingent tarifaire.</w:t>
      </w:r>
    </w:p>
    <w:p>
      <w:pPr>
        <w:rPr>
          <w:noProof/>
        </w:rPr>
      </w:pPr>
    </w:p>
    <w:p>
      <w:pPr>
        <w:rPr>
          <w:noProof/>
        </w:rPr>
      </w:pPr>
      <w:r>
        <w:rPr>
          <w:noProof/>
        </w:rPr>
        <w:t>Riz</w:t>
      </w:r>
    </w:p>
    <w:p>
      <w:pPr>
        <w:rPr>
          <w:noProof/>
        </w:rPr>
      </w:pPr>
    </w:p>
    <w:p>
      <w:pPr>
        <w:ind w:left="567" w:hanging="567"/>
        <w:rPr>
          <w:noProof/>
        </w:rPr>
      </w:pPr>
      <w:r>
        <w:rPr>
          <w:noProof/>
        </w:rPr>
        <w:t>5.</w:t>
      </w:r>
      <w:r>
        <w:rPr>
          <w:noProof/>
        </w:rPr>
        <w:tab/>
        <w:t>Les marchandises originaires classées dans les lignes tarifaires suivantes de la liste de l’Union sont exemptes de droits dans les limites d’un volume annuel agrégé de 20 000 tonnes, exprimé en équivalent riz décortiqué: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tblGrid>
      <w:tr>
        <w:trPr>
          <w:trHeight w:val="227"/>
          <w:jc w:val="center"/>
        </w:trPr>
        <w:tc>
          <w:tcPr>
            <w:tcW w:w="1729" w:type="dxa"/>
            <w:shd w:val="clear" w:color="auto" w:fill="auto"/>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tc>
        <w:tc>
          <w:tcPr>
            <w:tcW w:w="1729" w:type="dxa"/>
            <w:shd w:val="clear" w:color="auto" w:fill="auto"/>
          </w:tcPr>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9" w:type="dxa"/>
            <w:shd w:val="clear" w:color="auto" w:fill="auto"/>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tc>
        <w:tc>
          <w:tcPr>
            <w:tcW w:w="1729" w:type="dxa"/>
          </w:tcPr>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r>
    </w:tbl>
    <w:p>
      <w:pPr>
        <w:rPr>
          <w:noProof/>
        </w:rPr>
      </w:pPr>
    </w:p>
    <w:p>
      <w:pPr>
        <w:ind w:left="567" w:hanging="567"/>
        <w:rPr>
          <w:noProof/>
        </w:rPr>
      </w:pPr>
      <w:r>
        <w:rPr>
          <w:noProof/>
        </w:rPr>
        <w:br w:type="page"/>
        <w:t>6.</w:t>
      </w:r>
      <w:r>
        <w:rPr>
          <w:noProof/>
        </w:rPr>
        <w:tab/>
        <w:t>Les marchandises originaires classées dans les lignes tarifaires suivantes de la liste de l’Union sont exemptes de droits dans les limites d’un volume annuel agrégé de 30 000 tonnes, exprimé en équivalent riz blanchi:</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tblGrid>
      <w:tr>
        <w:trPr>
          <w:cantSplit/>
          <w:trHeight w:val="1393"/>
          <w:jc w:val="center"/>
        </w:trPr>
        <w:tc>
          <w:tcPr>
            <w:tcW w:w="1715" w:type="dxa"/>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tc>
        <w:tc>
          <w:tcPr>
            <w:tcW w:w="1715" w:type="dxa"/>
            <w:vAlign w:val="center"/>
          </w:tcPr>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15" w:type="dxa"/>
            <w:shd w:val="clear" w:color="auto" w:fill="auto"/>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1006.30.98</w:t>
            </w:r>
          </w:p>
        </w:tc>
        <w:tc>
          <w:tcPr>
            <w:tcW w:w="1715" w:type="dxa"/>
            <w:shd w:val="clear" w:color="auto" w:fill="auto"/>
            <w:vAlign w:val="center"/>
          </w:tcPr>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tc>
      </w:tr>
    </w:tbl>
    <w:p>
      <w:pPr>
        <w:rPr>
          <w:noProof/>
        </w:rPr>
      </w:pPr>
    </w:p>
    <w:p>
      <w:pPr>
        <w:ind w:left="567" w:hanging="567"/>
        <w:rPr>
          <w:noProof/>
        </w:rPr>
      </w:pPr>
      <w:r>
        <w:rPr>
          <w:noProof/>
        </w:rPr>
        <w:t>7.</w:t>
      </w:r>
      <w:r>
        <w:rPr>
          <w:noProof/>
        </w:rPr>
        <w:tab/>
        <w:t>Les marchandises originaires classées dans les lignes tarifaires suivantes de la liste de l’Union sont exemptes de droits dans les limites d’un volume annuel agrégé de 30 000 tonnes, exprimé en équivalent riz blanchi:</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tblGrid>
      <w:tr>
        <w:trPr>
          <w:trHeight w:val="2844"/>
          <w:jc w:val="center"/>
        </w:trPr>
        <w:tc>
          <w:tcPr>
            <w:tcW w:w="1723" w:type="dxa"/>
            <w:shd w:val="clear" w:color="auto" w:fill="auto"/>
            <w:vAlign w:val="center"/>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3" w:type="dxa"/>
            <w:shd w:val="clear" w:color="auto" w:fill="auto"/>
            <w:vAlign w:val="center"/>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c>
          <w:tcPr>
            <w:tcW w:w="1723" w:type="dxa"/>
            <w:shd w:val="clear" w:color="auto" w:fill="auto"/>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23" w:type="dxa"/>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p>
            <w:pPr>
              <w:spacing w:before="60" w:after="60" w:line="240" w:lineRule="auto"/>
              <w:rPr>
                <w:noProof/>
              </w:rPr>
            </w:pPr>
            <w:r>
              <w:rPr>
                <w:noProof/>
              </w:rPr>
              <w:t>1006.30.98</w:t>
            </w:r>
          </w:p>
        </w:tc>
      </w:tr>
    </w:tbl>
    <w:p>
      <w:pPr>
        <w:rPr>
          <w:noProof/>
        </w:rPr>
      </w:pPr>
    </w:p>
    <w:p>
      <w:pPr>
        <w:ind w:left="567" w:hanging="567"/>
        <w:rPr>
          <w:noProof/>
        </w:rPr>
      </w:pPr>
      <w:r>
        <w:rPr>
          <w:noProof/>
        </w:rPr>
        <w:br w:type="page"/>
        <w:t>8.</w:t>
      </w:r>
      <w:r>
        <w:rPr>
          <w:noProof/>
        </w:rPr>
        <w:tab/>
        <w:t>Pour être admis à l’importation en franchise de droits dans le cadre du contingent visé au point 7, le riz doit appartenir à l’une des variétés de riz parfumé suivantes:</w:t>
      </w:r>
    </w:p>
    <w:p>
      <w:pPr>
        <w:ind w:left="1134" w:hanging="567"/>
        <w:rPr>
          <w:noProof/>
        </w:rPr>
      </w:pPr>
    </w:p>
    <w:p>
      <w:pPr>
        <w:ind w:left="1134" w:hanging="567"/>
        <w:rPr>
          <w:noProof/>
          <w:lang w:val="en-GB"/>
        </w:rPr>
      </w:pPr>
      <w:r>
        <w:rPr>
          <w:noProof/>
          <w:lang w:val="en-GB"/>
        </w:rPr>
        <w:t>a)</w:t>
      </w:r>
      <w:r>
        <w:rPr>
          <w:noProof/>
          <w:lang w:val="en-GB"/>
        </w:rPr>
        <w:tab/>
        <w:t>Jasmine 85,</w:t>
      </w:r>
    </w:p>
    <w:p>
      <w:pPr>
        <w:ind w:left="1134" w:hanging="567"/>
        <w:rPr>
          <w:noProof/>
          <w:lang w:val="en-GB"/>
        </w:rPr>
      </w:pPr>
    </w:p>
    <w:p>
      <w:pPr>
        <w:ind w:left="1134" w:hanging="567"/>
        <w:rPr>
          <w:noProof/>
          <w:lang w:val="en-GB"/>
        </w:rPr>
      </w:pPr>
      <w:r>
        <w:rPr>
          <w:noProof/>
          <w:lang w:val="en-GB"/>
        </w:rPr>
        <w:t>b)</w:t>
      </w:r>
      <w:r>
        <w:rPr>
          <w:noProof/>
          <w:lang w:val="en-GB"/>
        </w:rPr>
        <w:tab/>
        <w:t>ST 5, ST 20,</w:t>
      </w:r>
    </w:p>
    <w:p>
      <w:pPr>
        <w:ind w:left="1134" w:hanging="567"/>
        <w:rPr>
          <w:noProof/>
          <w:lang w:val="en-GB"/>
        </w:rPr>
      </w:pPr>
    </w:p>
    <w:p>
      <w:pPr>
        <w:ind w:left="1134" w:hanging="567"/>
        <w:rPr>
          <w:noProof/>
          <w:lang w:val="sv-SE"/>
        </w:rPr>
      </w:pPr>
      <w:r>
        <w:rPr>
          <w:noProof/>
          <w:lang w:val="sv-SE"/>
        </w:rPr>
        <w:t>c)</w:t>
      </w:r>
      <w:r>
        <w:rPr>
          <w:noProof/>
          <w:lang w:val="sv-SE"/>
        </w:rPr>
        <w:tab/>
        <w:t>Nang Hoa 9 (NàngHoa 9),</w:t>
      </w:r>
    </w:p>
    <w:p>
      <w:pPr>
        <w:ind w:left="1134" w:hanging="567"/>
        <w:rPr>
          <w:noProof/>
          <w:lang w:val="sv-SE"/>
        </w:rPr>
      </w:pPr>
    </w:p>
    <w:p>
      <w:pPr>
        <w:ind w:left="1134" w:hanging="567"/>
        <w:rPr>
          <w:noProof/>
          <w:lang w:val="sv-SE"/>
        </w:rPr>
      </w:pPr>
      <w:r>
        <w:rPr>
          <w:noProof/>
          <w:lang w:val="sv-SE"/>
        </w:rPr>
        <w:t>d)</w:t>
      </w:r>
      <w:r>
        <w:rPr>
          <w:noProof/>
          <w:lang w:val="sv-SE"/>
        </w:rPr>
        <w:tab/>
        <w:t>VD 20,</w:t>
      </w:r>
    </w:p>
    <w:p>
      <w:pPr>
        <w:ind w:left="1134" w:hanging="567"/>
        <w:rPr>
          <w:noProof/>
          <w:lang w:val="sv-SE"/>
        </w:rPr>
      </w:pPr>
    </w:p>
    <w:p>
      <w:pPr>
        <w:ind w:left="1134" w:hanging="567"/>
        <w:rPr>
          <w:noProof/>
          <w:lang w:val="sv-SE"/>
        </w:rPr>
      </w:pPr>
      <w:r>
        <w:rPr>
          <w:noProof/>
          <w:lang w:val="sv-SE"/>
        </w:rPr>
        <w:t>e)</w:t>
      </w:r>
      <w:r>
        <w:rPr>
          <w:noProof/>
          <w:lang w:val="sv-SE"/>
        </w:rPr>
        <w:tab/>
        <w:t>RVT,</w:t>
      </w:r>
    </w:p>
    <w:p>
      <w:pPr>
        <w:ind w:left="1134" w:hanging="567"/>
        <w:rPr>
          <w:noProof/>
          <w:lang w:val="sv-SE"/>
        </w:rPr>
      </w:pPr>
    </w:p>
    <w:p>
      <w:pPr>
        <w:ind w:left="1134" w:hanging="567"/>
        <w:rPr>
          <w:noProof/>
          <w:lang w:val="sv-SE"/>
        </w:rPr>
      </w:pPr>
      <w:r>
        <w:rPr>
          <w:noProof/>
          <w:lang w:val="sv-SE"/>
        </w:rPr>
        <w:t>f)</w:t>
      </w:r>
      <w:r>
        <w:rPr>
          <w:noProof/>
          <w:lang w:val="sv-SE"/>
        </w:rPr>
        <w:tab/>
        <w:t>OM 4900,</w:t>
      </w:r>
    </w:p>
    <w:p>
      <w:pPr>
        <w:ind w:left="1134" w:hanging="567"/>
        <w:rPr>
          <w:noProof/>
          <w:lang w:val="sv-SE"/>
        </w:rPr>
      </w:pPr>
    </w:p>
    <w:p>
      <w:pPr>
        <w:ind w:left="1134" w:hanging="567"/>
        <w:rPr>
          <w:noProof/>
          <w:lang w:val="sv-SE"/>
        </w:rPr>
      </w:pPr>
      <w:r>
        <w:rPr>
          <w:noProof/>
          <w:lang w:val="sv-SE"/>
        </w:rPr>
        <w:t>g)</w:t>
      </w:r>
      <w:r>
        <w:rPr>
          <w:noProof/>
          <w:lang w:val="sv-SE"/>
        </w:rPr>
        <w:tab/>
        <w:t>OM 5451,</w:t>
      </w:r>
    </w:p>
    <w:p>
      <w:pPr>
        <w:ind w:left="1134" w:hanging="567"/>
        <w:rPr>
          <w:noProof/>
          <w:lang w:val="sv-SE"/>
        </w:rPr>
      </w:pPr>
    </w:p>
    <w:p>
      <w:pPr>
        <w:ind w:left="1134" w:hanging="567"/>
        <w:rPr>
          <w:noProof/>
          <w:lang w:val="sv-SE"/>
        </w:rPr>
      </w:pPr>
      <w:r>
        <w:rPr>
          <w:noProof/>
          <w:lang w:val="sv-SE"/>
        </w:rPr>
        <w:t>h)</w:t>
      </w:r>
      <w:r>
        <w:rPr>
          <w:noProof/>
          <w:lang w:val="sv-SE"/>
        </w:rPr>
        <w:tab/>
        <w:t>Tai nguyen Cho Dao (Tàinguyên Chợ Đào).</w:t>
      </w:r>
    </w:p>
    <w:p>
      <w:pPr>
        <w:rPr>
          <w:noProof/>
          <w:lang w:val="sv-SE"/>
        </w:rPr>
      </w:pPr>
    </w:p>
    <w:p>
      <w:pPr>
        <w:ind w:left="567" w:hanging="567"/>
        <w:rPr>
          <w:noProof/>
        </w:rPr>
      </w:pPr>
      <w:r>
        <w:rPr>
          <w:noProof/>
        </w:rPr>
        <w:t>9.</w:t>
      </w:r>
      <w:r>
        <w:rPr>
          <w:noProof/>
        </w:rPr>
        <w:tab/>
        <w:t>La liste des variétés de riz figurant au point 8 peut être modifiée par une décision du comité «Commerce» conformément à l’article 17.5 (Modifications), paragraphe 2.</w:t>
      </w:r>
    </w:p>
    <w:p>
      <w:pPr>
        <w:rPr>
          <w:noProof/>
        </w:rPr>
      </w:pPr>
    </w:p>
    <w:p>
      <w:pPr>
        <w:ind w:left="567" w:hanging="567"/>
        <w:rPr>
          <w:noProof/>
        </w:rPr>
      </w:pPr>
      <w:r>
        <w:rPr>
          <w:noProof/>
        </w:rPr>
        <w:br w:type="page"/>
        <w:t>10.</w:t>
      </w:r>
      <w:r>
        <w:rPr>
          <w:noProof/>
        </w:rPr>
        <w:tab/>
        <w:t>Un envoi de riz admis au bénéfice du contingent tarifaire prévu au point 7 doit être accompagné d’un certificat d’authenticité délivré par les autorités compétentes du Viêt Nam indiquant que le riz appartient à l’une des variétés mentionnées au point 8.</w:t>
      </w:r>
    </w:p>
    <w:p>
      <w:pPr>
        <w:rPr>
          <w:noProof/>
        </w:rPr>
      </w:pPr>
    </w:p>
    <w:p>
      <w:pPr>
        <w:rPr>
          <w:noProof/>
        </w:rPr>
      </w:pPr>
      <w:r>
        <w:rPr>
          <w:noProof/>
        </w:rPr>
        <w:t>Fécule de manioc (cassave)</w:t>
      </w:r>
    </w:p>
    <w:p>
      <w:pPr>
        <w:rPr>
          <w:noProof/>
        </w:rPr>
      </w:pPr>
    </w:p>
    <w:p>
      <w:pPr>
        <w:ind w:left="567" w:hanging="567"/>
        <w:rPr>
          <w:noProof/>
        </w:rPr>
      </w:pPr>
      <w:r>
        <w:rPr>
          <w:noProof/>
        </w:rPr>
        <w:t>11.</w:t>
      </w:r>
      <w:r>
        <w:rPr>
          <w:noProof/>
        </w:rPr>
        <w:tab/>
        <w:t>Les marchandises originaires classées dans la ligne tarifaire 1108.14.00 de la liste de l’Union sont exemptes de droits dans les limites d’un volume annuel agrégé de 30 000 tonnes.</w:t>
      </w:r>
    </w:p>
    <w:p>
      <w:pPr>
        <w:rPr>
          <w:noProof/>
        </w:rPr>
      </w:pPr>
    </w:p>
    <w:p>
      <w:pPr>
        <w:rPr>
          <w:noProof/>
        </w:rPr>
      </w:pPr>
      <w:r>
        <w:rPr>
          <w:noProof/>
        </w:rPr>
        <w:t>Thons</w:t>
      </w:r>
    </w:p>
    <w:p>
      <w:pPr>
        <w:rPr>
          <w:noProof/>
        </w:rPr>
      </w:pPr>
    </w:p>
    <w:p>
      <w:pPr>
        <w:ind w:left="567" w:hanging="567"/>
        <w:rPr>
          <w:noProof/>
        </w:rPr>
      </w:pPr>
      <w:r>
        <w:rPr>
          <w:noProof/>
        </w:rPr>
        <w:t>12.</w:t>
      </w:r>
      <w:r>
        <w:rPr>
          <w:noProof/>
        </w:rPr>
        <w:tab/>
        <w:t>Les marchandises originaires classées dans les lignes tarifaires 1604.14.11, 1604.14.18, 1604.14.90, 1604.19.39 et 1604.20.70 de la liste de l’Union sont exemptes de droits dans les limites d’un volume annuel agrégé de 11 500 tonnes.</w:t>
      </w:r>
    </w:p>
    <w:p>
      <w:pPr>
        <w:rPr>
          <w:noProof/>
        </w:rPr>
      </w:pPr>
    </w:p>
    <w:p>
      <w:pPr>
        <w:rPr>
          <w:noProof/>
        </w:rPr>
      </w:pPr>
      <w:r>
        <w:rPr>
          <w:noProof/>
        </w:rPr>
        <w:t>Surimi</w:t>
      </w:r>
    </w:p>
    <w:p>
      <w:pPr>
        <w:rPr>
          <w:noProof/>
        </w:rPr>
      </w:pPr>
    </w:p>
    <w:p>
      <w:pPr>
        <w:ind w:left="567" w:hanging="567"/>
        <w:rPr>
          <w:noProof/>
        </w:rPr>
      </w:pPr>
      <w:r>
        <w:rPr>
          <w:noProof/>
        </w:rPr>
        <w:t>13.</w:t>
      </w:r>
      <w:r>
        <w:rPr>
          <w:noProof/>
        </w:rPr>
        <w:tab/>
        <w:t>Les marchandises originaires classées dans la ligne tarifaire 1604.20.05 de la liste de l’Union sont exemptes de droits dans les limites d’un volume annuel agrégé de 500 tonnes.</w:t>
      </w:r>
    </w:p>
    <w:p>
      <w:pPr>
        <w:rPr>
          <w:noProof/>
        </w:rPr>
      </w:pPr>
    </w:p>
    <w:p>
      <w:pPr>
        <w:rPr>
          <w:noProof/>
        </w:rPr>
      </w:pPr>
      <w:r>
        <w:rPr>
          <w:noProof/>
        </w:rPr>
        <w:br w:type="page"/>
        <w:t>Sucre et autres produits contenant des taux élevés de sucre</w:t>
      </w:r>
    </w:p>
    <w:p>
      <w:pPr>
        <w:rPr>
          <w:noProof/>
        </w:rPr>
      </w:pPr>
    </w:p>
    <w:p>
      <w:pPr>
        <w:ind w:left="567" w:hanging="567"/>
        <w:rPr>
          <w:noProof/>
        </w:rPr>
      </w:pPr>
      <w:r>
        <w:rPr>
          <w:noProof/>
        </w:rPr>
        <w:t>14.</w:t>
      </w:r>
      <w:r>
        <w:rPr>
          <w:noProof/>
        </w:rPr>
        <w:tab/>
        <w:t>Les marchandises originaires classées dans les lignes tarifaires suivantes de la liste de l’Union sont exemptes de droits dans les limites d’un volume annuel agrégé de 20 000 tonnes, exprimé en équivalent sucre brut: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18"/>
        <w:gridCol w:w="1559"/>
        <w:gridCol w:w="1454"/>
      </w:tblGrid>
      <w:tr>
        <w:trPr>
          <w:cantSplit/>
          <w:jc w:val="center"/>
        </w:trPr>
        <w:tc>
          <w:tcPr>
            <w:tcW w:w="1527" w:type="dxa"/>
            <w:shd w:val="clear" w:color="auto" w:fill="auto"/>
            <w:vAlign w:val="center"/>
          </w:tcPr>
          <w:p>
            <w:pPr>
              <w:spacing w:before="60" w:after="60" w:line="240" w:lineRule="auto"/>
              <w:rPr>
                <w:noProof/>
              </w:rPr>
            </w:pPr>
            <w:r>
              <w:rPr>
                <w:noProof/>
              </w:rPr>
              <w:t>1701.13.10</w:t>
            </w:r>
          </w:p>
          <w:p>
            <w:pPr>
              <w:spacing w:before="60" w:after="60" w:line="240" w:lineRule="auto"/>
              <w:rPr>
                <w:noProof/>
              </w:rPr>
            </w:pPr>
            <w:r>
              <w:rPr>
                <w:noProof/>
              </w:rPr>
              <w:t>1701.13.90</w:t>
            </w:r>
          </w:p>
          <w:p>
            <w:pPr>
              <w:spacing w:before="60" w:after="60" w:line="240" w:lineRule="auto"/>
              <w:rPr>
                <w:noProof/>
              </w:rPr>
            </w:pPr>
            <w:r>
              <w:rPr>
                <w:noProof/>
              </w:rPr>
              <w:t>1701.14.10</w:t>
            </w:r>
          </w:p>
          <w:p>
            <w:pPr>
              <w:spacing w:before="60" w:after="60" w:line="240" w:lineRule="auto"/>
              <w:rPr>
                <w:noProof/>
              </w:rPr>
            </w:pPr>
            <w:r>
              <w:rPr>
                <w:noProof/>
              </w:rPr>
              <w:t>1701.91.00</w:t>
            </w:r>
          </w:p>
        </w:tc>
        <w:tc>
          <w:tcPr>
            <w:tcW w:w="1418" w:type="dxa"/>
            <w:shd w:val="clear" w:color="auto" w:fill="auto"/>
            <w:vAlign w:val="center"/>
          </w:tcPr>
          <w:p>
            <w:pPr>
              <w:spacing w:before="60" w:after="60" w:line="240" w:lineRule="auto"/>
              <w:rPr>
                <w:noProof/>
              </w:rPr>
            </w:pPr>
            <w:r>
              <w:rPr>
                <w:noProof/>
              </w:rPr>
              <w:t>1701.99.10</w:t>
            </w:r>
          </w:p>
          <w:p>
            <w:pPr>
              <w:spacing w:before="60" w:after="60" w:line="240" w:lineRule="auto"/>
              <w:rPr>
                <w:noProof/>
              </w:rPr>
            </w:pPr>
            <w:r>
              <w:rPr>
                <w:noProof/>
              </w:rPr>
              <w:t>1701.99.90</w:t>
            </w:r>
          </w:p>
          <w:p>
            <w:pPr>
              <w:spacing w:before="60" w:after="60" w:line="240" w:lineRule="auto"/>
              <w:rPr>
                <w:noProof/>
              </w:rPr>
            </w:pPr>
            <w:r>
              <w:rPr>
                <w:noProof/>
              </w:rPr>
              <w:t>1702.30.50</w:t>
            </w:r>
          </w:p>
          <w:p>
            <w:pPr>
              <w:spacing w:before="60" w:after="60" w:line="240" w:lineRule="auto"/>
              <w:rPr>
                <w:noProof/>
              </w:rPr>
            </w:pPr>
            <w:r>
              <w:rPr>
                <w:noProof/>
              </w:rPr>
              <w:t>1702.90.50</w:t>
            </w:r>
          </w:p>
        </w:tc>
        <w:tc>
          <w:tcPr>
            <w:tcW w:w="1559" w:type="dxa"/>
            <w:vAlign w:val="center"/>
          </w:tcPr>
          <w:p>
            <w:pPr>
              <w:spacing w:before="60" w:after="60" w:line="240" w:lineRule="auto"/>
              <w:rPr>
                <w:noProof/>
              </w:rPr>
            </w:pPr>
            <w:r>
              <w:rPr>
                <w:noProof/>
              </w:rPr>
              <w:t>1702.90.71</w:t>
            </w:r>
          </w:p>
          <w:p>
            <w:pPr>
              <w:spacing w:before="60" w:after="60" w:line="240" w:lineRule="auto"/>
              <w:rPr>
                <w:noProof/>
              </w:rPr>
            </w:pPr>
            <w:r>
              <w:rPr>
                <w:noProof/>
              </w:rPr>
              <w:t>1702.90.75</w:t>
            </w:r>
          </w:p>
          <w:p>
            <w:pPr>
              <w:spacing w:before="60" w:after="60" w:line="240" w:lineRule="auto"/>
              <w:rPr>
                <w:noProof/>
              </w:rPr>
            </w:pPr>
            <w:r>
              <w:rPr>
                <w:noProof/>
              </w:rPr>
              <w:t>1702.90.79</w:t>
            </w:r>
          </w:p>
          <w:p>
            <w:pPr>
              <w:spacing w:before="60" w:after="60" w:line="240" w:lineRule="auto"/>
              <w:rPr>
                <w:noProof/>
              </w:rPr>
            </w:pPr>
            <w:r>
              <w:rPr>
                <w:noProof/>
              </w:rPr>
              <w:t>1702.90.95</w:t>
            </w:r>
          </w:p>
        </w:tc>
        <w:tc>
          <w:tcPr>
            <w:tcW w:w="1454" w:type="dxa"/>
          </w:tcPr>
          <w:p>
            <w:pPr>
              <w:spacing w:before="60" w:after="60" w:line="240" w:lineRule="auto"/>
              <w:rPr>
                <w:noProof/>
              </w:rPr>
            </w:pPr>
            <w:r>
              <w:rPr>
                <w:noProof/>
              </w:rPr>
              <w:t>1806.10.30</w:t>
            </w:r>
          </w:p>
          <w:p>
            <w:pPr>
              <w:spacing w:before="60" w:after="60" w:line="240" w:lineRule="auto"/>
              <w:rPr>
                <w:noProof/>
              </w:rPr>
            </w:pPr>
            <w:r>
              <w:rPr>
                <w:noProof/>
              </w:rPr>
              <w:t>1806.10.90</w:t>
            </w:r>
          </w:p>
        </w:tc>
      </w:tr>
    </w:tbl>
    <w:p>
      <w:pPr>
        <w:rPr>
          <w:noProof/>
        </w:rPr>
      </w:pPr>
    </w:p>
    <w:p>
      <w:pPr>
        <w:rPr>
          <w:noProof/>
        </w:rPr>
      </w:pPr>
    </w:p>
    <w:p>
      <w:pPr>
        <w:rPr>
          <w:noProof/>
        </w:rPr>
      </w:pPr>
      <w:r>
        <w:rPr>
          <w:noProof/>
        </w:rPr>
        <w:t>Sucres spéciaux</w:t>
      </w:r>
    </w:p>
    <w:p>
      <w:pPr>
        <w:rPr>
          <w:noProof/>
        </w:rPr>
      </w:pPr>
    </w:p>
    <w:p>
      <w:pPr>
        <w:ind w:left="567" w:hanging="567"/>
        <w:rPr>
          <w:noProof/>
        </w:rPr>
      </w:pPr>
      <w:r>
        <w:rPr>
          <w:noProof/>
        </w:rPr>
        <w:t>15.</w:t>
      </w:r>
      <w:r>
        <w:rPr>
          <w:noProof/>
        </w:rPr>
        <w:tab/>
        <w:t>Les marchandises originaires classées dans la ligne tarifaire 1701.14.90 de la liste de l’Union sont exemptes de droits dans les limites d’un volume annuel agrégé de 400 tonnes.</w:t>
      </w:r>
    </w:p>
    <w:p>
      <w:pPr>
        <w:rPr>
          <w:noProof/>
        </w:rPr>
      </w:pPr>
    </w:p>
    <w:p>
      <w:pPr>
        <w:rPr>
          <w:noProof/>
        </w:rPr>
      </w:pPr>
      <w:r>
        <w:rPr>
          <w:noProof/>
        </w:rPr>
        <w:br w:type="page"/>
        <w:t>Champignons</w:t>
      </w:r>
    </w:p>
    <w:p>
      <w:pPr>
        <w:rPr>
          <w:noProof/>
        </w:rPr>
      </w:pPr>
    </w:p>
    <w:p>
      <w:pPr>
        <w:ind w:left="567" w:hanging="567"/>
        <w:rPr>
          <w:noProof/>
        </w:rPr>
      </w:pPr>
      <w:r>
        <w:rPr>
          <w:noProof/>
        </w:rPr>
        <w:t>16.</w:t>
      </w:r>
      <w:r>
        <w:rPr>
          <w:noProof/>
        </w:rPr>
        <w:tab/>
        <w:t>Les marchandises originaires classées dans les lignes tarifaires 0711.51.00, 2001.90.50, 2003.10.20 et 2003.10.30 de la liste de l’Union sont exemptes de droits dans les limites d’un volume annuel agrégé de 350 tonnes.</w:t>
      </w:r>
    </w:p>
    <w:p>
      <w:pPr>
        <w:rPr>
          <w:noProof/>
        </w:rPr>
      </w:pPr>
    </w:p>
    <w:p>
      <w:pPr>
        <w:rPr>
          <w:noProof/>
        </w:rPr>
      </w:pPr>
      <w:r>
        <w:rPr>
          <w:noProof/>
        </w:rPr>
        <w:t>Éthanol</w:t>
      </w:r>
    </w:p>
    <w:p>
      <w:pPr>
        <w:rPr>
          <w:noProof/>
        </w:rPr>
      </w:pPr>
    </w:p>
    <w:p>
      <w:pPr>
        <w:ind w:left="567" w:hanging="567"/>
        <w:rPr>
          <w:noProof/>
        </w:rPr>
      </w:pPr>
      <w:r>
        <w:rPr>
          <w:noProof/>
        </w:rPr>
        <w:t>17.</w:t>
      </w:r>
      <w:r>
        <w:rPr>
          <w:noProof/>
        </w:rPr>
        <w:tab/>
        <w:t>Les marchandises originaires classées dans les lignes tarifaires 2207.10.00 et 2207.20.00 de la liste de l’Union sont exemptes de droits dans les limites d’un volume annuel agrégé de 1 000 tonnes.</w:t>
      </w:r>
    </w:p>
    <w:p>
      <w:pPr>
        <w:rPr>
          <w:noProof/>
        </w:rPr>
      </w:pPr>
    </w:p>
    <w:p>
      <w:pPr>
        <w:rPr>
          <w:noProof/>
        </w:rPr>
      </w:pPr>
      <w:r>
        <w:rPr>
          <w:noProof/>
        </w:rPr>
        <w:t>Mannitol, sorbitol, dextrine et autres amidons et fécules modifiés</w:t>
      </w:r>
    </w:p>
    <w:p>
      <w:pPr>
        <w:rPr>
          <w:noProof/>
        </w:rPr>
      </w:pPr>
    </w:p>
    <w:p>
      <w:pPr>
        <w:ind w:left="567" w:hanging="567"/>
        <w:rPr>
          <w:noProof/>
        </w:rPr>
      </w:pPr>
      <w:r>
        <w:rPr>
          <w:noProof/>
        </w:rPr>
        <w:t>18.</w:t>
      </w:r>
      <w:r>
        <w:rPr>
          <w:noProof/>
        </w:rPr>
        <w:tab/>
        <w:t>Les marchandises originaires classées dans les lignes tarifaires 2905.43.00, 2905.44.11, 2905.44.19, 2905.44.91, 3505.10.10, 3505.10.90 et 3824.60.19 de la liste de l’Union sont exemptes de droits dans les limites d’un volume annuel agrégé de 2 000 tonnes.</w:t>
      </w:r>
    </w:p>
    <w:p>
      <w:pPr>
        <w:rPr>
          <w:noProof/>
        </w:rPr>
      </w:pPr>
    </w:p>
    <w:p>
      <w:pPr>
        <w:rPr>
          <w:noProof/>
        </w:rPr>
      </w:pPr>
    </w:p>
    <w:p>
      <w:pPr>
        <w:jc w:val="center"/>
        <w:rPr>
          <w:noProof/>
        </w:rPr>
      </w:pPr>
      <w:r>
        <w:rPr>
          <w:noProof/>
        </w:rPr>
        <w:br w:type="page"/>
        <w:t>SOUS-SECTION 2</w:t>
      </w:r>
    </w:p>
    <w:p>
      <w:pPr>
        <w:jc w:val="center"/>
        <w:rPr>
          <w:noProof/>
        </w:rPr>
      </w:pPr>
    </w:p>
    <w:p>
      <w:pPr>
        <w:jc w:val="center"/>
        <w:rPr>
          <w:noProof/>
        </w:rPr>
      </w:pPr>
      <w:r>
        <w:rPr>
          <w:noProof/>
        </w:rPr>
        <w:t>CONTINGENT TARIFAIRE DU VIÊT NAM</w:t>
      </w:r>
    </w:p>
    <w:p>
      <w:pPr>
        <w:jc w:val="center"/>
        <w:rPr>
          <w:noProof/>
        </w:rPr>
      </w:pPr>
    </w:p>
    <w:p>
      <w:pPr>
        <w:ind w:left="567" w:hanging="567"/>
        <w:rPr>
          <w:noProof/>
        </w:rPr>
      </w:pPr>
      <w:r>
        <w:rPr>
          <w:noProof/>
        </w:rPr>
        <w:t>1.</w:t>
      </w:r>
      <w:r>
        <w:rPr>
          <w:noProof/>
        </w:rPr>
        <w:tab/>
        <w:t>La période de mise en œuvre, le volume des contingents, les méthodes d’administration et les autres modalités et conditions relatives à l’attribution des contingents tarifaires du Viêt Nam sont compatibles avec les obligations du Viêt Nam dans le cadre de l’OMC.</w:t>
      </w:r>
    </w:p>
    <w:p>
      <w:pPr>
        <w:ind w:left="567" w:hanging="567"/>
        <w:rPr>
          <w:noProof/>
        </w:rPr>
      </w:pPr>
    </w:p>
    <w:p>
      <w:pPr>
        <w:ind w:left="567" w:hanging="567"/>
        <w:rPr>
          <w:noProof/>
        </w:rPr>
      </w:pPr>
      <w:r>
        <w:rPr>
          <w:noProof/>
        </w:rPr>
        <w:t>2.</w:t>
      </w:r>
      <w:r>
        <w:rPr>
          <w:noProof/>
        </w:rPr>
        <w:tab/>
        <w:t>Les droits de douane contingentaires sur les marchandises originaires visées dans les positions relevant de la catégorie de démantèlement tarifaire «B10-in-quota» de la liste du Viêt Nam sont éliminés en 11 tranches annuelles égales commençant à la date d’entrée en vigueur du présent accord et ces marchandises sont ensuite exemptes de tous droits de douane contingentaires.</w:t>
      </w:r>
    </w:p>
    <w:p>
      <w:pPr>
        <w:ind w:left="567" w:hanging="567"/>
        <w:rPr>
          <w:noProof/>
        </w:rPr>
      </w:pPr>
    </w:p>
    <w:p>
      <w:pPr>
        <w:ind w:left="567" w:hanging="567"/>
        <w:rPr>
          <w:noProof/>
        </w:rPr>
      </w:pPr>
      <w:r>
        <w:rPr>
          <w:noProof/>
        </w:rPr>
        <w:t>3.</w:t>
      </w:r>
      <w:r>
        <w:rPr>
          <w:noProof/>
        </w:rPr>
        <w:tab/>
        <w:t>Les droits de douane hors contingent sur les marchandises originaires visées dans les positions relevant de la catégorie de démantèlement tarifaire «B10-in-quota» de la liste du Viêt Nam sont non consolidés.</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Appendice 2-A-1</w:t>
      </w:r>
    </w:p>
    <w:p>
      <w:pPr>
        <w:rPr>
          <w:noProof/>
        </w:rPr>
      </w:pPr>
    </w:p>
    <w:p>
      <w:pPr>
        <w:rPr>
          <w:noProof/>
        </w:rPr>
      </w:pPr>
    </w:p>
    <w:p>
      <w:pPr>
        <w:jc w:val="center"/>
        <w:rPr>
          <w:noProof/>
        </w:rPr>
      </w:pPr>
      <w:r>
        <w:rPr>
          <w:noProof/>
        </w:rPr>
        <w:t>Liste tarifaire de l’Union</w:t>
      </w:r>
    </w:p>
    <w:p>
      <w:pPr>
        <w:rPr>
          <w:noProof/>
        </w:rPr>
      </w:pPr>
    </w:p>
    <w:p>
      <w:pPr>
        <w:rPr>
          <w:noProof/>
        </w:rPr>
      </w:pPr>
      <w:r>
        <w:rPr>
          <w:noProof/>
        </w:rPr>
        <w:t>Notes générales</w:t>
      </w:r>
    </w:p>
    <w:p>
      <w:pPr>
        <w:rPr>
          <w:noProof/>
        </w:rPr>
      </w:pPr>
    </w:p>
    <w:p>
      <w:pPr>
        <w:rPr>
          <w:noProof/>
        </w:rPr>
      </w:pPr>
      <w:r>
        <w:rPr>
          <w:noProof/>
        </w:rPr>
        <w:t>Lien avec la nomenclature combinée (NC) de l’Union</w:t>
      </w:r>
    </w:p>
    <w:p>
      <w:pPr>
        <w:rPr>
          <w:noProof/>
        </w:rPr>
      </w:pPr>
    </w:p>
    <w:p>
      <w:pPr>
        <w:ind w:left="567" w:hanging="567"/>
        <w:rPr>
          <w:noProof/>
        </w:rPr>
      </w:pPr>
      <w:r>
        <w:rPr>
          <w:noProof/>
        </w:rPr>
        <w:t>1.</w:t>
      </w:r>
      <w:r>
        <w:rPr>
          <w:noProof/>
        </w:rPr>
        <w:tab/>
        <w:t>Les dispositions de la présente liste sont généralement exprimées dans les termes de la NC et l’interprétation des dispositions de la présente liste, y compris la couverture des produits des sous-positions de la présente liste, est régie par les notes générales, notes de section et notes de chapitre de la NC. Dans la mesure où les dispositions de la présente liste sont identiques aux dispositions correspondantes de la NC, les premières ont la même signification que les secondes.</w:t>
      </w:r>
    </w:p>
    <w:p>
      <w:pPr>
        <w:rPr>
          <w:noProof/>
        </w:rPr>
      </w:pPr>
    </w:p>
    <w:p>
      <w:pPr>
        <w:rPr>
          <w:noProof/>
        </w:rPr>
      </w:pPr>
      <w:r>
        <w:rPr>
          <w:noProof/>
        </w:rPr>
        <w:t>Taux de base des droits de douane</w:t>
      </w:r>
    </w:p>
    <w:p>
      <w:pPr>
        <w:rPr>
          <w:noProof/>
        </w:rPr>
      </w:pPr>
    </w:p>
    <w:p>
      <w:pPr>
        <w:ind w:left="567" w:hanging="567"/>
        <w:rPr>
          <w:noProof/>
        </w:rPr>
      </w:pPr>
      <w:r>
        <w:rPr>
          <w:noProof/>
        </w:rPr>
        <w:t>2.</w:t>
      </w:r>
      <w:r>
        <w:rPr>
          <w:noProof/>
        </w:rPr>
        <w:tab/>
        <w:t>Les taux de base des droits de douane figurant dans la présente liste reflètent les taux de droits de douane du tarif douanier commun de l’Union en vigueur le 26 juin 2012.</w:t>
      </w:r>
    </w:p>
    <w:p>
      <w:pPr>
        <w:rPr>
          <w:noProof/>
        </w:rPr>
      </w:pPr>
    </w:p>
    <w:p>
      <w:pPr>
        <w:rPr>
          <w:noProof/>
        </w:rPr>
      </w:pPr>
      <w:r>
        <w:rPr>
          <w:noProof/>
        </w:rPr>
        <w:br w:type="page"/>
        <w:t>Chaussures de sport</w:t>
      </w:r>
    </w:p>
    <w:p>
      <w:pPr>
        <w:rPr>
          <w:noProof/>
        </w:rPr>
      </w:pPr>
    </w:p>
    <w:p>
      <w:pPr>
        <w:ind w:left="567" w:hanging="567"/>
        <w:rPr>
          <w:noProof/>
        </w:rPr>
      </w:pPr>
      <w:r>
        <w:rPr>
          <w:noProof/>
        </w:rPr>
        <w:t>3.</w:t>
      </w:r>
      <w:r>
        <w:rPr>
          <w:noProof/>
        </w:rPr>
        <w:tab/>
        <w:t>Les chaussures couvertes par la description «ex-out» des codes NC 6403.91.11B, 6403.91.13B, 6403.91.16B, 6403.91.18B, 6403.99.91B, 6403.99.93B, 6403.99.96B et 6403.99.98B dans la liste de l’Union doivent posséder une semelle extérieure anti-dérapante fabriquée avec des matériaux synthétiques tels que des polymères de basse densité ou présenter des caractéristiques techniques telles que des coussinets hermétiques renfermant des gaz ou des fluides, des composants mécaniques conçus spécialement pour absorber les chocs ou des matériaux spéciaux tels que des polymères de basse densité. De plus, ces chaussures doivent être pourvues d’un dispositif de fixation ou d’un système de laçage avec un minimum de cinq œillets sur chaque côté du dessus de la chaussure, afin d’assurer la stabilité du pied dans la chaussure. La semelle intérieure de ces chaussures doit être moulée.</w:t>
      </w:r>
    </w:p>
    <w:p>
      <w:pPr>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Liste tarifaire de l’Union</w:t>
      </w:r>
    </w:p>
    <w:p>
      <w:pPr>
        <w:rPr>
          <w:noProof/>
        </w:rPr>
      </w:pPr>
      <w:r>
        <w:rPr>
          <w:noProof/>
        </w:rPr>
        <w:t>[Insérer la liste tarifaire du document 02]</w:t>
      </w:r>
    </w:p>
    <w:p>
      <w:pPr>
        <w:rPr>
          <w:noProof/>
        </w:rPr>
      </w:pPr>
    </w:p>
    <w:p>
      <w:pPr>
        <w:rPr>
          <w:noProof/>
        </w:rPr>
      </w:pPr>
    </w:p>
    <w:p>
      <w:pPr>
        <w:jc w:val="center"/>
        <w:rPr>
          <w:noProof/>
        </w:rPr>
      </w:pPr>
      <w:r>
        <w:rPr>
          <w:noProof/>
        </w:rPr>
        <w:t>________________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2-A/fr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2-A/fr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JO L 157 du 15.6.2011,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0EC12965"/>
    <w:multiLevelType w:val="hybridMultilevel"/>
    <w:tmpl w:val="3EDE36FA"/>
    <w:lvl w:ilvl="0" w:tplc="0809000F">
      <w:start w:val="1"/>
      <w:numFmt w:val="decimal"/>
      <w:lvlText w:val="%1."/>
      <w:lvlJc w:val="left"/>
      <w:pPr>
        <w:ind w:left="360" w:hanging="360"/>
      </w:pPr>
    </w:lvl>
    <w:lvl w:ilvl="1" w:tplc="9326AD3A">
      <w:start w:val="1"/>
      <w:numFmt w:val="lowerLetter"/>
      <w:lvlText w:val="(%2)"/>
      <w:lvlJc w:val="left"/>
      <w:pPr>
        <w:ind w:left="1596" w:hanging="8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nsid w:val="756B6197"/>
    <w:multiLevelType w:val="hybridMultilevel"/>
    <w:tmpl w:val="4D0A053E"/>
    <w:lvl w:ilvl="0" w:tplc="E62AA0CC">
      <w:start w:val="1"/>
      <w:numFmt w:val="lowerLetter"/>
      <w:lvlText w:val="(%1)"/>
      <w:lvlJc w:val="left"/>
      <w:pPr>
        <w:ind w:left="-720" w:hanging="360"/>
      </w:pPr>
    </w:lvl>
    <w:lvl w:ilvl="1" w:tplc="E62AA0CC">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7">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9">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2"/>
  </w:num>
  <w:num w:numId="3">
    <w:abstractNumId w:val="36"/>
  </w:num>
  <w:num w:numId="4">
    <w:abstractNumId w:val="12"/>
  </w:num>
  <w:num w:numId="5">
    <w:abstractNumId w:val="24"/>
  </w:num>
  <w:num w:numId="6">
    <w:abstractNumId w:val="20"/>
  </w:num>
  <w:num w:numId="7">
    <w:abstractNumId w:val="23"/>
  </w:num>
  <w:num w:numId="8">
    <w:abstractNumId w:val="32"/>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7"/>
  </w:num>
  <w:num w:numId="17">
    <w:abstractNumId w:val="19"/>
  </w:num>
  <w:num w:numId="18">
    <w:abstractNumId w:val="14"/>
  </w:num>
  <w:num w:numId="19">
    <w:abstractNumId w:val="7"/>
  </w:num>
  <w:num w:numId="20">
    <w:abstractNumId w:val="4"/>
  </w:num>
  <w:num w:numId="21">
    <w:abstractNumId w:val="21"/>
  </w:num>
  <w:num w:numId="22">
    <w:abstractNumId w:val="5"/>
  </w:num>
  <w:num w:numId="23">
    <w:abstractNumId w:val="2"/>
  </w:num>
  <w:num w:numId="24">
    <w:abstractNumId w:val="1"/>
  </w:num>
  <w:num w:numId="25">
    <w:abstractNumId w:val="0"/>
  </w:num>
  <w:num w:numId="26">
    <w:abstractNumId w:val="9"/>
  </w:num>
  <w:num w:numId="27">
    <w:abstractNumId w:val="17"/>
  </w:num>
  <w:num w:numId="28">
    <w:abstractNumId w:val="25"/>
  </w:num>
  <w:num w:numId="29">
    <w:abstractNumId w:val="26"/>
  </w:num>
  <w:num w:numId="30">
    <w:abstractNumId w:val="31"/>
  </w:num>
  <w:num w:numId="31">
    <w:abstractNumId w:val="30"/>
  </w:num>
  <w:num w:numId="32">
    <w:abstractNumId w:val="34"/>
  </w:num>
  <w:num w:numId="33">
    <w:abstractNumId w:val="38"/>
  </w:num>
  <w:num w:numId="34">
    <w:abstractNumId w:val="35"/>
  </w:num>
  <w:num w:numId="35">
    <w:abstractNumId w:val="10"/>
  </w:num>
  <w:num w:numId="36">
    <w:abstractNumId w:val="39"/>
  </w:num>
  <w:num w:numId="37">
    <w:abstractNumId w:val="18"/>
  </w:num>
  <w:num w:numId="38">
    <w:abstractNumId w:val="29"/>
  </w:num>
  <w:num w:numId="39">
    <w:abstractNumId w:val="37"/>
  </w:num>
  <w:num w:numId="40">
    <w:abstractNumId w:val="28"/>
  </w:num>
  <w:num w:numId="41">
    <w:abstractNumId w:val="11"/>
  </w:num>
  <w:num w:numId="42">
    <w:abstractNumId w:val="8"/>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A90CAF2C-FC39-4DA1-9728-981B079D41CE"/>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fr-FR"/>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basedOn w:val="DefaultParagraphFont"/>
    <w:uiPriority w:val="99"/>
    <w:semiHidden/>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F276-F295-455A-AC44-BFEF0156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2691</Words>
  <Characters>13620</Characters>
  <Application>Microsoft Office Word</Application>
  <DocSecurity>0</DocSecurity>
  <Lines>619</Lines>
  <Paragraphs>440</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19</cp:revision>
  <cp:lastPrinted>2004-04-02T13:43:00Z</cp:lastPrinted>
  <dcterms:created xsi:type="dcterms:W3CDTF">2018-07-02T08:48:00Z</dcterms:created>
  <dcterms:modified xsi:type="dcterms:W3CDTF">2018-11-09T16:43:00Z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