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335FAD2-3A3A-40F5-9D3F-906F51C156D6" style="width:450.25pt;height:379.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7" w:h="16840" w:code="9"/>
          <w:pgMar w:top="1134" w:right="1417" w:bottom="1134" w:left="1417" w:header="709" w:footer="709" w:gutter="0"/>
          <w:pgNumType w:start="1"/>
          <w:cols w:space="720"/>
          <w:docGrid w:linePitch="326"/>
        </w:sectPr>
      </w:pPr>
    </w:p>
    <w:p>
      <w:pPr>
        <w:jc w:val="right"/>
        <w:rPr>
          <w:b/>
          <w:bCs/>
          <w:noProof/>
          <w:u w:val="single"/>
        </w:rPr>
      </w:pPr>
      <w:bookmarkStart w:id="1" w:name="_GoBack"/>
      <w:bookmarkEnd w:id="1"/>
      <w:r>
        <w:rPr>
          <w:b/>
          <w:noProof/>
          <w:u w:val="single"/>
        </w:rPr>
        <w:lastRenderedPageBreak/>
        <w:t>ПРИЛОЖЕНИЕ 2-A</w:t>
      </w:r>
    </w:p>
    <w:p>
      <w:pPr>
        <w:rPr>
          <w:noProof/>
        </w:rPr>
      </w:pPr>
    </w:p>
    <w:p>
      <w:pPr>
        <w:rPr>
          <w:noProof/>
        </w:rPr>
      </w:pPr>
    </w:p>
    <w:p>
      <w:pPr>
        <w:jc w:val="center"/>
        <w:rPr>
          <w:noProof/>
        </w:rPr>
      </w:pPr>
      <w:r>
        <w:rPr>
          <w:noProof/>
        </w:rPr>
        <w:t>Намаляване или премахване на митата</w:t>
      </w:r>
    </w:p>
    <w:p>
      <w:pPr>
        <w:rPr>
          <w:noProof/>
        </w:rPr>
      </w:pPr>
    </w:p>
    <w:p>
      <w:pPr>
        <w:rPr>
          <w:noProof/>
        </w:rPr>
      </w:pPr>
    </w:p>
    <w:p>
      <w:pPr>
        <w:jc w:val="center"/>
        <w:rPr>
          <w:noProof/>
        </w:rPr>
      </w:pPr>
      <w:r>
        <w:rPr>
          <w:noProof/>
        </w:rPr>
        <w:t>РАЗДЕЛ А</w:t>
      </w:r>
    </w:p>
    <w:p>
      <w:pPr>
        <w:jc w:val="center"/>
        <w:rPr>
          <w:noProof/>
        </w:rPr>
      </w:pPr>
    </w:p>
    <w:p>
      <w:pPr>
        <w:jc w:val="center"/>
        <w:rPr>
          <w:noProof/>
        </w:rPr>
      </w:pPr>
      <w:r>
        <w:rPr>
          <w:noProof/>
        </w:rPr>
        <w:t>ОБЩИ РАЗПОРЕДБИ</w:t>
      </w:r>
    </w:p>
    <w:p>
      <w:pPr>
        <w:rPr>
          <w:noProof/>
        </w:rPr>
      </w:pPr>
    </w:p>
    <w:p>
      <w:pPr>
        <w:ind w:left="567" w:hanging="567"/>
        <w:rPr>
          <w:noProof/>
        </w:rPr>
      </w:pPr>
      <w:r>
        <w:rPr>
          <w:noProof/>
        </w:rPr>
        <w:t>1.</w:t>
      </w:r>
      <w:r>
        <w:rPr>
          <w:noProof/>
        </w:rPr>
        <w:tab/>
        <w:t>Доколкото не е предвидено друго в графика на една от страните към настоящото приложение, по отношение на намаляването или премахването на митата върху стоки с произход от другата страна, включени в допълнения 2-A-1 (График за митата на Съюза) и 2-A-2 (График за митата на Виетнам), се прилагат в съответствие с член 2.7 (Намаляване или премахване на митата) следните поетапни категории:</w:t>
      </w:r>
    </w:p>
    <w:p>
      <w:pPr>
        <w:ind w:left="1134" w:hanging="567"/>
        <w:rPr>
          <w:noProof/>
        </w:rPr>
      </w:pPr>
    </w:p>
    <w:p>
      <w:pPr>
        <w:ind w:left="1134" w:hanging="567"/>
        <w:rPr>
          <w:noProof/>
        </w:rPr>
      </w:pPr>
      <w:r>
        <w:rPr>
          <w:noProof/>
        </w:rPr>
        <w:t>а)</w:t>
      </w:r>
      <w:r>
        <w:rPr>
          <w:noProof/>
        </w:rPr>
        <w:tab/>
        <w:t>митата върху стоките с произход, посочени в позициите от поетапна категория „А“ в графика на една от страните, се премахват изцяло и тези стоки са освободени от всякакво мито от датата на влизане в сила на настоящото споразумение;</w:t>
      </w:r>
    </w:p>
    <w:p>
      <w:pPr>
        <w:ind w:left="1134" w:hanging="567"/>
        <w:rPr>
          <w:noProof/>
        </w:rPr>
      </w:pPr>
    </w:p>
    <w:p>
      <w:pPr>
        <w:ind w:left="1134" w:hanging="567"/>
        <w:rPr>
          <w:noProof/>
        </w:rPr>
      </w:pPr>
      <w:r>
        <w:rPr>
          <w:noProof/>
        </w:rPr>
        <w:br w:type="page"/>
      </w:r>
      <w:r>
        <w:rPr>
          <w:noProof/>
        </w:rPr>
        <w:lastRenderedPageBreak/>
        <w:t>б)</w:t>
      </w:r>
      <w:r>
        <w:rPr>
          <w:noProof/>
        </w:rPr>
        <w:tab/>
        <w:t>митата върху стоките с произход, посочени в позициите от поетапна категория „B3“ в графика на една от страните, отпадат на четири равни годишни етапа, като се започне от датата на влизане в сила на настоящото споразумение; впоследствие тези стоки са освободени от всякакво мито;</w:t>
      </w:r>
    </w:p>
    <w:p>
      <w:pPr>
        <w:ind w:left="1134" w:hanging="567"/>
        <w:rPr>
          <w:noProof/>
        </w:rPr>
      </w:pPr>
    </w:p>
    <w:p>
      <w:pPr>
        <w:ind w:left="1134" w:hanging="567"/>
        <w:rPr>
          <w:noProof/>
        </w:rPr>
      </w:pPr>
      <w:r>
        <w:rPr>
          <w:noProof/>
        </w:rPr>
        <w:t>в)</w:t>
      </w:r>
      <w:r>
        <w:rPr>
          <w:noProof/>
        </w:rPr>
        <w:tab/>
        <w:t>митата върху стоките с произход, посочени в позициите от поетапна категория „B5“ в графика на една от страните, отпадат на шест равни годишни етапа, като се започне от датата на влизане в сила на настоящото споразумение; впоследствие тези стоки са освободени от всякакво мито;</w:t>
      </w:r>
    </w:p>
    <w:p>
      <w:pPr>
        <w:ind w:left="1134" w:hanging="567"/>
        <w:rPr>
          <w:noProof/>
        </w:rPr>
      </w:pPr>
    </w:p>
    <w:p>
      <w:pPr>
        <w:ind w:left="1134" w:hanging="567"/>
        <w:rPr>
          <w:noProof/>
        </w:rPr>
      </w:pPr>
      <w:r>
        <w:rPr>
          <w:noProof/>
        </w:rPr>
        <w:t>г)</w:t>
      </w:r>
      <w:r>
        <w:rPr>
          <w:noProof/>
        </w:rPr>
        <w:tab/>
        <w:t>митата върху стоките с произход, посочени в позициите от поетапна категория „B7“ в графика на една от страните, отпадат на осем равни годишни етапа, като се започне от датата на влизане в сила на настоящото споразумение; впоследствие тези стоки са освободени от всякакво мито;</w:t>
      </w:r>
    </w:p>
    <w:p>
      <w:pPr>
        <w:ind w:left="1134" w:hanging="567"/>
        <w:rPr>
          <w:noProof/>
        </w:rPr>
      </w:pPr>
    </w:p>
    <w:p>
      <w:pPr>
        <w:ind w:left="1134" w:hanging="567"/>
        <w:rPr>
          <w:noProof/>
        </w:rPr>
      </w:pPr>
      <w:r>
        <w:rPr>
          <w:noProof/>
        </w:rPr>
        <w:t>е)</w:t>
      </w:r>
      <w:r>
        <w:rPr>
          <w:noProof/>
        </w:rPr>
        <w:tab/>
        <w:t>митата върху стоките с произход, посочени в позициите от поетапна категория „B9“ в графика на Виетнам, отпадат на 10 равни годишни етапа, като се започне от датата на влизане в сила на настоящото споразумение; впоследствие тези стоки са освободени от всякакво мито;</w:t>
      </w:r>
    </w:p>
    <w:p>
      <w:pPr>
        <w:ind w:left="1134" w:hanging="567"/>
        <w:rPr>
          <w:noProof/>
        </w:rPr>
      </w:pPr>
    </w:p>
    <w:p>
      <w:pPr>
        <w:ind w:left="1134" w:hanging="567"/>
        <w:rPr>
          <w:noProof/>
        </w:rPr>
      </w:pPr>
      <w:r>
        <w:rPr>
          <w:noProof/>
        </w:rPr>
        <w:br w:type="page"/>
        <w:t>ж)</w:t>
      </w:r>
      <w:r>
        <w:rPr>
          <w:noProof/>
        </w:rPr>
        <w:tab/>
        <w:t>митата върху стоките с произход, посочени в позициите от поетапна категория „B10“ в графика на една от страните, отпадат на 11 равни годишни етапа, като се започне от датата на влизане в сила на настоящото споразумение; впоследствие тези стоки са освободени от всякакво мито;</w:t>
      </w:r>
    </w:p>
    <w:p>
      <w:pPr>
        <w:ind w:left="1134" w:hanging="567"/>
        <w:rPr>
          <w:noProof/>
        </w:rPr>
      </w:pPr>
    </w:p>
    <w:p>
      <w:pPr>
        <w:ind w:left="1134" w:hanging="567"/>
        <w:rPr>
          <w:noProof/>
        </w:rPr>
      </w:pPr>
      <w:r>
        <w:rPr>
          <w:noProof/>
        </w:rPr>
        <w:t>з)</w:t>
      </w:r>
      <w:r>
        <w:rPr>
          <w:noProof/>
        </w:rPr>
        <w:tab/>
        <w:t>митата върху стоките с произход, посочени в позициите от поетапна категория „B10*“ в графика на Виетнам, отпадат на 11 годишни етапа, като се започне от датата на влизане в сила на настоящото споразумение, в съответствие с таблицата по-долу; впоследствие тези стоки са освободени от всякакво мито;</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70"/>
        <w:gridCol w:w="770"/>
        <w:gridCol w:w="770"/>
        <w:gridCol w:w="771"/>
        <w:gridCol w:w="771"/>
        <w:gridCol w:w="771"/>
        <w:gridCol w:w="771"/>
        <w:gridCol w:w="771"/>
        <w:gridCol w:w="771"/>
        <w:gridCol w:w="771"/>
        <w:gridCol w:w="773"/>
      </w:tblGrid>
      <w:tr>
        <w:trPr>
          <w:trHeight w:val="227"/>
          <w:tblHeader/>
        </w:trPr>
        <w:tc>
          <w:tcPr>
            <w:tcW w:w="698" w:type="pct"/>
            <w:shd w:val="clear" w:color="auto" w:fill="auto"/>
            <w:vAlign w:val="center"/>
          </w:tcPr>
          <w:p>
            <w:pPr>
              <w:spacing w:before="60" w:after="60" w:line="240" w:lineRule="auto"/>
              <w:jc w:val="center"/>
              <w:rPr>
                <w:noProof/>
              </w:rPr>
            </w:pPr>
            <w:r>
              <w:rPr>
                <w:noProof/>
              </w:rPr>
              <w:t>Тарифен код</w:t>
            </w:r>
          </w:p>
        </w:tc>
        <w:tc>
          <w:tcPr>
            <w:tcW w:w="4302" w:type="pct"/>
            <w:gridSpan w:val="11"/>
            <w:shd w:val="clear" w:color="auto" w:fill="auto"/>
            <w:vAlign w:val="center"/>
          </w:tcPr>
          <w:p>
            <w:pPr>
              <w:spacing w:before="60" w:after="60" w:line="240" w:lineRule="auto"/>
              <w:jc w:val="center"/>
              <w:rPr>
                <w:noProof/>
              </w:rPr>
            </w:pPr>
            <w:r>
              <w:rPr>
                <w:noProof/>
              </w:rPr>
              <w:t>Година</w:t>
            </w:r>
          </w:p>
        </w:tc>
      </w:tr>
      <w:tr>
        <w:trPr>
          <w:trHeight w:val="227"/>
          <w:tblHeader/>
        </w:trPr>
        <w:tc>
          <w:tcPr>
            <w:tcW w:w="698" w:type="pct"/>
            <w:shd w:val="clear" w:color="auto" w:fill="auto"/>
            <w:vAlign w:val="center"/>
          </w:tcPr>
          <w:p>
            <w:pPr>
              <w:spacing w:before="60" w:after="60" w:line="240" w:lineRule="auto"/>
              <w:jc w:val="center"/>
              <w:rPr>
                <w:noProof/>
              </w:rPr>
            </w:pPr>
            <w:r>
              <w:rPr>
                <w:noProof/>
              </w:rPr>
              <w:t>ХС 2012</w:t>
            </w:r>
          </w:p>
        </w:tc>
        <w:tc>
          <w:tcPr>
            <w:tcW w:w="391" w:type="pct"/>
            <w:shd w:val="clear" w:color="auto" w:fill="auto"/>
            <w:vAlign w:val="center"/>
          </w:tcPr>
          <w:p>
            <w:pPr>
              <w:spacing w:before="60" w:after="60" w:line="240" w:lineRule="auto"/>
              <w:jc w:val="center"/>
              <w:rPr>
                <w:noProof/>
              </w:rPr>
            </w:pPr>
            <w:r>
              <w:rPr>
                <w:noProof/>
              </w:rPr>
              <w:t>1</w:t>
            </w:r>
          </w:p>
        </w:tc>
        <w:tc>
          <w:tcPr>
            <w:tcW w:w="391" w:type="pct"/>
            <w:shd w:val="clear" w:color="auto" w:fill="auto"/>
            <w:vAlign w:val="center"/>
          </w:tcPr>
          <w:p>
            <w:pPr>
              <w:spacing w:before="60" w:after="60" w:line="240" w:lineRule="auto"/>
              <w:jc w:val="center"/>
              <w:rPr>
                <w:noProof/>
              </w:rPr>
            </w:pPr>
            <w:r>
              <w:rPr>
                <w:noProof/>
              </w:rPr>
              <w:t>2</w:t>
            </w:r>
          </w:p>
        </w:tc>
        <w:tc>
          <w:tcPr>
            <w:tcW w:w="391" w:type="pct"/>
            <w:shd w:val="clear" w:color="auto" w:fill="auto"/>
            <w:vAlign w:val="center"/>
          </w:tcPr>
          <w:p>
            <w:pPr>
              <w:spacing w:before="60" w:after="60" w:line="240" w:lineRule="auto"/>
              <w:jc w:val="center"/>
              <w:rPr>
                <w:noProof/>
              </w:rPr>
            </w:pPr>
            <w:r>
              <w:rPr>
                <w:noProof/>
              </w:rPr>
              <w:t>3</w:t>
            </w:r>
          </w:p>
        </w:tc>
        <w:tc>
          <w:tcPr>
            <w:tcW w:w="391" w:type="pct"/>
            <w:shd w:val="clear" w:color="auto" w:fill="auto"/>
            <w:vAlign w:val="center"/>
          </w:tcPr>
          <w:p>
            <w:pPr>
              <w:spacing w:before="60" w:after="60" w:line="240" w:lineRule="auto"/>
              <w:jc w:val="center"/>
              <w:rPr>
                <w:noProof/>
              </w:rPr>
            </w:pPr>
            <w:r>
              <w:rPr>
                <w:noProof/>
              </w:rPr>
              <w:t>4</w:t>
            </w:r>
          </w:p>
        </w:tc>
        <w:tc>
          <w:tcPr>
            <w:tcW w:w="391" w:type="pct"/>
            <w:shd w:val="clear" w:color="auto" w:fill="auto"/>
            <w:vAlign w:val="center"/>
          </w:tcPr>
          <w:p>
            <w:pPr>
              <w:spacing w:before="60" w:after="60" w:line="240" w:lineRule="auto"/>
              <w:jc w:val="center"/>
              <w:rPr>
                <w:noProof/>
              </w:rPr>
            </w:pPr>
            <w:r>
              <w:rPr>
                <w:noProof/>
              </w:rPr>
              <w:t>5</w:t>
            </w:r>
          </w:p>
        </w:tc>
        <w:tc>
          <w:tcPr>
            <w:tcW w:w="391" w:type="pct"/>
            <w:shd w:val="clear" w:color="auto" w:fill="auto"/>
            <w:vAlign w:val="center"/>
          </w:tcPr>
          <w:p>
            <w:pPr>
              <w:spacing w:before="60" w:after="60" w:line="240" w:lineRule="auto"/>
              <w:jc w:val="center"/>
              <w:rPr>
                <w:noProof/>
              </w:rPr>
            </w:pPr>
            <w:r>
              <w:rPr>
                <w:noProof/>
              </w:rPr>
              <w:t>6</w:t>
            </w:r>
          </w:p>
        </w:tc>
        <w:tc>
          <w:tcPr>
            <w:tcW w:w="391" w:type="pct"/>
            <w:shd w:val="clear" w:color="auto" w:fill="auto"/>
            <w:vAlign w:val="center"/>
          </w:tcPr>
          <w:p>
            <w:pPr>
              <w:spacing w:before="60" w:after="60" w:line="240" w:lineRule="auto"/>
              <w:jc w:val="center"/>
              <w:rPr>
                <w:noProof/>
              </w:rPr>
            </w:pPr>
            <w:r>
              <w:rPr>
                <w:noProof/>
              </w:rPr>
              <w:t>7</w:t>
            </w:r>
          </w:p>
        </w:tc>
        <w:tc>
          <w:tcPr>
            <w:tcW w:w="391" w:type="pct"/>
            <w:shd w:val="clear" w:color="auto" w:fill="auto"/>
            <w:vAlign w:val="center"/>
          </w:tcPr>
          <w:p>
            <w:pPr>
              <w:spacing w:before="60" w:after="60" w:line="240" w:lineRule="auto"/>
              <w:jc w:val="center"/>
              <w:rPr>
                <w:noProof/>
              </w:rPr>
            </w:pPr>
            <w:r>
              <w:rPr>
                <w:noProof/>
              </w:rPr>
              <w:t>8</w:t>
            </w:r>
          </w:p>
        </w:tc>
        <w:tc>
          <w:tcPr>
            <w:tcW w:w="391" w:type="pct"/>
            <w:shd w:val="clear" w:color="auto" w:fill="auto"/>
            <w:vAlign w:val="center"/>
          </w:tcPr>
          <w:p>
            <w:pPr>
              <w:spacing w:before="60" w:after="60" w:line="240" w:lineRule="auto"/>
              <w:jc w:val="center"/>
              <w:rPr>
                <w:noProof/>
              </w:rPr>
            </w:pPr>
            <w:r>
              <w:rPr>
                <w:noProof/>
              </w:rPr>
              <w:t>9</w:t>
            </w:r>
          </w:p>
        </w:tc>
        <w:tc>
          <w:tcPr>
            <w:tcW w:w="391" w:type="pct"/>
            <w:shd w:val="clear" w:color="auto" w:fill="auto"/>
            <w:vAlign w:val="center"/>
          </w:tcPr>
          <w:p>
            <w:pPr>
              <w:spacing w:before="60" w:after="60" w:line="240" w:lineRule="auto"/>
              <w:jc w:val="center"/>
              <w:rPr>
                <w:noProof/>
              </w:rPr>
            </w:pPr>
            <w:r>
              <w:rPr>
                <w:noProof/>
              </w:rPr>
              <w:t>10</w:t>
            </w:r>
          </w:p>
        </w:tc>
        <w:tc>
          <w:tcPr>
            <w:tcW w:w="391" w:type="pct"/>
            <w:shd w:val="clear" w:color="auto" w:fill="auto"/>
            <w:vAlign w:val="center"/>
          </w:tcPr>
          <w:p>
            <w:pPr>
              <w:spacing w:before="60" w:after="60" w:line="240" w:lineRule="auto"/>
              <w:jc w:val="center"/>
              <w:rPr>
                <w:noProof/>
              </w:rPr>
            </w:pPr>
            <w:r>
              <w:rPr>
                <w:noProof/>
              </w:rPr>
              <w:t>11</w:t>
            </w:r>
          </w:p>
        </w:tc>
      </w:tr>
      <w:tr>
        <w:trPr>
          <w:trHeight w:val="227"/>
        </w:trPr>
        <w:tc>
          <w:tcPr>
            <w:tcW w:w="698" w:type="pct"/>
            <w:shd w:val="clear" w:color="auto" w:fill="auto"/>
          </w:tcPr>
          <w:p>
            <w:pPr>
              <w:spacing w:before="60" w:after="60" w:line="240" w:lineRule="auto"/>
              <w:rPr>
                <w:noProof/>
              </w:rPr>
            </w:pPr>
            <w:r>
              <w:rPr>
                <w:noProof/>
              </w:rPr>
              <w:t>2203.00.10</w:t>
            </w:r>
          </w:p>
          <w:p>
            <w:pPr>
              <w:spacing w:before="60" w:after="60" w:line="240" w:lineRule="auto"/>
              <w:rPr>
                <w:noProof/>
              </w:rPr>
            </w:pPr>
            <w:r>
              <w:rPr>
                <w:noProof/>
              </w:rPr>
              <w:t>2203.00.90</w:t>
            </w:r>
          </w:p>
        </w:tc>
        <w:tc>
          <w:tcPr>
            <w:tcW w:w="391" w:type="pct"/>
            <w:shd w:val="clear" w:color="auto" w:fill="auto"/>
            <w:vAlign w:val="center"/>
          </w:tcPr>
          <w:p>
            <w:pPr>
              <w:spacing w:before="60" w:after="60" w:line="240" w:lineRule="auto"/>
              <w:rPr>
                <w:noProof/>
              </w:rPr>
            </w:pPr>
            <w:r>
              <w:rPr>
                <w:noProof/>
              </w:rPr>
              <w:t>34 %</w:t>
            </w:r>
          </w:p>
        </w:tc>
        <w:tc>
          <w:tcPr>
            <w:tcW w:w="391" w:type="pct"/>
            <w:shd w:val="clear" w:color="auto" w:fill="auto"/>
            <w:vAlign w:val="center"/>
          </w:tcPr>
          <w:p>
            <w:pPr>
              <w:spacing w:before="60" w:after="60" w:line="240" w:lineRule="auto"/>
              <w:rPr>
                <w:noProof/>
              </w:rPr>
            </w:pPr>
            <w:r>
              <w:rPr>
                <w:noProof/>
              </w:rPr>
              <w:t>33 %</w:t>
            </w:r>
          </w:p>
        </w:tc>
        <w:tc>
          <w:tcPr>
            <w:tcW w:w="391" w:type="pct"/>
            <w:shd w:val="clear" w:color="auto" w:fill="auto"/>
            <w:vAlign w:val="center"/>
          </w:tcPr>
          <w:p>
            <w:pPr>
              <w:spacing w:before="60" w:after="60" w:line="240" w:lineRule="auto"/>
              <w:rPr>
                <w:noProof/>
              </w:rPr>
            </w:pPr>
            <w:r>
              <w:rPr>
                <w:noProof/>
              </w:rPr>
              <w:t>32 %</w:t>
            </w:r>
          </w:p>
        </w:tc>
        <w:tc>
          <w:tcPr>
            <w:tcW w:w="391" w:type="pct"/>
            <w:shd w:val="clear" w:color="auto" w:fill="auto"/>
            <w:vAlign w:val="center"/>
          </w:tcPr>
          <w:p>
            <w:pPr>
              <w:spacing w:before="60" w:after="60" w:line="240" w:lineRule="auto"/>
              <w:rPr>
                <w:noProof/>
              </w:rPr>
            </w:pPr>
            <w:r>
              <w:rPr>
                <w:noProof/>
              </w:rPr>
              <w:t>30 %</w:t>
            </w:r>
          </w:p>
        </w:tc>
        <w:tc>
          <w:tcPr>
            <w:tcW w:w="391" w:type="pct"/>
            <w:shd w:val="clear" w:color="auto" w:fill="auto"/>
            <w:vAlign w:val="center"/>
          </w:tcPr>
          <w:p>
            <w:pPr>
              <w:spacing w:before="60" w:after="60" w:line="240" w:lineRule="auto"/>
              <w:rPr>
                <w:noProof/>
              </w:rPr>
            </w:pPr>
            <w:r>
              <w:rPr>
                <w:noProof/>
              </w:rPr>
              <w:t>29 %</w:t>
            </w:r>
          </w:p>
        </w:tc>
        <w:tc>
          <w:tcPr>
            <w:tcW w:w="391" w:type="pct"/>
            <w:shd w:val="clear" w:color="auto" w:fill="auto"/>
            <w:vAlign w:val="center"/>
          </w:tcPr>
          <w:p>
            <w:pPr>
              <w:spacing w:before="60" w:after="60" w:line="240" w:lineRule="auto"/>
              <w:rPr>
                <w:noProof/>
              </w:rPr>
            </w:pPr>
            <w:r>
              <w:rPr>
                <w:noProof/>
              </w:rPr>
              <w:t>25 %</w:t>
            </w:r>
          </w:p>
        </w:tc>
        <w:tc>
          <w:tcPr>
            <w:tcW w:w="391" w:type="pct"/>
            <w:shd w:val="clear" w:color="auto" w:fill="auto"/>
            <w:vAlign w:val="center"/>
          </w:tcPr>
          <w:p>
            <w:pPr>
              <w:spacing w:before="60" w:after="60" w:line="240" w:lineRule="auto"/>
              <w:rPr>
                <w:noProof/>
              </w:rPr>
            </w:pPr>
            <w:r>
              <w:rPr>
                <w:noProof/>
              </w:rPr>
              <w:t>22 %</w:t>
            </w:r>
          </w:p>
        </w:tc>
        <w:tc>
          <w:tcPr>
            <w:tcW w:w="391" w:type="pct"/>
            <w:shd w:val="clear" w:color="auto" w:fill="auto"/>
            <w:vAlign w:val="center"/>
          </w:tcPr>
          <w:p>
            <w:pPr>
              <w:spacing w:before="60" w:after="60" w:line="240" w:lineRule="auto"/>
              <w:rPr>
                <w:noProof/>
              </w:rPr>
            </w:pPr>
            <w:r>
              <w:rPr>
                <w:noProof/>
              </w:rPr>
              <w:t>18 %</w:t>
            </w:r>
          </w:p>
        </w:tc>
        <w:tc>
          <w:tcPr>
            <w:tcW w:w="391" w:type="pct"/>
            <w:shd w:val="clear" w:color="auto" w:fill="auto"/>
            <w:vAlign w:val="center"/>
          </w:tcPr>
          <w:p>
            <w:pPr>
              <w:spacing w:before="60" w:after="60" w:line="240" w:lineRule="auto"/>
              <w:rPr>
                <w:noProof/>
              </w:rPr>
            </w:pPr>
            <w:r>
              <w:rPr>
                <w:noProof/>
              </w:rPr>
              <w:t>15 %</w:t>
            </w:r>
          </w:p>
        </w:tc>
        <w:tc>
          <w:tcPr>
            <w:tcW w:w="391" w:type="pct"/>
            <w:shd w:val="clear" w:color="auto" w:fill="auto"/>
            <w:vAlign w:val="center"/>
          </w:tcPr>
          <w:p>
            <w:pPr>
              <w:spacing w:before="60" w:after="60" w:line="240" w:lineRule="auto"/>
              <w:rPr>
                <w:noProof/>
              </w:rPr>
            </w:pPr>
            <w:r>
              <w:rPr>
                <w:noProof/>
              </w:rPr>
              <w:t>11 %</w:t>
            </w:r>
          </w:p>
        </w:tc>
        <w:tc>
          <w:tcPr>
            <w:tcW w:w="391" w:type="pct"/>
            <w:shd w:val="clear" w:color="auto" w:fill="auto"/>
            <w:vAlign w:val="center"/>
          </w:tcPr>
          <w:p>
            <w:pPr>
              <w:spacing w:before="60" w:after="60" w:line="240" w:lineRule="auto"/>
              <w:rPr>
                <w:noProof/>
              </w:rPr>
            </w:pPr>
            <w:r>
              <w:rPr>
                <w:noProof/>
              </w:rPr>
              <w:t>0 %</w:t>
            </w:r>
          </w:p>
        </w:tc>
      </w:tr>
    </w:tbl>
    <w:p>
      <w:pPr>
        <w:rPr>
          <w:noProof/>
        </w:rPr>
      </w:pPr>
    </w:p>
    <w:p>
      <w:pPr>
        <w:ind w:left="1134" w:hanging="567"/>
        <w:rPr>
          <w:noProof/>
        </w:rPr>
      </w:pPr>
      <w:r>
        <w:rPr>
          <w:noProof/>
        </w:rPr>
        <w:t>и)</w:t>
      </w:r>
      <w:r>
        <w:rPr>
          <w:noProof/>
        </w:rPr>
        <w:tab/>
        <w:t>митата върху стоките с произход, посочени в позициите от поетапна категория „B10**“ в графика на Виетнам, отпадат на 11 годишни етапа, като се започне от датата на влизане в сила на настоящото споразумение, в съответствие с таблицата по-долу; впоследствие тези стоки са освободени от всякакво мито;</w:t>
      </w:r>
    </w:p>
    <w:p>
      <w:pPr>
        <w:ind w:left="1134" w:hanging="567"/>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6"/>
        <w:gridCol w:w="895"/>
        <w:gridCol w:w="716"/>
        <w:gridCol w:w="716"/>
        <w:gridCol w:w="716"/>
        <w:gridCol w:w="716"/>
        <w:gridCol w:w="716"/>
        <w:gridCol w:w="716"/>
        <w:gridCol w:w="612"/>
        <w:gridCol w:w="639"/>
        <w:gridCol w:w="639"/>
        <w:gridCol w:w="737"/>
        <w:gridCol w:w="741"/>
      </w:tblGrid>
      <w:tr>
        <w:trPr>
          <w:trHeight w:val="227"/>
          <w:tblHeader/>
        </w:trPr>
        <w:tc>
          <w:tcPr>
            <w:tcW w:w="625" w:type="pct"/>
            <w:shd w:val="clear" w:color="auto" w:fill="auto"/>
            <w:vAlign w:val="center"/>
          </w:tcPr>
          <w:p>
            <w:pPr>
              <w:pageBreakBefore/>
              <w:spacing w:before="60" w:after="60" w:line="240" w:lineRule="auto"/>
              <w:jc w:val="center"/>
              <w:rPr>
                <w:noProof/>
              </w:rPr>
            </w:pPr>
            <w:r>
              <w:rPr>
                <w:noProof/>
              </w:rPr>
              <w:t>Тарифен код</w:t>
            </w:r>
          </w:p>
        </w:tc>
        <w:tc>
          <w:tcPr>
            <w:tcW w:w="365" w:type="pct"/>
            <w:vMerge w:val="restart"/>
            <w:vAlign w:val="center"/>
          </w:tcPr>
          <w:p>
            <w:pPr>
              <w:spacing w:before="60" w:after="60" w:line="240" w:lineRule="auto"/>
              <w:jc w:val="center"/>
              <w:rPr>
                <w:noProof/>
              </w:rPr>
            </w:pPr>
            <w:r>
              <w:rPr>
                <w:noProof/>
              </w:rPr>
              <w:t>Базова ставка</w:t>
            </w:r>
          </w:p>
        </w:tc>
        <w:tc>
          <w:tcPr>
            <w:tcW w:w="4010" w:type="pct"/>
            <w:gridSpan w:val="11"/>
            <w:shd w:val="clear" w:color="auto" w:fill="auto"/>
            <w:vAlign w:val="center"/>
          </w:tcPr>
          <w:p>
            <w:pPr>
              <w:spacing w:before="60" w:after="60" w:line="240" w:lineRule="auto"/>
              <w:jc w:val="center"/>
              <w:rPr>
                <w:noProof/>
              </w:rPr>
            </w:pPr>
            <w:r>
              <w:rPr>
                <w:noProof/>
              </w:rPr>
              <w:t>Година</w:t>
            </w:r>
          </w:p>
        </w:tc>
      </w:tr>
      <w:tr>
        <w:trPr>
          <w:trHeight w:val="227"/>
          <w:tblHeader/>
        </w:trPr>
        <w:tc>
          <w:tcPr>
            <w:tcW w:w="625" w:type="pct"/>
            <w:shd w:val="clear" w:color="auto" w:fill="auto"/>
            <w:vAlign w:val="center"/>
          </w:tcPr>
          <w:p>
            <w:pPr>
              <w:spacing w:before="60" w:after="60" w:line="240" w:lineRule="auto"/>
              <w:jc w:val="center"/>
              <w:rPr>
                <w:noProof/>
              </w:rPr>
            </w:pPr>
            <w:r>
              <w:rPr>
                <w:noProof/>
              </w:rPr>
              <w:t>ХС 2012</w:t>
            </w:r>
          </w:p>
        </w:tc>
        <w:tc>
          <w:tcPr>
            <w:tcW w:w="365" w:type="pct"/>
            <w:vMerge/>
            <w:vAlign w:val="center"/>
          </w:tcPr>
          <w:p>
            <w:pPr>
              <w:spacing w:before="60" w:after="60" w:line="240" w:lineRule="auto"/>
              <w:jc w:val="center"/>
              <w:rPr>
                <w:noProof/>
              </w:rPr>
            </w:pPr>
          </w:p>
        </w:tc>
        <w:tc>
          <w:tcPr>
            <w:tcW w:w="360" w:type="pct"/>
            <w:shd w:val="clear" w:color="auto" w:fill="auto"/>
            <w:vAlign w:val="center"/>
          </w:tcPr>
          <w:p>
            <w:pPr>
              <w:spacing w:before="60" w:after="60" w:line="240" w:lineRule="auto"/>
              <w:jc w:val="center"/>
              <w:rPr>
                <w:noProof/>
              </w:rPr>
            </w:pPr>
            <w:r>
              <w:rPr>
                <w:noProof/>
              </w:rPr>
              <w:t>1</w:t>
            </w:r>
          </w:p>
        </w:tc>
        <w:tc>
          <w:tcPr>
            <w:tcW w:w="353" w:type="pct"/>
            <w:shd w:val="clear" w:color="auto" w:fill="auto"/>
            <w:vAlign w:val="center"/>
          </w:tcPr>
          <w:p>
            <w:pPr>
              <w:spacing w:before="60" w:after="60" w:line="240" w:lineRule="auto"/>
              <w:jc w:val="center"/>
              <w:rPr>
                <w:noProof/>
              </w:rPr>
            </w:pPr>
            <w:r>
              <w:rPr>
                <w:noProof/>
              </w:rPr>
              <w:t>2</w:t>
            </w:r>
          </w:p>
        </w:tc>
        <w:tc>
          <w:tcPr>
            <w:tcW w:w="353" w:type="pct"/>
            <w:shd w:val="clear" w:color="auto" w:fill="auto"/>
            <w:vAlign w:val="center"/>
          </w:tcPr>
          <w:p>
            <w:pPr>
              <w:spacing w:before="60" w:after="60" w:line="240" w:lineRule="auto"/>
              <w:jc w:val="center"/>
              <w:rPr>
                <w:noProof/>
              </w:rPr>
            </w:pPr>
            <w:r>
              <w:rPr>
                <w:noProof/>
              </w:rPr>
              <w:t>3</w:t>
            </w:r>
          </w:p>
        </w:tc>
        <w:tc>
          <w:tcPr>
            <w:tcW w:w="353" w:type="pct"/>
            <w:shd w:val="clear" w:color="auto" w:fill="auto"/>
            <w:vAlign w:val="center"/>
          </w:tcPr>
          <w:p>
            <w:pPr>
              <w:spacing w:before="60" w:after="60" w:line="240" w:lineRule="auto"/>
              <w:jc w:val="center"/>
              <w:rPr>
                <w:noProof/>
              </w:rPr>
            </w:pPr>
            <w:r>
              <w:rPr>
                <w:noProof/>
              </w:rPr>
              <w:t>4</w:t>
            </w:r>
          </w:p>
        </w:tc>
        <w:tc>
          <w:tcPr>
            <w:tcW w:w="376" w:type="pct"/>
            <w:shd w:val="clear" w:color="auto" w:fill="auto"/>
            <w:vAlign w:val="center"/>
          </w:tcPr>
          <w:p>
            <w:pPr>
              <w:spacing w:before="60" w:after="60" w:line="240" w:lineRule="auto"/>
              <w:jc w:val="center"/>
              <w:rPr>
                <w:noProof/>
              </w:rPr>
            </w:pPr>
            <w:r>
              <w:rPr>
                <w:noProof/>
              </w:rPr>
              <w:t>5</w:t>
            </w:r>
          </w:p>
        </w:tc>
        <w:tc>
          <w:tcPr>
            <w:tcW w:w="363" w:type="pct"/>
            <w:shd w:val="clear" w:color="auto" w:fill="auto"/>
            <w:vAlign w:val="center"/>
          </w:tcPr>
          <w:p>
            <w:pPr>
              <w:spacing w:before="60" w:after="60" w:line="240" w:lineRule="auto"/>
              <w:jc w:val="center"/>
              <w:rPr>
                <w:noProof/>
              </w:rPr>
            </w:pPr>
            <w:r>
              <w:rPr>
                <w:noProof/>
              </w:rPr>
              <w:t>6</w:t>
            </w:r>
          </w:p>
        </w:tc>
        <w:tc>
          <w:tcPr>
            <w:tcW w:w="350" w:type="pct"/>
            <w:shd w:val="clear" w:color="auto" w:fill="auto"/>
            <w:vAlign w:val="center"/>
          </w:tcPr>
          <w:p>
            <w:pPr>
              <w:spacing w:before="60" w:after="60" w:line="240" w:lineRule="auto"/>
              <w:jc w:val="center"/>
              <w:rPr>
                <w:noProof/>
              </w:rPr>
            </w:pPr>
            <w:r>
              <w:rPr>
                <w:noProof/>
              </w:rPr>
              <w:t>7</w:t>
            </w:r>
          </w:p>
        </w:tc>
        <w:tc>
          <w:tcPr>
            <w:tcW w:w="350" w:type="pct"/>
            <w:shd w:val="clear" w:color="auto" w:fill="auto"/>
            <w:vAlign w:val="center"/>
          </w:tcPr>
          <w:p>
            <w:pPr>
              <w:spacing w:before="60" w:after="60" w:line="240" w:lineRule="auto"/>
              <w:jc w:val="center"/>
              <w:rPr>
                <w:noProof/>
              </w:rPr>
            </w:pPr>
            <w:r>
              <w:rPr>
                <w:noProof/>
              </w:rPr>
              <w:t>8</w:t>
            </w:r>
          </w:p>
        </w:tc>
        <w:tc>
          <w:tcPr>
            <w:tcW w:w="350" w:type="pct"/>
            <w:shd w:val="clear" w:color="auto" w:fill="auto"/>
            <w:vAlign w:val="center"/>
          </w:tcPr>
          <w:p>
            <w:pPr>
              <w:spacing w:before="60" w:after="60" w:line="240" w:lineRule="auto"/>
              <w:jc w:val="center"/>
              <w:rPr>
                <w:noProof/>
              </w:rPr>
            </w:pPr>
            <w:r>
              <w:rPr>
                <w:noProof/>
              </w:rPr>
              <w:t>9</w:t>
            </w:r>
          </w:p>
        </w:tc>
        <w:tc>
          <w:tcPr>
            <w:tcW w:w="400" w:type="pct"/>
            <w:shd w:val="clear" w:color="auto" w:fill="auto"/>
            <w:vAlign w:val="center"/>
          </w:tcPr>
          <w:p>
            <w:pPr>
              <w:spacing w:before="60" w:after="60" w:line="240" w:lineRule="auto"/>
              <w:jc w:val="center"/>
              <w:rPr>
                <w:noProof/>
              </w:rPr>
            </w:pPr>
            <w:r>
              <w:rPr>
                <w:noProof/>
              </w:rPr>
              <w:t>10</w:t>
            </w:r>
          </w:p>
        </w:tc>
        <w:tc>
          <w:tcPr>
            <w:tcW w:w="400" w:type="pct"/>
            <w:shd w:val="clear" w:color="auto" w:fill="auto"/>
            <w:vAlign w:val="center"/>
          </w:tcPr>
          <w:p>
            <w:pPr>
              <w:spacing w:before="60" w:after="60" w:line="240" w:lineRule="auto"/>
              <w:jc w:val="center"/>
              <w:rPr>
                <w:noProof/>
              </w:rPr>
            </w:pPr>
            <w:r>
              <w:rPr>
                <w:noProof/>
              </w:rPr>
              <w:t>11</w:t>
            </w:r>
          </w:p>
        </w:tc>
      </w:tr>
      <w:tr>
        <w:trPr>
          <w:trHeight w:val="227"/>
        </w:trPr>
        <w:tc>
          <w:tcPr>
            <w:tcW w:w="625" w:type="pct"/>
            <w:shd w:val="clear" w:color="auto" w:fill="auto"/>
          </w:tcPr>
          <w:p>
            <w:pPr>
              <w:spacing w:before="60" w:after="60" w:line="240" w:lineRule="auto"/>
              <w:rPr>
                <w:noProof/>
              </w:rPr>
            </w:pPr>
            <w:r>
              <w:rPr>
                <w:noProof/>
              </w:rPr>
              <w:t>2710.12.11</w:t>
            </w:r>
          </w:p>
          <w:p>
            <w:pPr>
              <w:spacing w:before="60" w:after="60" w:line="240" w:lineRule="auto"/>
              <w:rPr>
                <w:noProof/>
              </w:rPr>
            </w:pPr>
            <w:r>
              <w:rPr>
                <w:noProof/>
              </w:rPr>
              <w:t>2710.12.12</w:t>
            </w:r>
          </w:p>
          <w:p>
            <w:pPr>
              <w:spacing w:before="60" w:after="60" w:line="240" w:lineRule="auto"/>
              <w:rPr>
                <w:noProof/>
              </w:rPr>
            </w:pPr>
            <w:r>
              <w:rPr>
                <w:noProof/>
              </w:rPr>
              <w:t>2710.12.13</w:t>
            </w:r>
          </w:p>
          <w:p>
            <w:pPr>
              <w:spacing w:before="60" w:after="60" w:line="240" w:lineRule="auto"/>
              <w:rPr>
                <w:noProof/>
              </w:rPr>
            </w:pPr>
            <w:r>
              <w:rPr>
                <w:noProof/>
              </w:rPr>
              <w:t>2710.12.14</w:t>
            </w:r>
          </w:p>
          <w:p>
            <w:pPr>
              <w:spacing w:before="60" w:after="60" w:line="240" w:lineRule="auto"/>
              <w:rPr>
                <w:noProof/>
              </w:rPr>
            </w:pPr>
            <w:r>
              <w:rPr>
                <w:noProof/>
              </w:rPr>
              <w:t>2710.12.15</w:t>
            </w:r>
          </w:p>
          <w:p>
            <w:pPr>
              <w:spacing w:before="60" w:after="60" w:line="240" w:lineRule="auto"/>
              <w:rPr>
                <w:noProof/>
              </w:rPr>
            </w:pPr>
            <w:r>
              <w:rPr>
                <w:noProof/>
              </w:rPr>
              <w:t>2710.12.16</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2710.12.20</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10 %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2710.12.30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2710.12.40</w:t>
            </w:r>
          </w:p>
          <w:p>
            <w:pPr>
              <w:spacing w:before="60" w:after="60" w:line="240" w:lineRule="auto"/>
              <w:rPr>
                <w:noProof/>
              </w:rPr>
            </w:pPr>
            <w:r>
              <w:rPr>
                <w:noProof/>
              </w:rPr>
              <w:t>2710.12.50</w:t>
            </w:r>
          </w:p>
          <w:p>
            <w:pPr>
              <w:spacing w:before="60" w:after="60" w:line="240" w:lineRule="auto"/>
              <w:rPr>
                <w:noProof/>
              </w:rPr>
            </w:pPr>
            <w:r>
              <w:rPr>
                <w:noProof/>
              </w:rPr>
              <w:t>2710.12.60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17 %</w:t>
            </w:r>
          </w:p>
        </w:tc>
        <w:tc>
          <w:tcPr>
            <w:tcW w:w="353" w:type="pct"/>
            <w:shd w:val="clear" w:color="auto" w:fill="auto"/>
          </w:tcPr>
          <w:p>
            <w:pPr>
              <w:spacing w:before="60" w:after="60" w:line="240" w:lineRule="auto"/>
              <w:rPr>
                <w:noProof/>
              </w:rPr>
            </w:pPr>
            <w:r>
              <w:rPr>
                <w:noProof/>
              </w:rPr>
              <w:t>16 %</w:t>
            </w:r>
          </w:p>
        </w:tc>
        <w:tc>
          <w:tcPr>
            <w:tcW w:w="353" w:type="pct"/>
            <w:shd w:val="clear" w:color="auto" w:fill="auto"/>
          </w:tcPr>
          <w:p>
            <w:pPr>
              <w:spacing w:before="60" w:after="60" w:line="240" w:lineRule="auto"/>
              <w:rPr>
                <w:noProof/>
              </w:rPr>
            </w:pPr>
            <w:r>
              <w:rPr>
                <w:noProof/>
              </w:rPr>
              <w:t>14 %</w:t>
            </w:r>
          </w:p>
        </w:tc>
        <w:tc>
          <w:tcPr>
            <w:tcW w:w="353" w:type="pct"/>
            <w:shd w:val="clear" w:color="auto" w:fill="auto"/>
          </w:tcPr>
          <w:p>
            <w:pPr>
              <w:spacing w:before="60" w:after="60" w:line="240" w:lineRule="auto"/>
              <w:rPr>
                <w:noProof/>
              </w:rPr>
            </w:pPr>
            <w:r>
              <w:rPr>
                <w:noProof/>
              </w:rPr>
              <w:t>13 %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2710.12.70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8 %</w:t>
            </w:r>
          </w:p>
        </w:tc>
        <w:tc>
          <w:tcPr>
            <w:tcW w:w="363" w:type="pct"/>
            <w:shd w:val="clear" w:color="auto" w:fill="auto"/>
          </w:tcPr>
          <w:p>
            <w:pPr>
              <w:spacing w:before="60" w:after="60" w:line="240" w:lineRule="auto"/>
              <w:rPr>
                <w:noProof/>
              </w:rPr>
            </w:pPr>
            <w:r>
              <w:rPr>
                <w:noProof/>
              </w:rPr>
              <w:t>8 %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2710.12.80</w:t>
            </w:r>
          </w:p>
          <w:p>
            <w:pPr>
              <w:spacing w:before="60" w:after="60" w:line="240" w:lineRule="auto"/>
              <w:rPr>
                <w:noProof/>
              </w:rPr>
            </w:pPr>
            <w:r>
              <w:rPr>
                <w:noProof/>
              </w:rPr>
              <w:t>2710.12.90</w:t>
            </w:r>
          </w:p>
        </w:tc>
        <w:tc>
          <w:tcPr>
            <w:tcW w:w="365" w:type="pct"/>
          </w:tcPr>
          <w:p>
            <w:pPr>
              <w:spacing w:before="60" w:after="60" w:line="240" w:lineRule="auto"/>
              <w:rPr>
                <w:noProof/>
              </w:rPr>
            </w:pPr>
            <w:r>
              <w:rPr>
                <w:noProof/>
              </w:rPr>
              <w:t>20 %</w:t>
            </w:r>
          </w:p>
        </w:tc>
        <w:tc>
          <w:tcPr>
            <w:tcW w:w="360"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15 %</w:t>
            </w:r>
          </w:p>
        </w:tc>
        <w:tc>
          <w:tcPr>
            <w:tcW w:w="363" w:type="pct"/>
            <w:shd w:val="clear" w:color="auto" w:fill="auto"/>
          </w:tcPr>
          <w:p>
            <w:pPr>
              <w:spacing w:before="60" w:after="60" w:line="240" w:lineRule="auto"/>
              <w:rPr>
                <w:noProof/>
              </w:rPr>
            </w:pPr>
            <w:r>
              <w:rPr>
                <w:noProof/>
              </w:rPr>
              <w:t>10 %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2710.19.71</w:t>
            </w:r>
          </w:p>
          <w:p>
            <w:pPr>
              <w:spacing w:before="60" w:after="60" w:line="240" w:lineRule="auto"/>
              <w:rPr>
                <w:noProof/>
              </w:rPr>
            </w:pPr>
            <w:r>
              <w:rPr>
                <w:noProof/>
              </w:rPr>
              <w:t>2710.19.72</w:t>
            </w:r>
          </w:p>
        </w:tc>
        <w:tc>
          <w:tcPr>
            <w:tcW w:w="365" w:type="pct"/>
          </w:tcPr>
          <w:p>
            <w:pPr>
              <w:spacing w:before="60" w:after="60" w:line="240" w:lineRule="auto"/>
              <w:rPr>
                <w:noProof/>
              </w:rPr>
            </w:pPr>
            <w:r>
              <w:rPr>
                <w:noProof/>
              </w:rPr>
              <w:t>8 %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2710.19.79</w:t>
            </w:r>
          </w:p>
          <w:p>
            <w:pPr>
              <w:spacing w:before="60" w:after="60" w:line="240" w:lineRule="auto"/>
              <w:rPr>
                <w:noProof/>
              </w:rPr>
            </w:pPr>
            <w:r>
              <w:rPr>
                <w:noProof/>
              </w:rPr>
              <w:t>2710.19.81</w:t>
            </w:r>
          </w:p>
          <w:p>
            <w:pPr>
              <w:spacing w:before="60" w:after="60" w:line="240" w:lineRule="auto"/>
              <w:rPr>
                <w:noProof/>
              </w:rPr>
            </w:pPr>
            <w:r>
              <w:rPr>
                <w:noProof/>
              </w:rPr>
              <w:t>2710.19.82</w:t>
            </w:r>
          </w:p>
          <w:p>
            <w:pPr>
              <w:spacing w:before="60" w:after="60" w:line="240" w:lineRule="auto"/>
              <w:rPr>
                <w:noProof/>
              </w:rPr>
            </w:pPr>
            <w:r>
              <w:rPr>
                <w:noProof/>
              </w:rPr>
              <w:t>2710.19.83</w:t>
            </w:r>
          </w:p>
        </w:tc>
        <w:tc>
          <w:tcPr>
            <w:tcW w:w="365" w:type="pct"/>
          </w:tcPr>
          <w:p>
            <w:pPr>
              <w:spacing w:before="60" w:after="60" w:line="240" w:lineRule="auto"/>
              <w:rPr>
                <w:noProof/>
              </w:rPr>
            </w:pPr>
            <w:r>
              <w:rPr>
                <w:noProof/>
              </w:rPr>
              <w:t>10 %</w:t>
            </w:r>
          </w:p>
        </w:tc>
        <w:tc>
          <w:tcPr>
            <w:tcW w:w="360" w:type="pct"/>
            <w:shd w:val="clear" w:color="auto" w:fill="auto"/>
          </w:tcPr>
          <w:p>
            <w:pPr>
              <w:spacing w:before="60" w:after="60" w:line="240" w:lineRule="auto"/>
              <w:rPr>
                <w:noProof/>
              </w:rPr>
            </w:pPr>
            <w:r>
              <w:rPr>
                <w:noProof/>
              </w:rPr>
              <w:t>9 %</w:t>
            </w:r>
          </w:p>
        </w:tc>
        <w:tc>
          <w:tcPr>
            <w:tcW w:w="353" w:type="pct"/>
            <w:shd w:val="clear" w:color="auto" w:fill="auto"/>
          </w:tcPr>
          <w:p>
            <w:pPr>
              <w:spacing w:before="60" w:after="60" w:line="240" w:lineRule="auto"/>
              <w:rPr>
                <w:noProof/>
              </w:rPr>
            </w:pPr>
            <w:r>
              <w:rPr>
                <w:noProof/>
              </w:rPr>
              <w:t>8 %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2710.20.00</w:t>
            </w:r>
          </w:p>
        </w:tc>
        <w:tc>
          <w:tcPr>
            <w:tcW w:w="365" w:type="pct"/>
          </w:tcPr>
          <w:p>
            <w:pPr>
              <w:spacing w:before="60" w:after="60" w:line="240" w:lineRule="auto"/>
              <w:rPr>
                <w:noProof/>
              </w:rPr>
            </w:pPr>
            <w:r>
              <w:rPr>
                <w:noProof/>
              </w:rPr>
              <w:t>7 %</w:t>
            </w:r>
          </w:p>
        </w:tc>
        <w:tc>
          <w:tcPr>
            <w:tcW w:w="360"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53" w:type="pct"/>
            <w:shd w:val="clear" w:color="auto" w:fill="auto"/>
          </w:tcPr>
          <w:p>
            <w:pPr>
              <w:spacing w:before="60" w:after="60" w:line="240" w:lineRule="auto"/>
              <w:rPr>
                <w:noProof/>
              </w:rPr>
            </w:pPr>
            <w:r>
              <w:rPr>
                <w:noProof/>
              </w:rPr>
              <w:t>7 %</w:t>
            </w:r>
          </w:p>
        </w:tc>
        <w:tc>
          <w:tcPr>
            <w:tcW w:w="376" w:type="pct"/>
            <w:shd w:val="clear" w:color="auto" w:fill="auto"/>
          </w:tcPr>
          <w:p>
            <w:pPr>
              <w:spacing w:before="60" w:after="60" w:line="240" w:lineRule="auto"/>
              <w:rPr>
                <w:noProof/>
              </w:rPr>
            </w:pPr>
            <w:r>
              <w:rPr>
                <w:noProof/>
              </w:rPr>
              <w:t>7 %</w:t>
            </w:r>
          </w:p>
        </w:tc>
        <w:tc>
          <w:tcPr>
            <w:tcW w:w="363"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r>
        <w:trPr>
          <w:trHeight w:val="227"/>
        </w:trPr>
        <w:tc>
          <w:tcPr>
            <w:tcW w:w="625" w:type="pct"/>
            <w:shd w:val="clear" w:color="auto" w:fill="auto"/>
          </w:tcPr>
          <w:p>
            <w:pPr>
              <w:spacing w:before="60" w:after="60" w:line="240" w:lineRule="auto"/>
              <w:rPr>
                <w:noProof/>
              </w:rPr>
            </w:pPr>
            <w:r>
              <w:rPr>
                <w:noProof/>
              </w:rPr>
              <w:t>2710.91.00</w:t>
            </w:r>
          </w:p>
          <w:p>
            <w:pPr>
              <w:spacing w:before="60" w:after="60" w:line="240" w:lineRule="auto"/>
              <w:rPr>
                <w:noProof/>
              </w:rPr>
            </w:pPr>
            <w:r>
              <w:rPr>
                <w:noProof/>
              </w:rPr>
              <w:t>2710.99.00</w:t>
            </w:r>
          </w:p>
        </w:tc>
        <w:tc>
          <w:tcPr>
            <w:tcW w:w="365" w:type="pct"/>
          </w:tcPr>
          <w:p>
            <w:pPr>
              <w:spacing w:before="60" w:after="60" w:line="240" w:lineRule="auto"/>
              <w:rPr>
                <w:noProof/>
              </w:rPr>
            </w:pPr>
            <w:r>
              <w:rPr>
                <w:noProof/>
              </w:rPr>
              <w:t>40 %</w:t>
            </w:r>
          </w:p>
        </w:tc>
        <w:tc>
          <w:tcPr>
            <w:tcW w:w="360" w:type="pct"/>
            <w:shd w:val="clear" w:color="auto" w:fill="auto"/>
          </w:tcPr>
          <w:p>
            <w:pPr>
              <w:spacing w:before="60" w:after="60" w:line="240" w:lineRule="auto"/>
              <w:rPr>
                <w:noProof/>
              </w:rPr>
            </w:pPr>
            <w:r>
              <w:rPr>
                <w:noProof/>
              </w:rPr>
              <w:t>40 %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53" w:type="pct"/>
            <w:shd w:val="clear" w:color="auto" w:fill="auto"/>
          </w:tcPr>
          <w:p>
            <w:pPr>
              <w:spacing w:before="60" w:after="60" w:line="240" w:lineRule="auto"/>
              <w:rPr>
                <w:noProof/>
              </w:rPr>
            </w:pPr>
            <w:r>
              <w:rPr>
                <w:noProof/>
              </w:rPr>
              <w:t>20 %</w:t>
            </w:r>
          </w:p>
        </w:tc>
        <w:tc>
          <w:tcPr>
            <w:tcW w:w="376" w:type="pct"/>
            <w:shd w:val="clear" w:color="auto" w:fill="auto"/>
          </w:tcPr>
          <w:p>
            <w:pPr>
              <w:spacing w:before="60" w:after="60" w:line="240" w:lineRule="auto"/>
              <w:rPr>
                <w:noProof/>
              </w:rPr>
            </w:pPr>
            <w:r>
              <w:rPr>
                <w:noProof/>
              </w:rPr>
              <w:t>11 %</w:t>
            </w:r>
          </w:p>
        </w:tc>
        <w:tc>
          <w:tcPr>
            <w:tcW w:w="363" w:type="pct"/>
            <w:shd w:val="clear" w:color="auto" w:fill="auto"/>
          </w:tcPr>
          <w:p>
            <w:pPr>
              <w:spacing w:before="60" w:after="60" w:line="240" w:lineRule="auto"/>
              <w:rPr>
                <w:noProof/>
              </w:rPr>
            </w:pPr>
            <w:r>
              <w:rPr>
                <w:noProof/>
              </w:rPr>
              <w:t>9 %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35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7 %</w:t>
            </w:r>
          </w:p>
        </w:tc>
        <w:tc>
          <w:tcPr>
            <w:tcW w:w="400" w:type="pct"/>
            <w:shd w:val="clear" w:color="auto" w:fill="auto"/>
          </w:tcPr>
          <w:p>
            <w:pPr>
              <w:spacing w:before="60" w:after="60" w:line="240" w:lineRule="auto"/>
              <w:rPr>
                <w:noProof/>
              </w:rPr>
            </w:pPr>
            <w:r>
              <w:rPr>
                <w:noProof/>
              </w:rPr>
              <w:t>0 %</w:t>
            </w:r>
          </w:p>
        </w:tc>
      </w:tr>
    </w:tbl>
    <w:p>
      <w:pPr>
        <w:rPr>
          <w:noProof/>
        </w:rPr>
      </w:pPr>
    </w:p>
    <w:p>
      <w:pPr>
        <w:ind w:left="1134" w:hanging="567"/>
        <w:rPr>
          <w:noProof/>
        </w:rPr>
      </w:pPr>
      <w:r>
        <w:rPr>
          <w:noProof/>
        </w:rPr>
        <w:br w:type="page"/>
        <w:t>й)</w:t>
      </w:r>
      <w:r>
        <w:rPr>
          <w:noProof/>
        </w:rPr>
        <w:tab/>
        <w:t>митата върху стоките с произход, посочени в позициите от поетапна категория „B15“ в графика на Виетнам, отпадат на 16 равни годишни етапа, като се започне от датата на влизане в сила на настоящото споразумение; впоследствие тези стоки са освободени от всякакво мито;</w:t>
      </w:r>
    </w:p>
    <w:p>
      <w:pPr>
        <w:ind w:left="1134" w:hanging="567"/>
        <w:rPr>
          <w:noProof/>
        </w:rPr>
      </w:pPr>
    </w:p>
    <w:p>
      <w:pPr>
        <w:ind w:left="1134" w:hanging="567"/>
        <w:rPr>
          <w:noProof/>
        </w:rPr>
      </w:pPr>
      <w:r>
        <w:rPr>
          <w:noProof/>
        </w:rPr>
        <w:t>к)</w:t>
      </w:r>
      <w:r>
        <w:rPr>
          <w:noProof/>
        </w:rPr>
        <w:tab/>
        <w:t>адвалорният компонент на митата върху стоките с произход, посочени в позициите от поетапна категория „A+EP“ в графика на Съюза, се премахва от датата на влизане в сила на настоящото споразумение; премахването на митата се прилага само по отношение на адвалорното мито; специфичното мито, свързано с механизма на входните цени, прилаган от Съюза за определени плодове и зеленчуци в съответствие с Общата митническа тарифа и предвиден в Регламент за изпълнение (ЕС) № 543/2011 на Комисията от 7 юни 2011 г. за определяне на подробни правила за прилагането на Регламент (ЕО) № 1234/2007 на Съвета по отношение на секторите на плодовете и зеленчуците и на преработените плодове и зеленчуци</w:t>
      </w:r>
      <w:r>
        <w:rPr>
          <w:rStyle w:val="FootnoteReference"/>
          <w:noProof/>
        </w:rPr>
        <w:footnoteReference w:id="1"/>
      </w:r>
      <w:r>
        <w:rPr>
          <w:noProof/>
        </w:rPr>
        <w:t>, се запазва;</w:t>
      </w:r>
    </w:p>
    <w:p>
      <w:pPr>
        <w:rPr>
          <w:noProof/>
        </w:rPr>
      </w:pPr>
    </w:p>
    <w:p>
      <w:pPr>
        <w:ind w:left="1134" w:hanging="567"/>
        <w:rPr>
          <w:noProof/>
        </w:rPr>
      </w:pPr>
      <w:r>
        <w:rPr>
          <w:noProof/>
        </w:rPr>
        <w:br w:type="page"/>
        <w:t>л)</w:t>
      </w:r>
      <w:r>
        <w:rPr>
          <w:noProof/>
        </w:rPr>
        <w:tab/>
        <w:t>митата върху стоките с произход, посочени в позициите от поетапна категория „R75“ в графика на Съюза, се прилагат в съответствие с таблицата по-долу:</w:t>
      </w: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9"/>
        <w:gridCol w:w="2919"/>
      </w:tblGrid>
      <w:tr>
        <w:trPr>
          <w:trHeight w:val="227"/>
          <w:tblHeader/>
          <w:jc w:val="center"/>
        </w:trPr>
        <w:tc>
          <w:tcPr>
            <w:tcW w:w="2919" w:type="dxa"/>
            <w:shd w:val="clear" w:color="auto" w:fill="auto"/>
            <w:vAlign w:val="center"/>
          </w:tcPr>
          <w:p>
            <w:pPr>
              <w:spacing w:before="60" w:after="60" w:line="240" w:lineRule="auto"/>
              <w:jc w:val="center"/>
              <w:rPr>
                <w:noProof/>
              </w:rPr>
            </w:pPr>
            <w:r>
              <w:rPr>
                <w:noProof/>
              </w:rPr>
              <w:t>Година</w:t>
            </w:r>
          </w:p>
        </w:tc>
        <w:tc>
          <w:tcPr>
            <w:tcW w:w="2919" w:type="dxa"/>
            <w:shd w:val="clear" w:color="auto" w:fill="auto"/>
            <w:vAlign w:val="center"/>
          </w:tcPr>
          <w:p>
            <w:pPr>
              <w:spacing w:before="60" w:after="60" w:line="240" w:lineRule="auto"/>
              <w:jc w:val="center"/>
              <w:rPr>
                <w:noProof/>
              </w:rPr>
            </w:pPr>
            <w:r>
              <w:rPr>
                <w:noProof/>
              </w:rPr>
              <w:t>Мито</w:t>
            </w:r>
            <w:r>
              <w:rPr>
                <w:noProof/>
              </w:rPr>
              <w:br/>
              <w:t>(EUR/тон)</w:t>
            </w:r>
          </w:p>
        </w:tc>
      </w:tr>
      <w:tr>
        <w:trPr>
          <w:trHeight w:val="227"/>
          <w:jc w:val="center"/>
        </w:trPr>
        <w:tc>
          <w:tcPr>
            <w:tcW w:w="2919" w:type="dxa"/>
            <w:shd w:val="clear" w:color="auto" w:fill="auto"/>
          </w:tcPr>
          <w:p>
            <w:pPr>
              <w:spacing w:before="60" w:after="60" w:line="240" w:lineRule="auto"/>
              <w:rPr>
                <w:noProof/>
              </w:rPr>
            </w:pPr>
            <w:r>
              <w:rPr>
                <w:noProof/>
              </w:rPr>
              <w:t>2016</w:t>
            </w:r>
          </w:p>
        </w:tc>
        <w:tc>
          <w:tcPr>
            <w:tcW w:w="2919" w:type="dxa"/>
            <w:shd w:val="clear" w:color="auto" w:fill="auto"/>
          </w:tcPr>
          <w:p>
            <w:pPr>
              <w:spacing w:before="60" w:after="60" w:line="240" w:lineRule="auto"/>
              <w:rPr>
                <w:noProof/>
              </w:rPr>
            </w:pPr>
            <w:r>
              <w:rPr>
                <w:noProof/>
              </w:rPr>
              <w:t>120</w:t>
            </w:r>
          </w:p>
        </w:tc>
      </w:tr>
      <w:tr>
        <w:trPr>
          <w:trHeight w:val="227"/>
          <w:jc w:val="center"/>
        </w:trPr>
        <w:tc>
          <w:tcPr>
            <w:tcW w:w="2919" w:type="dxa"/>
            <w:shd w:val="clear" w:color="auto" w:fill="auto"/>
          </w:tcPr>
          <w:p>
            <w:pPr>
              <w:spacing w:before="60" w:after="60" w:line="240" w:lineRule="auto"/>
              <w:rPr>
                <w:noProof/>
              </w:rPr>
            </w:pPr>
            <w:r>
              <w:rPr>
                <w:noProof/>
              </w:rPr>
              <w:t>2017</w:t>
            </w:r>
          </w:p>
        </w:tc>
        <w:tc>
          <w:tcPr>
            <w:tcW w:w="2919" w:type="dxa"/>
            <w:shd w:val="clear" w:color="auto" w:fill="auto"/>
          </w:tcPr>
          <w:p>
            <w:pPr>
              <w:spacing w:before="60" w:after="60" w:line="240" w:lineRule="auto"/>
              <w:rPr>
                <w:noProof/>
              </w:rPr>
            </w:pPr>
            <w:r>
              <w:rPr>
                <w:noProof/>
              </w:rPr>
              <w:t>115</w:t>
            </w:r>
          </w:p>
        </w:tc>
      </w:tr>
      <w:tr>
        <w:trPr>
          <w:trHeight w:val="227"/>
          <w:jc w:val="center"/>
        </w:trPr>
        <w:tc>
          <w:tcPr>
            <w:tcW w:w="2919" w:type="dxa"/>
            <w:shd w:val="clear" w:color="auto" w:fill="auto"/>
          </w:tcPr>
          <w:p>
            <w:pPr>
              <w:spacing w:before="60" w:after="60" w:line="240" w:lineRule="auto"/>
              <w:rPr>
                <w:noProof/>
              </w:rPr>
            </w:pPr>
            <w:r>
              <w:rPr>
                <w:noProof/>
              </w:rPr>
              <w:t>2018</w:t>
            </w:r>
          </w:p>
        </w:tc>
        <w:tc>
          <w:tcPr>
            <w:tcW w:w="2919" w:type="dxa"/>
            <w:shd w:val="clear" w:color="auto" w:fill="auto"/>
          </w:tcPr>
          <w:p>
            <w:pPr>
              <w:spacing w:before="60" w:after="60" w:line="240" w:lineRule="auto"/>
              <w:rPr>
                <w:noProof/>
              </w:rPr>
            </w:pPr>
            <w:r>
              <w:rPr>
                <w:noProof/>
              </w:rPr>
              <w:t>110</w:t>
            </w:r>
          </w:p>
        </w:tc>
      </w:tr>
      <w:tr>
        <w:trPr>
          <w:trHeight w:val="227"/>
          <w:jc w:val="center"/>
        </w:trPr>
        <w:tc>
          <w:tcPr>
            <w:tcW w:w="2919" w:type="dxa"/>
            <w:shd w:val="clear" w:color="auto" w:fill="auto"/>
          </w:tcPr>
          <w:p>
            <w:pPr>
              <w:spacing w:before="60" w:after="60" w:line="240" w:lineRule="auto"/>
              <w:rPr>
                <w:noProof/>
              </w:rPr>
            </w:pPr>
            <w:r>
              <w:rPr>
                <w:noProof/>
              </w:rPr>
              <w:t>2019</w:t>
            </w:r>
          </w:p>
        </w:tc>
        <w:tc>
          <w:tcPr>
            <w:tcW w:w="2919" w:type="dxa"/>
            <w:shd w:val="clear" w:color="auto" w:fill="auto"/>
          </w:tcPr>
          <w:p>
            <w:pPr>
              <w:spacing w:before="60" w:after="60" w:line="240" w:lineRule="auto"/>
              <w:rPr>
                <w:noProof/>
              </w:rPr>
            </w:pPr>
            <w:r>
              <w:rPr>
                <w:noProof/>
              </w:rPr>
              <w:t>105</w:t>
            </w:r>
          </w:p>
        </w:tc>
      </w:tr>
      <w:tr>
        <w:trPr>
          <w:trHeight w:val="227"/>
          <w:jc w:val="center"/>
        </w:trPr>
        <w:tc>
          <w:tcPr>
            <w:tcW w:w="2919" w:type="dxa"/>
            <w:shd w:val="clear" w:color="auto" w:fill="auto"/>
          </w:tcPr>
          <w:p>
            <w:pPr>
              <w:spacing w:before="60" w:after="60" w:line="240" w:lineRule="auto"/>
              <w:rPr>
                <w:noProof/>
              </w:rPr>
            </w:pPr>
            <w:r>
              <w:rPr>
                <w:noProof/>
              </w:rPr>
              <w:t>2020</w:t>
            </w:r>
          </w:p>
        </w:tc>
        <w:tc>
          <w:tcPr>
            <w:tcW w:w="2919" w:type="dxa"/>
            <w:shd w:val="clear" w:color="auto" w:fill="auto"/>
          </w:tcPr>
          <w:p>
            <w:pPr>
              <w:spacing w:before="60" w:after="60" w:line="240" w:lineRule="auto"/>
              <w:rPr>
                <w:noProof/>
              </w:rPr>
            </w:pPr>
            <w:r>
              <w:rPr>
                <w:noProof/>
              </w:rPr>
              <w:t>100</w:t>
            </w:r>
          </w:p>
        </w:tc>
      </w:tr>
      <w:tr>
        <w:trPr>
          <w:trHeight w:val="227"/>
          <w:jc w:val="center"/>
        </w:trPr>
        <w:tc>
          <w:tcPr>
            <w:tcW w:w="2919" w:type="dxa"/>
            <w:shd w:val="clear" w:color="auto" w:fill="auto"/>
          </w:tcPr>
          <w:p>
            <w:pPr>
              <w:spacing w:before="60" w:after="60" w:line="240" w:lineRule="auto"/>
              <w:rPr>
                <w:noProof/>
              </w:rPr>
            </w:pPr>
            <w:r>
              <w:rPr>
                <w:noProof/>
              </w:rPr>
              <w:t>2021</w:t>
            </w:r>
          </w:p>
        </w:tc>
        <w:tc>
          <w:tcPr>
            <w:tcW w:w="2919" w:type="dxa"/>
            <w:shd w:val="clear" w:color="auto" w:fill="auto"/>
          </w:tcPr>
          <w:p>
            <w:pPr>
              <w:spacing w:before="60" w:after="60" w:line="240" w:lineRule="auto"/>
              <w:rPr>
                <w:noProof/>
              </w:rPr>
            </w:pPr>
            <w:r>
              <w:rPr>
                <w:noProof/>
              </w:rPr>
              <w:t>95</w:t>
            </w:r>
          </w:p>
        </w:tc>
      </w:tr>
      <w:tr>
        <w:trPr>
          <w:trHeight w:val="227"/>
          <w:jc w:val="center"/>
        </w:trPr>
        <w:tc>
          <w:tcPr>
            <w:tcW w:w="2919" w:type="dxa"/>
            <w:shd w:val="clear" w:color="auto" w:fill="auto"/>
          </w:tcPr>
          <w:p>
            <w:pPr>
              <w:spacing w:before="60" w:after="60" w:line="240" w:lineRule="auto"/>
              <w:rPr>
                <w:noProof/>
              </w:rPr>
            </w:pPr>
            <w:r>
              <w:rPr>
                <w:noProof/>
              </w:rPr>
              <w:t>2022</w:t>
            </w:r>
          </w:p>
        </w:tc>
        <w:tc>
          <w:tcPr>
            <w:tcW w:w="2919" w:type="dxa"/>
            <w:shd w:val="clear" w:color="auto" w:fill="auto"/>
          </w:tcPr>
          <w:p>
            <w:pPr>
              <w:spacing w:before="60" w:after="60" w:line="240" w:lineRule="auto"/>
              <w:rPr>
                <w:noProof/>
              </w:rPr>
            </w:pPr>
            <w:r>
              <w:rPr>
                <w:noProof/>
              </w:rPr>
              <w:t>90</w:t>
            </w:r>
          </w:p>
        </w:tc>
      </w:tr>
      <w:tr>
        <w:trPr>
          <w:trHeight w:val="227"/>
          <w:jc w:val="center"/>
        </w:trPr>
        <w:tc>
          <w:tcPr>
            <w:tcW w:w="2919" w:type="dxa"/>
            <w:shd w:val="clear" w:color="auto" w:fill="auto"/>
          </w:tcPr>
          <w:p>
            <w:pPr>
              <w:spacing w:before="60" w:after="60" w:line="240" w:lineRule="auto"/>
              <w:rPr>
                <w:noProof/>
              </w:rPr>
            </w:pPr>
            <w:r>
              <w:rPr>
                <w:noProof/>
              </w:rPr>
              <w:t>2023</w:t>
            </w:r>
          </w:p>
        </w:tc>
        <w:tc>
          <w:tcPr>
            <w:tcW w:w="2919" w:type="dxa"/>
            <w:shd w:val="clear" w:color="auto" w:fill="auto"/>
          </w:tcPr>
          <w:p>
            <w:pPr>
              <w:spacing w:before="60" w:after="60" w:line="240" w:lineRule="auto"/>
              <w:rPr>
                <w:noProof/>
              </w:rPr>
            </w:pPr>
            <w:r>
              <w:rPr>
                <w:noProof/>
              </w:rPr>
              <w:t>85</w:t>
            </w:r>
          </w:p>
        </w:tc>
      </w:tr>
      <w:tr>
        <w:trPr>
          <w:trHeight w:val="227"/>
          <w:jc w:val="center"/>
        </w:trPr>
        <w:tc>
          <w:tcPr>
            <w:tcW w:w="2919" w:type="dxa"/>
            <w:shd w:val="clear" w:color="auto" w:fill="auto"/>
          </w:tcPr>
          <w:p>
            <w:pPr>
              <w:spacing w:before="60" w:after="60" w:line="240" w:lineRule="auto"/>
              <w:rPr>
                <w:noProof/>
              </w:rPr>
            </w:pPr>
            <w:r>
              <w:rPr>
                <w:noProof/>
              </w:rPr>
              <w:t>2024</w:t>
            </w:r>
          </w:p>
        </w:tc>
        <w:tc>
          <w:tcPr>
            <w:tcW w:w="2919" w:type="dxa"/>
            <w:shd w:val="clear" w:color="auto" w:fill="auto"/>
          </w:tcPr>
          <w:p>
            <w:pPr>
              <w:spacing w:before="60" w:after="60" w:line="240" w:lineRule="auto"/>
              <w:rPr>
                <w:noProof/>
              </w:rPr>
            </w:pPr>
            <w:r>
              <w:rPr>
                <w:noProof/>
              </w:rPr>
              <w:t>80</w:t>
            </w:r>
          </w:p>
        </w:tc>
      </w:tr>
      <w:tr>
        <w:trPr>
          <w:trHeight w:val="227"/>
          <w:jc w:val="center"/>
        </w:trPr>
        <w:tc>
          <w:tcPr>
            <w:tcW w:w="2919" w:type="dxa"/>
            <w:shd w:val="clear" w:color="auto" w:fill="auto"/>
          </w:tcPr>
          <w:p>
            <w:pPr>
              <w:spacing w:before="60" w:after="60" w:line="240" w:lineRule="auto"/>
              <w:rPr>
                <w:noProof/>
              </w:rPr>
            </w:pPr>
            <w:r>
              <w:rPr>
                <w:noProof/>
              </w:rPr>
              <w:t>От 2025 г. нататък</w:t>
            </w:r>
          </w:p>
        </w:tc>
        <w:tc>
          <w:tcPr>
            <w:tcW w:w="2919" w:type="dxa"/>
            <w:shd w:val="clear" w:color="auto" w:fill="auto"/>
          </w:tcPr>
          <w:p>
            <w:pPr>
              <w:spacing w:before="60" w:after="60" w:line="240" w:lineRule="auto"/>
              <w:rPr>
                <w:noProof/>
              </w:rPr>
            </w:pPr>
            <w:r>
              <w:rPr>
                <w:noProof/>
              </w:rPr>
              <w:t>75</w:t>
            </w:r>
          </w:p>
        </w:tc>
      </w:tr>
    </w:tbl>
    <w:p>
      <w:pPr>
        <w:rPr>
          <w:noProof/>
        </w:rPr>
      </w:pPr>
    </w:p>
    <w:p>
      <w:pPr>
        <w:ind w:left="1134"/>
        <w:rPr>
          <w:noProof/>
        </w:rPr>
      </w:pPr>
      <w:r>
        <w:rPr>
          <w:noProof/>
        </w:rPr>
        <w:t>Преференциалните мита, посочени в таблицата по-горе, се прилагат от датата на влизане в сила на настоящото споразумение за съответната година и по-нататък; митата не могат да се намаляват с обратна сила;</w:t>
      </w:r>
    </w:p>
    <w:p>
      <w:pPr>
        <w:ind w:left="1134"/>
        <w:rPr>
          <w:noProof/>
        </w:rPr>
      </w:pPr>
    </w:p>
    <w:p>
      <w:pPr>
        <w:ind w:left="1134" w:hanging="567"/>
        <w:rPr>
          <w:noProof/>
        </w:rPr>
      </w:pPr>
      <w:r>
        <w:rPr>
          <w:noProof/>
        </w:rPr>
        <w:t>м)</w:t>
      </w:r>
      <w:r>
        <w:rPr>
          <w:noProof/>
        </w:rPr>
        <w:tab/>
        <w:t>тарифните линии от графика на Виетнам, при които в графите „Базова ставка“ и „Категория“ фигурира означението „CKD“, не са приложими.</w:t>
      </w:r>
    </w:p>
    <w:p>
      <w:pPr>
        <w:rPr>
          <w:noProof/>
        </w:rPr>
      </w:pPr>
    </w:p>
    <w:p>
      <w:pPr>
        <w:ind w:left="567" w:hanging="567"/>
        <w:rPr>
          <w:noProof/>
        </w:rPr>
      </w:pPr>
      <w:r>
        <w:rPr>
          <w:noProof/>
        </w:rPr>
        <w:br w:type="page"/>
        <w:t>2.</w:t>
      </w:r>
      <w:r>
        <w:rPr>
          <w:noProof/>
        </w:rPr>
        <w:tab/>
        <w:t>Базовата митническа ставка и поетапната категория при определяне на прилаганата на всеки етап от намаляването междинна митническа ставка за дадена позиция са посочени за съответната позиция в графика на всяка от страните.</w:t>
      </w:r>
    </w:p>
    <w:p>
      <w:pPr>
        <w:ind w:left="567" w:hanging="567"/>
        <w:rPr>
          <w:noProof/>
        </w:rPr>
      </w:pPr>
    </w:p>
    <w:p>
      <w:pPr>
        <w:ind w:left="567" w:hanging="567"/>
        <w:rPr>
          <w:noProof/>
        </w:rPr>
      </w:pPr>
      <w:r>
        <w:rPr>
          <w:noProof/>
        </w:rPr>
        <w:t>3.</w:t>
      </w:r>
      <w:r>
        <w:rPr>
          <w:noProof/>
        </w:rPr>
        <w:tab/>
        <w:t>Без да се засяга член 2.7 (Намаляване или премахване на митата), преференциалното мито на Съюза, прилагано по силата на настоящото споразумение, в никакъв случай не може да бъде по-високо от митата на Съюза, прилагани по отношение на стоките с произход от Виетнам в деня преди датата на влизане в сила на настоящото споразумение. Това задължение се прилага от същата дата до седмата година след влизането в сила.</w:t>
      </w:r>
    </w:p>
    <w:p>
      <w:pPr>
        <w:ind w:left="567" w:hanging="567"/>
        <w:rPr>
          <w:noProof/>
        </w:rPr>
      </w:pPr>
    </w:p>
    <w:p>
      <w:pPr>
        <w:ind w:left="567" w:hanging="567"/>
        <w:rPr>
          <w:noProof/>
        </w:rPr>
      </w:pPr>
      <w:r>
        <w:rPr>
          <w:noProof/>
        </w:rPr>
        <w:t>4.</w:t>
      </w:r>
      <w:r>
        <w:rPr>
          <w:noProof/>
        </w:rPr>
        <w:tab/>
        <w:t>Ставките на митата за междинните етапи се закръгляват надолу най-малко до най-близката десета част от процентния пункт или, ако ставката на митото е изразена в парични единици, най-малко до най-близката десета част от един евроцент в случая на Съюза.</w:t>
      </w:r>
    </w:p>
    <w:p>
      <w:pPr>
        <w:ind w:left="567" w:hanging="567"/>
        <w:rPr>
          <w:noProof/>
        </w:rPr>
      </w:pPr>
    </w:p>
    <w:p>
      <w:pPr>
        <w:ind w:left="567" w:hanging="567"/>
        <w:rPr>
          <w:noProof/>
        </w:rPr>
      </w:pPr>
      <w:r>
        <w:rPr>
          <w:noProof/>
        </w:rPr>
        <w:t>5.</w:t>
      </w:r>
      <w:r>
        <w:rPr>
          <w:noProof/>
        </w:rPr>
        <w:tab/>
        <w:t>За целите на настоящото приложение, включително на графиците за митата на страните в допълнения 2-А-1 (График за митата на Съюза) и 2-А-2 (График за митата на Виетнам), първото намаление поражда действие от датата на влизане в сила на настоящото споразумение. Всяко следващо годишно намаление поражда действие на 1 януари от съответната година след годината на влизане в сила в съответствие с предвиденото в член 17.16 (Влизане в сила).</w:t>
      </w:r>
    </w:p>
    <w:p>
      <w:pPr>
        <w:ind w:left="567" w:hanging="567"/>
        <w:rPr>
          <w:noProof/>
        </w:rPr>
      </w:pPr>
    </w:p>
    <w:p>
      <w:pPr>
        <w:ind w:left="567" w:hanging="567"/>
        <w:rPr>
          <w:noProof/>
        </w:rPr>
      </w:pPr>
      <w:r>
        <w:rPr>
          <w:noProof/>
        </w:rPr>
        <w:br w:type="page"/>
        <w:t>6.</w:t>
      </w:r>
      <w:r>
        <w:rPr>
          <w:noProof/>
        </w:rPr>
        <w:tab/>
        <w:t>Допълнения 2-А-1 (График за митата на Съюза) и 2-А-2 (График за митата на Виетнам) са неразделна част от настоящото приложение.</w:t>
      </w:r>
    </w:p>
    <w:p>
      <w:pPr>
        <w:ind w:left="567" w:hanging="567"/>
        <w:rPr>
          <w:noProof/>
        </w:rPr>
      </w:pPr>
    </w:p>
    <w:p>
      <w:pPr>
        <w:ind w:left="567" w:hanging="567"/>
        <w:rPr>
          <w:noProof/>
        </w:rPr>
      </w:pPr>
      <w:r>
        <w:rPr>
          <w:noProof/>
        </w:rPr>
        <w:t>7.</w:t>
      </w:r>
      <w:r>
        <w:rPr>
          <w:noProof/>
        </w:rPr>
        <w:tab/>
        <w:t>Определенията на понятията, включени в глава 2 (Национално третиране и достъп на стоки до пазара), се прилагат за настоящото приложение.</w:t>
      </w:r>
    </w:p>
    <w:p>
      <w:pPr>
        <w:rPr>
          <w:noProof/>
        </w:rPr>
      </w:pPr>
    </w:p>
    <w:p>
      <w:pPr>
        <w:rPr>
          <w:noProof/>
        </w:rPr>
      </w:pPr>
    </w:p>
    <w:p>
      <w:pPr>
        <w:jc w:val="center"/>
        <w:rPr>
          <w:noProof/>
        </w:rPr>
      </w:pPr>
      <w:r>
        <w:rPr>
          <w:noProof/>
        </w:rPr>
        <w:t>РАЗДЕЛ Б</w:t>
      </w:r>
    </w:p>
    <w:p>
      <w:pPr>
        <w:jc w:val="center"/>
        <w:rPr>
          <w:noProof/>
        </w:rPr>
      </w:pPr>
    </w:p>
    <w:p>
      <w:pPr>
        <w:jc w:val="center"/>
        <w:rPr>
          <w:noProof/>
        </w:rPr>
      </w:pPr>
      <w:r>
        <w:rPr>
          <w:noProof/>
        </w:rPr>
        <w:t>ТАРИФНИ КВОТИ</w:t>
      </w:r>
    </w:p>
    <w:p>
      <w:pPr>
        <w:jc w:val="center"/>
        <w:rPr>
          <w:noProof/>
        </w:rPr>
      </w:pPr>
    </w:p>
    <w:p>
      <w:pPr>
        <w:ind w:left="567" w:hanging="567"/>
        <w:rPr>
          <w:noProof/>
        </w:rPr>
      </w:pPr>
      <w:r>
        <w:rPr>
          <w:noProof/>
        </w:rPr>
        <w:t>1.</w:t>
      </w:r>
      <w:r>
        <w:rPr>
          <w:noProof/>
        </w:rPr>
        <w:tab/>
        <w:t>Във връзка с управлението през година 1 на всяка тарифна квота, установена съгласно настоящото споразумение, страните изчисляват обема на тарифната квота чрез приспадане на обема, съответстващ на периода между 1 януари и датата на влизане в сила на настоящото споразумение.</w:t>
      </w:r>
    </w:p>
    <w:p>
      <w:pPr>
        <w:rPr>
          <w:noProof/>
        </w:rPr>
      </w:pPr>
    </w:p>
    <w:p>
      <w:pPr>
        <w:rPr>
          <w:noProof/>
        </w:rPr>
      </w:pPr>
    </w:p>
    <w:p>
      <w:pPr>
        <w:jc w:val="center"/>
        <w:rPr>
          <w:noProof/>
        </w:rPr>
      </w:pPr>
      <w:r>
        <w:rPr>
          <w:noProof/>
        </w:rPr>
        <w:br w:type="page"/>
        <w:t>ПОДРАЗДЕЛ 1</w:t>
      </w:r>
    </w:p>
    <w:p>
      <w:pPr>
        <w:jc w:val="center"/>
        <w:rPr>
          <w:noProof/>
        </w:rPr>
      </w:pPr>
    </w:p>
    <w:p>
      <w:pPr>
        <w:jc w:val="center"/>
        <w:rPr>
          <w:noProof/>
        </w:rPr>
      </w:pPr>
      <w:r>
        <w:rPr>
          <w:noProof/>
        </w:rPr>
        <w:t>ТАРИФНИ КВОТИ НА СЪЮЗА</w:t>
      </w:r>
    </w:p>
    <w:p>
      <w:pPr>
        <w:jc w:val="center"/>
        <w:rPr>
          <w:noProof/>
        </w:rPr>
      </w:pPr>
    </w:p>
    <w:p>
      <w:pPr>
        <w:ind w:left="567" w:hanging="567"/>
        <w:rPr>
          <w:noProof/>
        </w:rPr>
      </w:pPr>
      <w:r>
        <w:rPr>
          <w:noProof/>
        </w:rPr>
        <w:t>1.</w:t>
      </w:r>
      <w:r>
        <w:rPr>
          <w:noProof/>
        </w:rPr>
        <w:tab/>
        <w:t>Съюзът управлява своите тарифни квоти в съответствие с вътрешната си нормативна уредба, която улеснява търговията между страните с оглед усвояване в максимална степен на предвидените количества в рамките на отделните тарифни квоти.</w:t>
      </w:r>
    </w:p>
    <w:p>
      <w:pPr>
        <w:rPr>
          <w:noProof/>
        </w:rPr>
      </w:pPr>
    </w:p>
    <w:p>
      <w:pPr>
        <w:rPr>
          <w:noProof/>
        </w:rPr>
      </w:pPr>
      <w:r>
        <w:rPr>
          <w:noProof/>
        </w:rPr>
        <w:t>Тарифна квота за птичи яйца и яйчни жълтъци</w:t>
      </w:r>
    </w:p>
    <w:p>
      <w:pPr>
        <w:rPr>
          <w:noProof/>
        </w:rPr>
      </w:pPr>
    </w:p>
    <w:p>
      <w:pPr>
        <w:ind w:left="567" w:hanging="567"/>
        <w:rPr>
          <w:noProof/>
        </w:rPr>
      </w:pPr>
      <w:r>
        <w:rPr>
          <w:noProof/>
        </w:rPr>
        <w:t>2.</w:t>
      </w:r>
      <w:r>
        <w:rPr>
          <w:noProof/>
        </w:rPr>
        <w:tab/>
        <w:t>Стоките с произход, класирани в тарифни линии 0408.11.80, 0408.19.81, 0408.19.89, 0408.91.80 и 0408.99.80 в графика на Съюза, се освобождават от мита в рамките на съвкупно годишно количество от 500 метрични тона.</w:t>
      </w:r>
    </w:p>
    <w:p>
      <w:pPr>
        <w:rPr>
          <w:noProof/>
        </w:rPr>
      </w:pPr>
    </w:p>
    <w:p>
      <w:pPr>
        <w:rPr>
          <w:noProof/>
        </w:rPr>
      </w:pPr>
      <w:r>
        <w:rPr>
          <w:noProof/>
        </w:rPr>
        <w:t>Чесън</w:t>
      </w:r>
    </w:p>
    <w:p>
      <w:pPr>
        <w:rPr>
          <w:noProof/>
        </w:rPr>
      </w:pPr>
    </w:p>
    <w:p>
      <w:pPr>
        <w:ind w:left="567" w:hanging="567"/>
        <w:rPr>
          <w:noProof/>
        </w:rPr>
      </w:pPr>
      <w:r>
        <w:rPr>
          <w:noProof/>
        </w:rPr>
        <w:t>3.</w:t>
      </w:r>
      <w:r>
        <w:rPr>
          <w:noProof/>
        </w:rPr>
        <w:tab/>
        <w:t>Стоките с произход, класирани в тарифна линия 0703.20.00 в графика на Съюза, се освобождават от мита в рамките на съвкупно годишно количество от 400 метрични тона.</w:t>
      </w:r>
    </w:p>
    <w:p>
      <w:pPr>
        <w:rPr>
          <w:noProof/>
        </w:rPr>
      </w:pPr>
    </w:p>
    <w:p>
      <w:pPr>
        <w:rPr>
          <w:noProof/>
        </w:rPr>
      </w:pPr>
      <w:r>
        <w:rPr>
          <w:noProof/>
        </w:rPr>
        <w:br w:type="page"/>
        <w:t>Сладка царевица</w:t>
      </w:r>
    </w:p>
    <w:p>
      <w:pPr>
        <w:rPr>
          <w:noProof/>
        </w:rPr>
      </w:pPr>
    </w:p>
    <w:p>
      <w:pPr>
        <w:ind w:left="567" w:hanging="567"/>
        <w:rPr>
          <w:noProof/>
        </w:rPr>
      </w:pPr>
      <w:r>
        <w:rPr>
          <w:noProof/>
        </w:rPr>
        <w:t>4.</w:t>
      </w:r>
      <w:r>
        <w:rPr>
          <w:noProof/>
        </w:rPr>
        <w:tab/>
        <w:t>Стоките с произход, класирани в тарифни линии 0710.40.00A, 2001.90.30A и 2005.80.00A в графика на Съюза, се освобождават от мита в рамките на съвкупно годишно количество от 5000 метрични тона.</w:t>
      </w:r>
    </w:p>
    <w:p>
      <w:pPr>
        <w:rPr>
          <w:noProof/>
        </w:rPr>
      </w:pPr>
    </w:p>
    <w:p>
      <w:pPr>
        <w:ind w:left="567"/>
        <w:rPr>
          <w:noProof/>
        </w:rPr>
      </w:pPr>
      <w:r>
        <w:rPr>
          <w:noProof/>
        </w:rPr>
        <w:t>Съвкупното количество на стоките с произход, класирани в тарифни линии 0710.40.00B, 2001.90.30B и 2005.80.00B в графика на Съюза, не се включва в количеството в рамките на тарифната квота.</w:t>
      </w:r>
    </w:p>
    <w:p>
      <w:pPr>
        <w:rPr>
          <w:noProof/>
        </w:rPr>
      </w:pPr>
    </w:p>
    <w:p>
      <w:pPr>
        <w:rPr>
          <w:noProof/>
        </w:rPr>
      </w:pPr>
      <w:r>
        <w:rPr>
          <w:noProof/>
        </w:rPr>
        <w:t>Ориз</w:t>
      </w:r>
    </w:p>
    <w:p>
      <w:pPr>
        <w:rPr>
          <w:noProof/>
        </w:rPr>
      </w:pPr>
    </w:p>
    <w:p>
      <w:pPr>
        <w:ind w:left="567" w:hanging="567"/>
        <w:rPr>
          <w:noProof/>
        </w:rPr>
      </w:pPr>
      <w:r>
        <w:rPr>
          <w:noProof/>
        </w:rPr>
        <w:t>5.</w:t>
      </w:r>
      <w:r>
        <w:rPr>
          <w:noProof/>
        </w:rPr>
        <w:tab/>
        <w:t>Стоките с произход, класирани в следните тарифни линии в графика на Съюза, се освобождават от мита в рамките на съвкупно годишно количество от 20 000 метрични тона, изразено в еквивалент на олющен ориз: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9"/>
        <w:gridCol w:w="1729"/>
        <w:gridCol w:w="1729"/>
        <w:gridCol w:w="1729"/>
      </w:tblGrid>
      <w:tr>
        <w:trPr>
          <w:trHeight w:val="227"/>
          <w:jc w:val="center"/>
        </w:trPr>
        <w:tc>
          <w:tcPr>
            <w:tcW w:w="1729" w:type="dxa"/>
            <w:shd w:val="clear" w:color="auto" w:fill="auto"/>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tc>
        <w:tc>
          <w:tcPr>
            <w:tcW w:w="1729" w:type="dxa"/>
            <w:shd w:val="clear" w:color="auto" w:fill="auto"/>
          </w:tcPr>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9" w:type="dxa"/>
            <w:shd w:val="clear" w:color="auto" w:fill="auto"/>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tc>
        <w:tc>
          <w:tcPr>
            <w:tcW w:w="1729" w:type="dxa"/>
          </w:tcPr>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r>
    </w:tbl>
    <w:p>
      <w:pPr>
        <w:rPr>
          <w:noProof/>
        </w:rPr>
      </w:pPr>
    </w:p>
    <w:p>
      <w:pPr>
        <w:ind w:left="567" w:hanging="567"/>
        <w:rPr>
          <w:noProof/>
        </w:rPr>
      </w:pPr>
      <w:r>
        <w:rPr>
          <w:noProof/>
        </w:rPr>
        <w:br w:type="page"/>
        <w:t>6.</w:t>
      </w:r>
      <w:r>
        <w:rPr>
          <w:noProof/>
        </w:rPr>
        <w:tab/>
        <w:t>Стоките с произход, класирани в следните тарифни линии в графика на Съюза, се освобождават от мита в рамките на съвкупно годишно количество от 30 000 метрични тона, изразено в еквивалент на бланширан ориз:</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5"/>
        <w:gridCol w:w="1715"/>
        <w:gridCol w:w="1715"/>
        <w:gridCol w:w="1715"/>
      </w:tblGrid>
      <w:tr>
        <w:trPr>
          <w:cantSplit/>
          <w:trHeight w:val="1393"/>
          <w:jc w:val="center"/>
        </w:trPr>
        <w:tc>
          <w:tcPr>
            <w:tcW w:w="1715" w:type="dxa"/>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tc>
        <w:tc>
          <w:tcPr>
            <w:tcW w:w="1715" w:type="dxa"/>
            <w:vAlign w:val="center"/>
          </w:tcPr>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15" w:type="dxa"/>
            <w:shd w:val="clear" w:color="auto" w:fill="auto"/>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1006.30.98</w:t>
            </w:r>
          </w:p>
        </w:tc>
        <w:tc>
          <w:tcPr>
            <w:tcW w:w="1715" w:type="dxa"/>
            <w:shd w:val="clear" w:color="auto" w:fill="auto"/>
            <w:vAlign w:val="center"/>
          </w:tcPr>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tc>
      </w:tr>
    </w:tbl>
    <w:p>
      <w:pPr>
        <w:rPr>
          <w:noProof/>
        </w:rPr>
      </w:pPr>
    </w:p>
    <w:p>
      <w:pPr>
        <w:ind w:left="567" w:hanging="567"/>
        <w:rPr>
          <w:noProof/>
        </w:rPr>
      </w:pPr>
      <w:r>
        <w:rPr>
          <w:noProof/>
        </w:rPr>
        <w:t>7.</w:t>
      </w:r>
      <w:r>
        <w:rPr>
          <w:noProof/>
        </w:rPr>
        <w:tab/>
        <w:t>Стоките с произход, класирани в следните тарифни линии в графика на Съюза, се освобождават от мита в рамките на съвкупно годишно количество от 30 000 метрични тона, изразено в еквивалент на бланширан ориз:</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723"/>
        <w:gridCol w:w="1723"/>
        <w:gridCol w:w="1723"/>
      </w:tblGrid>
      <w:tr>
        <w:trPr>
          <w:trHeight w:val="2844"/>
          <w:jc w:val="center"/>
        </w:trPr>
        <w:tc>
          <w:tcPr>
            <w:tcW w:w="1723" w:type="dxa"/>
            <w:shd w:val="clear" w:color="auto" w:fill="auto"/>
            <w:vAlign w:val="center"/>
          </w:tcPr>
          <w:p>
            <w:pPr>
              <w:spacing w:before="60" w:after="60" w:line="240" w:lineRule="auto"/>
              <w:rPr>
                <w:noProof/>
              </w:rPr>
            </w:pPr>
            <w:r>
              <w:rPr>
                <w:noProof/>
              </w:rPr>
              <w:t>1006.10.21</w:t>
            </w:r>
          </w:p>
          <w:p>
            <w:pPr>
              <w:spacing w:before="60" w:after="60" w:line="240" w:lineRule="auto"/>
              <w:rPr>
                <w:noProof/>
              </w:rPr>
            </w:pPr>
            <w:r>
              <w:rPr>
                <w:noProof/>
              </w:rPr>
              <w:t>1006.10.23</w:t>
            </w:r>
          </w:p>
          <w:p>
            <w:pPr>
              <w:spacing w:before="60" w:after="60" w:line="240" w:lineRule="auto"/>
              <w:rPr>
                <w:noProof/>
              </w:rPr>
            </w:pPr>
            <w:r>
              <w:rPr>
                <w:noProof/>
              </w:rPr>
              <w:t>1006.10.25</w:t>
            </w:r>
          </w:p>
          <w:p>
            <w:pPr>
              <w:spacing w:before="60" w:after="60" w:line="240" w:lineRule="auto"/>
              <w:rPr>
                <w:noProof/>
              </w:rPr>
            </w:pPr>
            <w:r>
              <w:rPr>
                <w:noProof/>
              </w:rPr>
              <w:t>1006.10.27</w:t>
            </w:r>
          </w:p>
          <w:p>
            <w:pPr>
              <w:spacing w:before="60" w:after="60" w:line="240" w:lineRule="auto"/>
              <w:rPr>
                <w:noProof/>
              </w:rPr>
            </w:pPr>
            <w:r>
              <w:rPr>
                <w:noProof/>
              </w:rPr>
              <w:t>1006.10.92</w:t>
            </w:r>
          </w:p>
          <w:p>
            <w:pPr>
              <w:spacing w:before="60" w:after="60" w:line="240" w:lineRule="auto"/>
              <w:rPr>
                <w:noProof/>
              </w:rPr>
            </w:pPr>
            <w:r>
              <w:rPr>
                <w:noProof/>
              </w:rPr>
              <w:t>1006.10.94</w:t>
            </w:r>
          </w:p>
          <w:p>
            <w:pPr>
              <w:spacing w:before="60" w:after="60" w:line="240" w:lineRule="auto"/>
              <w:rPr>
                <w:noProof/>
              </w:rPr>
            </w:pPr>
            <w:r>
              <w:rPr>
                <w:noProof/>
              </w:rPr>
              <w:t>1006.10.96</w:t>
            </w:r>
          </w:p>
          <w:p>
            <w:pPr>
              <w:spacing w:before="60" w:after="60" w:line="240" w:lineRule="auto"/>
              <w:rPr>
                <w:noProof/>
              </w:rPr>
            </w:pPr>
            <w:r>
              <w:rPr>
                <w:noProof/>
              </w:rPr>
              <w:t>1006.10.98</w:t>
            </w:r>
          </w:p>
        </w:tc>
        <w:tc>
          <w:tcPr>
            <w:tcW w:w="1723" w:type="dxa"/>
            <w:shd w:val="clear" w:color="auto" w:fill="auto"/>
            <w:vAlign w:val="center"/>
          </w:tcPr>
          <w:p>
            <w:pPr>
              <w:spacing w:before="60" w:after="60" w:line="240" w:lineRule="auto"/>
              <w:rPr>
                <w:noProof/>
              </w:rPr>
            </w:pPr>
            <w:r>
              <w:rPr>
                <w:noProof/>
              </w:rPr>
              <w:t>1006.20.11</w:t>
            </w:r>
          </w:p>
          <w:p>
            <w:pPr>
              <w:spacing w:before="60" w:after="60" w:line="240" w:lineRule="auto"/>
              <w:rPr>
                <w:noProof/>
              </w:rPr>
            </w:pPr>
            <w:r>
              <w:rPr>
                <w:noProof/>
              </w:rPr>
              <w:t>1006.20.13</w:t>
            </w:r>
          </w:p>
          <w:p>
            <w:pPr>
              <w:spacing w:before="60" w:after="60" w:line="240" w:lineRule="auto"/>
              <w:rPr>
                <w:noProof/>
              </w:rPr>
            </w:pPr>
            <w:r>
              <w:rPr>
                <w:noProof/>
              </w:rPr>
              <w:t>1006.20.15</w:t>
            </w:r>
          </w:p>
          <w:p>
            <w:pPr>
              <w:spacing w:before="60" w:after="60" w:line="240" w:lineRule="auto"/>
              <w:rPr>
                <w:noProof/>
              </w:rPr>
            </w:pPr>
            <w:r>
              <w:rPr>
                <w:noProof/>
              </w:rPr>
              <w:t>1006.20.17</w:t>
            </w:r>
          </w:p>
          <w:p>
            <w:pPr>
              <w:spacing w:before="60" w:after="60" w:line="240" w:lineRule="auto"/>
              <w:rPr>
                <w:noProof/>
              </w:rPr>
            </w:pPr>
            <w:r>
              <w:rPr>
                <w:noProof/>
              </w:rPr>
              <w:t>1006.20.92</w:t>
            </w:r>
          </w:p>
          <w:p>
            <w:pPr>
              <w:spacing w:before="60" w:after="60" w:line="240" w:lineRule="auto"/>
              <w:rPr>
                <w:noProof/>
              </w:rPr>
            </w:pPr>
            <w:r>
              <w:rPr>
                <w:noProof/>
              </w:rPr>
              <w:t>1006.20.94</w:t>
            </w:r>
          </w:p>
          <w:p>
            <w:pPr>
              <w:spacing w:before="60" w:after="60" w:line="240" w:lineRule="auto"/>
              <w:rPr>
                <w:noProof/>
              </w:rPr>
            </w:pPr>
            <w:r>
              <w:rPr>
                <w:noProof/>
              </w:rPr>
              <w:t>1006.20.96</w:t>
            </w:r>
          </w:p>
          <w:p>
            <w:pPr>
              <w:spacing w:before="60" w:after="60" w:line="240" w:lineRule="auto"/>
              <w:rPr>
                <w:noProof/>
              </w:rPr>
            </w:pPr>
            <w:r>
              <w:rPr>
                <w:noProof/>
              </w:rPr>
              <w:t>1006.20.98</w:t>
            </w:r>
          </w:p>
        </w:tc>
        <w:tc>
          <w:tcPr>
            <w:tcW w:w="1723" w:type="dxa"/>
            <w:shd w:val="clear" w:color="auto" w:fill="auto"/>
            <w:vAlign w:val="center"/>
          </w:tcPr>
          <w:p>
            <w:pPr>
              <w:spacing w:before="60" w:after="60" w:line="240" w:lineRule="auto"/>
              <w:rPr>
                <w:noProof/>
              </w:rPr>
            </w:pPr>
            <w:r>
              <w:rPr>
                <w:noProof/>
              </w:rPr>
              <w:t>1006.30.21</w:t>
            </w:r>
          </w:p>
          <w:p>
            <w:pPr>
              <w:spacing w:before="60" w:after="60" w:line="240" w:lineRule="auto"/>
              <w:rPr>
                <w:noProof/>
              </w:rPr>
            </w:pPr>
            <w:r>
              <w:rPr>
                <w:noProof/>
              </w:rPr>
              <w:t>1006.30.23</w:t>
            </w:r>
          </w:p>
          <w:p>
            <w:pPr>
              <w:spacing w:before="60" w:after="60" w:line="240" w:lineRule="auto"/>
              <w:rPr>
                <w:noProof/>
              </w:rPr>
            </w:pPr>
            <w:r>
              <w:rPr>
                <w:noProof/>
              </w:rPr>
              <w:t>1006.30.25</w:t>
            </w:r>
          </w:p>
          <w:p>
            <w:pPr>
              <w:spacing w:before="60" w:after="60" w:line="240" w:lineRule="auto"/>
              <w:rPr>
                <w:noProof/>
              </w:rPr>
            </w:pPr>
            <w:r>
              <w:rPr>
                <w:noProof/>
              </w:rPr>
              <w:t>1006.30.27</w:t>
            </w:r>
          </w:p>
          <w:p>
            <w:pPr>
              <w:spacing w:before="60" w:after="60" w:line="240" w:lineRule="auto"/>
              <w:rPr>
                <w:noProof/>
              </w:rPr>
            </w:pPr>
            <w:r>
              <w:rPr>
                <w:noProof/>
              </w:rPr>
              <w:t>1006.30.42</w:t>
            </w:r>
          </w:p>
          <w:p>
            <w:pPr>
              <w:spacing w:before="60" w:after="60" w:line="240" w:lineRule="auto"/>
              <w:rPr>
                <w:noProof/>
              </w:rPr>
            </w:pPr>
            <w:r>
              <w:rPr>
                <w:noProof/>
              </w:rPr>
              <w:t>1006.30.44</w:t>
            </w:r>
          </w:p>
          <w:p>
            <w:pPr>
              <w:spacing w:before="60" w:after="60" w:line="240" w:lineRule="auto"/>
              <w:rPr>
                <w:noProof/>
              </w:rPr>
            </w:pPr>
            <w:r>
              <w:rPr>
                <w:noProof/>
              </w:rPr>
              <w:t>1006.30.46</w:t>
            </w:r>
          </w:p>
          <w:p>
            <w:pPr>
              <w:spacing w:before="60" w:after="60" w:line="240" w:lineRule="auto"/>
              <w:rPr>
                <w:noProof/>
              </w:rPr>
            </w:pPr>
            <w:r>
              <w:rPr>
                <w:noProof/>
              </w:rPr>
              <w:t>1006.30.48</w:t>
            </w:r>
          </w:p>
        </w:tc>
        <w:tc>
          <w:tcPr>
            <w:tcW w:w="1723" w:type="dxa"/>
            <w:vAlign w:val="center"/>
          </w:tcPr>
          <w:p>
            <w:pPr>
              <w:spacing w:before="60" w:after="60" w:line="240" w:lineRule="auto"/>
              <w:rPr>
                <w:noProof/>
              </w:rPr>
            </w:pPr>
            <w:r>
              <w:rPr>
                <w:noProof/>
              </w:rPr>
              <w:t>1006.30.61</w:t>
            </w:r>
          </w:p>
          <w:p>
            <w:pPr>
              <w:spacing w:before="60" w:after="60" w:line="240" w:lineRule="auto"/>
              <w:rPr>
                <w:noProof/>
              </w:rPr>
            </w:pPr>
            <w:r>
              <w:rPr>
                <w:noProof/>
              </w:rPr>
              <w:t>1006.30.63</w:t>
            </w:r>
          </w:p>
          <w:p>
            <w:pPr>
              <w:spacing w:before="60" w:after="60" w:line="240" w:lineRule="auto"/>
              <w:rPr>
                <w:noProof/>
              </w:rPr>
            </w:pPr>
            <w:r>
              <w:rPr>
                <w:noProof/>
              </w:rPr>
              <w:t>1006.30.65</w:t>
            </w:r>
          </w:p>
          <w:p>
            <w:pPr>
              <w:spacing w:before="60" w:after="60" w:line="240" w:lineRule="auto"/>
              <w:rPr>
                <w:noProof/>
              </w:rPr>
            </w:pPr>
            <w:r>
              <w:rPr>
                <w:noProof/>
              </w:rPr>
              <w:t>1006.30.67</w:t>
            </w:r>
          </w:p>
          <w:p>
            <w:pPr>
              <w:spacing w:before="60" w:after="60" w:line="240" w:lineRule="auto"/>
              <w:rPr>
                <w:noProof/>
              </w:rPr>
            </w:pPr>
            <w:r>
              <w:rPr>
                <w:noProof/>
              </w:rPr>
              <w:t>1006.30.92</w:t>
            </w:r>
          </w:p>
          <w:p>
            <w:pPr>
              <w:spacing w:before="60" w:after="60" w:line="240" w:lineRule="auto"/>
              <w:rPr>
                <w:noProof/>
              </w:rPr>
            </w:pPr>
            <w:r>
              <w:rPr>
                <w:noProof/>
              </w:rPr>
              <w:t>1006.30.94</w:t>
            </w:r>
          </w:p>
          <w:p>
            <w:pPr>
              <w:spacing w:before="60" w:after="60" w:line="240" w:lineRule="auto"/>
              <w:rPr>
                <w:noProof/>
              </w:rPr>
            </w:pPr>
            <w:r>
              <w:rPr>
                <w:noProof/>
              </w:rPr>
              <w:t>1006.30.96</w:t>
            </w:r>
          </w:p>
          <w:p>
            <w:pPr>
              <w:spacing w:before="60" w:after="60" w:line="240" w:lineRule="auto"/>
              <w:rPr>
                <w:noProof/>
              </w:rPr>
            </w:pPr>
            <w:r>
              <w:rPr>
                <w:noProof/>
              </w:rPr>
              <w:t>1006.30.98</w:t>
            </w:r>
          </w:p>
        </w:tc>
      </w:tr>
    </w:tbl>
    <w:p>
      <w:pPr>
        <w:rPr>
          <w:noProof/>
        </w:rPr>
      </w:pPr>
    </w:p>
    <w:p>
      <w:pPr>
        <w:ind w:left="567" w:hanging="567"/>
        <w:rPr>
          <w:noProof/>
        </w:rPr>
      </w:pPr>
      <w:r>
        <w:rPr>
          <w:noProof/>
        </w:rPr>
        <w:br w:type="page"/>
        <w:t>8.</w:t>
      </w:r>
      <w:r>
        <w:rPr>
          <w:noProof/>
        </w:rPr>
        <w:tab/>
        <w:t>За да отговаря на условията за безмитен внос в рамките на квотата, предвидена в точка 7, оризът трябва да спада към един от следните сортове ароматен ориз:</w:t>
      </w:r>
    </w:p>
    <w:p>
      <w:pPr>
        <w:ind w:left="1134" w:hanging="567"/>
        <w:rPr>
          <w:noProof/>
        </w:rPr>
      </w:pPr>
    </w:p>
    <w:p>
      <w:pPr>
        <w:ind w:left="1134" w:hanging="567"/>
        <w:rPr>
          <w:noProof/>
        </w:rPr>
      </w:pPr>
      <w:r>
        <w:rPr>
          <w:noProof/>
        </w:rPr>
        <w:t>а)</w:t>
      </w:r>
      <w:r>
        <w:rPr>
          <w:noProof/>
        </w:rPr>
        <w:tab/>
        <w:t>Жасмин 85,</w:t>
      </w:r>
    </w:p>
    <w:p>
      <w:pPr>
        <w:ind w:left="1134" w:hanging="567"/>
        <w:rPr>
          <w:noProof/>
        </w:rPr>
      </w:pPr>
    </w:p>
    <w:p>
      <w:pPr>
        <w:ind w:left="1134" w:hanging="567"/>
        <w:rPr>
          <w:noProof/>
        </w:rPr>
      </w:pPr>
      <w:r>
        <w:rPr>
          <w:noProof/>
        </w:rPr>
        <w:t>б)</w:t>
      </w:r>
      <w:r>
        <w:rPr>
          <w:noProof/>
        </w:rPr>
        <w:tab/>
        <w:t>ST 5, ST 20,</w:t>
      </w:r>
    </w:p>
    <w:p>
      <w:pPr>
        <w:ind w:left="1134" w:hanging="567"/>
        <w:rPr>
          <w:noProof/>
        </w:rPr>
      </w:pPr>
    </w:p>
    <w:p>
      <w:pPr>
        <w:ind w:left="1134" w:hanging="567"/>
        <w:rPr>
          <w:noProof/>
        </w:rPr>
      </w:pPr>
      <w:r>
        <w:rPr>
          <w:noProof/>
        </w:rPr>
        <w:t>в)</w:t>
      </w:r>
      <w:r>
        <w:rPr>
          <w:noProof/>
        </w:rPr>
        <w:tab/>
        <w:t>Nang Hoa 9 (NàngHoa 9),</w:t>
      </w:r>
    </w:p>
    <w:p>
      <w:pPr>
        <w:ind w:left="1134" w:hanging="567"/>
        <w:rPr>
          <w:noProof/>
        </w:rPr>
      </w:pPr>
    </w:p>
    <w:p>
      <w:pPr>
        <w:ind w:left="1134" w:hanging="567"/>
        <w:rPr>
          <w:noProof/>
        </w:rPr>
      </w:pPr>
      <w:r>
        <w:rPr>
          <w:noProof/>
        </w:rPr>
        <w:t>г)</w:t>
      </w:r>
      <w:r>
        <w:rPr>
          <w:noProof/>
        </w:rPr>
        <w:tab/>
        <w:t>VD 20,</w:t>
      </w:r>
    </w:p>
    <w:p>
      <w:pPr>
        <w:ind w:left="1134" w:hanging="567"/>
        <w:rPr>
          <w:noProof/>
        </w:rPr>
      </w:pPr>
    </w:p>
    <w:p>
      <w:pPr>
        <w:ind w:left="1134" w:hanging="567"/>
        <w:rPr>
          <w:noProof/>
        </w:rPr>
      </w:pPr>
      <w:r>
        <w:rPr>
          <w:noProof/>
        </w:rPr>
        <w:t>д)</w:t>
      </w:r>
      <w:r>
        <w:rPr>
          <w:noProof/>
        </w:rPr>
        <w:tab/>
        <w:t>RVT,</w:t>
      </w:r>
    </w:p>
    <w:p>
      <w:pPr>
        <w:ind w:left="1134" w:hanging="567"/>
        <w:rPr>
          <w:noProof/>
        </w:rPr>
      </w:pPr>
    </w:p>
    <w:p>
      <w:pPr>
        <w:ind w:left="1134" w:hanging="567"/>
        <w:rPr>
          <w:noProof/>
        </w:rPr>
      </w:pPr>
      <w:r>
        <w:rPr>
          <w:noProof/>
        </w:rPr>
        <w:t>е)</w:t>
      </w:r>
      <w:r>
        <w:rPr>
          <w:noProof/>
        </w:rPr>
        <w:tab/>
        <w:t>OM 4900,</w:t>
      </w:r>
    </w:p>
    <w:p>
      <w:pPr>
        <w:ind w:left="1134" w:hanging="567"/>
        <w:rPr>
          <w:noProof/>
        </w:rPr>
      </w:pPr>
    </w:p>
    <w:p>
      <w:pPr>
        <w:ind w:left="1134" w:hanging="567"/>
        <w:rPr>
          <w:noProof/>
        </w:rPr>
      </w:pPr>
      <w:r>
        <w:rPr>
          <w:noProof/>
        </w:rPr>
        <w:t>ж)</w:t>
      </w:r>
      <w:r>
        <w:rPr>
          <w:noProof/>
        </w:rPr>
        <w:tab/>
        <w:t>OM 5451, и</w:t>
      </w:r>
    </w:p>
    <w:p>
      <w:pPr>
        <w:ind w:left="1134" w:hanging="567"/>
        <w:rPr>
          <w:noProof/>
        </w:rPr>
      </w:pPr>
    </w:p>
    <w:p>
      <w:pPr>
        <w:ind w:left="1134" w:hanging="567"/>
        <w:rPr>
          <w:noProof/>
        </w:rPr>
      </w:pPr>
      <w:r>
        <w:rPr>
          <w:noProof/>
        </w:rPr>
        <w:t>з)</w:t>
      </w:r>
      <w:r>
        <w:rPr>
          <w:noProof/>
        </w:rPr>
        <w:tab/>
        <w:t>Tai nguyen Cho Dao (Tàinguyên Chợ Đào).</w:t>
      </w:r>
    </w:p>
    <w:p>
      <w:pPr>
        <w:rPr>
          <w:noProof/>
        </w:rPr>
      </w:pPr>
    </w:p>
    <w:p>
      <w:pPr>
        <w:ind w:left="567" w:hanging="567"/>
        <w:rPr>
          <w:noProof/>
        </w:rPr>
      </w:pPr>
      <w:r>
        <w:rPr>
          <w:noProof/>
        </w:rPr>
        <w:t>9.</w:t>
      </w:r>
      <w:r>
        <w:rPr>
          <w:noProof/>
        </w:rPr>
        <w:tab/>
        <w:t>Списъкът на сортовете ориз в точка 8 може да бъде изменян с решение на Комитета по търговия в съответствие с член 17.5 („Изменения“), параграф 2.</w:t>
      </w:r>
    </w:p>
    <w:p>
      <w:pPr>
        <w:rPr>
          <w:noProof/>
        </w:rPr>
      </w:pPr>
    </w:p>
    <w:p>
      <w:pPr>
        <w:ind w:left="567" w:hanging="567"/>
        <w:rPr>
          <w:noProof/>
        </w:rPr>
      </w:pPr>
      <w:r>
        <w:rPr>
          <w:noProof/>
        </w:rPr>
        <w:br w:type="page"/>
        <w:t>10.</w:t>
      </w:r>
      <w:r>
        <w:rPr>
          <w:noProof/>
        </w:rPr>
        <w:tab/>
        <w:t>Пратката с ориз, отговарящ на условията за внос в рамките на предвидената в точка 7 тарифна квота, трябва да е придружена от сертификат за автентичност, издаден от съответните компетентни органи на Виетнам, в който да се посочва, че оризът спада към някой от сортовете, упоменати в точка 8.</w:t>
      </w:r>
    </w:p>
    <w:p>
      <w:pPr>
        <w:rPr>
          <w:noProof/>
        </w:rPr>
      </w:pPr>
    </w:p>
    <w:p>
      <w:pPr>
        <w:rPr>
          <w:noProof/>
        </w:rPr>
      </w:pPr>
      <w:r>
        <w:rPr>
          <w:noProof/>
        </w:rPr>
        <w:t>Нишесте от маниока (cassava)</w:t>
      </w:r>
    </w:p>
    <w:p>
      <w:pPr>
        <w:rPr>
          <w:noProof/>
        </w:rPr>
      </w:pPr>
    </w:p>
    <w:p>
      <w:pPr>
        <w:ind w:left="567" w:hanging="567"/>
        <w:rPr>
          <w:noProof/>
        </w:rPr>
      </w:pPr>
      <w:r>
        <w:rPr>
          <w:noProof/>
        </w:rPr>
        <w:t>11.</w:t>
      </w:r>
      <w:r>
        <w:rPr>
          <w:noProof/>
        </w:rPr>
        <w:tab/>
        <w:t>Стоките с произход, класирани в тарифна линия 1108.14.00 в графика на Съюза, се освобождават от мита в рамките на съвкупно годишно количество от 30 000 метрични тона.</w:t>
      </w:r>
    </w:p>
    <w:p>
      <w:pPr>
        <w:rPr>
          <w:noProof/>
        </w:rPr>
      </w:pPr>
    </w:p>
    <w:p>
      <w:pPr>
        <w:rPr>
          <w:noProof/>
        </w:rPr>
      </w:pPr>
      <w:r>
        <w:rPr>
          <w:noProof/>
        </w:rPr>
        <w:t>Риба тон</w:t>
      </w:r>
    </w:p>
    <w:p>
      <w:pPr>
        <w:rPr>
          <w:noProof/>
        </w:rPr>
      </w:pPr>
    </w:p>
    <w:p>
      <w:pPr>
        <w:ind w:left="567" w:hanging="567"/>
        <w:rPr>
          <w:noProof/>
        </w:rPr>
      </w:pPr>
      <w:r>
        <w:rPr>
          <w:noProof/>
        </w:rPr>
        <w:t>12.</w:t>
      </w:r>
      <w:r>
        <w:rPr>
          <w:noProof/>
        </w:rPr>
        <w:tab/>
        <w:t>Стоките с произход, класирани в тарифни линии 1604.14.11, 1604.14.18, 1604.14.90, 1604.19.39 и 1604.20.70 в графика на Съюза, се освобождават от мита в рамките на съвкупно годишно количество от 11 500 метрични тона.</w:t>
      </w:r>
    </w:p>
    <w:p>
      <w:pPr>
        <w:rPr>
          <w:noProof/>
        </w:rPr>
      </w:pPr>
    </w:p>
    <w:p>
      <w:pPr>
        <w:rPr>
          <w:noProof/>
        </w:rPr>
      </w:pPr>
      <w:r>
        <w:rPr>
          <w:noProof/>
        </w:rPr>
        <w:t>Сурими</w:t>
      </w:r>
    </w:p>
    <w:p>
      <w:pPr>
        <w:rPr>
          <w:noProof/>
        </w:rPr>
      </w:pPr>
    </w:p>
    <w:p>
      <w:pPr>
        <w:ind w:left="567" w:hanging="567"/>
        <w:rPr>
          <w:noProof/>
        </w:rPr>
      </w:pPr>
      <w:r>
        <w:rPr>
          <w:noProof/>
        </w:rPr>
        <w:t>13.</w:t>
      </w:r>
      <w:r>
        <w:rPr>
          <w:noProof/>
        </w:rPr>
        <w:tab/>
        <w:t>Стоките с произход, класирани в тарифна линия 1604.20.05 в графика на Съюза, се освобождават от мита в рамките на съвкупно годишно количество от 500 метрични тона.</w:t>
      </w:r>
    </w:p>
    <w:p>
      <w:pPr>
        <w:rPr>
          <w:noProof/>
        </w:rPr>
      </w:pPr>
    </w:p>
    <w:p>
      <w:pPr>
        <w:rPr>
          <w:noProof/>
        </w:rPr>
      </w:pPr>
      <w:r>
        <w:rPr>
          <w:noProof/>
        </w:rPr>
        <w:br w:type="page"/>
        <w:t>Захар и други продукти с високо съдържание на захар</w:t>
      </w:r>
    </w:p>
    <w:p>
      <w:pPr>
        <w:rPr>
          <w:noProof/>
        </w:rPr>
      </w:pPr>
    </w:p>
    <w:p>
      <w:pPr>
        <w:ind w:left="567" w:hanging="567"/>
        <w:rPr>
          <w:noProof/>
        </w:rPr>
      </w:pPr>
      <w:r>
        <w:rPr>
          <w:noProof/>
        </w:rPr>
        <w:t>14.</w:t>
      </w:r>
      <w:r>
        <w:rPr>
          <w:noProof/>
        </w:rPr>
        <w:tab/>
        <w:t>Стоките с произход, класирани в следните тарифни линии в графика на Съюза, се освобождават от мита в рамките на съвкупно годишно количество от 20 000 метрични тона, изразено в еквивалент на сурова захар:</w:t>
      </w:r>
    </w:p>
    <w:p>
      <w:pPr>
        <w:ind w:left="567" w:hanging="567"/>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7"/>
        <w:gridCol w:w="1418"/>
        <w:gridCol w:w="1559"/>
        <w:gridCol w:w="1454"/>
      </w:tblGrid>
      <w:tr>
        <w:trPr>
          <w:cantSplit/>
          <w:jc w:val="center"/>
        </w:trPr>
        <w:tc>
          <w:tcPr>
            <w:tcW w:w="1527" w:type="dxa"/>
            <w:shd w:val="clear" w:color="auto" w:fill="auto"/>
            <w:vAlign w:val="center"/>
          </w:tcPr>
          <w:p>
            <w:pPr>
              <w:spacing w:before="60" w:after="60" w:line="240" w:lineRule="auto"/>
              <w:rPr>
                <w:noProof/>
              </w:rPr>
            </w:pPr>
            <w:r>
              <w:rPr>
                <w:noProof/>
              </w:rPr>
              <w:t>1701.13.10</w:t>
            </w:r>
          </w:p>
          <w:p>
            <w:pPr>
              <w:spacing w:before="60" w:after="60" w:line="240" w:lineRule="auto"/>
              <w:rPr>
                <w:noProof/>
              </w:rPr>
            </w:pPr>
            <w:r>
              <w:rPr>
                <w:noProof/>
              </w:rPr>
              <w:t>1701.13.90</w:t>
            </w:r>
          </w:p>
          <w:p>
            <w:pPr>
              <w:spacing w:before="60" w:after="60" w:line="240" w:lineRule="auto"/>
              <w:rPr>
                <w:noProof/>
              </w:rPr>
            </w:pPr>
            <w:r>
              <w:rPr>
                <w:noProof/>
              </w:rPr>
              <w:t>1701.14.10</w:t>
            </w:r>
          </w:p>
          <w:p>
            <w:pPr>
              <w:spacing w:before="60" w:after="60" w:line="240" w:lineRule="auto"/>
              <w:rPr>
                <w:noProof/>
              </w:rPr>
            </w:pPr>
            <w:r>
              <w:rPr>
                <w:noProof/>
              </w:rPr>
              <w:t>1701.91.00</w:t>
            </w:r>
          </w:p>
        </w:tc>
        <w:tc>
          <w:tcPr>
            <w:tcW w:w="1418" w:type="dxa"/>
            <w:shd w:val="clear" w:color="auto" w:fill="auto"/>
            <w:vAlign w:val="center"/>
          </w:tcPr>
          <w:p>
            <w:pPr>
              <w:spacing w:before="60" w:after="60" w:line="240" w:lineRule="auto"/>
              <w:rPr>
                <w:noProof/>
              </w:rPr>
            </w:pPr>
            <w:r>
              <w:rPr>
                <w:noProof/>
              </w:rPr>
              <w:t>1701.99.10</w:t>
            </w:r>
          </w:p>
          <w:p>
            <w:pPr>
              <w:spacing w:before="60" w:after="60" w:line="240" w:lineRule="auto"/>
              <w:rPr>
                <w:noProof/>
              </w:rPr>
            </w:pPr>
            <w:r>
              <w:rPr>
                <w:noProof/>
              </w:rPr>
              <w:t>1701.99.90</w:t>
            </w:r>
          </w:p>
          <w:p>
            <w:pPr>
              <w:spacing w:before="60" w:after="60" w:line="240" w:lineRule="auto"/>
              <w:rPr>
                <w:noProof/>
              </w:rPr>
            </w:pPr>
            <w:r>
              <w:rPr>
                <w:noProof/>
              </w:rPr>
              <w:t>1702.30.50</w:t>
            </w:r>
          </w:p>
          <w:p>
            <w:pPr>
              <w:spacing w:before="60" w:after="60" w:line="240" w:lineRule="auto"/>
              <w:rPr>
                <w:noProof/>
              </w:rPr>
            </w:pPr>
            <w:r>
              <w:rPr>
                <w:noProof/>
              </w:rPr>
              <w:t>1702.90.50</w:t>
            </w:r>
          </w:p>
        </w:tc>
        <w:tc>
          <w:tcPr>
            <w:tcW w:w="1559" w:type="dxa"/>
            <w:vAlign w:val="center"/>
          </w:tcPr>
          <w:p>
            <w:pPr>
              <w:spacing w:before="60" w:after="60" w:line="240" w:lineRule="auto"/>
              <w:rPr>
                <w:noProof/>
              </w:rPr>
            </w:pPr>
            <w:r>
              <w:rPr>
                <w:noProof/>
              </w:rPr>
              <w:t>1702.90.71</w:t>
            </w:r>
          </w:p>
          <w:p>
            <w:pPr>
              <w:spacing w:before="60" w:after="60" w:line="240" w:lineRule="auto"/>
              <w:rPr>
                <w:noProof/>
              </w:rPr>
            </w:pPr>
            <w:r>
              <w:rPr>
                <w:noProof/>
              </w:rPr>
              <w:t>1702.90.75</w:t>
            </w:r>
          </w:p>
          <w:p>
            <w:pPr>
              <w:spacing w:before="60" w:after="60" w:line="240" w:lineRule="auto"/>
              <w:rPr>
                <w:noProof/>
              </w:rPr>
            </w:pPr>
            <w:r>
              <w:rPr>
                <w:noProof/>
              </w:rPr>
              <w:t>1702.90.79</w:t>
            </w:r>
          </w:p>
          <w:p>
            <w:pPr>
              <w:spacing w:before="60" w:after="60" w:line="240" w:lineRule="auto"/>
              <w:rPr>
                <w:noProof/>
              </w:rPr>
            </w:pPr>
            <w:r>
              <w:rPr>
                <w:noProof/>
              </w:rPr>
              <w:t>1702.90.95</w:t>
            </w:r>
          </w:p>
        </w:tc>
        <w:tc>
          <w:tcPr>
            <w:tcW w:w="1454" w:type="dxa"/>
          </w:tcPr>
          <w:p>
            <w:pPr>
              <w:spacing w:before="60" w:after="60" w:line="240" w:lineRule="auto"/>
              <w:rPr>
                <w:noProof/>
              </w:rPr>
            </w:pPr>
            <w:r>
              <w:rPr>
                <w:noProof/>
              </w:rPr>
              <w:t>1806.10.30</w:t>
            </w:r>
          </w:p>
          <w:p>
            <w:pPr>
              <w:spacing w:before="60" w:after="60" w:line="240" w:lineRule="auto"/>
              <w:rPr>
                <w:noProof/>
              </w:rPr>
            </w:pPr>
            <w:r>
              <w:rPr>
                <w:noProof/>
              </w:rPr>
              <w:t>1806.10.90</w:t>
            </w:r>
          </w:p>
        </w:tc>
      </w:tr>
    </w:tbl>
    <w:p>
      <w:pPr>
        <w:rPr>
          <w:noProof/>
        </w:rPr>
      </w:pPr>
    </w:p>
    <w:p>
      <w:pPr>
        <w:rPr>
          <w:noProof/>
        </w:rPr>
      </w:pPr>
    </w:p>
    <w:p>
      <w:pPr>
        <w:rPr>
          <w:noProof/>
        </w:rPr>
      </w:pPr>
      <w:r>
        <w:rPr>
          <w:noProof/>
        </w:rPr>
        <w:t>Специална захар</w:t>
      </w:r>
    </w:p>
    <w:p>
      <w:pPr>
        <w:rPr>
          <w:noProof/>
        </w:rPr>
      </w:pPr>
    </w:p>
    <w:p>
      <w:pPr>
        <w:ind w:left="567" w:hanging="567"/>
        <w:rPr>
          <w:noProof/>
        </w:rPr>
      </w:pPr>
      <w:r>
        <w:rPr>
          <w:noProof/>
        </w:rPr>
        <w:t>15.</w:t>
      </w:r>
      <w:r>
        <w:rPr>
          <w:noProof/>
        </w:rPr>
        <w:tab/>
        <w:t>Стоките с произход, класирани в тарифна линия 1701.14.90 в графика на Съюза, се освобождават от мита в рамките на съвкупно годишно количество от 400 метрични тона.</w:t>
      </w:r>
    </w:p>
    <w:p>
      <w:pPr>
        <w:rPr>
          <w:noProof/>
        </w:rPr>
      </w:pPr>
    </w:p>
    <w:p>
      <w:pPr>
        <w:rPr>
          <w:noProof/>
        </w:rPr>
      </w:pPr>
      <w:r>
        <w:rPr>
          <w:noProof/>
        </w:rPr>
        <w:br w:type="page"/>
        <w:t>Гъби</w:t>
      </w:r>
    </w:p>
    <w:p>
      <w:pPr>
        <w:rPr>
          <w:noProof/>
        </w:rPr>
      </w:pPr>
    </w:p>
    <w:p>
      <w:pPr>
        <w:ind w:left="567" w:hanging="567"/>
        <w:rPr>
          <w:noProof/>
        </w:rPr>
      </w:pPr>
      <w:r>
        <w:rPr>
          <w:noProof/>
        </w:rPr>
        <w:t>16.</w:t>
      </w:r>
      <w:r>
        <w:rPr>
          <w:noProof/>
        </w:rPr>
        <w:tab/>
        <w:t>Стоките с произход, класирани в тарифни линии 0711.51.00, 2001.90.50, 2003.10.20 и 2003.10.30 в графика на Съюза, се освобождават от мита в рамките на съвкупно годишно количество от 350 метрични тона.</w:t>
      </w:r>
    </w:p>
    <w:p>
      <w:pPr>
        <w:rPr>
          <w:noProof/>
        </w:rPr>
      </w:pPr>
    </w:p>
    <w:p>
      <w:pPr>
        <w:rPr>
          <w:noProof/>
        </w:rPr>
      </w:pPr>
      <w:r>
        <w:rPr>
          <w:noProof/>
        </w:rPr>
        <w:t>Етанол</w:t>
      </w:r>
    </w:p>
    <w:p>
      <w:pPr>
        <w:rPr>
          <w:noProof/>
        </w:rPr>
      </w:pPr>
    </w:p>
    <w:p>
      <w:pPr>
        <w:ind w:left="567" w:hanging="567"/>
        <w:rPr>
          <w:noProof/>
        </w:rPr>
      </w:pPr>
      <w:r>
        <w:rPr>
          <w:noProof/>
        </w:rPr>
        <w:t>17.</w:t>
      </w:r>
      <w:r>
        <w:rPr>
          <w:noProof/>
        </w:rPr>
        <w:tab/>
        <w:t>Стоките с произход, класирани в тарифни линии 2207.10.00 и 2207.20.00 в графика на Съюза, се освобождават от мита в рамките на съвкупно годишно количество от 1000 метрични тона.</w:t>
      </w:r>
    </w:p>
    <w:p>
      <w:pPr>
        <w:rPr>
          <w:noProof/>
        </w:rPr>
      </w:pPr>
    </w:p>
    <w:p>
      <w:pPr>
        <w:rPr>
          <w:noProof/>
        </w:rPr>
      </w:pPr>
      <w:r>
        <w:rPr>
          <w:noProof/>
        </w:rPr>
        <w:t>Манитол, сорбитол, декстрин и други модифицирани скорбяла и нишесте</w:t>
      </w:r>
    </w:p>
    <w:p>
      <w:pPr>
        <w:rPr>
          <w:noProof/>
        </w:rPr>
      </w:pPr>
    </w:p>
    <w:p>
      <w:pPr>
        <w:ind w:left="567" w:hanging="567"/>
        <w:rPr>
          <w:noProof/>
        </w:rPr>
      </w:pPr>
      <w:r>
        <w:rPr>
          <w:noProof/>
        </w:rPr>
        <w:t>18.</w:t>
      </w:r>
      <w:r>
        <w:rPr>
          <w:noProof/>
        </w:rPr>
        <w:tab/>
        <w:t>Стоките с произход, класирани в тарифни линии 2905.43.00, 2905.44.11, 2905.44.19, 2905.44.91, 3505.10.10, 3505.10.90 и 3824.60.19 в графика на Съюза, се освобождават от мита в рамките на съвкупно годишно количество от 2000 метрични тона.</w:t>
      </w:r>
    </w:p>
    <w:p>
      <w:pPr>
        <w:rPr>
          <w:noProof/>
        </w:rPr>
      </w:pPr>
    </w:p>
    <w:p>
      <w:pPr>
        <w:rPr>
          <w:noProof/>
        </w:rPr>
      </w:pPr>
    </w:p>
    <w:p>
      <w:pPr>
        <w:jc w:val="center"/>
        <w:rPr>
          <w:noProof/>
        </w:rPr>
      </w:pPr>
      <w:r>
        <w:rPr>
          <w:noProof/>
        </w:rPr>
        <w:br w:type="page"/>
        <w:t>ПОДРАЗДЕЛ 2</w:t>
      </w:r>
    </w:p>
    <w:p>
      <w:pPr>
        <w:jc w:val="center"/>
        <w:rPr>
          <w:noProof/>
        </w:rPr>
      </w:pPr>
    </w:p>
    <w:p>
      <w:pPr>
        <w:jc w:val="center"/>
        <w:rPr>
          <w:noProof/>
        </w:rPr>
      </w:pPr>
      <w:r>
        <w:rPr>
          <w:noProof/>
        </w:rPr>
        <w:t xml:space="preserve">ТАРИФНА КВОТА НА ВИЕТНАМ </w:t>
      </w:r>
    </w:p>
    <w:p>
      <w:pPr>
        <w:jc w:val="center"/>
        <w:rPr>
          <w:noProof/>
        </w:rPr>
      </w:pPr>
    </w:p>
    <w:p>
      <w:pPr>
        <w:ind w:left="567" w:hanging="567"/>
        <w:rPr>
          <w:noProof/>
        </w:rPr>
      </w:pPr>
      <w:r>
        <w:rPr>
          <w:noProof/>
        </w:rPr>
        <w:t>1.</w:t>
      </w:r>
      <w:r>
        <w:rPr>
          <w:noProof/>
        </w:rPr>
        <w:tab/>
        <w:t>Периодът на прилагане, обемът на квотите, методите за управление и другите ред и условия, свързани с разпределението на тарифните квоти на Виетнам, са съвместими с ангажиментите, поети от Виетнам в рамките на СТО.</w:t>
      </w:r>
    </w:p>
    <w:p>
      <w:pPr>
        <w:ind w:left="567" w:hanging="567"/>
        <w:rPr>
          <w:noProof/>
        </w:rPr>
      </w:pPr>
    </w:p>
    <w:p>
      <w:pPr>
        <w:ind w:left="567" w:hanging="567"/>
        <w:rPr>
          <w:noProof/>
        </w:rPr>
      </w:pPr>
      <w:r>
        <w:rPr>
          <w:noProof/>
        </w:rPr>
        <w:t>2.</w:t>
      </w:r>
      <w:r>
        <w:rPr>
          <w:noProof/>
        </w:rPr>
        <w:tab/>
        <w:t>Квотните мита върху стоките с произход, посочени в позициите от поетапна категория „B10-in-quota“ в графика на Виетнам, отпадат на 11 равни годишни етапа, като се започне от датата на влизане в сила на настоящото споразумение; впоследствие тези стоки са освободени от всякакво квотно мито;</w:t>
      </w:r>
    </w:p>
    <w:p>
      <w:pPr>
        <w:ind w:left="567" w:hanging="567"/>
        <w:rPr>
          <w:noProof/>
        </w:rPr>
      </w:pPr>
    </w:p>
    <w:p>
      <w:pPr>
        <w:ind w:left="567" w:hanging="567"/>
        <w:rPr>
          <w:noProof/>
        </w:rPr>
      </w:pPr>
      <w:r>
        <w:rPr>
          <w:noProof/>
        </w:rPr>
        <w:t>3.</w:t>
      </w:r>
      <w:r>
        <w:rPr>
          <w:noProof/>
        </w:rPr>
        <w:tab/>
        <w:t>Извънквотните мита върху стоките с произход, посочени в позициите от поетапна категория „B10-in-quota“ в графика на Виетнам, са нелиберализирани.</w:t>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right"/>
        <w:rPr>
          <w:b/>
          <w:bCs/>
          <w:noProof/>
          <w:u w:val="single"/>
        </w:rPr>
      </w:pPr>
      <w:r>
        <w:rPr>
          <w:b/>
          <w:noProof/>
          <w:u w:val="single"/>
        </w:rPr>
        <w:t>Допълнение 2-A-1</w:t>
      </w:r>
    </w:p>
    <w:p>
      <w:pPr>
        <w:rPr>
          <w:noProof/>
        </w:rPr>
      </w:pPr>
    </w:p>
    <w:p>
      <w:pPr>
        <w:rPr>
          <w:noProof/>
        </w:rPr>
      </w:pPr>
    </w:p>
    <w:p>
      <w:pPr>
        <w:jc w:val="center"/>
        <w:rPr>
          <w:noProof/>
        </w:rPr>
      </w:pPr>
      <w:r>
        <w:rPr>
          <w:noProof/>
        </w:rPr>
        <w:t>График за митата на Съюза</w:t>
      </w:r>
    </w:p>
    <w:p>
      <w:pPr>
        <w:rPr>
          <w:noProof/>
        </w:rPr>
      </w:pPr>
    </w:p>
    <w:p>
      <w:pPr>
        <w:rPr>
          <w:noProof/>
        </w:rPr>
      </w:pPr>
      <w:r>
        <w:rPr>
          <w:noProof/>
        </w:rPr>
        <w:t>Общи бележки</w:t>
      </w:r>
    </w:p>
    <w:p>
      <w:pPr>
        <w:rPr>
          <w:noProof/>
        </w:rPr>
      </w:pPr>
    </w:p>
    <w:p>
      <w:pPr>
        <w:rPr>
          <w:noProof/>
        </w:rPr>
      </w:pPr>
      <w:r>
        <w:rPr>
          <w:noProof/>
        </w:rPr>
        <w:t>Връзка с Комбинираната номенклатура (КН) на Съюза</w:t>
      </w:r>
    </w:p>
    <w:p>
      <w:pPr>
        <w:rPr>
          <w:noProof/>
        </w:rPr>
      </w:pPr>
    </w:p>
    <w:p>
      <w:pPr>
        <w:ind w:left="567" w:hanging="567"/>
        <w:rPr>
          <w:noProof/>
        </w:rPr>
      </w:pPr>
      <w:r>
        <w:rPr>
          <w:noProof/>
        </w:rPr>
        <w:t>1.</w:t>
      </w:r>
      <w:r>
        <w:rPr>
          <w:noProof/>
        </w:rPr>
        <w:tab/>
        <w:t>Разпоредбите на настоящия график в общия случай са формулирани при използване на терминологията от КН, докато тълкуването на разпоредбите на настоящия график, включително на продуктовия обхват на подпозициите от настоящия график, се основава на общите забележки, забележките към разделите и забележките към главите от КН. Доколкото разпоредбите на настоящия график са идентични със съответстващите разпоредби на КН, разпоредбите на настоящия график имат същото значение като съответстващите разпоредби на КН.</w:t>
      </w:r>
    </w:p>
    <w:p>
      <w:pPr>
        <w:rPr>
          <w:noProof/>
        </w:rPr>
      </w:pPr>
    </w:p>
    <w:p>
      <w:pPr>
        <w:rPr>
          <w:noProof/>
        </w:rPr>
      </w:pPr>
      <w:r>
        <w:rPr>
          <w:noProof/>
        </w:rPr>
        <w:t>Базови митнически ставки</w:t>
      </w:r>
    </w:p>
    <w:p>
      <w:pPr>
        <w:rPr>
          <w:noProof/>
        </w:rPr>
      </w:pPr>
    </w:p>
    <w:p>
      <w:pPr>
        <w:ind w:left="567" w:hanging="567"/>
        <w:rPr>
          <w:noProof/>
        </w:rPr>
      </w:pPr>
      <w:r>
        <w:rPr>
          <w:noProof/>
        </w:rPr>
        <w:t>2.</w:t>
      </w:r>
      <w:r>
        <w:rPr>
          <w:noProof/>
        </w:rPr>
        <w:tab/>
        <w:t>Базовите митнически ставки в настоящия график отразяват митническите ставки от Общата митническа тарифа на Съюза в сила към 26 юни 2012 г.</w:t>
      </w:r>
    </w:p>
    <w:p>
      <w:pPr>
        <w:rPr>
          <w:noProof/>
        </w:rPr>
      </w:pPr>
    </w:p>
    <w:p>
      <w:pPr>
        <w:rPr>
          <w:noProof/>
        </w:rPr>
      </w:pPr>
      <w:r>
        <w:rPr>
          <w:noProof/>
        </w:rPr>
        <w:br w:type="page"/>
        <w:t>Обувки за атлетика/спортни обувки</w:t>
      </w:r>
    </w:p>
    <w:p>
      <w:pPr>
        <w:rPr>
          <w:noProof/>
        </w:rPr>
      </w:pPr>
    </w:p>
    <w:p>
      <w:pPr>
        <w:ind w:left="567" w:hanging="567"/>
        <w:rPr>
          <w:noProof/>
        </w:rPr>
      </w:pPr>
      <w:r>
        <w:rPr>
          <w:noProof/>
        </w:rPr>
        <w:t>3.</w:t>
      </w:r>
      <w:r>
        <w:rPr>
          <w:noProof/>
        </w:rPr>
        <w:tab/>
        <w:t>Обувките, влизащи в обхвата на „ex-out“ описанието за кодове по КН 6403.91.11B, 6403.91.13B, 6403.91.16B, 6403.91.18B, 6403.99.91B, 6403.99.93B, 6403.99.96B и 6403.99.98B в графика на Съюза, трябва да имат предпазващо от хлъзгане външно ходило, изработено от синтетични материали, като например полимери с ниска плътност, или технически характеристики, като например херметични стелки, съдържащи газ или течност, механични компоненти, специално проектирани да поемат удари, или специални материали, като например полимери с ниска плътност. Освен това тези обувки трябва да са снабдени със затварящо приспособление или система за връзване на връзки с минимум пет отвора от всяка страна на горната част на обувката, което осигурява стабилност на крака в обувката. Вътрешното ходило на тези обувки трябва да бъде формувано.</w:t>
      </w:r>
    </w:p>
    <w:p>
      <w:pPr>
        <w:rPr>
          <w:noProof/>
        </w:rPr>
      </w:pPr>
    </w:p>
    <w:p>
      <w:pPr>
        <w:jc w:val="center"/>
        <w:rPr>
          <w:noProof/>
        </w:rPr>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7" w:h="16840" w:code="9"/>
          <w:pgMar w:top="1134" w:right="1134" w:bottom="1134" w:left="1134" w:header="1134" w:footer="1134" w:gutter="0"/>
          <w:pgNumType w:start="1"/>
          <w:cols w:space="720"/>
          <w:docGrid w:linePitch="326"/>
        </w:sectPr>
      </w:pPr>
    </w:p>
    <w:p>
      <w:pPr>
        <w:jc w:val="center"/>
        <w:rPr>
          <w:noProof/>
        </w:rPr>
      </w:pPr>
      <w:r>
        <w:rPr>
          <w:noProof/>
        </w:rPr>
        <w:t>График за митата на Съюза</w:t>
      </w:r>
    </w:p>
    <w:p>
      <w:pPr>
        <w:rPr>
          <w:noProof/>
        </w:rPr>
      </w:pPr>
      <w:r>
        <w:rPr>
          <w:noProof/>
        </w:rPr>
        <w:t>[Моля, поместете тук] графика за митата от документ 02]</w:t>
      </w:r>
    </w:p>
    <w:p>
      <w:pPr>
        <w:rPr>
          <w:noProof/>
        </w:rPr>
      </w:pPr>
    </w:p>
    <w:p>
      <w:pPr>
        <w:rPr>
          <w:noProof/>
        </w:rPr>
      </w:pPr>
    </w:p>
    <w:p>
      <w:pPr>
        <w:jc w:val="center"/>
        <w:rPr>
          <w:noProof/>
        </w:rPr>
      </w:pPr>
      <w:r>
        <w:rPr>
          <w:noProof/>
        </w:rPr>
        <w:t>________________</w:t>
      </w: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7" w:h="16840" w:code="9"/>
      <w:pgMar w:top="1134" w:right="1134" w:bottom="1134" w:left="1134" w:header="1134" w:footer="113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Gulim">
    <w:altName w:val="굴림"/>
    <w:panose1 w:val="020B0600000101010101"/>
    <w:charset w:val="81"/>
    <w:family w:val="roma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2-A/bg </w:t>
    </w:r>
    <w:r>
      <w:fldChar w:fldCharType="begin"/>
    </w:r>
    <w:r>
      <w:instrText xml:space="preserve"> PAGE  \* MERGEFORMAT </w:instrText>
    </w:r>
    <w:r>
      <w:fldChar w:fldCharType="separate"/>
    </w:r>
    <w:r>
      <w:rPr>
        <w:noProof/>
      </w:rP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2-A/bg </w:t>
    </w:r>
    <w:r>
      <w:fldChar w:fldCharType="begin"/>
    </w:r>
    <w:r>
      <w:instrText xml:space="preserve"> PAGE  \* MERGEFORMAT </w:instrText>
    </w:r>
    <w:r>
      <w:fldChar w:fldCharType="separate"/>
    </w:r>
    <w:r>
      <w:rPr>
        <w:noProof/>
      </w:rPr>
      <w:t>2</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jc w:val="center"/>
    </w:pPr>
    <w:r>
      <w:t xml:space="preserve">…/Приложение 2-A/bg </w:t>
    </w:r>
    <w:r>
      <w:fldChar w:fldCharType="begin"/>
    </w:r>
    <w:r>
      <w:instrText xml:space="preserve"> PAGE  \* MERGEFORMAT </w:instrText>
    </w:r>
    <w:r>
      <w:fldChar w:fldCharType="separate"/>
    </w:r>
    <w:r>
      <w:rPr>
        <w:noProof/>
      </w:rPr>
      <w:t>2</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pPr>
      <w:r>
        <w:rPr>
          <w:rStyle w:val="FootnoteReference"/>
        </w:rPr>
        <w:footnoteRef/>
      </w:r>
      <w:r>
        <w:tab/>
        <w:t>Официален вестник на Европейския съюз L 157, 15.6.2011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0EC12965"/>
    <w:multiLevelType w:val="hybridMultilevel"/>
    <w:tmpl w:val="3EDE36FA"/>
    <w:lvl w:ilvl="0" w:tplc="0809000F">
      <w:start w:val="1"/>
      <w:numFmt w:val="decimal"/>
      <w:lvlText w:val="%1."/>
      <w:lvlJc w:val="left"/>
      <w:pPr>
        <w:ind w:left="360" w:hanging="360"/>
      </w:pPr>
    </w:lvl>
    <w:lvl w:ilvl="1" w:tplc="9326AD3A">
      <w:start w:val="1"/>
      <w:numFmt w:val="lowerLetter"/>
      <w:lvlText w:val="(%2)"/>
      <w:lvlJc w:val="left"/>
      <w:pPr>
        <w:ind w:left="1596" w:hanging="876"/>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0">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8">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1">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2">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3">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4">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5">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6">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7">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29">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0">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3">
    <w:nsid w:val="756B6197"/>
    <w:multiLevelType w:val="hybridMultilevel"/>
    <w:tmpl w:val="4D0A053E"/>
    <w:lvl w:ilvl="0" w:tplc="E62AA0CC">
      <w:start w:val="1"/>
      <w:numFmt w:val="lowerLetter"/>
      <w:lvlText w:val="(%1)"/>
      <w:lvlJc w:val="left"/>
      <w:pPr>
        <w:ind w:left="-720" w:hanging="360"/>
      </w:pPr>
    </w:lvl>
    <w:lvl w:ilvl="1" w:tplc="E62AA0CC">
      <w:start w:val="1"/>
      <w:numFmt w:val="lowerLetter"/>
      <w:lvlText w:val="(%2)"/>
      <w:lvlJc w:val="left"/>
      <w:pPr>
        <w:ind w:left="0" w:hanging="360"/>
      </w:pPr>
    </w:lvl>
    <w:lvl w:ilvl="2" w:tplc="0809001B">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34">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7">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8">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39">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2"/>
  </w:num>
  <w:num w:numId="3">
    <w:abstractNumId w:val="36"/>
  </w:num>
  <w:num w:numId="4">
    <w:abstractNumId w:val="12"/>
  </w:num>
  <w:num w:numId="5">
    <w:abstractNumId w:val="24"/>
  </w:num>
  <w:num w:numId="6">
    <w:abstractNumId w:val="20"/>
  </w:num>
  <w:num w:numId="7">
    <w:abstractNumId w:val="23"/>
  </w:num>
  <w:num w:numId="8">
    <w:abstractNumId w:val="32"/>
  </w:num>
  <w:num w:numId="9">
    <w:abstractNumId w:val="15"/>
  </w:num>
  <w:num w:numId="10">
    <w:abstractNumId w:val="6"/>
  </w:num>
  <w:num w:numId="11">
    <w:abstractNumId w:val="13"/>
  </w:num>
  <w:num w:numId="12">
    <w:abstractNumId w:val="13"/>
  </w:num>
  <w:num w:numId="13">
    <w:abstractNumId w:val="13"/>
  </w:num>
  <w:num w:numId="14">
    <w:abstractNumId w:val="13"/>
  </w:num>
  <w:num w:numId="15">
    <w:abstractNumId w:val="3"/>
  </w:num>
  <w:num w:numId="16">
    <w:abstractNumId w:val="27"/>
  </w:num>
  <w:num w:numId="17">
    <w:abstractNumId w:val="19"/>
  </w:num>
  <w:num w:numId="18">
    <w:abstractNumId w:val="14"/>
  </w:num>
  <w:num w:numId="19">
    <w:abstractNumId w:val="7"/>
  </w:num>
  <w:num w:numId="20">
    <w:abstractNumId w:val="4"/>
  </w:num>
  <w:num w:numId="21">
    <w:abstractNumId w:val="21"/>
  </w:num>
  <w:num w:numId="22">
    <w:abstractNumId w:val="5"/>
  </w:num>
  <w:num w:numId="23">
    <w:abstractNumId w:val="2"/>
  </w:num>
  <w:num w:numId="24">
    <w:abstractNumId w:val="1"/>
  </w:num>
  <w:num w:numId="25">
    <w:abstractNumId w:val="0"/>
  </w:num>
  <w:num w:numId="26">
    <w:abstractNumId w:val="9"/>
  </w:num>
  <w:num w:numId="27">
    <w:abstractNumId w:val="17"/>
  </w:num>
  <w:num w:numId="28">
    <w:abstractNumId w:val="25"/>
  </w:num>
  <w:num w:numId="29">
    <w:abstractNumId w:val="26"/>
  </w:num>
  <w:num w:numId="30">
    <w:abstractNumId w:val="31"/>
  </w:num>
  <w:num w:numId="31">
    <w:abstractNumId w:val="30"/>
  </w:num>
  <w:num w:numId="32">
    <w:abstractNumId w:val="34"/>
  </w:num>
  <w:num w:numId="33">
    <w:abstractNumId w:val="38"/>
  </w:num>
  <w:num w:numId="34">
    <w:abstractNumId w:val="35"/>
  </w:num>
  <w:num w:numId="35">
    <w:abstractNumId w:val="10"/>
  </w:num>
  <w:num w:numId="36">
    <w:abstractNumId w:val="39"/>
  </w:num>
  <w:num w:numId="37">
    <w:abstractNumId w:val="18"/>
  </w:num>
  <w:num w:numId="38">
    <w:abstractNumId w:val="29"/>
  </w:num>
  <w:num w:numId="39">
    <w:abstractNumId w:val="37"/>
  </w:num>
  <w:num w:numId="40">
    <w:abstractNumId w:val="28"/>
  </w:num>
  <w:num w:numId="41">
    <w:abstractNumId w:val="11"/>
  </w:num>
  <w:num w:numId="42">
    <w:abstractNumId w:val="8"/>
  </w:num>
  <w:num w:numId="43">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displayBackgroundShape/>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numRestart w:val="eachPage"/>
    <w:footnote w:id="-1"/>
    <w:footnote w:id="0"/>
  </w:footnotePr>
  <w:endnotePr>
    <w:numFmt w:val="decimal"/>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u1082?\u1098?\u1084? "/>
    <w:docVar w:name="LW_ANNEX_NBR_FIRST" w:val="2"/>
    <w:docVar w:name="LW_ANNEX_NBR_LAST" w:val="2"/>
    <w:docVar w:name="LW_ANNEX_UNIQUE" w:val="0"/>
    <w:docVar w:name="LW_CORRIGENDUM" w:val="&lt;UNUSED&gt;"/>
    <w:docVar w:name="LW_COVERPAGE_EXISTS" w:val="True"/>
    <w:docVar w:name="LW_COVERPAGE_GUID" w:val="1335FAD2-3A3A-40F5-9D3F-906F51C156D6"/>
    <w:docVar w:name="LW_COVERPAGE_TYPE" w:val="1"/>
    <w:docVar w:name="LW_CROSSREFERENCE" w:val="&lt;UNUSED&gt;"/>
    <w:docVar w:name="LW_DATE.ADOPT.CP_ISODATE" w:val="&lt;EMPTY&gt;"/>
    <w:docVar w:name="LW_DocType" w:val="_GENEN"/>
    <w:docVar w:name="LW_EMISSION" w:val="17.10.2018"/>
    <w:docVar w:name="LW_EMISSION_ISODATE" w:val="2018-10-17"/>
    <w:docVar w:name="LW_EMISSION_LOCATION" w:val="BRX"/>
    <w:docVar w:name="LW_EMISSION_PREFIX" w:val="Брюксел, "/>
    <w:docVar w:name="LW_EMISSION_SUFFIX" w:val=" \u1075?."/>
    <w:docVar w:name="LW_ID_DOCTYPE_NONLW" w:val="CP-036"/>
    <w:docVar w:name="LW_INTERETEEE.CP" w:val="&lt;UNUSED&gt;"/>
    <w:docVar w:name="LW_LANGUE" w:val="BG"/>
    <w:docVar w:name="LW_LANGUESFAISANTFOI.CP" w:val="&lt;UNUSED&gt;"/>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val="bg-B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bg-B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bg-B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bg-B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bg-B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val="bg-B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iPriority w:val="99"/>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uiPriority w:val="99"/>
    <w:pPr>
      <w:widowControl/>
      <w:spacing w:before="100" w:beforeAutospacing="1" w:after="100" w:afterAutospacing="1" w:line="240" w:lineRule="auto"/>
    </w:pPr>
    <w:rPr>
      <w:szCs w:val="24"/>
      <w:lang w:eastAsia="en-GB"/>
    </w:rPr>
  </w:style>
  <w:style w:type="paragraph" w:customStyle="1" w:styleId="Level1">
    <w:name w:val="Level 1"/>
    <w:basedOn w:val="Normal"/>
    <w:uiPriority w:val="99"/>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34"/>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uiPriority w:val="99"/>
    <w:pPr>
      <w:widowControl/>
      <w:spacing w:line="240" w:lineRule="auto"/>
    </w:pPr>
    <w:rPr>
      <w:rFonts w:eastAsia="MS Mincho"/>
      <w:sz w:val="20"/>
      <w:lang w:eastAsia="ja-JP"/>
    </w:rPr>
  </w:style>
  <w:style w:type="character" w:customStyle="1" w:styleId="CommentTextChar">
    <w:name w:val="Comment Text Char"/>
    <w:basedOn w:val="DefaultParagraphFont"/>
    <w:link w:val="CommentText"/>
    <w:uiPriority w:val="99"/>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uiPriority w:val="99"/>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uiPriority w:val="99"/>
    <w:semi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rPr>
      <w:rFonts w:eastAsia="Calibri"/>
      <w:sz w:val="22"/>
      <w:szCs w:val="22"/>
      <w:lang w:val="x-none" w:eastAsia="x-none"/>
    </w:rPr>
  </w:style>
  <w:style w:type="paragraph" w:customStyle="1" w:styleId="FootnoteQuotation">
    <w:name w:val="Footnote Quotation"/>
    <w:basedOn w:val="Normal"/>
    <w:pPr>
      <w:widowControl/>
      <w:spacing w:line="240" w:lineRule="auto"/>
      <w:ind w:left="720" w:right="720"/>
      <w:jc w:val="both"/>
    </w:pPr>
    <w:rPr>
      <w:rFonts w:eastAsia="Calibri"/>
      <w:sz w:val="20"/>
      <w:szCs w:val="22"/>
      <w:lang w:eastAsia="en-GB"/>
    </w:rPr>
  </w:style>
  <w:style w:type="paragraph" w:customStyle="1" w:styleId="Quotation">
    <w:name w:val="Quotation"/>
    <w:basedOn w:val="Normal"/>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pPr>
      <w:widowControl/>
      <w:spacing w:line="240" w:lineRule="auto"/>
      <w:jc w:val="center"/>
    </w:pPr>
    <w:rPr>
      <w:rFonts w:eastAsia="Calibri"/>
      <w:sz w:val="22"/>
      <w:szCs w:val="22"/>
      <w:u w:val="single"/>
      <w:lang w:eastAsia="en-GB"/>
    </w:rPr>
  </w:style>
  <w:style w:type="paragraph" w:customStyle="1" w:styleId="Title3">
    <w:name w:val="Title 3"/>
    <w:basedOn w:val="Normal"/>
    <w:pPr>
      <w:widowControl/>
      <w:spacing w:line="240" w:lineRule="auto"/>
      <w:jc w:val="center"/>
    </w:pPr>
    <w:rPr>
      <w:rFonts w:eastAsia="Calibri"/>
      <w:i/>
      <w:sz w:val="22"/>
      <w:szCs w:val="22"/>
      <w:lang w:eastAsia="en-GB"/>
    </w:rPr>
  </w:style>
  <w:style w:type="paragraph" w:customStyle="1" w:styleId="TitleCountry">
    <w:name w:val="Title Country"/>
    <w:basedOn w:val="Normal"/>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uiPriority w:val="99"/>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uiPriority w:val="99"/>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uiPriority w:val="99"/>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val="bg-B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val="bg-B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val="bg-B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val="bg-B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0C3DA-D011-42B4-9123-61A2267C0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2435</Words>
  <Characters>12398</Characters>
  <Application>Microsoft Office Word</Application>
  <DocSecurity>0</DocSecurity>
  <Lines>652</Lines>
  <Paragraphs>436</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14</cp:revision>
  <cp:lastPrinted>2004-04-02T13:43:00Z</cp:lastPrinted>
  <dcterms:created xsi:type="dcterms:W3CDTF">2018-07-02T08:48:00Z</dcterms:created>
  <dcterms:modified xsi:type="dcterms:W3CDTF">2018-11-09T16:43:00Z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