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60F934C-E5AC-41FA-B769-373038BE21A1" style="width:450.5pt;height:42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е свързано с решение за установяване на позицията, която да се заеме от Съюза в рамките на Съвместния комитет, създаден с Евро-средиземноморското временно споразумение за асоцииране в областта на търговията и сътрудничеството между Европейската общност, от една страна, и Организацията за освобождение на Палестина (ООП), действаща в полза на Палестинската администрация на Западния бряг и Ивицата Газа, от друга (наричано по-долу „Временното споразумение за асоцииране“), по отношение на приемането на решение за удължаване на валидността на плана за действие на ЕС и Палестинската администрация.</w:t>
      </w:r>
    </w:p>
    <w:p>
      <w:pPr>
        <w:pStyle w:val="ManualHeading1"/>
        <w:rPr>
          <w:noProof/>
        </w:rPr>
      </w:pPr>
      <w:r>
        <w:t>2.</w:t>
      </w:r>
      <w:r>
        <w:tab/>
      </w:r>
      <w:r>
        <w:rPr>
          <w:noProof/>
        </w:rPr>
        <w:t>Контекст на предложението</w:t>
      </w:r>
    </w:p>
    <w:p>
      <w:pPr>
        <w:pStyle w:val="ManualHeading2"/>
        <w:rPr>
          <w:noProof/>
          <w:szCs w:val="24"/>
        </w:rPr>
      </w:pPr>
      <w:r>
        <w:t>2.1.</w:t>
      </w:r>
      <w:r>
        <w:tab/>
      </w:r>
      <w:r>
        <w:rPr>
          <w:noProof/>
        </w:rPr>
        <w:t>Временното споразумение за асоцииране</w:t>
      </w:r>
    </w:p>
    <w:p>
      <w:pPr>
        <w:rPr>
          <w:rFonts w:eastAsia="Times New Roman"/>
          <w:noProof/>
          <w:szCs w:val="24"/>
        </w:rPr>
      </w:pPr>
      <w:r>
        <w:rPr>
          <w:noProof/>
        </w:rPr>
        <w:t xml:space="preserve">Временното споразумение за асоцииране в областта на търговията и сътрудничеството беше подписано на 24 февруари 1997 г. и влезе в сила на 1 юли 1997 г. Временното споразумение за асоцииране представлява правното основание за двустранните отношения между ЕС и Палестинската администрация. В това споразумение се предвижда безмитен достъп на палестинските промишлени стоки до пазарите на ЕС и постепенното премахване в срок от пет години на митата за износ от ЕС за Палестина. Споразумението има за цел: </w:t>
      </w:r>
    </w:p>
    <w:p>
      <w:pPr>
        <w:pStyle w:val="Tiret0"/>
        <w:numPr>
          <w:ilvl w:val="0"/>
          <w:numId w:val="13"/>
        </w:numPr>
        <w:rPr>
          <w:noProof/>
        </w:rPr>
      </w:pPr>
      <w:r>
        <w:rPr>
          <w:noProof/>
        </w:rPr>
        <w:t>да предостави подходяща рамка за изчерпателен диалог, което да позволи развитието на тесни връзки между страните;</w:t>
      </w:r>
    </w:p>
    <w:p>
      <w:pPr>
        <w:pStyle w:val="Tiret0"/>
        <w:rPr>
          <w:noProof/>
        </w:rPr>
      </w:pPr>
      <w:r>
        <w:rPr>
          <w:noProof/>
        </w:rPr>
        <w:t>да създаде условия за прогресивна либерализация на търговията;</w:t>
      </w:r>
    </w:p>
    <w:p>
      <w:pPr>
        <w:pStyle w:val="Tiret0"/>
        <w:rPr>
          <w:noProof/>
        </w:rPr>
      </w:pPr>
      <w:r>
        <w:rPr>
          <w:noProof/>
        </w:rPr>
        <w:t>да насърчава развитието на балансирани икономически и социални отношения между страните посредством диалог и сътрудничество;</w:t>
      </w:r>
    </w:p>
    <w:p>
      <w:pPr>
        <w:pStyle w:val="Tiret0"/>
        <w:rPr>
          <w:noProof/>
        </w:rPr>
      </w:pPr>
      <w:r>
        <w:rPr>
          <w:noProof/>
        </w:rPr>
        <w:t>да допринесе за социалното и икономическото развитие на Западния бряг и Ивицата Газа;</w:t>
      </w:r>
    </w:p>
    <w:p>
      <w:pPr>
        <w:pStyle w:val="Tiret0"/>
        <w:rPr>
          <w:noProof/>
        </w:rPr>
      </w:pPr>
      <w:r>
        <w:rPr>
          <w:noProof/>
        </w:rPr>
        <w:t>да насърчи регионалното сътрудничество с оглед укрепването на мирното сътрудничество и икономическата и политическа стабилност;</w:t>
      </w:r>
    </w:p>
    <w:p>
      <w:pPr>
        <w:pStyle w:val="Tiret0"/>
        <w:rPr>
          <w:noProof/>
        </w:rPr>
      </w:pPr>
      <w:r>
        <w:rPr>
          <w:noProof/>
        </w:rPr>
        <w:t>да насърчи сътрудничеството в други области от взаимен интерес.</w:t>
      </w:r>
    </w:p>
    <w:p>
      <w:pPr>
        <w:pStyle w:val="ManualHeading2"/>
        <w:rPr>
          <w:noProof/>
        </w:rPr>
      </w:pPr>
      <w:r>
        <w:t>2.2.</w:t>
      </w:r>
      <w:r>
        <w:tab/>
      </w:r>
      <w:r>
        <w:rPr>
          <w:noProof/>
        </w:rPr>
        <w:t>Съвместен комитет</w:t>
      </w:r>
    </w:p>
    <w:p>
      <w:pPr>
        <w:autoSpaceDE w:val="0"/>
        <w:autoSpaceDN w:val="0"/>
        <w:adjustRightInd w:val="0"/>
        <w:spacing w:before="0" w:after="0"/>
        <w:rPr>
          <w:rFonts w:ascii="TimesNewRomanPSMT-Identity-H" w:eastAsia="TimesNewRomanPSMT-Identity-H" w:hAnsiTheme="minorHAnsi" w:cs="TimesNewRomanPSMT-Identity-H"/>
          <w:noProof/>
          <w:sz w:val="19"/>
          <w:szCs w:val="19"/>
        </w:rPr>
      </w:pPr>
      <w:r>
        <w:rPr>
          <w:noProof/>
        </w:rPr>
        <w:t>С Временното споразумение за асоцииране се създава Съвместен комитет, който разполага с правомощия да взема решения в случаите, посочени в Споразумението, както и в други случаи, необходими за постигане на целите, определени в него. Решенията са обвързващи за страните. Съвместният комитет може също да формулира препоръки с цел постигането на общите цели и гладкото функциониране на Споразумението. Постът председател на Съвместния комитет се заема алтернативно от представител на Общността и на Палестинската администрация в съответствие с условията, посочени в Процедурния правилник. Съвместният комитет заседава поне веднъж годишно, а когато обстоятелствата го налагат, и по инициатива на председателя си.</w:t>
      </w:r>
    </w:p>
    <w:p>
      <w:pPr>
        <w:autoSpaceDE w:val="0"/>
        <w:autoSpaceDN w:val="0"/>
        <w:adjustRightInd w:val="0"/>
        <w:spacing w:before="0" w:after="0"/>
        <w:jc w:val="left"/>
        <w:rPr>
          <w:noProof/>
          <w:szCs w:val="24"/>
        </w:rPr>
      </w:pPr>
    </w:p>
    <w:p>
      <w:pPr>
        <w:pStyle w:val="ManualHeading2"/>
        <w:rPr>
          <w:noProof/>
        </w:rPr>
      </w:pPr>
      <w:r>
        <w:lastRenderedPageBreak/>
        <w:t>2.3.</w:t>
      </w:r>
      <w:r>
        <w:tab/>
      </w:r>
      <w:r>
        <w:rPr>
          <w:noProof/>
        </w:rPr>
        <w:t>Предвиденият акт на Съвместния комитет</w:t>
      </w:r>
    </w:p>
    <w:p>
      <w:pPr>
        <w:autoSpaceDE w:val="0"/>
        <w:autoSpaceDN w:val="0"/>
        <w:adjustRightInd w:val="0"/>
        <w:spacing w:before="0" w:after="0"/>
        <w:rPr>
          <w:rFonts w:eastAsia="Arial Unicode MS"/>
          <w:noProof/>
          <w:szCs w:val="24"/>
        </w:rPr>
      </w:pPr>
      <w:r>
        <w:rPr>
          <w:noProof/>
        </w:rPr>
        <w:t>Съвместният комитет следва да приеме препоръка за удължаване на валидността на Плана за действие на ЕС и Палестинската администрация (наричана по-нататък „предвиденият акт“). В съответствие с член 10 от Процедурния правилник на Съвместния комитет, препоръката ще бъде приета чрез писмена процедура.</w:t>
      </w:r>
    </w:p>
    <w:p>
      <w:pPr>
        <w:rPr>
          <w:rFonts w:eastAsia="Arial Unicode MS"/>
          <w:noProof/>
          <w:szCs w:val="24"/>
        </w:rPr>
      </w:pPr>
      <w:r>
        <w:rPr>
          <w:noProof/>
        </w:rPr>
        <w:t>Целта на предвидения акт е да се удължи с три години валидността на плана за действие на ЕС и Палестинската администрация, за да се осигури по-нататъшното сътрудничество между двете страни. Ако е необходимо ново удължаване, Комисията и върховният представител следва да бъдат оправомощени да удължат валидността на плана за действие с още три години, без да е необходимо ново решение на Съвета относно позицията, която да бъде заета от Европейския съюз в рамките на Съвместния комитет.</w:t>
      </w:r>
    </w:p>
    <w:p>
      <w:pPr>
        <w:pStyle w:val="ManualHeading1"/>
        <w:rPr>
          <w:rFonts w:eastAsia="Arial Unicode MS"/>
          <w:noProof/>
        </w:rPr>
      </w:pPr>
      <w:r>
        <w:t>3.</w:t>
      </w:r>
      <w:r>
        <w:tab/>
      </w:r>
      <w:r>
        <w:rPr>
          <w:noProof/>
        </w:rPr>
        <w:t>Позиция, която да бъде заета от името на Съюза</w:t>
      </w:r>
    </w:p>
    <w:p>
      <w:pPr>
        <w:rPr>
          <w:rStyle w:val="tlid-translation"/>
          <w:noProof/>
        </w:rPr>
      </w:pPr>
      <w:r>
        <w:rPr>
          <w:rStyle w:val="tlid-translation"/>
          <w:noProof/>
        </w:rPr>
        <w:t xml:space="preserve">Позицията, която да бъде заета от Европейския съюз в рамките на Съвместния комитет, създаден с Временното споразумение за асоцииране, във връзка с приемането на препоръка относно удължаването с три години на валидността на плана за действие на ЕС и Палестинската администрация, се основава на текста на решението, приложено към настоящото решение. </w:t>
      </w:r>
    </w:p>
    <w:p>
      <w:pPr>
        <w:rPr>
          <w:rStyle w:val="tlid-translation"/>
          <w:noProof/>
        </w:rPr>
      </w:pPr>
      <w:r>
        <w:rPr>
          <w:rStyle w:val="tlid-translation"/>
          <w:noProof/>
        </w:rPr>
        <w:t xml:space="preserve">Двете страни са изтъквали многократно богатството и жизнеността на отношенията между Европейския съюз и Палестинската администрация, както и пълната си ангажираност с постоянното развитие на тези отношения във всички области от взаимен интерес. </w:t>
      </w:r>
    </w:p>
    <w:p>
      <w:pPr>
        <w:rPr>
          <w:rStyle w:val="tlid-translation"/>
          <w:noProof/>
        </w:rPr>
      </w:pPr>
      <w:r>
        <w:rPr>
          <w:rStyle w:val="tlid-translation"/>
          <w:noProof/>
        </w:rPr>
        <w:t>Следователно удължаването на валидността на плана за действие на ЕС и Палестинската администрация е в интерес на страните.</w:t>
      </w:r>
    </w:p>
    <w:p>
      <w:pPr>
        <w:rPr>
          <w:noProof/>
        </w:rPr>
      </w:pPr>
    </w:p>
    <w:p>
      <w:pPr>
        <w:pStyle w:val="ManualHeading2"/>
        <w:rPr>
          <w:noProof/>
        </w:rPr>
      </w:pPr>
      <w:r>
        <w:t>3.1.</w:t>
      </w:r>
      <w:r>
        <w:tab/>
      </w:r>
      <w:r>
        <w:rPr>
          <w:noProof/>
        </w:rPr>
        <w:t xml:space="preserve">Процесуалноправно основание </w:t>
      </w:r>
    </w:p>
    <w:p>
      <w:pPr>
        <w:pStyle w:val="ManualHeading3"/>
        <w:rPr>
          <w:noProof/>
        </w:rPr>
      </w:pPr>
      <w:r>
        <w:t>3.1.1.</w:t>
      </w:r>
      <w:r>
        <w:tab/>
      </w:r>
      <w:r>
        <w:rPr>
          <w:noProof/>
        </w:rPr>
        <w:t>Принципи</w:t>
      </w:r>
    </w:p>
    <w:p>
      <w:pPr>
        <w:rPr>
          <w:noProof/>
        </w:rPr>
      </w:pPr>
      <w:r>
        <w:rPr>
          <w:noProof/>
        </w:rPr>
        <w:t>В член 218, параграф 9 от Договора за функционирането на Европейския съюз (ДФЕС) са предвидени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които имат правно действие по силата на международните правни норми, регламентиращи въпросния орган. То включва също така инструменти, които не са правно обвързващи според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1"/>
      </w:r>
    </w:p>
    <w:p>
      <w:pPr>
        <w:pStyle w:val="ManualHeading3"/>
        <w:rPr>
          <w:noProof/>
        </w:rPr>
      </w:pPr>
      <w:r>
        <w:t>3.1.2.</w:t>
      </w:r>
      <w:r>
        <w:tab/>
      </w:r>
      <w:r>
        <w:rPr>
          <w:noProof/>
        </w:rPr>
        <w:t>Приложение в настоящия случай</w:t>
      </w:r>
    </w:p>
    <w:p>
      <w:pPr>
        <w:rPr>
          <w:noProof/>
        </w:rPr>
      </w:pPr>
      <w:r>
        <w:rPr>
          <w:noProof/>
        </w:rPr>
        <w:t>Съвместният комитет е орган, създаден по силата на споразумение, а именно Временното споразумение за асоцииране.</w:t>
      </w:r>
    </w:p>
    <w:p>
      <w:pPr>
        <w:rPr>
          <w:noProof/>
        </w:rPr>
      </w:pPr>
      <w:r>
        <w:rPr>
          <w:noProof/>
        </w:rPr>
        <w:lastRenderedPageBreak/>
        <w:t xml:space="preserve">Актът, който Съвместният комитет има за задача да приеме, представлява акт с правно действие. Предвиденият акт има правно действие, тъй като с него ще бъде удължена с три години валидността на текущия план за действие на ЕС и Палестинската администрация. </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3.2.</w:t>
      </w:r>
      <w:r>
        <w:tab/>
      </w:r>
      <w:r>
        <w:rPr>
          <w:noProof/>
        </w:rPr>
        <w:t>Материалноправно основание</w:t>
      </w:r>
    </w:p>
    <w:p>
      <w:pPr>
        <w:pStyle w:val="ManualHeading3"/>
        <w:rPr>
          <w:noProof/>
        </w:rPr>
      </w:pPr>
      <w:r>
        <w:t>3.2.1.</w:t>
      </w:r>
      <w:r>
        <w:tab/>
      </w:r>
      <w:r>
        <w:rPr>
          <w:noProof/>
        </w:rPr>
        <w:t>Принципи</w:t>
      </w:r>
    </w:p>
    <w:p>
      <w:pPr>
        <w:rPr>
          <w:noProof/>
        </w:rPr>
      </w:pPr>
      <w:r>
        <w:rPr>
          <w:noProof/>
        </w:rPr>
        <w:t>Материалноправното основание за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3.2.2.</w:t>
      </w:r>
      <w:r>
        <w:tab/>
      </w:r>
      <w:r>
        <w:rPr>
          <w:noProof/>
        </w:rPr>
        <w:t>Приложение в настоящия случай</w:t>
      </w:r>
    </w:p>
    <w:p>
      <w:pPr>
        <w:rPr>
          <w:noProof/>
          <w:szCs w:val="24"/>
        </w:rPr>
      </w:pPr>
      <w:r>
        <w:rPr>
          <w:noProof/>
        </w:rPr>
        <w:t>Основната цел и съдържание на предвидения акт са свързани със сътрудничеството с трета държава в рамките на споразумение за асоцииране и Европейската политика за съседство.</w:t>
      </w:r>
    </w:p>
    <w:p>
      <w:pPr>
        <w:rPr>
          <w:i/>
          <w:noProof/>
          <w:szCs w:val="24"/>
        </w:rPr>
      </w:pPr>
      <w:r>
        <w:rPr>
          <w:noProof/>
        </w:rPr>
        <w:t>Поради това материалноправното основание за предложеното решение е член 217 от ДФЕС.</w:t>
      </w:r>
    </w:p>
    <w:p>
      <w:pPr>
        <w:rPr>
          <w:noProof/>
          <w:szCs w:val="24"/>
        </w:rPr>
      </w:pPr>
    </w:p>
    <w:p>
      <w:pPr>
        <w:pStyle w:val="ManualHeading2"/>
        <w:rPr>
          <w:noProof/>
          <w:szCs w:val="24"/>
        </w:rPr>
      </w:pPr>
      <w:r>
        <w:t>3.3.</w:t>
      </w:r>
      <w:r>
        <w:tab/>
      </w:r>
      <w:r>
        <w:rPr>
          <w:noProof/>
        </w:rPr>
        <w:t>Заключение</w:t>
      </w:r>
    </w:p>
    <w:p>
      <w:pPr>
        <w:rPr>
          <w:noProof/>
          <w:szCs w:val="24"/>
        </w:rPr>
      </w:pPr>
      <w:r>
        <w:rPr>
          <w:noProof/>
        </w:rPr>
        <w:t>Правното основание за предложеното решение следва да бъде член 217 във връзка с член 218, параграф 9 от ДФЕС.</w:t>
      </w:r>
    </w:p>
    <w:p>
      <w:pPr>
        <w:pStyle w:val="ManualHeading1"/>
        <w:rPr>
          <w:noProof/>
          <w:szCs w:val="24"/>
        </w:rPr>
      </w:pPr>
      <w:r>
        <w:t>4.</w:t>
      </w:r>
      <w:r>
        <w:tab/>
      </w:r>
      <w:r>
        <w:rPr>
          <w:noProof/>
        </w:rPr>
        <w:t>Публикуване на предвидения акт</w:t>
      </w:r>
    </w:p>
    <w:p>
      <w:pPr>
        <w:autoSpaceDE w:val="0"/>
        <w:autoSpaceDN w:val="0"/>
        <w:adjustRightInd w:val="0"/>
        <w:spacing w:before="0" w:after="0"/>
        <w:jc w:val="left"/>
        <w:rPr>
          <w:noProof/>
          <w:szCs w:val="24"/>
        </w:rPr>
      </w:pPr>
      <w:r>
        <w:rPr>
          <w:noProof/>
        </w:rPr>
        <w:t xml:space="preserve">Тъй като актът на Съвместния комитет ще измени продължителността на плана за действие на ЕС и Палестинската администрация, е целесъобразно след приемането му той да бъде публикуван в </w:t>
      </w:r>
      <w:r>
        <w:rPr>
          <w:i/>
          <w:noProof/>
        </w:rPr>
        <w:t>Официален вестник на Европейския съюз</w:t>
      </w:r>
      <w:r>
        <w:rPr>
          <w:noProof/>
        </w:rPr>
        <w:t xml:space="preserve"> в съответствие с Процедурния правилник на Съвместния комитет ЕС—Палестинската администрация.</w:t>
      </w:r>
    </w:p>
    <w:p>
      <w:pPr>
        <w:rPr>
          <w:noProof/>
          <w:szCs w:val="24"/>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2018/0382 (NLE)</w:t>
      </w:r>
    </w:p>
    <w:p>
      <w:pPr>
        <w:pStyle w:val="Statut"/>
        <w:rPr>
          <w:noProof/>
        </w:rPr>
      </w:pPr>
      <w:r>
        <w:rPr>
          <w:noProof/>
        </w:rPr>
        <w:t>Съвместно 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Съюза в рамките на Съвместния комитет, създаден с Евро-средиземноморското временно споразумение за асоцииране в областта на търговията и сътрудничеството между Европейската общност, от една страна, и Организацията за освобождение на Палестина (ООП), действаща в полза на Палестинската администрация на Западния бряг и Ивицата Газа, от друга, относно удължаването на валидността на плана за действие на ЕС и Палестинската администрация</w:t>
      </w:r>
    </w:p>
    <w:p>
      <w:pPr>
        <w:pStyle w:val="Institutionquiagit"/>
        <w:rPr>
          <w:b/>
          <w:noProof/>
          <w:szCs w:val="24"/>
        </w:rPr>
      </w:pPr>
      <w:r>
        <w:rPr>
          <w:b/>
          <w:noProof/>
        </w:rPr>
        <w:t>СЪВЕТЪТ НА ЕВРОПЕЙСКИЯ СЪЮЗ,</w:t>
      </w:r>
    </w:p>
    <w:p>
      <w:pPr>
        <w:rPr>
          <w:noProof/>
          <w:szCs w:val="24"/>
        </w:rPr>
      </w:pPr>
      <w:r>
        <w:rPr>
          <w:noProof/>
        </w:rPr>
        <w:t>като взе предвид Договора за функционирането на Европейския съюз, и по-специално член 217 във връзка с член 218, параграф 9 от него,</w:t>
      </w:r>
    </w:p>
    <w:p>
      <w:pPr>
        <w:rPr>
          <w:noProof/>
          <w:szCs w:val="24"/>
        </w:rPr>
      </w:pPr>
      <w:r>
        <w:rPr>
          <w:noProof/>
        </w:rPr>
        <w:t>като взе предвид предложението на Европейската комисия и на върховния представител на Съюза по въпросите на външните работи и политиката на сигурност („върховния представител“),</w:t>
      </w:r>
    </w:p>
    <w:p>
      <w:pPr>
        <w:rPr>
          <w:noProof/>
          <w:szCs w:val="24"/>
        </w:rPr>
      </w:pPr>
      <w:r>
        <w:rPr>
          <w:noProof/>
        </w:rPr>
        <w:t>като има предвид, че:</w:t>
      </w:r>
    </w:p>
    <w:p>
      <w:pPr>
        <w:pStyle w:val="ManualConsidrant"/>
        <w:rPr>
          <w:noProof/>
          <w:szCs w:val="24"/>
        </w:rPr>
      </w:pPr>
      <w:r>
        <w:t>(1)</w:t>
      </w:r>
      <w:r>
        <w:tab/>
      </w:r>
      <w:r>
        <w:rPr>
          <w:noProof/>
        </w:rPr>
        <w:t>Временното евро-средиземноморско споразумение за асоцииране в областта на търговията и сътрудничеството между Европейската общност, от една страна, и Организацията за освобождение на Палестина (ООП), действаща в полза на Палестинската администрация на Западния бряг и ивицата Газа, от друга („Временното споразумение за асоцииране“), беше подписано на 24 февруари 1997 г. и влезе в сила на 1 юли 1997 г.</w:t>
      </w:r>
    </w:p>
    <w:p>
      <w:pPr>
        <w:pStyle w:val="ManualConsidrant"/>
        <w:rPr>
          <w:noProof/>
          <w:szCs w:val="24"/>
        </w:rPr>
      </w:pPr>
      <w:r>
        <w:t>(2)</w:t>
      </w:r>
      <w:r>
        <w:tab/>
      </w:r>
      <w:r>
        <w:rPr>
          <w:noProof/>
        </w:rPr>
        <w:t>Страните са съгласни, че текущият план за действие продължава да отразява привилегированото партньорство между ЕС и Палестинската администрация и да подкрепя изпълнението на Временното споразумение за асоцииране.</w:t>
      </w:r>
    </w:p>
    <w:p>
      <w:pPr>
        <w:pStyle w:val="ManualConsidrant"/>
        <w:rPr>
          <w:noProof/>
          <w:szCs w:val="24"/>
        </w:rPr>
      </w:pPr>
      <w:r>
        <w:t>(3)</w:t>
      </w:r>
      <w:r>
        <w:tab/>
      </w:r>
      <w:r>
        <w:rPr>
          <w:noProof/>
        </w:rPr>
        <w:t>В съответствие с член 63 от Временното споразумение за асоцииране Съвместният комитет може да взема решения и да прави съответни препоръки.</w:t>
      </w:r>
    </w:p>
    <w:p>
      <w:pPr>
        <w:pStyle w:val="ManualConsidrant"/>
        <w:rPr>
          <w:noProof/>
          <w:szCs w:val="24"/>
        </w:rPr>
      </w:pPr>
      <w:r>
        <w:t>(4)</w:t>
      </w:r>
      <w:r>
        <w:tab/>
      </w:r>
      <w:r>
        <w:rPr>
          <w:noProof/>
        </w:rPr>
        <w:t>Съвместният комитет следва да приеме чрез писмена процедура препоръката за удължаване с три години на валидността на плана за действие на ЕС и Палестинската администрация.</w:t>
      </w:r>
    </w:p>
    <w:p>
      <w:pPr>
        <w:pStyle w:val="ManualConsidrant"/>
        <w:rPr>
          <w:noProof/>
          <w:szCs w:val="24"/>
        </w:rPr>
      </w:pPr>
      <w:r>
        <w:t>(5)</w:t>
      </w:r>
      <w:r>
        <w:tab/>
      </w:r>
      <w:r>
        <w:rPr>
          <w:noProof/>
        </w:rPr>
        <w:t>Целесъобразно е да се определи позицията, която да се заеме от името на Съюза в рамките на Временното споразумение за асоцииране, тъй като препоръката ще породи правни последици.</w:t>
      </w:r>
    </w:p>
    <w:p>
      <w:pPr>
        <w:pStyle w:val="ManualConsidrant"/>
        <w:rPr>
          <w:noProof/>
          <w:szCs w:val="24"/>
        </w:rPr>
      </w:pPr>
      <w:r>
        <w:t>(6)</w:t>
      </w:r>
      <w:r>
        <w:tab/>
      </w:r>
      <w:r>
        <w:rPr>
          <w:noProof/>
        </w:rPr>
        <w:t>На Комисията и върховния представител следва да бъде разрешено да удължат валидността на плана за действие с още три години, ако е необходимо.</w:t>
      </w:r>
    </w:p>
    <w:p>
      <w:pPr>
        <w:pStyle w:val="ManualConsidrant"/>
        <w:rPr>
          <w:noProof/>
          <w:szCs w:val="24"/>
        </w:rPr>
      </w:pPr>
      <w:r>
        <w:t>(7)</w:t>
      </w:r>
      <w:r>
        <w:tab/>
      </w:r>
      <w:r>
        <w:rPr>
          <w:noProof/>
        </w:rPr>
        <w:t xml:space="preserve">Удължаването на валидността на плана за действие с три години ще даде на страните възможност да продължат сътрудничеството си през следващите години. </w:t>
      </w:r>
    </w:p>
    <w:p>
      <w:pPr>
        <w:pStyle w:val="Formuledadoption"/>
        <w:rPr>
          <w:noProof/>
          <w:szCs w:val="24"/>
        </w:rPr>
      </w:pPr>
      <w:r>
        <w:rPr>
          <w:noProof/>
        </w:rPr>
        <w:lastRenderedPageBreak/>
        <w:t>ПРИЕ НАСТОЯЩОТО РЕШЕНИЕ:</w:t>
      </w:r>
    </w:p>
    <w:p>
      <w:pPr>
        <w:pStyle w:val="Titrearticle"/>
        <w:rPr>
          <w:noProof/>
          <w:szCs w:val="24"/>
        </w:rPr>
      </w:pPr>
      <w:r>
        <w:rPr>
          <w:noProof/>
        </w:rPr>
        <w:t>Член 1</w:t>
      </w:r>
    </w:p>
    <w:p>
      <w:pPr>
        <w:rPr>
          <w:rFonts w:eastAsia="Times New Roman"/>
          <w:noProof/>
          <w:szCs w:val="24"/>
        </w:rPr>
      </w:pPr>
      <w:r>
        <w:rPr>
          <w:noProof/>
        </w:rPr>
        <w:t>Позицията на Съюза в рамките на Съвместния комитет, създаден с Временното евро-средиземноморско споразумение за асоцииране в областта на търговията и сътрудничеството между Европейската общност, от една страна, и Организацията за освобождение на Палестина (ООП), действаща в полза на Палестинската администрация на Западния бряг и ивицата Газа, от друга, по отношение на удължаването на срока на действие на Плана за действие между ЕС и Палестинската администрация се основава на проекта на препоръка на Съвместния комитет, приложена към настоящото решение.</w:t>
      </w:r>
    </w:p>
    <w:p>
      <w:pPr>
        <w:rPr>
          <w:noProof/>
          <w:szCs w:val="24"/>
        </w:rPr>
      </w:pPr>
    </w:p>
    <w:p>
      <w:pPr>
        <w:pStyle w:val="Titrearticle"/>
        <w:rPr>
          <w:noProof/>
          <w:szCs w:val="24"/>
        </w:rPr>
      </w:pPr>
      <w:r>
        <w:rPr>
          <w:noProof/>
        </w:rPr>
        <w:t>Член 2</w:t>
      </w:r>
    </w:p>
    <w:p>
      <w:pPr>
        <w:rPr>
          <w:noProof/>
        </w:rPr>
      </w:pPr>
      <w:r>
        <w:rPr>
          <w:noProof/>
        </w:rPr>
        <w:t>Комисията и върховният представител се упълномощават да удължат валидността на плана за действие с още три години, ако е необходимо.</w:t>
      </w:r>
    </w:p>
    <w:p>
      <w:pPr>
        <w:rPr>
          <w:noProof/>
        </w:rPr>
      </w:pPr>
    </w:p>
    <w:p>
      <w:pPr>
        <w:pStyle w:val="Titrearticle"/>
        <w:rPr>
          <w:noProof/>
          <w:szCs w:val="24"/>
        </w:rPr>
      </w:pPr>
      <w:r>
        <w:rPr>
          <w:noProof/>
        </w:rPr>
        <w:t>Член 3</w:t>
      </w:r>
    </w:p>
    <w:p>
      <w:pPr>
        <w:rPr>
          <w:noProof/>
          <w:szCs w:val="24"/>
        </w:rPr>
      </w:pPr>
      <w:r>
        <w:rPr>
          <w:noProof/>
        </w:rPr>
        <w:t>Адресати на настоящото решение са Комисията и върховният представител.</w:t>
      </w:r>
    </w:p>
    <w:p>
      <w:pPr>
        <w:rPr>
          <w:noProof/>
          <w:szCs w:val="24"/>
        </w:rPr>
      </w:pPr>
    </w:p>
    <w:p>
      <w:pPr>
        <w:pStyle w:val="Fait"/>
        <w:rPr>
          <w:noProof/>
        </w:rPr>
      </w:pPr>
      <w:r>
        <w:t xml:space="preserve">Съставено в Брюксел на </w:t>
      </w:r>
      <w:r>
        <w:rPr>
          <w:rStyle w:val="Marker"/>
        </w:rPr>
        <w:t>[…]</w:t>
      </w:r>
      <w:r>
        <w:t xml:space="preserve"> година.</w:t>
      </w:r>
    </w:p>
    <w:p>
      <w:pPr>
        <w:pStyle w:val="Institutionquisigne"/>
        <w:rPr>
          <w:noProof/>
          <w:szCs w:val="24"/>
        </w:rPr>
      </w:pPr>
      <w:r>
        <w:rPr>
          <w:noProof/>
        </w:rPr>
        <w:tab/>
        <w:t>За Съвета</w:t>
      </w:r>
    </w:p>
    <w:p>
      <w:pPr>
        <w:pStyle w:val="Personnequisigne"/>
        <w:rPr>
          <w:noProof/>
          <w:szCs w:val="24"/>
        </w:rPr>
      </w:pPr>
      <w:r>
        <w:rPr>
          <w:noProof/>
        </w:rPr>
        <w:tab/>
        <w:t>Председател</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A3A0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Identity-H">
    <w:altName w:val="Malgun Gothic"/>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Решение на Съда на Европейския съюз от 7 октомври 2014 г., Германия/Съвет, Дело C-399/12, ECLI:EU:C:2014:2258, т. 61—64.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06E4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8B8B6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708D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2CE8A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8C89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72FB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AD8123C"/>
    <w:lvl w:ilvl="0">
      <w:start w:val="1"/>
      <w:numFmt w:val="decimal"/>
      <w:pStyle w:val="ListNumber"/>
      <w:lvlText w:val="%1."/>
      <w:lvlJc w:val="left"/>
      <w:pPr>
        <w:tabs>
          <w:tab w:val="num" w:pos="360"/>
        </w:tabs>
        <w:ind w:left="360" w:hanging="360"/>
      </w:pPr>
    </w:lvl>
  </w:abstractNum>
  <w:abstractNum w:abstractNumId="7">
    <w:nsid w:val="FFFFFF89"/>
    <w:multiLevelType w:val="singleLevel"/>
    <w:tmpl w:val="C3ECD4C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21"/>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SG (SG)">
    <w15:presenceInfo w15:providerId="None" w15:userId="Author SG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07 09:14: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60F934C-E5AC-41FA-B769-373038BE21A1"/>
    <w:docVar w:name="LW_COVERPAGE_TYPE" w:val="1"/>
    <w:docVar w:name="LW_CROSSREFERENCE" w:val="&lt;UNUSED&gt;"/>
    <w:docVar w:name="LW_DocType" w:val="COM"/>
    <w:docVar w:name="LW_EMISSION" w:val="13.11.2018"/>
    <w:docVar w:name="LW_EMISSION_ISODATE" w:val="2018-11-13"/>
    <w:docVar w:name="LW_EMISSION_LOCATION" w:val="BRX"/>
    <w:docVar w:name="LW_EMISSION_PREFIX" w:val="Брюксел, "/>
    <w:docVar w:name="LW_EMISSION_SUFFIX" w:val="&lt;EMPTY&gt;"/>
    <w:docVar w:name="LW_ID_DOCMODEL" w:val="SG-064"/>
    <w:docVar w:name="LW_ID_DOCSIGNATURE" w:val="SJ-019"/>
    <w:docVar w:name="LW_ID_DOCSTRUCTURE" w:val="COM/PL/ORG"/>
    <w:docVar w:name="LW_ID_DOCTYPE" w:val="SG-064"/>
    <w:docVar w:name="LW_ID_EXP.MOTIFS.NEW" w:val="EM_PL_"/>
    <w:docVar w:name="LW_ID_STATUT" w:val="SG-064"/>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NLE"/>
    <w:docVar w:name="LW_REF.II.NEW.CP_NUMBER" w:val="0382"/>
    <w:docVar w:name="LW_REF.II.NEW.CP_YEAR" w:val="2018"/>
    <w:docVar w:name="LW_REF.INST.NEW" w:val="JOIN"/>
    <w:docVar w:name="LW_REF.INST.NEW_ADOPTED" w:val="final"/>
    <w:docVar w:name="LW_REF.INST.NEW_TEXT" w:val="(2018)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7?\u1098?\u1074?\u1084?\u1077?\u1089?\u1090?\u1085?\u1086? \u1087?\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57?\u1098?\u1102?\u1079?\u1072? \u1074? \u1088?\u1072?\u1084?\u1082?\u1080?\u1090?\u1077? \u1085?\u1072? \u1057?\u1098?\u1074?\u1084?\u1077?\u1089?\u1090?\u1085?\u1080?\u1103? \u1082?\u1086?\u1084?\u1080?\u1090?\u1077?\u1090?, \u1089?\u1098?\u1079?\u1076?\u1072?\u1076?\u1077?\u1085? \u1089? \u1045?\u1074?\u1088?\u1086?-\u1089?\u1088?\u1077?\u1076?\u1080?\u1079?\u1077?\u1084?\u1085?\u1086?\u1084?\u1086?\u1088?\u1089?\u1082?\u1086?\u1090?\u1086? \u1074?\u1088?\u1077?\u1084?\u1077?\u1085?\u1085?\u1086? \u1089?\u1087?\u1086?\u1088?\u1072?\u1079?\u1091?\u1084?\u1077?\u1085?\u1080?\u1077? \u1079?\u1072? \u1072?\u1089?\u1086?\u1094?\u1080?\u1080?\u1088?\u1072?\u1085?\u1077? \u1074? \u1086?\u1073?\u1083?\u1072?\u1089?\u1090?\u1090?\u1072? \u1085?\u1072? \u1090?\u1098?\u1088?\u1075?\u1086?\u1074?\u1080?\u1103?\u1090?\u1072? \u1080? \u1089?\u1098?\u1090?\u1088?\u1091?\u1076?\u1085?\u1080?\u1095?\u1077?\u1089?\u1090?\u1074?\u1086?\u1090?\u1086? \u1084?\u1077?\u1078?\u1076?\u1091? \u1045?\u1074?\u1088?\u1086?\u1087?\u1077?\u1081?\u1089?\u1082?\u1072?\u1090?\u1072? \u1086?\u1073?\u1097?\u1085?\u1086?\u1089?\u1090?, \u1086?\u1090? \u1077?\u1076?\u1085?\u1072? \u1089?\u1090?\u1088?\u1072?\u1085?\u1072?, \u1080? \u1054?\u1088?\u1075?\u1072?\u1085?\u1080?\u1079?\u1072?\u1094?\u1080?\u1103?\u1090?\u1072? \u1079?\u1072? \u1086?\u1089?\u1074?\u1086?\u1073?\u1086?\u1078?\u1076?\u1077?\u1085?\u1080?\u1077? \u1085?\u1072? \u1055?\u1072?\u1083?\u1077?\u1089?\u1090?\u1080?\u1085?\u1072? (\u1054?\u1054?\u1055?), \u1076?\u1077?\u1081?\u1089?\u1090?\u1074?\u1072?\u1097?\u1072? \u1074? \u1087?\u1086?\u1083?\u1079?\u1072? \u1085?\u1072? \u1055?\u1072?\u1083?\u1077?\u1089?\u1090?\u1080?\u1085?\u1089?\u1082?\u1072?\u1090?\u1072? \u1072?\u1076?\u1084?\u1080?\u1085?\u1080?\u1089?\u1090?\u1088?\u1072?\u1094?\u1080?\u1103? \u1085?\u1072? \u1047?\u1072?\u1087?\u1072?\u1076?\u1085?\u1080?\u1103? \u1073?\u1088?\u1103?\u1075? \u1080? \u1048?\u1074?\u1080?\u1094?\u1072?\u1090?\u1072? \u1043?\u1072?\u1079?\u1072?, \u1086?\u1090? \u1076?\u1088?\u1091?\u1075?\u1072?, \u1086?\u1090?\u1085?\u1086?\u1089?\u1085?\u1086? \u1091?\u1076?\u1098?\u1083?\u1078?\u1072?\u1074?\u1072?\u1085?\u1077?\u1090?\u1086? \u1085?\u1072? \u1074?\u1072?\u1083?\u1080?\u1076?\u1085?\u1086?\u1089?\u1090?\u1090?\u1072? \u1085?\u1072? \u1087?\u1083?\u1072?\u1085?\u1072? \u1079?\u1072? \u1076?\u1077?\u1081?\u1089?\u1090?\u1074?\u1080?\u1077? \u1085?\u1072? \u1045?\u1057? \u1080? \u1055?\u1072?\u1083?\u1077?\u1089?\u1090?\u1080?\u1085?\u1089?\u1082?\u1072?\u1090?\u1072? \u1072?\u1076?\u1084?\u1080?\u1085?\u1080?\u1089?\u1090?\u1088?\u1072?\u1094?\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 w:type="paragraph" w:customStyle="1" w:styleId="cell">
    <w:name w:val="cel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 w:type="paragraph" w:customStyle="1" w:styleId="cell">
    <w:name w:val="cel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89">
      <w:bodyDiv w:val="1"/>
      <w:marLeft w:val="0"/>
      <w:marRight w:val="0"/>
      <w:marTop w:val="0"/>
      <w:marBottom w:val="0"/>
      <w:divBdr>
        <w:top w:val="none" w:sz="0" w:space="0" w:color="auto"/>
        <w:left w:val="none" w:sz="0" w:space="0" w:color="auto"/>
        <w:bottom w:val="none" w:sz="0" w:space="0" w:color="auto"/>
        <w:right w:val="none" w:sz="0" w:space="0" w:color="auto"/>
      </w:divBdr>
    </w:div>
    <w:div w:id="9109946">
      <w:bodyDiv w:val="1"/>
      <w:marLeft w:val="0"/>
      <w:marRight w:val="0"/>
      <w:marTop w:val="0"/>
      <w:marBottom w:val="0"/>
      <w:divBdr>
        <w:top w:val="none" w:sz="0" w:space="0" w:color="auto"/>
        <w:left w:val="none" w:sz="0" w:space="0" w:color="auto"/>
        <w:bottom w:val="none" w:sz="0" w:space="0" w:color="auto"/>
        <w:right w:val="none" w:sz="0" w:space="0" w:color="auto"/>
      </w:divBdr>
    </w:div>
    <w:div w:id="224876265">
      <w:bodyDiv w:val="1"/>
      <w:marLeft w:val="0"/>
      <w:marRight w:val="0"/>
      <w:marTop w:val="0"/>
      <w:marBottom w:val="0"/>
      <w:divBdr>
        <w:top w:val="none" w:sz="0" w:space="0" w:color="auto"/>
        <w:left w:val="none" w:sz="0" w:space="0" w:color="auto"/>
        <w:bottom w:val="none" w:sz="0" w:space="0" w:color="auto"/>
        <w:right w:val="none" w:sz="0" w:space="0" w:color="auto"/>
      </w:divBdr>
      <w:divsChild>
        <w:div w:id="1077821435">
          <w:marLeft w:val="0"/>
          <w:marRight w:val="0"/>
          <w:marTop w:val="0"/>
          <w:marBottom w:val="0"/>
          <w:divBdr>
            <w:top w:val="none" w:sz="0" w:space="0" w:color="auto"/>
            <w:left w:val="none" w:sz="0" w:space="0" w:color="auto"/>
            <w:bottom w:val="none" w:sz="0" w:space="0" w:color="auto"/>
            <w:right w:val="none" w:sz="0" w:space="0" w:color="auto"/>
          </w:divBdr>
          <w:divsChild>
            <w:div w:id="10893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7B43B-7F80-47E8-AA04-1BFA3353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1452</Words>
  <Characters>8600</Characters>
  <Application>Microsoft Office Word</Application>
  <DocSecurity>0</DocSecurity>
  <Lines>175</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2018-10-25T12:44:00Z</dcterms:created>
  <dcterms:modified xsi:type="dcterms:W3CDTF">2018-11-07T08:14:00Z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SG-064</vt:lpwstr>
  </property>
  <property fmtid="{D5CDD505-2E9C-101B-9397-08002B2CF9AE}" pid="10" name="DQCStatus">
    <vt:lpwstr>Green (DQC version 03)</vt:lpwstr>
  </property>
</Properties>
</file>