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46685A-E5D1-4061-980B-0CF5505808F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Union position within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("Interim Association Agreement"), with regard to the adoption of a decision concerning the extension of the EU-PA Action Plan.</w:t>
      </w:r>
    </w:p>
    <w:p>
      <w:pPr>
        <w:pStyle w:val="ManualHeading1"/>
        <w:rPr>
          <w:noProof/>
        </w:rPr>
      </w:pPr>
      <w:r>
        <w:t>2.</w:t>
      </w:r>
      <w:r>
        <w:tab/>
      </w:r>
      <w:r>
        <w:rPr>
          <w:noProof/>
        </w:rPr>
        <w:t>Context of the proposal</w:t>
      </w:r>
    </w:p>
    <w:p>
      <w:pPr>
        <w:pStyle w:val="ManualHeading2"/>
        <w:rPr>
          <w:noProof/>
          <w:szCs w:val="24"/>
        </w:rPr>
      </w:pPr>
      <w:r>
        <w:t>2.1.</w:t>
      </w:r>
      <w:r>
        <w:tab/>
      </w:r>
      <w:r>
        <w:rPr>
          <w:noProof/>
        </w:rPr>
        <w:t>The Interim Association Agreement</w:t>
      </w:r>
    </w:p>
    <w:p>
      <w:pPr>
        <w:rPr>
          <w:rFonts w:eastAsia="Times New Roman"/>
          <w:noProof/>
          <w:szCs w:val="24"/>
          <w:lang w:eastAsia="de-DE"/>
        </w:rPr>
      </w:pPr>
      <w:r>
        <w:rPr>
          <w:noProof/>
          <w:lang w:val="en"/>
        </w:rPr>
        <w:t xml:space="preserve">An Interim Association Agreement on Trade and Cooperation was signed on 24 February 1997 and entered into force on 1 July 1997. </w:t>
      </w:r>
      <w:r>
        <w:rPr>
          <w:rFonts w:eastAsia="Times New Roman"/>
          <w:noProof/>
          <w:szCs w:val="24"/>
          <w:lang w:eastAsia="de-DE"/>
        </w:rPr>
        <w:t>The Interim Association Agreement forms the legal basis for the bilateral relations between the EU and the PA.</w:t>
      </w:r>
      <w:r>
        <w:rPr>
          <w:rFonts w:eastAsia="Times New Roman"/>
          <w:noProof/>
          <w:szCs w:val="24"/>
          <w:lang w:val="en" w:eastAsia="en-GB"/>
        </w:rPr>
        <w:t xml:space="preserve"> </w:t>
      </w:r>
      <w:r>
        <w:rPr>
          <w:noProof/>
          <w:lang w:val="en"/>
        </w:rPr>
        <w:t>The Agreement provides for duty-free access to EU markets for Palestinian industrial goods, and a phase-out of tariffs on EU exports to Palestine over five years. The Agreement aims to:</w:t>
      </w:r>
      <w:r>
        <w:rPr>
          <w:rFonts w:eastAsia="Times New Roman"/>
          <w:noProof/>
          <w:szCs w:val="24"/>
          <w:lang w:eastAsia="de-DE"/>
        </w:rPr>
        <w:t xml:space="preserve"> </w:t>
      </w:r>
    </w:p>
    <w:p>
      <w:pPr>
        <w:pStyle w:val="Tiret0"/>
        <w:numPr>
          <w:ilvl w:val="0"/>
          <w:numId w:val="13"/>
        </w:numPr>
        <w:rPr>
          <w:noProof/>
          <w:lang w:val="en"/>
        </w:rPr>
      </w:pPr>
      <w:r>
        <w:rPr>
          <w:noProof/>
          <w:lang w:val="en"/>
        </w:rPr>
        <w:t>provide an app</w:t>
      </w:r>
      <w:r>
        <w:rPr>
          <w:bCs/>
          <w:noProof/>
          <w:lang w:val="en"/>
        </w:rPr>
        <w:t>ropriate</w:t>
      </w:r>
      <w:r>
        <w:rPr>
          <w:noProof/>
          <w:lang w:val="en"/>
        </w:rPr>
        <w:t xml:space="preserve"> framework for a comprehensive dialogue, allowing the development of close relations between the Parties;</w:t>
      </w:r>
    </w:p>
    <w:p>
      <w:pPr>
        <w:pStyle w:val="Tiret0"/>
        <w:rPr>
          <w:noProof/>
          <w:lang w:val="en"/>
        </w:rPr>
      </w:pPr>
      <w:r>
        <w:rPr>
          <w:noProof/>
          <w:lang w:val="en"/>
        </w:rPr>
        <w:t>establish the conditions for the progressive liberalisation of trade;</w:t>
      </w:r>
    </w:p>
    <w:p>
      <w:pPr>
        <w:pStyle w:val="Tiret0"/>
        <w:rPr>
          <w:noProof/>
          <w:lang w:val="en"/>
        </w:rPr>
      </w:pPr>
      <w:r>
        <w:rPr>
          <w:noProof/>
          <w:lang w:val="en"/>
        </w:rPr>
        <w:t>foster the development of balanced economic and social relations between the Parties through dialogue and cooperation;</w:t>
      </w:r>
    </w:p>
    <w:p>
      <w:pPr>
        <w:pStyle w:val="Tiret0"/>
        <w:rPr>
          <w:noProof/>
          <w:lang w:val="en"/>
        </w:rPr>
      </w:pPr>
      <w:r>
        <w:rPr>
          <w:noProof/>
          <w:lang w:val="en"/>
        </w:rPr>
        <w:t>contribute to the social and economic development of the West Bank and the Gaza Strip;</w:t>
      </w:r>
    </w:p>
    <w:p>
      <w:pPr>
        <w:pStyle w:val="Tiret0"/>
        <w:rPr>
          <w:noProof/>
          <w:lang w:val="en"/>
        </w:rPr>
      </w:pPr>
      <w:r>
        <w:rPr>
          <w:noProof/>
          <w:lang w:val="en"/>
        </w:rPr>
        <w:t>encourage regional cooperation with a view to the consolidation of a peaceful coexistence and economic and social stability;</w:t>
      </w:r>
    </w:p>
    <w:p>
      <w:pPr>
        <w:pStyle w:val="Tiret0"/>
        <w:rPr>
          <w:noProof/>
          <w:lang w:val="en"/>
        </w:rPr>
      </w:pPr>
      <w:r>
        <w:rPr>
          <w:noProof/>
          <w:lang w:val="en"/>
        </w:rPr>
        <w:t>promote cooperation in other areas that are of reciprocal interest.</w:t>
      </w:r>
    </w:p>
    <w:p>
      <w:pPr>
        <w:pStyle w:val="ManualHeading2"/>
        <w:rPr>
          <w:noProof/>
        </w:rPr>
      </w:pPr>
      <w:r>
        <w:t>2.2.</w:t>
      </w:r>
      <w:r>
        <w:tab/>
      </w:r>
      <w:r>
        <w:rPr>
          <w:noProof/>
        </w:rPr>
        <w:t>The Joint Committee</w:t>
      </w:r>
    </w:p>
    <w:p>
      <w:pPr>
        <w:autoSpaceDE w:val="0"/>
        <w:autoSpaceDN w:val="0"/>
        <w:adjustRightInd w:val="0"/>
        <w:spacing w:before="0" w:after="0"/>
        <w:rPr>
          <w:rFonts w:ascii="TimesNewRomanPSMT-Identity-H" w:eastAsia="TimesNewRomanPSMT-Identity-H" w:hAnsiTheme="minorHAnsi" w:cs="TimesNewRomanPSMT-Identity-H"/>
          <w:noProof/>
          <w:sz w:val="19"/>
          <w:szCs w:val="19"/>
        </w:rPr>
      </w:pPr>
      <w:r>
        <w:rPr>
          <w:rFonts w:eastAsia="Times New Roman"/>
          <w:noProof/>
          <w:szCs w:val="24"/>
          <w:lang w:val="en" w:eastAsia="en-GB"/>
        </w:rPr>
        <w:t xml:space="preserve">The Interim Association Agreement establishes a Joint Committee, which has the power to take decisions in the cases provided in the Agreement as well as in other cases necessary for the purpose of attaining the objectives set out therein. The decisions are binding on the Parties. The Joint Committee may also make recommendations for the attainment of the common objectives and the smooth functioning of the Agreement. </w:t>
      </w:r>
      <w:r>
        <w:rPr>
          <w:noProof/>
          <w:szCs w:val="24"/>
        </w:rPr>
        <w:t>The office of Chairman of the Joint Committee is held alternately by the EU and the Palestinian Authority in accordance with the conditions laid down in the rules of procedure. The Joint Committee meets at least once a year and when circumstances require on the initiative of its Chairman.</w:t>
      </w:r>
    </w:p>
    <w:p>
      <w:pPr>
        <w:autoSpaceDE w:val="0"/>
        <w:autoSpaceDN w:val="0"/>
        <w:adjustRightInd w:val="0"/>
        <w:spacing w:before="0" w:after="0"/>
        <w:jc w:val="left"/>
        <w:rPr>
          <w:noProof/>
          <w:szCs w:val="24"/>
        </w:rPr>
      </w:pPr>
    </w:p>
    <w:p>
      <w:pPr>
        <w:pStyle w:val="ManualHeading2"/>
        <w:rPr>
          <w:noProof/>
        </w:rPr>
      </w:pPr>
      <w:r>
        <w:t>2.3.</w:t>
      </w:r>
      <w:r>
        <w:tab/>
      </w:r>
      <w:r>
        <w:rPr>
          <w:noProof/>
        </w:rPr>
        <w:t>The envisaged act of the Joint Committee</w:t>
      </w:r>
    </w:p>
    <w:p>
      <w:pPr>
        <w:autoSpaceDE w:val="0"/>
        <w:autoSpaceDN w:val="0"/>
        <w:adjustRightInd w:val="0"/>
        <w:spacing w:before="0" w:after="0"/>
        <w:rPr>
          <w:rFonts w:eastAsia="Arial Unicode MS"/>
          <w:noProof/>
          <w:szCs w:val="24"/>
        </w:rPr>
      </w:pPr>
      <w:r>
        <w:rPr>
          <w:noProof/>
          <w:szCs w:val="24"/>
        </w:rPr>
        <w:t xml:space="preserve">The Joint Committee is to adopt a </w:t>
      </w:r>
      <w:r>
        <w:rPr>
          <w:noProof/>
        </w:rPr>
        <w:t>recommendation concerning the extension of the EU-PA Action Plan (the 'envisaged act'). In accordance with Article 10 of the Rules of Procedure of the Joint Committee, the recommendation will be adopted by written procedure.</w:t>
      </w:r>
    </w:p>
    <w:p>
      <w:pPr>
        <w:rPr>
          <w:rFonts w:eastAsia="Arial Unicode MS"/>
          <w:noProof/>
          <w:szCs w:val="24"/>
        </w:rPr>
      </w:pPr>
      <w:r>
        <w:rPr>
          <w:rFonts w:eastAsia="Arial Unicode MS"/>
          <w:noProof/>
          <w:szCs w:val="24"/>
        </w:rPr>
        <w:t>The purpose of the envisaged act is to extend by three years the validity of the EU – PA Action Plan, to ensure the continuation of cooperation between the two parties. Should the need for a further extension arise, the Commission and the High Representative should be empowered to extend the Action Plan for another three-year period without the need for a new Council Decision on the position to be taken by the European Union in the Joint Committee.</w:t>
      </w:r>
    </w:p>
    <w:p>
      <w:pPr>
        <w:pStyle w:val="ManualHeading1"/>
        <w:rPr>
          <w:noProof/>
        </w:rPr>
      </w:pPr>
      <w:r>
        <w:t>3.</w:t>
      </w:r>
      <w:r>
        <w:tab/>
      </w:r>
      <w:r>
        <w:rPr>
          <w:noProof/>
        </w:rPr>
        <w:t>Position to be taken on the Union's behalf</w:t>
      </w:r>
    </w:p>
    <w:p>
      <w:pPr>
        <w:rPr>
          <w:rStyle w:val="tlid-translation"/>
          <w:noProof/>
        </w:rPr>
      </w:pPr>
      <w:r>
        <w:rPr>
          <w:rStyle w:val="tlid-translation"/>
          <w:noProof/>
        </w:rPr>
        <w:t xml:space="preserve">The position to be adopted by the European Union in the Joint Committee stablished by the Interim Association Agreement on the adoption of a recommendation on the three-year extension of the EU-PA Action Plan is based on the text of the decision annexed to this Decision. </w:t>
      </w:r>
    </w:p>
    <w:p>
      <w:pPr>
        <w:rPr>
          <w:rStyle w:val="tlid-translation"/>
          <w:noProof/>
        </w:rPr>
      </w:pPr>
      <w:r>
        <w:rPr>
          <w:rStyle w:val="tlid-translation"/>
          <w:noProof/>
        </w:rPr>
        <w:t xml:space="preserve">Both parties have repeatedly confirmed the richness and vitality of relations between the European Union and PA and their full commitment to the continued development of the latter in all areas of mutual interest. </w:t>
      </w:r>
    </w:p>
    <w:p>
      <w:pPr>
        <w:rPr>
          <w:rStyle w:val="tlid-translation"/>
          <w:noProof/>
        </w:rPr>
      </w:pPr>
      <w:r>
        <w:rPr>
          <w:rStyle w:val="tlid-translation"/>
          <w:noProof/>
        </w:rPr>
        <w:t>The extension of the EU – PA Action Plan is therefore in the interest of the Parties.</w:t>
      </w:r>
    </w:p>
    <w:p>
      <w:pPr>
        <w:rPr>
          <w:noProof/>
        </w:rPr>
      </w:pPr>
    </w:p>
    <w:p>
      <w:pPr>
        <w:pStyle w:val="ManualHeading2"/>
        <w:rPr>
          <w:noProof/>
        </w:rPr>
      </w:pPr>
      <w:r>
        <w:t>3.1.</w:t>
      </w:r>
      <w:r>
        <w:tab/>
      </w:r>
      <w:r>
        <w:rPr>
          <w:noProof/>
        </w:rPr>
        <w:t xml:space="preserve">Procedural legal basis </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3.1.2.</w:t>
      </w:r>
      <w:r>
        <w:tab/>
      </w:r>
      <w:r>
        <w:rPr>
          <w:noProof/>
        </w:rPr>
        <w:t>Application to the present case</w:t>
      </w:r>
    </w:p>
    <w:p>
      <w:pPr>
        <w:rPr>
          <w:noProof/>
        </w:rPr>
      </w:pPr>
      <w:r>
        <w:rPr>
          <w:noProof/>
        </w:rPr>
        <w:t>The Joint Committee is a body set up by an agreement, namely the Interim Association Agreement</w:t>
      </w:r>
      <w:r>
        <w:rPr>
          <w:noProof/>
          <w:sz w:val="23"/>
          <w:szCs w:val="23"/>
        </w:rPr>
        <w:t>.</w:t>
      </w:r>
    </w:p>
    <w:p>
      <w:pPr>
        <w:rPr>
          <w:noProof/>
        </w:rPr>
      </w:pPr>
      <w:r>
        <w:rPr>
          <w:noProof/>
        </w:rPr>
        <w:t xml:space="preserve">The act which the Joint Committee is called upon to adopt constitutes an act having legal effects. The envisaged act has legal effects because it will extend the current EU – PA Action Plan for three years. </w:t>
      </w:r>
    </w:p>
    <w:p>
      <w:pPr>
        <w:rPr>
          <w:noProof/>
        </w:rPr>
      </w:pPr>
      <w:r>
        <w:rPr>
          <w:noProof/>
        </w:rPr>
        <w:t>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3.2.2.</w:t>
      </w:r>
      <w:r>
        <w:tab/>
      </w:r>
      <w:r>
        <w:rPr>
          <w:noProof/>
        </w:rPr>
        <w:t>Application to the present case</w:t>
      </w:r>
    </w:p>
    <w:p>
      <w:pPr>
        <w:rPr>
          <w:noProof/>
          <w:szCs w:val="24"/>
        </w:rPr>
      </w:pPr>
      <w:r>
        <w:rPr>
          <w:noProof/>
        </w:rPr>
        <w:t>The</w:t>
      </w:r>
      <w:r>
        <w:rPr>
          <w:noProof/>
          <w:szCs w:val="24"/>
        </w:rPr>
        <w:t xml:space="preserve"> main objective and content of the envisaged act relate to cooperation with a third country in the framework of an association agreement and the European Neighbourhood Policy.</w:t>
      </w:r>
    </w:p>
    <w:p>
      <w:pPr>
        <w:rPr>
          <w:i/>
          <w:noProof/>
          <w:szCs w:val="24"/>
        </w:rPr>
      </w:pPr>
      <w:r>
        <w:rPr>
          <w:noProof/>
          <w:szCs w:val="24"/>
        </w:rPr>
        <w:t xml:space="preserve">Therefore, the substantive legal basis of the proposed decision is </w:t>
      </w:r>
      <w:r>
        <w:rPr>
          <w:noProof/>
        </w:rPr>
        <w:t>Article 217 TFEU.</w:t>
      </w:r>
    </w:p>
    <w:p>
      <w:pPr>
        <w:rPr>
          <w:noProof/>
          <w:szCs w:val="24"/>
        </w:rPr>
      </w:pPr>
    </w:p>
    <w:p>
      <w:pPr>
        <w:pStyle w:val="ManualHeading2"/>
        <w:rPr>
          <w:noProof/>
        </w:rPr>
      </w:pPr>
      <w:r>
        <w:t>3.3.</w:t>
      </w:r>
      <w:r>
        <w:tab/>
      </w:r>
      <w:r>
        <w:rPr>
          <w:noProof/>
        </w:rPr>
        <w:t>Conclusion</w:t>
      </w:r>
    </w:p>
    <w:p>
      <w:pPr>
        <w:rPr>
          <w:noProof/>
          <w:szCs w:val="24"/>
        </w:rPr>
      </w:pPr>
      <w:r>
        <w:rPr>
          <w:noProof/>
          <w:szCs w:val="24"/>
        </w:rPr>
        <w:t>The legal basis of the proposed decision should be Article 217 in conjunction with Article 218(9) TFEU.</w:t>
      </w:r>
    </w:p>
    <w:p>
      <w:pPr>
        <w:pStyle w:val="ManualHeading1"/>
        <w:rPr>
          <w:noProof/>
        </w:rPr>
      </w:pPr>
      <w:r>
        <w:t>4.</w:t>
      </w:r>
      <w:r>
        <w:tab/>
      </w:r>
      <w:r>
        <w:rPr>
          <w:noProof/>
        </w:rPr>
        <w:t>Publication of the envisaged act</w:t>
      </w:r>
    </w:p>
    <w:p>
      <w:pPr>
        <w:autoSpaceDE w:val="0"/>
        <w:autoSpaceDN w:val="0"/>
        <w:adjustRightInd w:val="0"/>
        <w:spacing w:before="0" w:after="0"/>
        <w:jc w:val="left"/>
        <w:rPr>
          <w:noProof/>
          <w:szCs w:val="24"/>
        </w:rPr>
      </w:pPr>
      <w:r>
        <w:rPr>
          <w:noProof/>
          <w:szCs w:val="24"/>
        </w:rPr>
        <w:t xml:space="preserve">As the act of the Joint Committee will modify the duration of the EU – PA Action Plan it is appropriate to publish it in the </w:t>
      </w:r>
      <w:r>
        <w:rPr>
          <w:i/>
          <w:noProof/>
          <w:szCs w:val="24"/>
        </w:rPr>
        <w:t xml:space="preserve">Official Journal of the European Union </w:t>
      </w:r>
      <w:r>
        <w:rPr>
          <w:noProof/>
          <w:szCs w:val="24"/>
        </w:rPr>
        <w:t>after its adoption, in accordance with Rules of Procedure of the EU – PA Joint Committee.</w:t>
      </w:r>
    </w:p>
    <w:p>
      <w:pPr>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2018/0382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concerning the extension of the EU – PA Action Plan</w:t>
      </w:r>
    </w:p>
    <w:p>
      <w:pPr>
        <w:pStyle w:val="Institutionquiagit"/>
        <w:rPr>
          <w:b/>
          <w:noProof/>
          <w:szCs w:val="24"/>
        </w:rPr>
      </w:pPr>
      <w:r>
        <w:rPr>
          <w:b/>
          <w:noProof/>
          <w:szCs w:val="24"/>
        </w:rPr>
        <w:t>THE COUNCIL OF THE EUROPEAN UNION,</w:t>
      </w:r>
    </w:p>
    <w:p>
      <w:pPr>
        <w:rPr>
          <w:noProof/>
          <w:szCs w:val="24"/>
        </w:rPr>
      </w:pPr>
      <w:r>
        <w:rPr>
          <w:noProof/>
          <w:szCs w:val="24"/>
        </w:rPr>
        <w:t xml:space="preserve">Having regard to the Treaty on the Functioning of the European Union, and in particular Articles </w:t>
      </w:r>
      <w:r>
        <w:rPr>
          <w:noProof/>
        </w:rPr>
        <w:t xml:space="preserve">217 </w:t>
      </w:r>
      <w:r>
        <w:rPr>
          <w:noProof/>
          <w:szCs w:val="24"/>
        </w:rPr>
        <w:t>in relation  to Article 218(9) thereof,</w:t>
      </w:r>
    </w:p>
    <w:p>
      <w:pPr>
        <w:rPr>
          <w:noProof/>
          <w:szCs w:val="24"/>
        </w:rPr>
      </w:pPr>
      <w:r>
        <w:rPr>
          <w:noProof/>
          <w:szCs w:val="24"/>
        </w:rPr>
        <w:t>Having regard to the proposal from the European Commission and the High Representative of the Union for Foreign Affairs and Security Policy ('High Representative'),</w:t>
      </w:r>
    </w:p>
    <w:p>
      <w:pPr>
        <w:rPr>
          <w:noProof/>
          <w:szCs w:val="24"/>
        </w:rPr>
      </w:pPr>
      <w:r>
        <w:rPr>
          <w:noProof/>
          <w:szCs w:val="24"/>
        </w:rPr>
        <w:t>Whereas:</w:t>
      </w:r>
    </w:p>
    <w:p>
      <w:pPr>
        <w:pStyle w:val="ManualConsidrant"/>
        <w:rPr>
          <w:noProof/>
        </w:rPr>
      </w:pPr>
      <w:r>
        <w:t>(1)</w:t>
      </w:r>
      <w:r>
        <w:tab/>
      </w:r>
      <w:r>
        <w:rPr>
          <w:noProof/>
        </w:rPr>
        <w:t>The Euro-Mediterranean Interim Association Agreement on Trade and Cooperation between the European Community, of the one part, and the Palestine Liberation Organisation (PLO) for the benefit of the Palestinian Authority of the West Bank and the Gaza Strip, of the other part (the 'Interim Association Agreement'), was signed on 24 February 1997 and entered into force on 1 July 1997.</w:t>
      </w:r>
    </w:p>
    <w:p>
      <w:pPr>
        <w:pStyle w:val="ManualConsidrant"/>
        <w:rPr>
          <w:noProof/>
        </w:rPr>
      </w:pPr>
      <w:r>
        <w:t>(2)</w:t>
      </w:r>
      <w:r>
        <w:tab/>
      </w:r>
      <w:r>
        <w:rPr>
          <w:noProof/>
        </w:rPr>
        <w:t>The Parties agree that the current Action Plan continues to reflect the privileged EU-PA partnership and to support the implementation of the Interim Association Agreement.</w:t>
      </w:r>
    </w:p>
    <w:p>
      <w:pPr>
        <w:pStyle w:val="ManualConsidrant"/>
        <w:rPr>
          <w:noProof/>
        </w:rPr>
      </w:pPr>
      <w:r>
        <w:t>(3)</w:t>
      </w:r>
      <w:r>
        <w:tab/>
      </w:r>
      <w:r>
        <w:rPr>
          <w:noProof/>
        </w:rPr>
        <w:t>Pursuant to Article 63 of the Interim Association Agreement, the Joint Committee may take decisions and make appropriate recommendations.</w:t>
      </w:r>
    </w:p>
    <w:p>
      <w:pPr>
        <w:pStyle w:val="ManualConsidrant"/>
        <w:rPr>
          <w:noProof/>
        </w:rPr>
      </w:pPr>
      <w:r>
        <w:t>(4)</w:t>
      </w:r>
      <w:r>
        <w:tab/>
      </w:r>
      <w:r>
        <w:rPr>
          <w:noProof/>
        </w:rPr>
        <w:t>The Joint Committee is to adopt the recommendation on the extension by three years of the EU – PA Action Plan by written procedure.</w:t>
      </w:r>
    </w:p>
    <w:p>
      <w:pPr>
        <w:pStyle w:val="ManualConsidrant"/>
        <w:rPr>
          <w:noProof/>
        </w:rPr>
      </w:pPr>
      <w:r>
        <w:t>(5)</w:t>
      </w:r>
      <w:r>
        <w:tab/>
      </w:r>
      <w:r>
        <w:rPr>
          <w:noProof/>
        </w:rPr>
        <w:t>It is appropriate to establish the position to be taken on the Union's behalf in the Interim Association Agreement as the recommendation will have legal effects.</w:t>
      </w:r>
    </w:p>
    <w:p>
      <w:pPr>
        <w:pStyle w:val="ManualConsidrant"/>
        <w:rPr>
          <w:noProof/>
        </w:rPr>
      </w:pPr>
      <w:r>
        <w:t>(6)</w:t>
      </w:r>
      <w:r>
        <w:tab/>
      </w:r>
      <w:r>
        <w:rPr>
          <w:noProof/>
        </w:rPr>
        <w:t>The Commission and the High Representative should be authorised to extend the Action Plan for a period of another three years should the need be.</w:t>
      </w:r>
    </w:p>
    <w:p>
      <w:pPr>
        <w:pStyle w:val="ManualConsidrant"/>
        <w:rPr>
          <w:noProof/>
        </w:rPr>
      </w:pPr>
      <w:r>
        <w:t>(7)</w:t>
      </w:r>
      <w:r>
        <w:tab/>
      </w:r>
      <w:r>
        <w:rPr>
          <w:noProof/>
        </w:rPr>
        <w:t xml:space="preserve">The extension of the Action Plan for three years will give the Parties the opportunity to take forward their cooperation for the coming years. </w:t>
      </w:r>
    </w:p>
    <w:p>
      <w:pPr>
        <w:pStyle w:val="Formuledadoption"/>
        <w:rPr>
          <w:noProof/>
          <w:szCs w:val="24"/>
        </w:rPr>
      </w:pPr>
      <w:r>
        <w:rPr>
          <w:noProof/>
          <w:szCs w:val="24"/>
        </w:rPr>
        <w:t>HAS ADOPTED THIS DECISION:</w:t>
      </w:r>
    </w:p>
    <w:p>
      <w:pPr>
        <w:pStyle w:val="Titrearticle"/>
        <w:rPr>
          <w:noProof/>
          <w:szCs w:val="24"/>
        </w:rPr>
      </w:pPr>
      <w:r>
        <w:rPr>
          <w:noProof/>
          <w:szCs w:val="24"/>
        </w:rPr>
        <w:t>Article 1</w:t>
      </w:r>
    </w:p>
    <w:p>
      <w:pPr>
        <w:rPr>
          <w:rFonts w:eastAsia="Times New Roman"/>
          <w:noProof/>
          <w:szCs w:val="24"/>
        </w:rPr>
      </w:pPr>
      <w:r>
        <w:rPr>
          <w:rFonts w:eastAsia="Times New Roman"/>
          <w:noProof/>
          <w:szCs w:val="24"/>
        </w:rPr>
        <w:t>The Union position within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with regard to the extension of the EU-PA Action Plan shall be based on the draft recommendation of the Joint Committee attached to this Decision.</w:t>
      </w:r>
    </w:p>
    <w:p>
      <w:pPr>
        <w:rPr>
          <w:noProof/>
          <w:szCs w:val="24"/>
        </w:rPr>
      </w:pPr>
    </w:p>
    <w:p>
      <w:pPr>
        <w:pStyle w:val="Titrearticle"/>
        <w:rPr>
          <w:noProof/>
          <w:szCs w:val="24"/>
        </w:rPr>
      </w:pPr>
      <w:r>
        <w:rPr>
          <w:noProof/>
          <w:szCs w:val="24"/>
        </w:rPr>
        <w:t>Article 2</w:t>
      </w:r>
    </w:p>
    <w:p>
      <w:pPr>
        <w:rPr>
          <w:noProof/>
        </w:rPr>
      </w:pPr>
      <w:r>
        <w:rPr>
          <w:noProof/>
        </w:rPr>
        <w:t>The Commission and the High Representative are hereby authorised to extend the Action Plan for a period of another three years should the need be.</w:t>
      </w:r>
    </w:p>
    <w:p>
      <w:pPr>
        <w:rPr>
          <w:noProof/>
        </w:rPr>
      </w:pPr>
    </w:p>
    <w:p>
      <w:pPr>
        <w:pStyle w:val="Titrearticle"/>
        <w:rPr>
          <w:noProof/>
          <w:szCs w:val="24"/>
        </w:rPr>
      </w:pPr>
      <w:r>
        <w:rPr>
          <w:noProof/>
          <w:szCs w:val="24"/>
        </w:rPr>
        <w:t xml:space="preserve">Article </w:t>
      </w:r>
      <w:r>
        <w:rPr>
          <w:noProof/>
        </w:rPr>
        <w:t>3</w:t>
      </w:r>
    </w:p>
    <w:p>
      <w:pPr>
        <w:rPr>
          <w:noProof/>
          <w:szCs w:val="24"/>
        </w:rPr>
      </w:pPr>
      <w:r>
        <w:rPr>
          <w:noProof/>
          <w:szCs w:val="24"/>
        </w:rPr>
        <w:t>This Decision is addressed to the Commission and the High Representative.</w:t>
      </w:r>
    </w:p>
    <w:p>
      <w:pPr>
        <w:rPr>
          <w:noProof/>
          <w:szCs w:val="24"/>
        </w:rPr>
      </w:pPr>
    </w:p>
    <w:p>
      <w:pPr>
        <w:pStyle w:val="Fait"/>
        <w:rPr>
          <w:noProof/>
        </w:rPr>
      </w:pPr>
      <w: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3A0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Case C-399/12, ECLI:EU:C:2014:2258, paragraphs 61to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06E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8B8B6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708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CE8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8C8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2F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D8123C"/>
    <w:lvl w:ilvl="0">
      <w:start w:val="1"/>
      <w:numFmt w:val="decimal"/>
      <w:pStyle w:val="ListNumber"/>
      <w:lvlText w:val="%1."/>
      <w:lvlJc w:val="left"/>
      <w:pPr>
        <w:tabs>
          <w:tab w:val="num" w:pos="360"/>
        </w:tabs>
        <w:ind w:left="360" w:hanging="360"/>
      </w:pPr>
    </w:lvl>
  </w:abstractNum>
  <w:abstractNum w:abstractNumId="7">
    <w:nsid w:val="FFFFFF89"/>
    <w:multiLevelType w:val="singleLevel"/>
    <w:tmpl w:val="C3ECD4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1"/>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SG (SG)">
    <w15:presenceInfo w15:providerId="None" w15:userId="Author SG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7 09:13: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346685A-E5D1-4061-980B-0CF5505808FE"/>
    <w:docVar w:name="LW_COVERPAGE_TYPE" w:val="1"/>
    <w:docVar w:name="LW_CROSSREFERENCE" w:val="&lt;UNUSED&gt;"/>
    <w:docVar w:name="LW_DocType" w:val="COM"/>
    <w:docVar w:name="LW_EMISSION" w:val="13.11.2018"/>
    <w:docVar w:name="LW_EMISSION_ISODATE" w:val="2018-11-13"/>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382"/>
    <w:docVar w:name="LW_REF.II.NEW.CP_YEAR" w:val="2018"/>
    <w:docVar w:name="LW_REF.INST.NEW" w:val="JOIN"/>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position to be taken on behalf of the European Union in the Joint Committee established by the Euro-Mediterranean Interim Association Agreement on Trade and Cooperation between the European Community, of the one part, and the Palestine Liberation Organisation (PLO) for the benefit of the Palestinian Authority (PA) of the West Bank and the Gaza Strip, of the other part, concerning the extension of the EU \u8211? PA Action Pla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cell">
    <w:name w:val="cel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89">
      <w:bodyDiv w:val="1"/>
      <w:marLeft w:val="0"/>
      <w:marRight w:val="0"/>
      <w:marTop w:val="0"/>
      <w:marBottom w:val="0"/>
      <w:divBdr>
        <w:top w:val="none" w:sz="0" w:space="0" w:color="auto"/>
        <w:left w:val="none" w:sz="0" w:space="0" w:color="auto"/>
        <w:bottom w:val="none" w:sz="0" w:space="0" w:color="auto"/>
        <w:right w:val="none" w:sz="0" w:space="0" w:color="auto"/>
      </w:divBdr>
    </w:div>
    <w:div w:id="9109946">
      <w:bodyDiv w:val="1"/>
      <w:marLeft w:val="0"/>
      <w:marRight w:val="0"/>
      <w:marTop w:val="0"/>
      <w:marBottom w:val="0"/>
      <w:divBdr>
        <w:top w:val="none" w:sz="0" w:space="0" w:color="auto"/>
        <w:left w:val="none" w:sz="0" w:space="0" w:color="auto"/>
        <w:bottom w:val="none" w:sz="0" w:space="0" w:color="auto"/>
        <w:right w:val="none" w:sz="0" w:space="0" w:color="auto"/>
      </w:divBdr>
    </w:div>
    <w:div w:id="224876265">
      <w:bodyDiv w:val="1"/>
      <w:marLeft w:val="0"/>
      <w:marRight w:val="0"/>
      <w:marTop w:val="0"/>
      <w:marBottom w:val="0"/>
      <w:divBdr>
        <w:top w:val="none" w:sz="0" w:space="0" w:color="auto"/>
        <w:left w:val="none" w:sz="0" w:space="0" w:color="auto"/>
        <w:bottom w:val="none" w:sz="0" w:space="0" w:color="auto"/>
        <w:right w:val="none" w:sz="0" w:space="0" w:color="auto"/>
      </w:divBdr>
      <w:divsChild>
        <w:div w:id="1077821435">
          <w:marLeft w:val="0"/>
          <w:marRight w:val="0"/>
          <w:marTop w:val="0"/>
          <w:marBottom w:val="0"/>
          <w:divBdr>
            <w:top w:val="none" w:sz="0" w:space="0" w:color="auto"/>
            <w:left w:val="none" w:sz="0" w:space="0" w:color="auto"/>
            <w:bottom w:val="none" w:sz="0" w:space="0" w:color="auto"/>
            <w:right w:val="none" w:sz="0" w:space="0" w:color="auto"/>
          </w:divBdr>
          <w:divsChild>
            <w:div w:id="1089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DD01-73D0-495A-BE22-A48507EA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1487</Words>
  <Characters>7749</Characters>
  <Application>Microsoft Office Word</Application>
  <DocSecurity>0</DocSecurity>
  <Lines>149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2018-10-18T12:30:00Z</dcterms:created>
  <dcterms:modified xsi:type="dcterms:W3CDTF">2018-11-07T08:13:00Z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