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50924543-2BB5-490B-BDDB-1328ABFD8E12"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formProt w:val="0"/>
          <w:docGrid w:linePitch="360" w:charSpace="-6145"/>
        </w:sectPr>
      </w:pPr>
    </w:p>
    <w:p>
      <w:pPr>
        <w:spacing w:after="200" w:line="276" w:lineRule="auto"/>
        <w:jc w:val="center"/>
        <w:rPr>
          <w:rFonts w:eastAsia="Calibri"/>
          <w:b/>
          <w:noProof/>
          <w:szCs w:val="24"/>
        </w:rPr>
      </w:pPr>
      <w:bookmarkStart w:id="1" w:name="_GoBack"/>
      <w:bookmarkEnd w:id="1"/>
      <w:r>
        <w:rPr>
          <w:b/>
          <w:noProof/>
        </w:rPr>
        <w:lastRenderedPageBreak/>
        <w:t>Обобщение на годишните доклади за изпълнението на оперативните програми, съфинансирани от Фонда за европейско подпомагане на най-нуждаещите се лица през 2016 г.</w:t>
      </w:r>
    </w:p>
    <w:p>
      <w:pPr>
        <w:pStyle w:val="Heading20"/>
        <w:rPr>
          <w:rFonts w:ascii="Times New Roman" w:hAnsi="Times New Roman"/>
          <w:i w:val="0"/>
          <w:noProof/>
          <w:szCs w:val="24"/>
          <w:lang w:eastAsia="en-US" w:bidi="ar-SA"/>
        </w:rPr>
      </w:pPr>
    </w:p>
    <w:p>
      <w:pPr>
        <w:pStyle w:val="Heading1"/>
        <w:numPr>
          <w:ilvl w:val="0"/>
          <w:numId w:val="2"/>
        </w:numPr>
        <w:rPr>
          <w:noProof/>
        </w:rPr>
      </w:pPr>
      <w:r>
        <w:rPr>
          <w:noProof/>
        </w:rPr>
        <w:t>ВЪВЕДЕНИЕ</w:t>
      </w:r>
    </w:p>
    <w:p>
      <w:pPr>
        <w:pStyle w:val="Heading20"/>
        <w:rPr>
          <w:rFonts w:ascii="Times New Roman" w:hAnsi="Times New Roman"/>
          <w:i w:val="0"/>
          <w:noProof/>
          <w:szCs w:val="24"/>
          <w:lang w:eastAsia="en-US" w:bidi="ar-SA"/>
        </w:rPr>
      </w:pPr>
      <w:r>
        <w:rPr>
          <w:rFonts w:ascii="Times New Roman" w:hAnsi="Times New Roman"/>
          <w:i w:val="0"/>
          <w:noProof/>
          <w:szCs w:val="24"/>
          <w:lang w:eastAsia="en-US" w:bidi="ar-SA"/>
        </w:rPr>
        <w:t>Фондът за европейско подпомагане на най-нуждаещите се лица (</w:t>
      </w:r>
      <w:r>
        <w:rPr>
          <w:rFonts w:ascii="Times New Roman" w:hAnsi="Times New Roman"/>
          <w:i w:val="0"/>
          <w:noProof/>
          <w:szCs w:val="24"/>
          <w:lang w:val="en-GB" w:eastAsia="en-US" w:bidi="ar-SA"/>
        </w:rPr>
        <w:t>FEAD</w:t>
      </w:r>
      <w:r>
        <w:rPr>
          <w:rFonts w:ascii="Times New Roman" w:hAnsi="Times New Roman"/>
          <w:i w:val="0"/>
          <w:noProof/>
          <w:szCs w:val="24"/>
          <w:lang w:eastAsia="en-US" w:bidi="ar-SA"/>
        </w:rPr>
        <w:t>)</w:t>
      </w:r>
      <w:r>
        <w:rPr>
          <w:rFonts w:ascii="Times New Roman" w:hAnsi="Times New Roman"/>
          <w:i w:val="0"/>
          <w:noProof/>
          <w:szCs w:val="24"/>
          <w:vertAlign w:val="superscript"/>
          <w:lang w:val="en-GB" w:eastAsia="en-US" w:bidi="ar-SA"/>
        </w:rPr>
        <w:footnoteReference w:id="1"/>
      </w:r>
      <w:r>
        <w:rPr>
          <w:rFonts w:ascii="Times New Roman" w:hAnsi="Times New Roman"/>
          <w:i w:val="0"/>
          <w:noProof/>
          <w:szCs w:val="24"/>
          <w:lang w:eastAsia="en-US" w:bidi="ar-SA"/>
        </w:rPr>
        <w:t xml:space="preserve"> допринася за облекчаването на най-тежките форми на бедност в ЕС като хранителния недоимък, детска бедност и бездомничеството. Въпреки че през 2016</w:t>
      </w:r>
      <w:r>
        <w:rPr>
          <w:rFonts w:ascii="Times New Roman" w:hAnsi="Times New Roman"/>
          <w:i w:val="0"/>
          <w:noProof/>
          <w:szCs w:val="24"/>
          <w:lang w:val="en-GB" w:eastAsia="en-US" w:bidi="ar-SA"/>
        </w:rPr>
        <w:t> </w:t>
      </w:r>
      <w:r>
        <w:rPr>
          <w:rFonts w:ascii="Times New Roman" w:hAnsi="Times New Roman"/>
          <w:i w:val="0"/>
          <w:noProof/>
          <w:szCs w:val="24"/>
          <w:lang w:eastAsia="en-US" w:bidi="ar-SA"/>
        </w:rPr>
        <w:t>г. ситуацията се подобри, делът на хората, които са изложени на риск от бедност и социално изключване (23,5</w:t>
      </w:r>
      <w:r>
        <w:rPr>
          <w:rFonts w:ascii="Times New Roman" w:hAnsi="Times New Roman"/>
          <w:i w:val="0"/>
          <w:noProof/>
          <w:szCs w:val="24"/>
          <w:lang w:val="en-GB" w:eastAsia="en-US" w:bidi="ar-SA"/>
        </w:rPr>
        <w:t> </w:t>
      </w:r>
      <w:r>
        <w:rPr>
          <w:rFonts w:ascii="Times New Roman" w:hAnsi="Times New Roman"/>
          <w:i w:val="0"/>
          <w:noProof/>
          <w:szCs w:val="24"/>
          <w:lang w:eastAsia="en-US" w:bidi="ar-SA"/>
        </w:rPr>
        <w:t>%) и на засегнатите от тежки материални лишения (7,5</w:t>
      </w:r>
      <w:r>
        <w:rPr>
          <w:rFonts w:ascii="Times New Roman" w:hAnsi="Times New Roman"/>
          <w:i w:val="0"/>
          <w:noProof/>
          <w:szCs w:val="24"/>
          <w:lang w:val="en-GB" w:eastAsia="en-US" w:bidi="ar-SA"/>
        </w:rPr>
        <w:t> </w:t>
      </w:r>
      <w:r>
        <w:rPr>
          <w:rFonts w:ascii="Times New Roman" w:hAnsi="Times New Roman"/>
          <w:i w:val="0"/>
          <w:noProof/>
          <w:szCs w:val="24"/>
          <w:lang w:eastAsia="en-US" w:bidi="ar-SA"/>
        </w:rPr>
        <w:t xml:space="preserve">%) продължава да е висок. </w:t>
      </w:r>
      <w:r>
        <w:rPr>
          <w:rFonts w:ascii="Times New Roman" w:hAnsi="Times New Roman"/>
          <w:i w:val="0"/>
          <w:noProof/>
          <w:szCs w:val="24"/>
          <w:lang w:val="en-GB" w:eastAsia="en-US" w:bidi="ar-SA"/>
        </w:rPr>
        <w:t>FEAD</w:t>
      </w:r>
      <w:r>
        <w:rPr>
          <w:rFonts w:ascii="Times New Roman" w:hAnsi="Times New Roman"/>
          <w:i w:val="0"/>
          <w:noProof/>
          <w:szCs w:val="24"/>
          <w:lang w:eastAsia="en-US" w:bidi="ar-SA"/>
        </w:rPr>
        <w:t xml:space="preserve"> подпомага групите в най-неравностойно положение в обществото чрез предоставяне на храни и основни потребителски стоки като училищни пособия и продукти за хигиенни цели или чрез организиране на дейности за социално приобщаване. </w:t>
      </w:r>
    </w:p>
    <w:p>
      <w:pPr>
        <w:pStyle w:val="Heading20"/>
        <w:rPr>
          <w:rFonts w:ascii="Times New Roman" w:hAnsi="Times New Roman"/>
          <w:b w:val="0"/>
          <w:i w:val="0"/>
          <w:noProof/>
          <w:szCs w:val="24"/>
          <w:lang w:eastAsia="en-US" w:bidi="ar-SA"/>
        </w:rPr>
      </w:pPr>
      <w:r>
        <w:rPr>
          <w:rFonts w:ascii="Times New Roman" w:hAnsi="Times New Roman"/>
          <w:b w:val="0"/>
          <w:i w:val="0"/>
          <w:noProof/>
          <w:szCs w:val="24"/>
          <w:lang w:eastAsia="en-US" w:bidi="ar-SA"/>
        </w:rPr>
        <w:t xml:space="preserve">Общата сума, която е на разположение по </w:t>
      </w:r>
      <w:r>
        <w:rPr>
          <w:rFonts w:ascii="Times New Roman" w:hAnsi="Times New Roman"/>
          <w:b w:val="0"/>
          <w:i w:val="0"/>
          <w:noProof/>
          <w:szCs w:val="24"/>
          <w:lang w:val="en-GB" w:eastAsia="en-US" w:bidi="ar-SA"/>
        </w:rPr>
        <w:t>FEAD</w:t>
      </w:r>
      <w:r>
        <w:rPr>
          <w:rFonts w:ascii="Times New Roman" w:hAnsi="Times New Roman"/>
          <w:b w:val="0"/>
          <w:i w:val="0"/>
          <w:noProof/>
          <w:szCs w:val="24"/>
          <w:lang w:eastAsia="en-US" w:bidi="ar-SA"/>
        </w:rPr>
        <w:t>, възлиза на 3,8</w:t>
      </w:r>
      <w:r>
        <w:rPr>
          <w:rFonts w:ascii="Times New Roman" w:hAnsi="Times New Roman"/>
          <w:b w:val="0"/>
          <w:i w:val="0"/>
          <w:noProof/>
          <w:szCs w:val="24"/>
          <w:lang w:val="en-GB" w:eastAsia="en-US" w:bidi="ar-SA"/>
        </w:rPr>
        <w:t> </w:t>
      </w:r>
      <w:r>
        <w:rPr>
          <w:rFonts w:ascii="Times New Roman" w:hAnsi="Times New Roman"/>
          <w:b w:val="0"/>
          <w:i w:val="0"/>
          <w:noProof/>
          <w:szCs w:val="24"/>
          <w:lang w:eastAsia="en-US" w:bidi="ar-SA"/>
        </w:rPr>
        <w:t>милиарда</w:t>
      </w:r>
      <w:r>
        <w:rPr>
          <w:rFonts w:ascii="Times New Roman" w:hAnsi="Times New Roman"/>
          <w:b w:val="0"/>
          <w:i w:val="0"/>
          <w:noProof/>
          <w:szCs w:val="24"/>
          <w:lang w:val="en-GB" w:eastAsia="en-US" w:bidi="ar-SA"/>
        </w:rPr>
        <w:t> </w:t>
      </w:r>
      <w:r>
        <w:rPr>
          <w:rFonts w:ascii="Times New Roman" w:hAnsi="Times New Roman"/>
          <w:b w:val="0"/>
          <w:i w:val="0"/>
          <w:noProof/>
          <w:szCs w:val="24"/>
          <w:lang w:eastAsia="en-US" w:bidi="ar-SA"/>
        </w:rPr>
        <w:t>евро по текущи цени. ЕС предоставя съфинансиране в максимален размер на 85</w:t>
      </w:r>
      <w:r>
        <w:rPr>
          <w:rFonts w:ascii="Times New Roman" w:hAnsi="Times New Roman"/>
          <w:b w:val="0"/>
          <w:i w:val="0"/>
          <w:noProof/>
          <w:szCs w:val="24"/>
          <w:lang w:val="en-GB" w:eastAsia="en-US" w:bidi="ar-SA"/>
        </w:rPr>
        <w:t> </w:t>
      </w:r>
      <w:r>
        <w:rPr>
          <w:rFonts w:ascii="Times New Roman" w:hAnsi="Times New Roman"/>
          <w:b w:val="0"/>
          <w:i w:val="0"/>
          <w:noProof/>
          <w:szCs w:val="24"/>
          <w:lang w:eastAsia="en-US" w:bidi="ar-SA"/>
        </w:rPr>
        <w:t>% за допълване на ресурсите, отпуснати от държавите членки, вследствие на което общата стойност на фонда възлиза на около 4,5</w:t>
      </w:r>
      <w:r>
        <w:rPr>
          <w:rFonts w:ascii="Times New Roman" w:hAnsi="Times New Roman"/>
          <w:b w:val="0"/>
          <w:i w:val="0"/>
          <w:noProof/>
          <w:szCs w:val="24"/>
          <w:lang w:val="en-GB" w:eastAsia="en-US" w:bidi="ar-SA"/>
        </w:rPr>
        <w:t> </w:t>
      </w:r>
      <w:r>
        <w:rPr>
          <w:rFonts w:ascii="Times New Roman" w:hAnsi="Times New Roman"/>
          <w:b w:val="0"/>
          <w:i w:val="0"/>
          <w:noProof/>
          <w:szCs w:val="24"/>
          <w:lang w:eastAsia="en-US" w:bidi="ar-SA"/>
        </w:rPr>
        <w:t>милиарда</w:t>
      </w:r>
      <w:r>
        <w:rPr>
          <w:rFonts w:ascii="Times New Roman" w:hAnsi="Times New Roman"/>
          <w:b w:val="0"/>
          <w:i w:val="0"/>
          <w:noProof/>
          <w:szCs w:val="24"/>
          <w:lang w:val="en-GB" w:eastAsia="en-US" w:bidi="ar-SA"/>
        </w:rPr>
        <w:t> </w:t>
      </w:r>
      <w:r>
        <w:rPr>
          <w:rFonts w:ascii="Times New Roman" w:hAnsi="Times New Roman"/>
          <w:b w:val="0"/>
          <w:i w:val="0"/>
          <w:noProof/>
          <w:szCs w:val="24"/>
          <w:lang w:eastAsia="en-US" w:bidi="ar-SA"/>
        </w:rPr>
        <w:t xml:space="preserve">евро. </w:t>
      </w:r>
    </w:p>
    <w:p>
      <w:pPr>
        <w:pStyle w:val="Heading20"/>
        <w:rPr>
          <w:rFonts w:ascii="Times New Roman" w:hAnsi="Times New Roman"/>
          <w:b w:val="0"/>
          <w:i w:val="0"/>
          <w:noProof/>
          <w:szCs w:val="24"/>
          <w:lang w:eastAsia="en-US" w:bidi="ar-SA"/>
        </w:rPr>
      </w:pPr>
      <w:r>
        <w:rPr>
          <w:rFonts w:ascii="Times New Roman" w:hAnsi="Times New Roman"/>
          <w:b w:val="0"/>
          <w:i w:val="0"/>
          <w:noProof/>
          <w:szCs w:val="24"/>
          <w:lang w:eastAsia="en-US" w:bidi="ar-SA"/>
        </w:rPr>
        <w:t>Неговата добавена стойност се изразява в това, че по него се осигурява специално насочена подкрепа за група от хора, които може да не са в състояние да имат пряк достъп и да се възползват от други инструменти за отпускане на средства на ЕС, като например европейските структурни и инвестиционни фондове</w:t>
      </w:r>
      <w:r>
        <w:rPr>
          <w:rFonts w:ascii="Times New Roman" w:hAnsi="Times New Roman"/>
          <w:b w:val="0"/>
          <w:i w:val="0"/>
          <w:noProof/>
          <w:szCs w:val="24"/>
          <w:vertAlign w:val="superscript"/>
          <w:lang w:val="en-GB" w:eastAsia="en-US" w:bidi="ar-SA"/>
        </w:rPr>
        <w:footnoteReference w:id="2"/>
      </w:r>
      <w:r>
        <w:rPr>
          <w:rFonts w:ascii="Times New Roman" w:hAnsi="Times New Roman"/>
          <w:b w:val="0"/>
          <w:i w:val="0"/>
          <w:noProof/>
          <w:szCs w:val="24"/>
          <w:lang w:eastAsia="en-US" w:bidi="ar-SA"/>
        </w:rPr>
        <w:t xml:space="preserve">. На програмно ниво държавите членки може да избират да разработят: </w:t>
      </w:r>
      <w:r>
        <w:rPr>
          <w:rFonts w:ascii="Times New Roman" w:hAnsi="Times New Roman"/>
          <w:b w:val="0"/>
          <w:i w:val="0"/>
          <w:noProof/>
          <w:szCs w:val="24"/>
          <w:lang w:val="en-GB" w:eastAsia="en-US" w:bidi="ar-SA"/>
        </w:rPr>
        <w:t>i</w:t>
      </w:r>
      <w:r>
        <w:rPr>
          <w:rFonts w:ascii="Times New Roman" w:hAnsi="Times New Roman"/>
          <w:b w:val="0"/>
          <w:i w:val="0"/>
          <w:noProof/>
          <w:szCs w:val="24"/>
          <w:lang w:eastAsia="en-US" w:bidi="ar-SA"/>
        </w:rPr>
        <w:t xml:space="preserve">) оперативна програма за храни и/или основно материално подпомагане (ОП </w:t>
      </w:r>
      <w:r>
        <w:rPr>
          <w:rFonts w:ascii="Times New Roman" w:hAnsi="Times New Roman"/>
          <w:b w:val="0"/>
          <w:i w:val="0"/>
          <w:noProof/>
          <w:szCs w:val="24"/>
          <w:lang w:val="en-GB" w:eastAsia="en-US" w:bidi="ar-SA"/>
        </w:rPr>
        <w:t>I</w:t>
      </w:r>
      <w:r>
        <w:rPr>
          <w:rFonts w:ascii="Times New Roman" w:hAnsi="Times New Roman"/>
          <w:b w:val="0"/>
          <w:i w:val="0"/>
          <w:noProof/>
          <w:szCs w:val="24"/>
          <w:lang w:eastAsia="en-US" w:bidi="ar-SA"/>
        </w:rPr>
        <w:t xml:space="preserve">); и/или </w:t>
      </w:r>
      <w:r>
        <w:rPr>
          <w:rFonts w:ascii="Times New Roman" w:hAnsi="Times New Roman"/>
          <w:b w:val="0"/>
          <w:i w:val="0"/>
          <w:noProof/>
          <w:szCs w:val="24"/>
          <w:lang w:val="en-GB" w:eastAsia="en-US" w:bidi="ar-SA"/>
        </w:rPr>
        <w:t>ii</w:t>
      </w:r>
      <w:r>
        <w:rPr>
          <w:rFonts w:ascii="Times New Roman" w:hAnsi="Times New Roman"/>
          <w:b w:val="0"/>
          <w:i w:val="0"/>
          <w:noProof/>
          <w:szCs w:val="24"/>
          <w:lang w:eastAsia="en-US" w:bidi="ar-SA"/>
        </w:rPr>
        <w:t xml:space="preserve">) оперативна програма за социално приобщаване (ОП </w:t>
      </w:r>
      <w:r>
        <w:rPr>
          <w:rFonts w:ascii="Times New Roman" w:hAnsi="Times New Roman"/>
          <w:b w:val="0"/>
          <w:i w:val="0"/>
          <w:noProof/>
          <w:szCs w:val="24"/>
          <w:lang w:val="en-GB" w:eastAsia="en-US" w:bidi="ar-SA"/>
        </w:rPr>
        <w:t>II</w:t>
      </w:r>
      <w:r>
        <w:rPr>
          <w:rFonts w:ascii="Times New Roman" w:hAnsi="Times New Roman"/>
          <w:b w:val="0"/>
          <w:i w:val="0"/>
          <w:noProof/>
          <w:szCs w:val="24"/>
          <w:lang w:eastAsia="en-US" w:bidi="ar-SA"/>
        </w:rPr>
        <w:t xml:space="preserve">). Те могат да определят целевите групи, специфичните видове подкрепа, която се предоставя, и географското покритие на техните програми. Осигуряването на храни и/или основно материално подпомагане трябва да бъде допълнено от съпътстващи мерки, например насочване към социални служби. </w:t>
      </w:r>
    </w:p>
    <w:p>
      <w:pPr>
        <w:pStyle w:val="Heading20"/>
        <w:rPr>
          <w:rFonts w:ascii="Times New Roman" w:hAnsi="Times New Roman"/>
          <w:b w:val="0"/>
          <w:i w:val="0"/>
          <w:noProof/>
          <w:szCs w:val="24"/>
          <w:lang w:eastAsia="en-US" w:bidi="ar-SA"/>
        </w:rPr>
      </w:pPr>
      <w:r>
        <w:rPr>
          <w:rFonts w:ascii="Times New Roman" w:hAnsi="Times New Roman"/>
          <w:b w:val="0"/>
          <w:i w:val="0"/>
          <w:noProof/>
          <w:szCs w:val="24"/>
          <w:lang w:eastAsia="en-US" w:bidi="ar-SA"/>
        </w:rPr>
        <w:t>В съответствие с член</w:t>
      </w:r>
      <w:r>
        <w:rPr>
          <w:rFonts w:ascii="Times New Roman" w:hAnsi="Times New Roman"/>
          <w:b w:val="0"/>
          <w:i w:val="0"/>
          <w:noProof/>
          <w:szCs w:val="24"/>
          <w:lang w:val="en-GB" w:eastAsia="en-US" w:bidi="ar-SA"/>
        </w:rPr>
        <w:t> </w:t>
      </w:r>
      <w:r>
        <w:rPr>
          <w:rFonts w:ascii="Times New Roman" w:hAnsi="Times New Roman"/>
          <w:b w:val="0"/>
          <w:i w:val="0"/>
          <w:noProof/>
          <w:szCs w:val="24"/>
          <w:lang w:eastAsia="en-US" w:bidi="ar-SA"/>
        </w:rPr>
        <w:t>13, параграф</w:t>
      </w:r>
      <w:r>
        <w:rPr>
          <w:rFonts w:ascii="Times New Roman" w:hAnsi="Times New Roman"/>
          <w:b w:val="0"/>
          <w:i w:val="0"/>
          <w:noProof/>
          <w:szCs w:val="24"/>
          <w:lang w:val="en-GB" w:eastAsia="en-US" w:bidi="ar-SA"/>
        </w:rPr>
        <w:t> </w:t>
      </w:r>
      <w:r>
        <w:rPr>
          <w:rFonts w:ascii="Times New Roman" w:hAnsi="Times New Roman"/>
          <w:b w:val="0"/>
          <w:i w:val="0"/>
          <w:noProof/>
          <w:szCs w:val="24"/>
          <w:lang w:eastAsia="en-US" w:bidi="ar-SA"/>
        </w:rPr>
        <w:t>9 от Регламент</w:t>
      </w:r>
      <w:r>
        <w:rPr>
          <w:rFonts w:ascii="Times New Roman" w:hAnsi="Times New Roman"/>
          <w:b w:val="0"/>
          <w:i w:val="0"/>
          <w:noProof/>
          <w:szCs w:val="24"/>
          <w:lang w:val="en-GB" w:eastAsia="en-US" w:bidi="ar-SA"/>
        </w:rPr>
        <w:t> </w:t>
      </w:r>
      <w:r>
        <w:rPr>
          <w:rFonts w:ascii="Times New Roman" w:hAnsi="Times New Roman"/>
          <w:b w:val="0"/>
          <w:i w:val="0"/>
          <w:noProof/>
          <w:szCs w:val="24"/>
          <w:lang w:eastAsia="en-US" w:bidi="ar-SA"/>
        </w:rPr>
        <w:t>(ЕС)</w:t>
      </w:r>
      <w:r>
        <w:rPr>
          <w:rFonts w:ascii="Times New Roman" w:hAnsi="Times New Roman"/>
          <w:b w:val="0"/>
          <w:i w:val="0"/>
          <w:noProof/>
          <w:szCs w:val="24"/>
          <w:lang w:val="en-GB" w:eastAsia="en-US" w:bidi="ar-SA"/>
        </w:rPr>
        <w:t> </w:t>
      </w:r>
      <w:r>
        <w:rPr>
          <w:rFonts w:ascii="Times New Roman" w:hAnsi="Times New Roman"/>
          <w:b w:val="0"/>
          <w:i w:val="0"/>
          <w:noProof/>
          <w:szCs w:val="24"/>
          <w:lang w:eastAsia="en-US" w:bidi="ar-SA"/>
        </w:rPr>
        <w:t>№</w:t>
      </w:r>
      <w:r>
        <w:rPr>
          <w:rFonts w:ascii="Times New Roman" w:hAnsi="Times New Roman"/>
          <w:b w:val="0"/>
          <w:i w:val="0"/>
          <w:noProof/>
          <w:szCs w:val="24"/>
          <w:lang w:val="en-GB" w:eastAsia="en-US" w:bidi="ar-SA"/>
        </w:rPr>
        <w:t> </w:t>
      </w:r>
      <w:r>
        <w:rPr>
          <w:rFonts w:ascii="Times New Roman" w:hAnsi="Times New Roman"/>
          <w:b w:val="0"/>
          <w:i w:val="0"/>
          <w:noProof/>
          <w:szCs w:val="24"/>
          <w:lang w:eastAsia="en-US" w:bidi="ar-SA"/>
        </w:rPr>
        <w:t xml:space="preserve">223/2014 (Регламентът относно </w:t>
      </w:r>
      <w:r>
        <w:rPr>
          <w:rFonts w:ascii="Times New Roman" w:hAnsi="Times New Roman"/>
          <w:b w:val="0"/>
          <w:i w:val="0"/>
          <w:noProof/>
          <w:szCs w:val="24"/>
          <w:lang w:val="en-GB" w:eastAsia="en-US" w:bidi="ar-SA"/>
        </w:rPr>
        <w:t>FEAD</w:t>
      </w:r>
      <w:r>
        <w:rPr>
          <w:rFonts w:ascii="Times New Roman" w:hAnsi="Times New Roman"/>
          <w:b w:val="0"/>
          <w:i w:val="0"/>
          <w:noProof/>
          <w:szCs w:val="24"/>
          <w:lang w:eastAsia="en-US" w:bidi="ar-SA"/>
        </w:rPr>
        <w:t>) настоящото обобщение се основава на информацията, която се съдържа в докладите за изпълнението за 2016</w:t>
      </w:r>
      <w:r>
        <w:rPr>
          <w:rFonts w:ascii="Times New Roman" w:hAnsi="Times New Roman"/>
          <w:b w:val="0"/>
          <w:i w:val="0"/>
          <w:noProof/>
          <w:szCs w:val="24"/>
          <w:lang w:val="en-GB" w:eastAsia="en-US" w:bidi="ar-SA"/>
        </w:rPr>
        <w:t> </w:t>
      </w:r>
      <w:r>
        <w:rPr>
          <w:rFonts w:ascii="Times New Roman" w:hAnsi="Times New Roman"/>
          <w:b w:val="0"/>
          <w:i w:val="0"/>
          <w:noProof/>
          <w:szCs w:val="24"/>
          <w:lang w:eastAsia="en-US" w:bidi="ar-SA"/>
        </w:rPr>
        <w:t xml:space="preserve">г., както са били приети от Комисията. Всички държави членки представиха доклад за изпълнението, с изключение на Обединеното кралство, тъй като изпълнението на фонда все още не беше започнало там. </w:t>
      </w:r>
    </w:p>
    <w:p>
      <w:pPr>
        <w:pStyle w:val="Heading20"/>
        <w:rPr>
          <w:rFonts w:ascii="Times New Roman" w:hAnsi="Times New Roman"/>
          <w:b w:val="0"/>
          <w:i w:val="0"/>
          <w:noProof/>
          <w:szCs w:val="24"/>
          <w:lang w:eastAsia="en-US" w:bidi="ar-SA"/>
        </w:rPr>
      </w:pPr>
      <w:r>
        <w:rPr>
          <w:rFonts w:ascii="Times New Roman" w:hAnsi="Times New Roman"/>
          <w:b w:val="0"/>
          <w:i w:val="0"/>
          <w:noProof/>
          <w:szCs w:val="24"/>
          <w:lang w:eastAsia="en-US" w:bidi="ar-SA"/>
        </w:rPr>
        <w:t xml:space="preserve">С оглед на изтеклото време между изпълнението и докладването в доклада се съдържа също така информация за последните тенденции, когато тази информация е налична. </w:t>
      </w:r>
    </w:p>
    <w:p>
      <w:pPr>
        <w:pStyle w:val="Heading1"/>
        <w:numPr>
          <w:ilvl w:val="0"/>
          <w:numId w:val="2"/>
        </w:numPr>
        <w:rPr>
          <w:i/>
          <w:noProof/>
        </w:rPr>
      </w:pPr>
      <w:r>
        <w:rPr>
          <w:noProof/>
        </w:rPr>
        <w:t>НАПРЕДЪК В ИЗПЪЛНЕНИЕТО НА ОПЕРАТИВНИТЕ ПРОГРАМИ</w:t>
      </w:r>
    </w:p>
    <w:p>
      <w:pPr>
        <w:pStyle w:val="Heading2"/>
        <w:numPr>
          <w:ilvl w:val="1"/>
          <w:numId w:val="2"/>
        </w:numPr>
        <w:rPr>
          <w:noProof/>
          <w:lang w:eastAsia="en-US" w:bidi="ar-SA"/>
        </w:rPr>
      </w:pPr>
      <w:r>
        <w:rPr>
          <w:noProof/>
          <w:lang w:eastAsia="en-US" w:bidi="ar-SA"/>
        </w:rPr>
        <w:t>Общи тенденции и тенденции на ниво ЕС</w:t>
      </w:r>
    </w:p>
    <w:p>
      <w:pPr>
        <w:rPr>
          <w:rFonts w:eastAsia="Calibri"/>
          <w:noProof/>
          <w:szCs w:val="24"/>
        </w:rPr>
      </w:pPr>
      <w:r>
        <w:rPr>
          <w:noProof/>
        </w:rPr>
        <w:t xml:space="preserve">До края на 2016 г. Комисията прие </w:t>
      </w:r>
      <w:r>
        <w:rPr>
          <w:b/>
          <w:noProof/>
        </w:rPr>
        <w:t>правната рамка</w:t>
      </w:r>
      <w:r>
        <w:rPr>
          <w:noProof/>
        </w:rPr>
        <w:t xml:space="preserve"> и публикува всички актове за изпълнение и делегирани актове. Стартирано беше също така преразглеждане на Финансовия регламент</w:t>
      </w:r>
      <w:r>
        <w:rPr>
          <w:rStyle w:val="FootnoteAnchor"/>
          <w:noProof/>
        </w:rPr>
        <w:footnoteReference w:id="3"/>
      </w:r>
      <w:r>
        <w:rPr>
          <w:noProof/>
        </w:rPr>
        <w:t>, включително изменения на Регламента относно FEAD, за да се разшири използването на опростени варианти за разходите и да се осигури повече гъвкавост. Изменението включва и защита за безвъзмездните средства, предназначени за партньорските организации. С тази защита се гарантира, че финансовата корекция, която се прилага към разходите за закупуване на даден публичен орган поради неспазване на приложимото право, няма да доведе до намаляване на допустимите разходи на партньорските организации, при условие че те са различни органи.</w:t>
      </w:r>
    </w:p>
    <w:p>
      <w:pPr>
        <w:pStyle w:val="PSParagraphText"/>
        <w:rPr>
          <w:noProof/>
          <w:sz w:val="24"/>
          <w:szCs w:val="24"/>
        </w:rPr>
      </w:pPr>
      <w:r>
        <w:rPr>
          <w:noProof/>
          <w:sz w:val="24"/>
        </w:rPr>
        <w:t xml:space="preserve">До март 2015 г. Комисията прие всички </w:t>
      </w:r>
      <w:r>
        <w:rPr>
          <w:b/>
          <w:noProof/>
          <w:sz w:val="24"/>
        </w:rPr>
        <w:t>оперативни програми (ОП)</w:t>
      </w:r>
      <w:r>
        <w:rPr>
          <w:noProof/>
          <w:sz w:val="24"/>
        </w:rPr>
        <w:t xml:space="preserve">, като всички те вече са във фазата на изпълнението, с изключение на Обединеното кралство, където изпълнението все още не е започнало. Освен това до 2016 г. по-голямата част от държавите членки бяха завършили процеса на определяне на органите. През 2016 г. бяха изменени редица оперативни програми, за да се подобри механизмът за идентифициране на най-нуждаещите се лица, за подбор на партньорски организации (BG, HU) или за добавяне на допълнителни мерки като училищни обеди (CZ). </w:t>
      </w:r>
    </w:p>
    <w:p>
      <w:pPr>
        <w:rPr>
          <w:noProof/>
          <w:szCs w:val="24"/>
        </w:rPr>
      </w:pPr>
      <w:r>
        <w:rPr>
          <w:b/>
          <w:noProof/>
        </w:rPr>
        <w:t>Експертната група по FEAD</w:t>
      </w:r>
      <w:r>
        <w:rPr>
          <w:noProof/>
        </w:rPr>
        <w:t>, която включва членове на управляващите органи, проведе две срещи през 2016 г., за да обсъжда въпроси, свързани с изпълнението, които засягат програмите в рамките на FEAD. По време на тези срещи държавите членки представиха обзор на широк кръг от въпроси, в това число как на национално ниво са установени насоки за балансирано хранене, както и обзор на разпределянето на пресни храни. Обсъдено беше също така потенциалното прилагане на използването на интервенционни запаси</w:t>
      </w:r>
      <w:r>
        <w:rPr>
          <w:rStyle w:val="FootnoteAnchor"/>
          <w:noProof/>
        </w:rPr>
        <w:footnoteReference w:id="4"/>
      </w:r>
      <w:r>
        <w:rPr>
          <w:noProof/>
        </w:rPr>
        <w:t xml:space="preserve"> в съответствие с Регламента относно FEAD. Освен това до юли 2017 г. Комисията беше домакин на 11 </w:t>
      </w:r>
      <w:r>
        <w:rPr>
          <w:b/>
          <w:noProof/>
        </w:rPr>
        <w:t>срещи на мрежата на</w:t>
      </w:r>
      <w:r>
        <w:rPr>
          <w:noProof/>
        </w:rPr>
        <w:t xml:space="preserve"> </w:t>
      </w:r>
      <w:r>
        <w:rPr>
          <w:b/>
          <w:noProof/>
        </w:rPr>
        <w:t>FEAD</w:t>
      </w:r>
      <w:r>
        <w:rPr>
          <w:noProof/>
        </w:rPr>
        <w:t>. Мрежата е съставена от заинтересовани страни по FEAD, като нейната задача е да опосредства обмяната на опит и добри практики. През 2016 г. срещите бяха с акцент върху различните аспекти на FEAD, с които се цели подпомагане на социалното приобщаване на най-нуждаещите се лица. Участниците представиха проучвания на отделни случаи и споделиха предизвикателства и решения по въпроси от общ интерес във връзка с изпълнението на програмите в рамките на FEAD.</w:t>
      </w:r>
    </w:p>
    <w:p>
      <w:pPr>
        <w:rPr>
          <w:rFonts w:eastAsia="Calibri"/>
          <w:noProof/>
          <w:szCs w:val="24"/>
        </w:rPr>
      </w:pPr>
      <w:r>
        <w:rPr>
          <w:noProof/>
        </w:rPr>
        <w:t xml:space="preserve">На срещата с </w:t>
      </w:r>
      <w:r>
        <w:rPr>
          <w:b/>
          <w:noProof/>
        </w:rPr>
        <w:t xml:space="preserve">представители на партньорските организации на равнището на ЕС, </w:t>
      </w:r>
      <w:r>
        <w:rPr>
          <w:noProof/>
        </w:rPr>
        <w:t xml:space="preserve">проведена на 5 декември 2016 г., Комисията представи състоянието на FEAD въз основа на предходния годишен доклад за изпълнението, като направи също така кратък преглед на предложените промени в Регламента относно FEAD. В рамките на направената презентация беше разгледано как гражданското общество е спомогнало за изготвянето на Регламента относно FEAD. След това беше представен преглед на първата година от функционирането на мрежата на FEAD, за да се улесни обменът на добри практики между всички заинтересовани страни, които участват в прилагането на FEAD. </w:t>
      </w:r>
    </w:p>
    <w:p>
      <w:pPr>
        <w:shd w:val="clear" w:color="auto" w:fill="FFFFFF" w:themeFill="background1"/>
        <w:spacing w:after="200"/>
        <w:rPr>
          <w:noProof/>
        </w:rPr>
      </w:pPr>
      <w:r>
        <w:rPr>
          <w:noProof/>
        </w:rPr>
        <w:t xml:space="preserve">Комисията продължи да отбелязва напредък по </w:t>
      </w:r>
      <w:r>
        <w:rPr>
          <w:b/>
          <w:noProof/>
        </w:rPr>
        <w:t>средносрочната оценка на</w:t>
      </w:r>
      <w:r>
        <w:rPr>
          <w:noProof/>
        </w:rPr>
        <w:t xml:space="preserve"> </w:t>
      </w:r>
      <w:r>
        <w:rPr>
          <w:b/>
          <w:noProof/>
        </w:rPr>
        <w:t>FEAD</w:t>
      </w:r>
      <w:r>
        <w:rPr>
          <w:noProof/>
        </w:rPr>
        <w:t>. Приключена беше откритата обществена консултация със заинтересованите страни по FEAD и с обществеността, а резултатите от нея, заедно с проведените структурирани проучвания, бяха използвани при изготвянето на проекта на доклада за оценка. Проектът на доклада беше представен на експертната група по FEAD. Окончателната версия на средносрочната оценка ще бъде представена на Европейския парламент и на Съвета до 31 декември 2018 г.</w:t>
      </w:r>
    </w:p>
    <w:p>
      <w:pPr>
        <w:pStyle w:val="Heading2"/>
        <w:numPr>
          <w:ilvl w:val="1"/>
          <w:numId w:val="2"/>
        </w:numPr>
        <w:rPr>
          <w:noProof/>
          <w:lang w:val="en-GB" w:eastAsia="en-US" w:bidi="ar-SA"/>
        </w:rPr>
      </w:pPr>
      <w:r>
        <w:rPr>
          <w:noProof/>
          <w:lang w:val="en-GB" w:eastAsia="en-US" w:bidi="ar-SA"/>
        </w:rPr>
        <w:t>Финансово изпълнение</w:t>
      </w:r>
    </w:p>
    <w:p>
      <w:pPr>
        <w:pStyle w:val="Heading20"/>
        <w:rPr>
          <w:rFonts w:ascii="Times New Roman" w:hAnsi="Times New Roman"/>
          <w:i w:val="0"/>
          <w:noProof/>
          <w:szCs w:val="24"/>
          <w:lang w:val="en-GB" w:eastAsia="en-US" w:bidi="ar-SA"/>
        </w:rPr>
      </w:pPr>
      <w:bookmarkStart w:id="2" w:name="_Hlk514846922"/>
      <w:r>
        <w:rPr>
          <w:rFonts w:ascii="Times New Roman" w:hAnsi="Times New Roman"/>
          <w:i w:val="0"/>
          <w:noProof/>
          <w:szCs w:val="24"/>
          <w:lang w:val="en-GB" w:eastAsia="en-US" w:bidi="ar-SA"/>
        </w:rPr>
        <w:t xml:space="preserve">Погледнато цялостно финансовото изпълнение на програмите в рамките на FEAD беше ускорено още през 2015 г., като възходящата тенденция продължи и през 2016 г. </w:t>
      </w:r>
      <w:r>
        <w:rPr>
          <w:rFonts w:ascii="Times New Roman" w:hAnsi="Times New Roman"/>
          <w:b w:val="0"/>
          <w:i w:val="0"/>
          <w:noProof/>
          <w:szCs w:val="24"/>
          <w:lang w:val="en-GB" w:eastAsia="en-US" w:bidi="ar-SA"/>
        </w:rPr>
        <w:t xml:space="preserve">През 2016 г. за подкрепа на операциите по FEAD в 27 държави членки бяха предоставени 508,6 милиона евро в сравнение с 470,0 милиона евро през 2015 г. Това означава общо поети задължения за периода 2014—2016 г. в размер на 1 315,9 милиона евро, представляващи 30 % от общите ресурси на програмите (ЕС и национално съфинансиране). Аналогично плащанията към бенефициерите продължиха да се увеличават, като през 2016 г. бяха платени 429,4 милиона евро спрямо 385,9 милиона евро през 2015 г. Подробната финансова разбивка, също и по държави членки, е представена в таблица I от приложението. </w:t>
      </w:r>
    </w:p>
    <w:p>
      <w:pPr>
        <w:pStyle w:val="Heading20"/>
        <w:rPr>
          <w:rFonts w:ascii="Times New Roman" w:hAnsi="Times New Roman"/>
          <w:b w:val="0"/>
          <w:i w:val="0"/>
          <w:noProof/>
          <w:szCs w:val="24"/>
          <w:lang w:val="en-GB" w:eastAsia="en-US" w:bidi="ar-SA"/>
        </w:rPr>
      </w:pPr>
      <w:r>
        <w:rPr>
          <w:rFonts w:ascii="Times New Roman" w:hAnsi="Times New Roman"/>
          <w:i w:val="0"/>
          <w:noProof/>
          <w:szCs w:val="24"/>
          <w:lang w:val="en-GB" w:eastAsia="en-US" w:bidi="ar-SA"/>
        </w:rPr>
        <w:t>Най-голям напредък беше отчетен по отношение на заявленията за плащане, подадени към Комисията.</w:t>
      </w:r>
      <w:r>
        <w:rPr>
          <w:rFonts w:ascii="Times New Roman" w:hAnsi="Times New Roman"/>
          <w:b w:val="0"/>
          <w:i w:val="0"/>
          <w:noProof/>
          <w:szCs w:val="24"/>
          <w:lang w:val="en-GB" w:eastAsia="en-US" w:bidi="ar-SA"/>
        </w:rPr>
        <w:t xml:space="preserve"> През 2016 г. 24 държави членки декларираха общо 353,8 милиона евро допустими публични разходи, които представляваха повече от седемкратно увеличение спрямо 2015 г. (46,3 милиона евро). Наред с това общата сума на плащанията възлезе на 1,022 милиарда евро към 31 декември 2017 г., от които 603 милиона евро бяха междинни плащания.</w:t>
      </w:r>
      <w:bookmarkEnd w:id="2"/>
    </w:p>
    <w:p>
      <w:pPr>
        <w:pStyle w:val="Heading2"/>
        <w:numPr>
          <w:ilvl w:val="1"/>
          <w:numId w:val="2"/>
        </w:numPr>
        <w:rPr>
          <w:noProof/>
          <w:lang w:val="en-GB" w:eastAsia="en-US" w:bidi="ar-SA"/>
        </w:rPr>
      </w:pPr>
      <w:r>
        <w:rPr>
          <w:noProof/>
          <w:lang w:val="en-GB" w:eastAsia="en-US" w:bidi="ar-SA"/>
        </w:rPr>
        <w:t>Физическо изпълнение</w:t>
      </w:r>
    </w:p>
    <w:p>
      <w:pPr>
        <w:pStyle w:val="Heading20"/>
        <w:rPr>
          <w:rFonts w:ascii="Times New Roman" w:hAnsi="Times New Roman"/>
          <w:b w:val="0"/>
          <w:i w:val="0"/>
          <w:noProof/>
          <w:szCs w:val="24"/>
          <w:lang w:val="en-GB" w:eastAsia="en-US" w:bidi="ar-SA"/>
        </w:rPr>
      </w:pPr>
      <w:r>
        <w:rPr>
          <w:rFonts w:ascii="Times New Roman" w:hAnsi="Times New Roman"/>
          <w:i w:val="0"/>
          <w:noProof/>
          <w:szCs w:val="24"/>
          <w:lang w:val="en-GB" w:eastAsia="en-US" w:bidi="ar-SA"/>
        </w:rPr>
        <w:t>През 2016 г. общо 23 държави членки предоставиха храна и материално подпомагане и подкрепиха социалното приобщаване на най-нуждаещите се лица в ЕС.</w:t>
      </w:r>
      <w:r>
        <w:rPr>
          <w:rFonts w:ascii="Times New Roman" w:hAnsi="Times New Roman"/>
          <w:b w:val="0"/>
          <w:i w:val="0"/>
          <w:noProof/>
          <w:szCs w:val="24"/>
          <w:lang w:val="en-GB" w:eastAsia="en-US" w:bidi="ar-SA"/>
        </w:rPr>
        <w:t xml:space="preserve"> 19 държави членки разпределяха храна и/или основно материално подпомагане, както и съпътстващи мерки (ОП I), а 4 държави стартираха програми за социално приобщаване чрез ОП II (вж. фигура 1). В 5 държави членки имаше пречки, които не позволиха изпълнението.</w:t>
      </w:r>
    </w:p>
    <w:p>
      <w:pPr>
        <w:pStyle w:val="Heading20"/>
        <w:rPr>
          <w:rFonts w:ascii="Times New Roman" w:hAnsi="Times New Roman"/>
          <w:b w:val="0"/>
          <w:i w:val="0"/>
          <w:noProof/>
          <w:szCs w:val="24"/>
          <w:lang w:val="en-GB" w:eastAsia="en-US" w:bidi="ar-SA"/>
        </w:rPr>
      </w:pPr>
      <w:r>
        <w:rPr>
          <w:rFonts w:ascii="Times New Roman" w:hAnsi="Times New Roman"/>
          <w:i w:val="0"/>
          <w:noProof/>
          <w:szCs w:val="24"/>
          <w:lang w:val="en-GB" w:eastAsia="en-US" w:bidi="ar-SA"/>
        </w:rPr>
        <w:t>По оценки почти 16 милиона души са се възползвали от помощ по линия на FEAD през 2016 г., като е реализиран значителен напредък в сравнение с 2015 г.</w:t>
      </w:r>
      <w:r>
        <w:rPr>
          <w:rFonts w:ascii="Times New Roman" w:hAnsi="Times New Roman"/>
          <w:b w:val="0"/>
          <w:i w:val="0"/>
          <w:noProof/>
          <w:szCs w:val="24"/>
          <w:lang w:val="en-GB" w:eastAsia="en-US" w:bidi="ar-SA"/>
        </w:rPr>
        <w:t xml:space="preserve"> Тази цифра може да се разбие на 15,2 милиона души (96 %), които са получили подпомагане с хранителни продукти, над 662 000 (4 %), които са получили основно материално подпомагане, и около 23 000, които са участвали в програми за социално приобщаване (ОП II)</w:t>
      </w:r>
      <w:r>
        <w:rPr>
          <w:rFonts w:ascii="Times New Roman" w:hAnsi="Times New Roman"/>
          <w:b w:val="0"/>
          <w:i w:val="0"/>
          <w:noProof/>
          <w:szCs w:val="24"/>
          <w:vertAlign w:val="superscript"/>
          <w:lang w:val="en-GB" w:eastAsia="en-US" w:bidi="ar-SA"/>
        </w:rPr>
        <w:footnoteReference w:id="5"/>
      </w:r>
      <w:r>
        <w:rPr>
          <w:rFonts w:ascii="Times New Roman" w:hAnsi="Times New Roman"/>
          <w:b w:val="0"/>
          <w:i w:val="0"/>
          <w:noProof/>
          <w:szCs w:val="24"/>
          <w:lang w:val="en-GB" w:eastAsia="en-US" w:bidi="ar-SA"/>
        </w:rPr>
        <w:t xml:space="preserve">. </w:t>
      </w:r>
    </w:p>
    <w:p>
      <w:pPr>
        <w:pStyle w:val="Heading20"/>
        <w:rPr>
          <w:rFonts w:ascii="Times New Roman" w:hAnsi="Times New Roman"/>
          <w:b w:val="0"/>
          <w:i w:val="0"/>
          <w:noProof/>
          <w:szCs w:val="24"/>
          <w:lang w:val="en-GB" w:eastAsia="en-US" w:bidi="ar-SA"/>
        </w:rPr>
      </w:pPr>
      <w:r>
        <w:rPr>
          <w:rFonts w:ascii="Times New Roman" w:hAnsi="Times New Roman"/>
          <w:b w:val="0"/>
          <w:i w:val="0"/>
          <w:noProof/>
          <w:szCs w:val="24"/>
          <w:lang w:val="en-GB" w:eastAsia="en-US" w:bidi="ar-SA"/>
        </w:rPr>
        <w:t xml:space="preserve">Между 2014 г. и 2016 г. по линия на FEAD беше предоставено подпомагане на около 38 милиона души. През 2016 г. продължи изпълнението на ОП I и ОП II, като в сравнение с данните за 2015 г. допълнителни 2,2 милиона души получиха подпомагане по линия на FEAD. Четирите държави членки (GR, IE, MT, SK), които започнаха предоставянето на подпомагане през 2016 г., предоставиха подпомагане с хранителни продукти допълнително на 657 000 души, а други 4 (BG, FI, FR, RO) достигнаха 1,5 милиона повече хора, отколкото през 2015 г. Шестте държави членки, които предоставиха основно материално подпомагане (AT, CZ, GR, LU, LV, SK), отчетоха почти деветкратно увеличение на броя на хората, получаващи такъв вид подпомагане спрямо 2015 г. </w:t>
      </w:r>
    </w:p>
    <w:p>
      <w:pPr>
        <w:pStyle w:val="Caption"/>
        <w:keepNext/>
        <w:rPr>
          <w:noProof/>
          <w:szCs w:val="24"/>
        </w:rPr>
      </w:pPr>
      <w:bookmarkStart w:id="3" w:name="_Ref514855458"/>
      <w:r>
        <w:rPr>
          <w:noProof/>
        </w:rPr>
        <w:t xml:space="preserve">Фигура </w:t>
      </w:r>
      <w:bookmarkEnd w:id="3"/>
      <w:r>
        <w:rPr>
          <w:noProof/>
        </w:rPr>
        <w:t>1: Вид на подпомагането, предоставено през 2016 г.</w:t>
      </w:r>
    </w:p>
    <w:tbl>
      <w:tblPr>
        <w:tblW w:w="5000" w:type="pct"/>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942"/>
        <w:gridCol w:w="2914"/>
        <w:gridCol w:w="4432"/>
      </w:tblGrid>
      <w:tr>
        <w:trPr>
          <w:tblHeader/>
        </w:trPr>
        <w:tc>
          <w:tcPr>
            <w:tcW w:w="1897" w:type="dxa"/>
            <w:tcBorders>
              <w:top w:val="single" w:sz="4" w:space="0" w:color="FFFFFF"/>
              <w:left w:val="single" w:sz="4" w:space="0" w:color="FFFFFF"/>
              <w:bottom w:val="single" w:sz="4" w:space="0" w:color="FFFFFF"/>
              <w:right w:val="single" w:sz="4" w:space="0" w:color="FFFFFF"/>
            </w:tcBorders>
            <w:shd w:val="clear" w:color="auto" w:fill="002395"/>
            <w:tcMar>
              <w:left w:w="108" w:type="dxa"/>
            </w:tcMar>
          </w:tcPr>
          <w:p>
            <w:pPr>
              <w:spacing w:after="0"/>
              <w:rPr>
                <w:noProof/>
                <w:szCs w:val="24"/>
              </w:rPr>
            </w:pPr>
            <w:r>
              <w:rPr>
                <w:noProof/>
              </w:rPr>
              <w:t>ОП</w:t>
            </w:r>
          </w:p>
        </w:tc>
        <w:tc>
          <w:tcPr>
            <w:tcW w:w="2846" w:type="dxa"/>
            <w:tcBorders>
              <w:top w:val="single" w:sz="4" w:space="0" w:color="FFFFFF"/>
              <w:left w:val="single" w:sz="4" w:space="0" w:color="FFFFFF"/>
              <w:bottom w:val="single" w:sz="4" w:space="0" w:color="FFFFFF"/>
              <w:right w:val="single" w:sz="4" w:space="0" w:color="FFFFFF"/>
            </w:tcBorders>
            <w:shd w:val="clear" w:color="auto" w:fill="002395"/>
            <w:tcMar>
              <w:left w:w="108" w:type="dxa"/>
            </w:tcMar>
          </w:tcPr>
          <w:p>
            <w:pPr>
              <w:spacing w:after="0"/>
              <w:rPr>
                <w:noProof/>
                <w:szCs w:val="24"/>
              </w:rPr>
            </w:pPr>
            <w:r>
              <w:rPr>
                <w:noProof/>
              </w:rPr>
              <w:t>Вид подпомагане</w:t>
            </w:r>
          </w:p>
        </w:tc>
        <w:tc>
          <w:tcPr>
            <w:tcW w:w="4329" w:type="dxa"/>
            <w:tcBorders>
              <w:top w:val="single" w:sz="4" w:space="0" w:color="FFFFFF"/>
              <w:left w:val="single" w:sz="4" w:space="0" w:color="FFFFFF"/>
              <w:bottom w:val="single" w:sz="4" w:space="0" w:color="FFFFFF"/>
              <w:right w:val="single" w:sz="4" w:space="0" w:color="FFFFFF"/>
            </w:tcBorders>
            <w:shd w:val="clear" w:color="auto" w:fill="002395"/>
            <w:tcMar>
              <w:left w:w="108" w:type="dxa"/>
            </w:tcMar>
          </w:tcPr>
          <w:p>
            <w:pPr>
              <w:spacing w:after="0"/>
              <w:rPr>
                <w:noProof/>
                <w:szCs w:val="24"/>
              </w:rPr>
            </w:pPr>
            <w:r>
              <w:rPr>
                <w:noProof/>
              </w:rPr>
              <w:t>Държава членка</w:t>
            </w:r>
          </w:p>
        </w:tc>
      </w:tr>
      <w:tr>
        <w:tc>
          <w:tcPr>
            <w:tcW w:w="1897" w:type="dxa"/>
            <w:vMerge w:val="restart"/>
            <w:tcBorders>
              <w:top w:val="single" w:sz="4" w:space="0" w:color="FFFFFF"/>
              <w:left w:val="single" w:sz="4" w:space="0" w:color="FFFFFF"/>
              <w:bottom w:val="single" w:sz="4" w:space="0" w:color="FFFFFF"/>
              <w:right w:val="single" w:sz="4" w:space="0" w:color="FFFFFF"/>
            </w:tcBorders>
            <w:shd w:val="clear" w:color="auto" w:fill="F2F2F2"/>
            <w:tcMar>
              <w:left w:w="108" w:type="dxa"/>
            </w:tcMar>
          </w:tcPr>
          <w:p>
            <w:pPr>
              <w:spacing w:after="0"/>
              <w:rPr>
                <w:noProof/>
                <w:szCs w:val="24"/>
              </w:rPr>
            </w:pPr>
            <w:r>
              <w:rPr>
                <w:noProof/>
              </w:rPr>
              <w:t>ОП I</w:t>
            </w:r>
          </w:p>
        </w:tc>
        <w:tc>
          <w:tcPr>
            <w:tcW w:w="2846" w:type="dxa"/>
            <w:tcBorders>
              <w:top w:val="single" w:sz="4" w:space="0" w:color="FFFFFF"/>
              <w:left w:val="single" w:sz="4" w:space="0" w:color="FFFFFF"/>
              <w:bottom w:val="single" w:sz="4" w:space="0" w:color="FFFFFF"/>
              <w:right w:val="single" w:sz="4" w:space="0" w:color="FFFFFF"/>
            </w:tcBorders>
            <w:shd w:val="clear" w:color="auto" w:fill="F2F2F2"/>
            <w:tcMar>
              <w:left w:w="108" w:type="dxa"/>
            </w:tcMar>
          </w:tcPr>
          <w:p>
            <w:pPr>
              <w:spacing w:after="0"/>
              <w:rPr>
                <w:noProof/>
                <w:szCs w:val="24"/>
              </w:rPr>
            </w:pPr>
            <w:r>
              <w:rPr>
                <w:noProof/>
              </w:rPr>
              <w:t>Храни</w:t>
            </w:r>
          </w:p>
        </w:tc>
        <w:tc>
          <w:tcPr>
            <w:tcW w:w="4329" w:type="dxa"/>
            <w:tcBorders>
              <w:top w:val="single" w:sz="4" w:space="0" w:color="FFFFFF"/>
              <w:left w:val="single" w:sz="4" w:space="0" w:color="FFFFFF"/>
              <w:bottom w:val="single" w:sz="4" w:space="0" w:color="FFFFFF"/>
              <w:right w:val="single" w:sz="4" w:space="0" w:color="FFFFFF"/>
            </w:tcBorders>
            <w:shd w:val="clear" w:color="auto" w:fill="F2F2F2"/>
            <w:tcMar>
              <w:left w:w="108" w:type="dxa"/>
            </w:tcMar>
          </w:tcPr>
          <w:p>
            <w:pPr>
              <w:spacing w:after="0"/>
              <w:rPr>
                <w:noProof/>
                <w:szCs w:val="24"/>
              </w:rPr>
            </w:pPr>
            <w:r>
              <w:rPr>
                <w:noProof/>
              </w:rPr>
              <w:t>BE, BG, EE, ES, FI, FR, IE, IT, LT, MT, PL, RO, SI (13)</w:t>
            </w:r>
          </w:p>
        </w:tc>
      </w:tr>
      <w:tr>
        <w:tc>
          <w:tcPr>
            <w:tcW w:w="1897" w:type="dxa"/>
            <w:vMerge/>
            <w:tcBorders>
              <w:top w:val="single" w:sz="4" w:space="0" w:color="FFFFFF"/>
              <w:left w:val="single" w:sz="4" w:space="0" w:color="FFFFFF"/>
              <w:bottom w:val="single" w:sz="4" w:space="0" w:color="FFFFFF"/>
              <w:right w:val="single" w:sz="4" w:space="0" w:color="FFFFFF"/>
            </w:tcBorders>
            <w:shd w:val="clear" w:color="auto" w:fill="F2F2F2"/>
            <w:tcMar>
              <w:left w:w="108" w:type="dxa"/>
            </w:tcMar>
          </w:tcPr>
          <w:p>
            <w:pPr>
              <w:spacing w:after="0"/>
              <w:rPr>
                <w:noProof/>
                <w:szCs w:val="24"/>
              </w:rPr>
            </w:pPr>
          </w:p>
        </w:tc>
        <w:tc>
          <w:tcPr>
            <w:tcW w:w="2846" w:type="dxa"/>
            <w:tcBorders>
              <w:top w:val="single" w:sz="4" w:space="0" w:color="FFFFFF"/>
              <w:left w:val="single" w:sz="4" w:space="0" w:color="FFFFFF"/>
              <w:bottom w:val="single" w:sz="4" w:space="0" w:color="FFFFFF"/>
              <w:right w:val="single" w:sz="4" w:space="0" w:color="FFFFFF"/>
            </w:tcBorders>
            <w:shd w:val="clear" w:color="auto" w:fill="F2F2F2"/>
            <w:tcMar>
              <w:left w:w="108" w:type="dxa"/>
            </w:tcMar>
          </w:tcPr>
          <w:p>
            <w:pPr>
              <w:spacing w:after="0"/>
              <w:rPr>
                <w:noProof/>
                <w:szCs w:val="24"/>
              </w:rPr>
            </w:pPr>
            <w:r>
              <w:rPr>
                <w:noProof/>
              </w:rPr>
              <w:t>Основно материално подпомагане</w:t>
            </w:r>
          </w:p>
        </w:tc>
        <w:tc>
          <w:tcPr>
            <w:tcW w:w="4329" w:type="dxa"/>
            <w:tcBorders>
              <w:top w:val="single" w:sz="4" w:space="0" w:color="FFFFFF"/>
              <w:left w:val="single" w:sz="4" w:space="0" w:color="FFFFFF"/>
              <w:bottom w:val="single" w:sz="4" w:space="0" w:color="FFFFFF"/>
              <w:right w:val="single" w:sz="4" w:space="0" w:color="FFFFFF"/>
            </w:tcBorders>
            <w:shd w:val="clear" w:color="auto" w:fill="F2F2F2"/>
            <w:tcMar>
              <w:left w:w="108" w:type="dxa"/>
            </w:tcMar>
          </w:tcPr>
          <w:p>
            <w:pPr>
              <w:spacing w:after="0"/>
              <w:rPr>
                <w:noProof/>
                <w:szCs w:val="24"/>
              </w:rPr>
            </w:pPr>
            <w:r>
              <w:rPr>
                <w:noProof/>
              </w:rPr>
              <w:t>AT (1)</w:t>
            </w:r>
          </w:p>
        </w:tc>
      </w:tr>
      <w:tr>
        <w:tc>
          <w:tcPr>
            <w:tcW w:w="1897" w:type="dxa"/>
            <w:vMerge/>
            <w:tcBorders>
              <w:top w:val="single" w:sz="4" w:space="0" w:color="FFFFFF"/>
              <w:left w:val="single" w:sz="4" w:space="0" w:color="FFFFFF"/>
              <w:bottom w:val="single" w:sz="4" w:space="0" w:color="FFFFFF"/>
              <w:right w:val="single" w:sz="4" w:space="0" w:color="FFFFFF"/>
            </w:tcBorders>
            <w:shd w:val="clear" w:color="auto" w:fill="F2F2F2"/>
            <w:tcMar>
              <w:left w:w="108" w:type="dxa"/>
            </w:tcMar>
          </w:tcPr>
          <w:p>
            <w:pPr>
              <w:spacing w:after="0"/>
              <w:rPr>
                <w:noProof/>
                <w:szCs w:val="24"/>
              </w:rPr>
            </w:pPr>
          </w:p>
        </w:tc>
        <w:tc>
          <w:tcPr>
            <w:tcW w:w="2846" w:type="dxa"/>
            <w:tcBorders>
              <w:top w:val="single" w:sz="4" w:space="0" w:color="FFFFFF"/>
              <w:left w:val="single" w:sz="4" w:space="0" w:color="FFFFFF"/>
              <w:bottom w:val="single" w:sz="4" w:space="0" w:color="FFFFFF"/>
              <w:right w:val="single" w:sz="4" w:space="0" w:color="FFFFFF"/>
            </w:tcBorders>
            <w:shd w:val="clear" w:color="auto" w:fill="F2F2F2"/>
            <w:tcMar>
              <w:left w:w="108" w:type="dxa"/>
            </w:tcMar>
          </w:tcPr>
          <w:p>
            <w:pPr>
              <w:spacing w:after="0"/>
              <w:rPr>
                <w:noProof/>
                <w:szCs w:val="24"/>
              </w:rPr>
            </w:pPr>
            <w:r>
              <w:rPr>
                <w:noProof/>
              </w:rPr>
              <w:t>И двете</w:t>
            </w:r>
          </w:p>
        </w:tc>
        <w:tc>
          <w:tcPr>
            <w:tcW w:w="4329" w:type="dxa"/>
            <w:tcBorders>
              <w:top w:val="single" w:sz="4" w:space="0" w:color="FFFFFF"/>
              <w:left w:val="single" w:sz="4" w:space="0" w:color="FFFFFF"/>
              <w:bottom w:val="single" w:sz="4" w:space="0" w:color="FFFFFF"/>
              <w:right w:val="single" w:sz="4" w:space="0" w:color="FFFFFF"/>
            </w:tcBorders>
            <w:shd w:val="clear" w:color="auto" w:fill="F2F2F2"/>
            <w:tcMar>
              <w:left w:w="108" w:type="dxa"/>
            </w:tcMar>
          </w:tcPr>
          <w:p>
            <w:pPr>
              <w:spacing w:after="0"/>
              <w:rPr>
                <w:noProof/>
                <w:szCs w:val="24"/>
              </w:rPr>
            </w:pPr>
            <w:r>
              <w:rPr>
                <w:noProof/>
              </w:rPr>
              <w:t>CZ, GR, LU, LV, SK (5)</w:t>
            </w:r>
          </w:p>
        </w:tc>
      </w:tr>
      <w:tr>
        <w:trPr>
          <w:trHeight w:val="112"/>
        </w:trPr>
        <w:tc>
          <w:tcPr>
            <w:tcW w:w="1897" w:type="dxa"/>
            <w:vMerge/>
            <w:tcBorders>
              <w:top w:val="single" w:sz="4" w:space="0" w:color="FFFFFF"/>
              <w:left w:val="single" w:sz="4" w:space="0" w:color="FFFFFF"/>
              <w:bottom w:val="single" w:sz="4" w:space="0" w:color="FFFFFF"/>
              <w:right w:val="single" w:sz="4" w:space="0" w:color="FFFFFF"/>
            </w:tcBorders>
            <w:shd w:val="clear" w:color="auto" w:fill="F2F2F2"/>
            <w:tcMar>
              <w:left w:w="108" w:type="dxa"/>
            </w:tcMar>
          </w:tcPr>
          <w:p>
            <w:pPr>
              <w:spacing w:after="0"/>
              <w:rPr>
                <w:noProof/>
                <w:szCs w:val="24"/>
              </w:rPr>
            </w:pPr>
          </w:p>
        </w:tc>
        <w:tc>
          <w:tcPr>
            <w:tcW w:w="2846" w:type="dxa"/>
            <w:tcBorders>
              <w:top w:val="single" w:sz="4" w:space="0" w:color="FFFFFF"/>
              <w:left w:val="single" w:sz="4" w:space="0" w:color="FFFFFF"/>
              <w:bottom w:val="single" w:sz="4" w:space="0" w:color="FFFFFF"/>
              <w:right w:val="single" w:sz="4" w:space="0" w:color="FFFFFF"/>
            </w:tcBorders>
            <w:shd w:val="clear" w:color="auto" w:fill="F2F2F2"/>
            <w:tcMar>
              <w:left w:w="108" w:type="dxa"/>
            </w:tcMar>
          </w:tcPr>
          <w:p>
            <w:pPr>
              <w:spacing w:after="0"/>
              <w:rPr>
                <w:noProof/>
                <w:szCs w:val="24"/>
              </w:rPr>
            </w:pPr>
          </w:p>
        </w:tc>
        <w:tc>
          <w:tcPr>
            <w:tcW w:w="4329" w:type="dxa"/>
            <w:tcBorders>
              <w:top w:val="single" w:sz="4" w:space="0" w:color="FFFFFF"/>
              <w:left w:val="single" w:sz="4" w:space="0" w:color="FFFFFF"/>
              <w:bottom w:val="single" w:sz="4" w:space="0" w:color="FFFFFF"/>
              <w:right w:val="single" w:sz="4" w:space="0" w:color="FFFFFF"/>
            </w:tcBorders>
            <w:shd w:val="clear" w:color="auto" w:fill="F2F2F2"/>
            <w:tcMar>
              <w:left w:w="108" w:type="dxa"/>
            </w:tcMar>
          </w:tcPr>
          <w:p>
            <w:pPr>
              <w:spacing w:after="0"/>
              <w:rPr>
                <w:noProof/>
                <w:szCs w:val="24"/>
              </w:rPr>
            </w:pPr>
          </w:p>
        </w:tc>
      </w:tr>
      <w:tr>
        <w:tc>
          <w:tcPr>
            <w:tcW w:w="1897" w:type="dxa"/>
            <w:tcBorders>
              <w:top w:val="single" w:sz="4" w:space="0" w:color="FFFFFF"/>
              <w:left w:val="single" w:sz="4" w:space="0" w:color="FFFFFF"/>
              <w:bottom w:val="single" w:sz="4" w:space="0" w:color="FFFFFF"/>
              <w:right w:val="single" w:sz="4" w:space="0" w:color="FFFFFF"/>
            </w:tcBorders>
            <w:shd w:val="clear" w:color="auto" w:fill="F2F2F2"/>
            <w:tcMar>
              <w:left w:w="108" w:type="dxa"/>
            </w:tcMar>
          </w:tcPr>
          <w:p>
            <w:pPr>
              <w:spacing w:after="0"/>
              <w:rPr>
                <w:noProof/>
                <w:szCs w:val="24"/>
              </w:rPr>
            </w:pPr>
            <w:r>
              <w:rPr>
                <w:noProof/>
              </w:rPr>
              <w:t>ОП II</w:t>
            </w:r>
          </w:p>
        </w:tc>
        <w:tc>
          <w:tcPr>
            <w:tcW w:w="2846" w:type="dxa"/>
            <w:tcBorders>
              <w:top w:val="single" w:sz="4" w:space="0" w:color="FFFFFF"/>
              <w:left w:val="single" w:sz="4" w:space="0" w:color="FFFFFF"/>
              <w:bottom w:val="single" w:sz="4" w:space="0" w:color="FFFFFF"/>
              <w:right w:val="single" w:sz="4" w:space="0" w:color="FFFFFF"/>
            </w:tcBorders>
            <w:shd w:val="clear" w:color="auto" w:fill="F2F2F2"/>
            <w:tcMar>
              <w:left w:w="108" w:type="dxa"/>
            </w:tcMar>
          </w:tcPr>
          <w:p>
            <w:pPr>
              <w:spacing w:after="0"/>
              <w:rPr>
                <w:noProof/>
                <w:szCs w:val="24"/>
              </w:rPr>
            </w:pPr>
            <w:r>
              <w:rPr>
                <w:noProof/>
              </w:rPr>
              <w:t>Социално приобщаване</w:t>
            </w:r>
          </w:p>
        </w:tc>
        <w:tc>
          <w:tcPr>
            <w:tcW w:w="4329" w:type="dxa"/>
            <w:tcBorders>
              <w:top w:val="single" w:sz="4" w:space="0" w:color="FFFFFF"/>
              <w:left w:val="single" w:sz="4" w:space="0" w:color="FFFFFF"/>
              <w:bottom w:val="single" w:sz="4" w:space="0" w:color="FFFFFF"/>
              <w:right w:val="single" w:sz="4" w:space="0" w:color="FFFFFF"/>
            </w:tcBorders>
            <w:shd w:val="clear" w:color="auto" w:fill="F2F2F2"/>
            <w:tcMar>
              <w:left w:w="108" w:type="dxa"/>
            </w:tcMar>
          </w:tcPr>
          <w:p>
            <w:pPr>
              <w:spacing w:after="0"/>
              <w:rPr>
                <w:noProof/>
                <w:szCs w:val="24"/>
              </w:rPr>
            </w:pPr>
            <w:r>
              <w:rPr>
                <w:noProof/>
              </w:rPr>
              <w:t>DE, DK, NL, SE (4)</w:t>
            </w:r>
          </w:p>
        </w:tc>
      </w:tr>
    </w:tbl>
    <w:p>
      <w:pPr>
        <w:spacing w:before="240"/>
        <w:rPr>
          <w:b/>
          <w:noProof/>
          <w:szCs w:val="24"/>
        </w:rPr>
      </w:pPr>
      <w:r>
        <w:rPr>
          <w:b/>
          <w:noProof/>
        </w:rPr>
        <w:t>ОП I — Храни и основно материално подпомагане</w:t>
      </w:r>
    </w:p>
    <w:p>
      <w:pPr>
        <w:spacing w:before="240"/>
        <w:rPr>
          <w:noProof/>
          <w:szCs w:val="24"/>
        </w:rPr>
      </w:pPr>
      <w:r>
        <w:rPr>
          <w:b/>
          <w:noProof/>
        </w:rPr>
        <w:t xml:space="preserve">18 държави членки предоставиха подпомагане с хранителни продукти през 2016 г. </w:t>
      </w:r>
      <w:r>
        <w:rPr>
          <w:noProof/>
        </w:rPr>
        <w:t>Повече от 90 % от подпомагането с храни, изразено в тегло, беше предоставено от 5 държави: ES, FR, RO, PL и IT. През 2016 г. бяха разпределени общо 377 500 тона хранителни продукти, като за периода 2014—2016 г. възлизат на 939 600 тона.</w:t>
      </w:r>
      <w:r>
        <w:rPr>
          <w:b/>
          <w:noProof/>
        </w:rPr>
        <w:t xml:space="preserve"> </w:t>
      </w:r>
      <w:r>
        <w:rPr>
          <w:noProof/>
        </w:rPr>
        <w:t>Въпреки че избраните видове хранителни продукти останаха доста сходни с предходната година, общото количество на разпределените за подпомагане хранителни продукти намаля със 7 % в сравнение с предходната година. Това се дължи главно на факта, че отчетените от IT тонове хранителни продукти бяха по-малко, отколкото през 2015 г., отчасти поради забавяния на тръжните процедури. Освен това разпределянето на хранителни продукти в PT беше прекъснато през 2016 г., тъй като програмата беше предмет на преразглеждане. В LT, BE, PL и RO обемът на подпомагането с хранителни продукти леко е намалял. В останалите 13 държави обемът на подпомагането с хранителни продукти е увеличен, но намаляването в другите държави членки не беше компенсирано: в абсолютно изражение увеличения бяха отчетени главно в ES и FR (съответно 17 % и 8 %). През 2016 г. GR, SK, MT и IE стартираха подпомагането с хранителни продукти, а в BG и CZ бяха предоставени значително по-големи количества (вж. също така фигура 2). Даренията на храни бяха част от подпомагането с хранителни продукти в 4 държави, макар че тази форма остана ограничена.</w:t>
      </w:r>
    </w:p>
    <w:p>
      <w:pPr>
        <w:pStyle w:val="Caption"/>
        <w:keepNext/>
        <w:rPr>
          <w:noProof/>
        </w:rPr>
      </w:pPr>
      <w:r>
        <w:rPr>
          <w:noProof/>
        </w:rPr>
        <w:t>Фигура 2: Подпомагане с хранителни продукти, предоставени през периода 2014—2016 г. (хиляди тона)</w:t>
      </w:r>
    </w:p>
    <w:p>
      <w:pPr>
        <w:rPr>
          <w:noProof/>
        </w:rPr>
      </w:pPr>
      <w:r>
        <w:rPr>
          <w:noProof/>
          <w:szCs w:val="24"/>
          <w:lang w:val="en-GB" w:eastAsia="en-GB" w:bidi="ar-SA"/>
        </w:rPr>
        <w:drawing>
          <wp:inline distT="0" distB="0" distL="0" distR="0">
            <wp:extent cx="5194300" cy="14935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94300" cy="1493520"/>
                    </a:xfrm>
                    <a:prstGeom prst="rect">
                      <a:avLst/>
                    </a:prstGeom>
                    <a:noFill/>
                  </pic:spPr>
                </pic:pic>
              </a:graphicData>
            </a:graphic>
          </wp:inline>
        </w:drawing>
      </w:r>
    </w:p>
    <w:p>
      <w:pPr>
        <w:spacing w:after="0"/>
        <w:rPr>
          <w:noProof/>
          <w:szCs w:val="24"/>
        </w:rPr>
      </w:pPr>
    </w:p>
    <w:p>
      <w:pPr>
        <w:pStyle w:val="Heading20"/>
        <w:rPr>
          <w:rFonts w:ascii="Times New Roman" w:hAnsi="Times New Roman"/>
          <w:b w:val="0"/>
          <w:i w:val="0"/>
          <w:noProof/>
          <w:szCs w:val="24"/>
          <w:lang w:eastAsia="en-US" w:bidi="ar-SA"/>
        </w:rPr>
      </w:pPr>
      <w:r>
        <w:rPr>
          <w:rFonts w:ascii="Times New Roman" w:hAnsi="Times New Roman"/>
          <w:b w:val="0"/>
          <w:i w:val="0"/>
          <w:noProof/>
          <w:szCs w:val="24"/>
          <w:lang w:eastAsia="en-US" w:bidi="ar-SA"/>
        </w:rPr>
        <w:t xml:space="preserve">Източник: Общ показател за крайни продукти по </w:t>
      </w:r>
      <w:r>
        <w:rPr>
          <w:rFonts w:ascii="Times New Roman" w:hAnsi="Times New Roman"/>
          <w:b w:val="0"/>
          <w:i w:val="0"/>
          <w:noProof/>
          <w:szCs w:val="24"/>
          <w:lang w:val="en-GB" w:eastAsia="en-US" w:bidi="ar-SA"/>
        </w:rPr>
        <w:t>FEAD</w:t>
      </w:r>
      <w:r>
        <w:rPr>
          <w:rFonts w:ascii="Times New Roman" w:hAnsi="Times New Roman"/>
          <w:b w:val="0"/>
          <w:i w:val="0"/>
          <w:noProof/>
          <w:szCs w:val="24"/>
          <w:lang w:eastAsia="en-US" w:bidi="ar-SA"/>
        </w:rPr>
        <w:t xml:space="preserve"> (</w:t>
      </w:r>
      <w:r>
        <w:rPr>
          <w:rFonts w:ascii="Times New Roman" w:hAnsi="Times New Roman"/>
          <w:b w:val="0"/>
          <w:i w:val="0"/>
          <w:noProof/>
          <w:szCs w:val="24"/>
          <w:lang w:val="en-GB" w:eastAsia="en-US" w:bidi="ar-SA"/>
        </w:rPr>
        <w:t>ID</w:t>
      </w:r>
      <w:r>
        <w:rPr>
          <w:rFonts w:ascii="Times New Roman" w:hAnsi="Times New Roman"/>
          <w:b w:val="0"/>
          <w:i w:val="0"/>
          <w:noProof/>
          <w:szCs w:val="24"/>
          <w:lang w:eastAsia="en-US" w:bidi="ar-SA"/>
        </w:rPr>
        <w:t xml:space="preserve"> 11), 2014—2016</w:t>
      </w:r>
      <w:r>
        <w:rPr>
          <w:rFonts w:ascii="Times New Roman" w:hAnsi="Times New Roman"/>
          <w:b w:val="0"/>
          <w:i w:val="0"/>
          <w:noProof/>
          <w:szCs w:val="24"/>
          <w:lang w:val="en-GB" w:eastAsia="en-US" w:bidi="ar-SA"/>
        </w:rPr>
        <w:t> </w:t>
      </w:r>
      <w:r>
        <w:rPr>
          <w:rFonts w:ascii="Times New Roman" w:hAnsi="Times New Roman"/>
          <w:b w:val="0"/>
          <w:i w:val="0"/>
          <w:noProof/>
          <w:szCs w:val="24"/>
          <w:lang w:eastAsia="en-US" w:bidi="ar-SA"/>
        </w:rPr>
        <w:t>г.</w:t>
      </w:r>
    </w:p>
    <w:p>
      <w:pPr>
        <w:spacing w:before="240"/>
        <w:rPr>
          <w:noProof/>
          <w:color w:val="000000"/>
          <w:szCs w:val="24"/>
        </w:rPr>
      </w:pPr>
      <w:r>
        <w:rPr>
          <w:noProof/>
        </w:rPr>
        <w:t xml:space="preserve">17 държави членки предоставяха пакети с храни, а 10 от тях предоставяха също така готови ястия. </w:t>
      </w:r>
      <w:r>
        <w:rPr>
          <w:noProof/>
          <w:color w:val="000000"/>
        </w:rPr>
        <w:t>Общото количество на пакетите с храни беше сходно с това за 2015 г. Отчетено беше 14 % увеличение на предоставените ястия спрямо предходната година.</w:t>
      </w:r>
      <w:r>
        <w:rPr>
          <w:noProof/>
        </w:rPr>
        <w:t xml:space="preserve"> Подпомагането с хранителни продукти в BG, ES и MT беше финансирано изцяло от FEAD. В останалите държави подпомагането с хранителни продукти беше допълнено с хранителни продукти, които са финансирани или дарени от други източници. В LU 44 % от разпределените храни бяха дарени, за което FEAD покриваше разходите за транспорт, съхранение и разпределение.</w:t>
      </w:r>
    </w:p>
    <w:p>
      <w:pPr>
        <w:rPr>
          <w:noProof/>
          <w:szCs w:val="24"/>
        </w:rPr>
      </w:pPr>
      <w:r>
        <w:rPr>
          <w:b/>
          <w:noProof/>
        </w:rPr>
        <w:t xml:space="preserve">6 държави членки предоставяха основно материално подпомагане като училищни пособия и продукти за хигиенни цели. </w:t>
      </w:r>
      <w:r>
        <w:rPr>
          <w:noProof/>
        </w:rPr>
        <w:t xml:space="preserve">Всички, с изключение на AT, го предоставяха в допълнение към подпомагането с хранителни продукти. AT и GR отчетоха около 80 % от общата парична стойност на разпределените стоки (7,6 милиона евро). Общата парична стойност на разпределените стоки през 2016 г. отбеляза сериозно увеличение спрямо 2015 г. Това се дължи на факта, че през 2016 г. AT, LV и LU увеличиха предоставянето на материално подпомагане спрямо 2015 г., а GR, CZ и SK започнаха да разпределят основно материално подпомагане през 2016 г. AT и LV предоставяха ученически чанти и други училищни пособия (сред които канцеларски материали, упражнителни тетрадки, химикалки и материали за творчески дейности). LV и SK разпределяха хигиенни пакети, съдържащи основни продукти за хигиенни цели. CZ, GR, LU и SK разпределяха продукти за хигиенни цели както за деца, така и за бездомни хора (комплекти за първа помощ, сапун, четки за зъби, самобръсначки за еднократна употреба и т.н.). </w:t>
      </w:r>
    </w:p>
    <w:p>
      <w:pPr>
        <w:pStyle w:val="Caption"/>
        <w:keepNext/>
        <w:rPr>
          <w:noProof/>
        </w:rPr>
      </w:pPr>
      <w:bookmarkStart w:id="4" w:name="_Ref514892816"/>
      <w:r>
        <w:rPr>
          <w:noProof/>
        </w:rPr>
        <w:t>Фигура</w:t>
      </w:r>
      <w:bookmarkEnd w:id="4"/>
      <w:r>
        <w:rPr>
          <w:noProof/>
        </w:rPr>
        <w:t xml:space="preserve"> 3: Обща парична стойност на основното материално подпомагане през периода 2014—2016 г. (млн. евро)</w:t>
      </w:r>
    </w:p>
    <w:p>
      <w:pPr>
        <w:rPr>
          <w:noProof/>
          <w:lang w:val="en-GB"/>
        </w:rPr>
      </w:pPr>
      <w:r>
        <w:rPr>
          <w:noProof/>
          <w:szCs w:val="24"/>
          <w:lang w:val="en-GB" w:eastAsia="en-GB" w:bidi="ar-SA"/>
        </w:rPr>
        <w:drawing>
          <wp:inline distT="0" distB="0" distL="0" distR="0">
            <wp:extent cx="5578475" cy="1213485"/>
            <wp:effectExtent l="0" t="0" r="317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78475" cy="1213485"/>
                    </a:xfrm>
                    <a:prstGeom prst="rect">
                      <a:avLst/>
                    </a:prstGeom>
                    <a:noFill/>
                  </pic:spPr>
                </pic:pic>
              </a:graphicData>
            </a:graphic>
          </wp:inline>
        </w:drawing>
      </w:r>
    </w:p>
    <w:p>
      <w:pPr>
        <w:rPr>
          <w:noProof/>
        </w:rPr>
      </w:pPr>
      <w:bookmarkStart w:id="5" w:name="_Hlk515299124"/>
      <w:bookmarkEnd w:id="5"/>
      <w:r>
        <w:rPr>
          <w:noProof/>
        </w:rPr>
        <w:t>Източник: Общ показател за крайни продукти по FEAD (показател 15), 2014—2016 г.</w:t>
      </w:r>
    </w:p>
    <w:p>
      <w:pPr>
        <w:pStyle w:val="Heading20"/>
        <w:rPr>
          <w:rFonts w:ascii="Times New Roman" w:hAnsi="Times New Roman"/>
          <w:b w:val="0"/>
          <w:i w:val="0"/>
          <w:noProof/>
          <w:szCs w:val="24"/>
          <w:lang w:eastAsia="en-US" w:bidi="ar-SA"/>
        </w:rPr>
      </w:pPr>
      <w:r>
        <w:rPr>
          <w:rFonts w:ascii="Times New Roman" w:hAnsi="Times New Roman"/>
          <w:i w:val="0"/>
          <w:noProof/>
          <w:szCs w:val="24"/>
          <w:lang w:eastAsia="en-US" w:bidi="ar-SA"/>
        </w:rPr>
        <w:t xml:space="preserve">В отделните държави членки подпомагането с хранителни продукти и/или основното материално подпомагане се предоставяха по различни начини. </w:t>
      </w:r>
      <w:r>
        <w:rPr>
          <w:rFonts w:ascii="Times New Roman" w:hAnsi="Times New Roman"/>
          <w:b w:val="0"/>
          <w:i w:val="0"/>
          <w:noProof/>
          <w:szCs w:val="24"/>
          <w:lang w:eastAsia="en-US" w:bidi="ar-SA"/>
        </w:rPr>
        <w:t xml:space="preserve">Една от основните разлики беше степента на ангажираност на държавните институции (управляващи органи, междинни органи и/или други) в процеса (напр. идентифициране на допустимите бенефициери, разпространение на информация, организиране на логистиката и разпределението и т.н.). Това съответства на правното основание на програмата в рамките на </w:t>
      </w:r>
      <w:r>
        <w:rPr>
          <w:rFonts w:ascii="Times New Roman" w:hAnsi="Times New Roman"/>
          <w:b w:val="0"/>
          <w:i w:val="0"/>
          <w:noProof/>
          <w:szCs w:val="24"/>
          <w:lang w:val="en-GB" w:eastAsia="en-US" w:bidi="ar-SA"/>
        </w:rPr>
        <w:t>FEAD</w:t>
      </w:r>
      <w:r>
        <w:rPr>
          <w:rFonts w:ascii="Times New Roman" w:hAnsi="Times New Roman"/>
          <w:b w:val="0"/>
          <w:i w:val="0"/>
          <w:noProof/>
          <w:szCs w:val="24"/>
          <w:lang w:eastAsia="en-US" w:bidi="ar-SA"/>
        </w:rPr>
        <w:t xml:space="preserve">, тъй като всяка държава членка решава самостоятелно какъв ще бъде механизмът за предоставяне. В </w:t>
      </w:r>
      <w:r>
        <w:rPr>
          <w:rFonts w:ascii="Times New Roman" w:hAnsi="Times New Roman"/>
          <w:b w:val="0"/>
          <w:i w:val="0"/>
          <w:noProof/>
          <w:szCs w:val="24"/>
          <w:lang w:val="en-GB" w:eastAsia="en-US" w:bidi="ar-SA"/>
        </w:rPr>
        <w:t>SK</w:t>
      </w:r>
      <w:r>
        <w:rPr>
          <w:rFonts w:ascii="Times New Roman" w:hAnsi="Times New Roman"/>
          <w:b w:val="0"/>
          <w:i w:val="0"/>
          <w:noProof/>
          <w:szCs w:val="24"/>
          <w:lang w:eastAsia="en-US" w:bidi="ar-SA"/>
        </w:rPr>
        <w:t xml:space="preserve"> правителството определяше допустимите бенефициери въз основа на административни данни за социалното осигуряване и планираше предоставянето на подпомагането в тясно сътрудничество с общините по места. Други държави избраха да делегират повече правомощия на партньорски организации. В </w:t>
      </w:r>
      <w:r>
        <w:rPr>
          <w:rFonts w:ascii="Times New Roman" w:hAnsi="Times New Roman"/>
          <w:b w:val="0"/>
          <w:i w:val="0"/>
          <w:noProof/>
          <w:szCs w:val="24"/>
          <w:lang w:val="en-GB" w:eastAsia="en-US" w:bidi="ar-SA"/>
        </w:rPr>
        <w:t>IE</w:t>
      </w:r>
      <w:r>
        <w:rPr>
          <w:rFonts w:ascii="Times New Roman" w:hAnsi="Times New Roman"/>
          <w:b w:val="0"/>
          <w:i w:val="0"/>
          <w:noProof/>
          <w:szCs w:val="24"/>
          <w:lang w:eastAsia="en-US" w:bidi="ar-SA"/>
        </w:rPr>
        <w:t xml:space="preserve"> една национална неправителствена организация отговаряше за осигуряването на храната (както чрез дарения, така и чрез покупки) и насочването ѝ към по-малки местни благотворителни организации; след това въпросните организации отговаряха за идентифицирането на бенефициерите, сред които да бъде разпределена храната. Във </w:t>
      </w:r>
      <w:r>
        <w:rPr>
          <w:rFonts w:ascii="Times New Roman" w:hAnsi="Times New Roman"/>
          <w:b w:val="0"/>
          <w:i w:val="0"/>
          <w:noProof/>
          <w:szCs w:val="24"/>
          <w:lang w:val="en-GB" w:eastAsia="en-US" w:bidi="ar-SA"/>
        </w:rPr>
        <w:t>FI</w:t>
      </w:r>
      <w:r>
        <w:rPr>
          <w:rFonts w:ascii="Times New Roman" w:hAnsi="Times New Roman"/>
          <w:b w:val="0"/>
          <w:i w:val="0"/>
          <w:noProof/>
          <w:szCs w:val="24"/>
          <w:lang w:eastAsia="en-US" w:bidi="ar-SA"/>
        </w:rPr>
        <w:t xml:space="preserve"> партньорските организации провеждаха предимно „открити мероприятия за предоставяне“ и предлагаха подпомагане на всеки, който поиска такова. Организациите, отговарящи за предоставянето на подпомагане на крайните получатели най-често бяха неправителствени организации на всички нива (местно, регионално, национално и международно). В някои държави крайните получатели получаваха пакет с предварително подбрани хранителни продукти или други стоки (</w:t>
      </w:r>
      <w:r>
        <w:rPr>
          <w:rFonts w:ascii="Times New Roman" w:hAnsi="Times New Roman"/>
          <w:b w:val="0"/>
          <w:i w:val="0"/>
          <w:noProof/>
          <w:szCs w:val="24"/>
          <w:lang w:val="en-GB" w:eastAsia="en-US" w:bidi="ar-SA"/>
        </w:rPr>
        <w:t>BE</w:t>
      </w:r>
      <w:r>
        <w:rPr>
          <w:rFonts w:ascii="Times New Roman" w:hAnsi="Times New Roman"/>
          <w:b w:val="0"/>
          <w:i w:val="0"/>
          <w:noProof/>
          <w:szCs w:val="24"/>
          <w:lang w:eastAsia="en-US" w:bidi="ar-SA"/>
        </w:rPr>
        <w:t xml:space="preserve">, </w:t>
      </w:r>
      <w:r>
        <w:rPr>
          <w:rFonts w:ascii="Times New Roman" w:hAnsi="Times New Roman"/>
          <w:b w:val="0"/>
          <w:i w:val="0"/>
          <w:noProof/>
          <w:szCs w:val="24"/>
          <w:lang w:val="en-GB" w:eastAsia="en-US" w:bidi="ar-SA"/>
        </w:rPr>
        <w:t>BG</w:t>
      </w:r>
      <w:r>
        <w:rPr>
          <w:rFonts w:ascii="Times New Roman" w:hAnsi="Times New Roman"/>
          <w:b w:val="0"/>
          <w:i w:val="0"/>
          <w:noProof/>
          <w:szCs w:val="24"/>
          <w:lang w:eastAsia="en-US" w:bidi="ar-SA"/>
        </w:rPr>
        <w:t xml:space="preserve">, </w:t>
      </w:r>
      <w:r>
        <w:rPr>
          <w:rFonts w:ascii="Times New Roman" w:hAnsi="Times New Roman"/>
          <w:b w:val="0"/>
          <w:i w:val="0"/>
          <w:noProof/>
          <w:szCs w:val="24"/>
          <w:lang w:val="en-GB" w:eastAsia="en-US" w:bidi="ar-SA"/>
        </w:rPr>
        <w:t>LT</w:t>
      </w:r>
      <w:r>
        <w:rPr>
          <w:rFonts w:ascii="Times New Roman" w:hAnsi="Times New Roman"/>
          <w:b w:val="0"/>
          <w:i w:val="0"/>
          <w:noProof/>
          <w:szCs w:val="24"/>
          <w:lang w:eastAsia="en-US" w:bidi="ar-SA"/>
        </w:rPr>
        <w:t xml:space="preserve">, </w:t>
      </w:r>
      <w:r>
        <w:rPr>
          <w:rFonts w:ascii="Times New Roman" w:hAnsi="Times New Roman"/>
          <w:b w:val="0"/>
          <w:i w:val="0"/>
          <w:noProof/>
          <w:szCs w:val="24"/>
          <w:lang w:val="en-GB" w:eastAsia="en-US" w:bidi="ar-SA"/>
        </w:rPr>
        <w:t>LU</w:t>
      </w:r>
      <w:r>
        <w:rPr>
          <w:rFonts w:ascii="Times New Roman" w:hAnsi="Times New Roman"/>
          <w:b w:val="0"/>
          <w:i w:val="0"/>
          <w:noProof/>
          <w:szCs w:val="24"/>
          <w:lang w:eastAsia="en-US" w:bidi="ar-SA"/>
        </w:rPr>
        <w:t xml:space="preserve">, </w:t>
      </w:r>
      <w:r>
        <w:rPr>
          <w:rFonts w:ascii="Times New Roman" w:hAnsi="Times New Roman"/>
          <w:b w:val="0"/>
          <w:i w:val="0"/>
          <w:noProof/>
          <w:szCs w:val="24"/>
          <w:lang w:val="en-GB" w:eastAsia="en-US" w:bidi="ar-SA"/>
        </w:rPr>
        <w:t>LV</w:t>
      </w:r>
      <w:r>
        <w:rPr>
          <w:rFonts w:ascii="Times New Roman" w:hAnsi="Times New Roman"/>
          <w:b w:val="0"/>
          <w:i w:val="0"/>
          <w:noProof/>
          <w:szCs w:val="24"/>
          <w:lang w:eastAsia="en-US" w:bidi="ar-SA"/>
        </w:rPr>
        <w:t xml:space="preserve">, </w:t>
      </w:r>
      <w:r>
        <w:rPr>
          <w:rFonts w:ascii="Times New Roman" w:hAnsi="Times New Roman"/>
          <w:b w:val="0"/>
          <w:i w:val="0"/>
          <w:noProof/>
          <w:szCs w:val="24"/>
          <w:lang w:val="en-GB" w:eastAsia="en-US" w:bidi="ar-SA"/>
        </w:rPr>
        <w:t>MT</w:t>
      </w:r>
      <w:r>
        <w:rPr>
          <w:rFonts w:ascii="Times New Roman" w:hAnsi="Times New Roman"/>
          <w:b w:val="0"/>
          <w:i w:val="0"/>
          <w:noProof/>
          <w:szCs w:val="24"/>
          <w:lang w:eastAsia="en-US" w:bidi="ar-SA"/>
        </w:rPr>
        <w:t xml:space="preserve">, </w:t>
      </w:r>
      <w:r>
        <w:rPr>
          <w:rFonts w:ascii="Times New Roman" w:hAnsi="Times New Roman"/>
          <w:b w:val="0"/>
          <w:i w:val="0"/>
          <w:noProof/>
          <w:szCs w:val="24"/>
          <w:lang w:val="en-GB" w:eastAsia="en-US" w:bidi="ar-SA"/>
        </w:rPr>
        <w:t>PL</w:t>
      </w:r>
      <w:r>
        <w:rPr>
          <w:rFonts w:ascii="Times New Roman" w:hAnsi="Times New Roman"/>
          <w:b w:val="0"/>
          <w:i w:val="0"/>
          <w:noProof/>
          <w:szCs w:val="24"/>
          <w:lang w:eastAsia="en-US" w:bidi="ar-SA"/>
        </w:rPr>
        <w:t xml:space="preserve">, </w:t>
      </w:r>
      <w:r>
        <w:rPr>
          <w:rFonts w:ascii="Times New Roman" w:hAnsi="Times New Roman"/>
          <w:b w:val="0"/>
          <w:i w:val="0"/>
          <w:noProof/>
          <w:szCs w:val="24"/>
          <w:lang w:val="en-GB" w:eastAsia="en-US" w:bidi="ar-SA"/>
        </w:rPr>
        <w:t>ES</w:t>
      </w:r>
      <w:r>
        <w:rPr>
          <w:rFonts w:ascii="Times New Roman" w:hAnsi="Times New Roman"/>
          <w:b w:val="0"/>
          <w:i w:val="0"/>
          <w:noProof/>
          <w:szCs w:val="24"/>
          <w:lang w:eastAsia="en-US" w:bidi="ar-SA"/>
        </w:rPr>
        <w:t xml:space="preserve">, </w:t>
      </w:r>
      <w:r>
        <w:rPr>
          <w:rFonts w:ascii="Times New Roman" w:hAnsi="Times New Roman"/>
          <w:b w:val="0"/>
          <w:i w:val="0"/>
          <w:noProof/>
          <w:szCs w:val="24"/>
          <w:lang w:val="en-GB" w:eastAsia="en-US" w:bidi="ar-SA"/>
        </w:rPr>
        <w:t>SI</w:t>
      </w:r>
      <w:r>
        <w:rPr>
          <w:rFonts w:ascii="Times New Roman" w:hAnsi="Times New Roman"/>
          <w:b w:val="0"/>
          <w:i w:val="0"/>
          <w:noProof/>
          <w:szCs w:val="24"/>
          <w:lang w:eastAsia="en-US" w:bidi="ar-SA"/>
        </w:rPr>
        <w:t xml:space="preserve">, </w:t>
      </w:r>
      <w:r>
        <w:rPr>
          <w:rFonts w:ascii="Times New Roman" w:hAnsi="Times New Roman"/>
          <w:b w:val="0"/>
          <w:i w:val="0"/>
          <w:noProof/>
          <w:szCs w:val="24"/>
          <w:lang w:val="en-GB" w:eastAsia="en-US" w:bidi="ar-SA"/>
        </w:rPr>
        <w:t>SK</w:t>
      </w:r>
      <w:r>
        <w:rPr>
          <w:rFonts w:ascii="Times New Roman" w:hAnsi="Times New Roman"/>
          <w:b w:val="0"/>
          <w:i w:val="0"/>
          <w:noProof/>
          <w:szCs w:val="24"/>
          <w:lang w:eastAsia="en-US" w:bidi="ar-SA"/>
        </w:rPr>
        <w:t xml:space="preserve">, </w:t>
      </w:r>
      <w:r>
        <w:rPr>
          <w:rFonts w:ascii="Times New Roman" w:hAnsi="Times New Roman"/>
          <w:b w:val="0"/>
          <w:i w:val="0"/>
          <w:noProof/>
          <w:szCs w:val="24"/>
          <w:lang w:val="en-GB" w:eastAsia="en-US" w:bidi="ar-SA"/>
        </w:rPr>
        <w:t>RO</w:t>
      </w:r>
      <w:r>
        <w:rPr>
          <w:rFonts w:ascii="Times New Roman" w:hAnsi="Times New Roman"/>
          <w:b w:val="0"/>
          <w:i w:val="0"/>
          <w:noProof/>
          <w:szCs w:val="24"/>
          <w:lang w:eastAsia="en-US" w:bidi="ar-SA"/>
        </w:rPr>
        <w:t>), докато в други разпределящите организации съобразяваха подпомагането с потребностите (</w:t>
      </w:r>
      <w:r>
        <w:rPr>
          <w:rFonts w:ascii="Times New Roman" w:hAnsi="Times New Roman"/>
          <w:b w:val="0"/>
          <w:i w:val="0"/>
          <w:noProof/>
          <w:szCs w:val="24"/>
          <w:lang w:val="en-GB" w:eastAsia="en-US" w:bidi="ar-SA"/>
        </w:rPr>
        <w:t>FR</w:t>
      </w:r>
      <w:r>
        <w:rPr>
          <w:rFonts w:ascii="Times New Roman" w:hAnsi="Times New Roman"/>
          <w:b w:val="0"/>
          <w:i w:val="0"/>
          <w:noProof/>
          <w:szCs w:val="24"/>
          <w:lang w:eastAsia="en-US" w:bidi="ar-SA"/>
        </w:rPr>
        <w:t xml:space="preserve">, </w:t>
      </w:r>
      <w:r>
        <w:rPr>
          <w:rFonts w:ascii="Times New Roman" w:hAnsi="Times New Roman"/>
          <w:b w:val="0"/>
          <w:i w:val="0"/>
          <w:noProof/>
          <w:szCs w:val="24"/>
          <w:lang w:val="en-GB" w:eastAsia="en-US" w:bidi="ar-SA"/>
        </w:rPr>
        <w:t>IE</w:t>
      </w:r>
      <w:r>
        <w:rPr>
          <w:rFonts w:ascii="Times New Roman" w:hAnsi="Times New Roman"/>
          <w:b w:val="0"/>
          <w:i w:val="0"/>
          <w:noProof/>
          <w:szCs w:val="24"/>
          <w:lang w:eastAsia="en-US" w:bidi="ar-SA"/>
        </w:rPr>
        <w:t xml:space="preserve">, </w:t>
      </w:r>
      <w:r>
        <w:rPr>
          <w:rFonts w:ascii="Times New Roman" w:hAnsi="Times New Roman"/>
          <w:b w:val="0"/>
          <w:i w:val="0"/>
          <w:noProof/>
          <w:szCs w:val="24"/>
          <w:lang w:val="en-GB" w:eastAsia="en-US" w:bidi="ar-SA"/>
        </w:rPr>
        <w:t>CZ</w:t>
      </w:r>
      <w:r>
        <w:rPr>
          <w:rFonts w:ascii="Times New Roman" w:hAnsi="Times New Roman"/>
          <w:b w:val="0"/>
          <w:i w:val="0"/>
          <w:noProof/>
          <w:szCs w:val="24"/>
          <w:lang w:eastAsia="en-US" w:bidi="ar-SA"/>
        </w:rPr>
        <w:t xml:space="preserve">). В </w:t>
      </w:r>
      <w:r>
        <w:rPr>
          <w:rFonts w:ascii="Times New Roman" w:hAnsi="Times New Roman"/>
          <w:b w:val="0"/>
          <w:i w:val="0"/>
          <w:noProof/>
          <w:szCs w:val="24"/>
          <w:lang w:val="en-GB" w:eastAsia="en-US" w:bidi="ar-SA"/>
        </w:rPr>
        <w:t>AT</w:t>
      </w:r>
      <w:r>
        <w:rPr>
          <w:rFonts w:ascii="Times New Roman" w:hAnsi="Times New Roman"/>
          <w:b w:val="0"/>
          <w:i w:val="0"/>
          <w:noProof/>
          <w:szCs w:val="24"/>
          <w:lang w:eastAsia="en-US" w:bidi="ar-SA"/>
        </w:rPr>
        <w:t xml:space="preserve"> крайните получатели можеха да избират между няколко вида пакети с подпомагане.</w:t>
      </w:r>
    </w:p>
    <w:p>
      <w:pPr>
        <w:pStyle w:val="Heading20"/>
        <w:rPr>
          <w:rFonts w:ascii="Times New Roman" w:hAnsi="Times New Roman"/>
          <w:b w:val="0"/>
          <w:i w:val="0"/>
          <w:noProof/>
          <w:szCs w:val="24"/>
          <w:lang w:eastAsia="en-US" w:bidi="ar-SA"/>
        </w:rPr>
      </w:pPr>
      <w:r>
        <w:rPr>
          <w:rFonts w:ascii="Times New Roman" w:hAnsi="Times New Roman"/>
          <w:i w:val="0"/>
          <w:noProof/>
          <w:szCs w:val="24"/>
          <w:lang w:eastAsia="en-US" w:bidi="ar-SA"/>
        </w:rPr>
        <w:t xml:space="preserve">Подпомагане с хранителни продукти получиха 7,5 милиона жени, а основно материално подпомагане получиха 346 000 жени. </w:t>
      </w:r>
      <w:r>
        <w:rPr>
          <w:rFonts w:ascii="Times New Roman" w:hAnsi="Times New Roman"/>
          <w:b w:val="0"/>
          <w:i w:val="0"/>
          <w:noProof/>
          <w:szCs w:val="24"/>
          <w:lang w:eastAsia="en-US" w:bidi="ar-SA"/>
        </w:rPr>
        <w:t>Данните за отделните целеви групи се базират на изчисления и отчасти се припокриват. 4,4 милиона деца на възраст 15 години или по-малко получиха подпомагане с хранителни продукти и над 246 000 — основно материално подпомагане. Подпомогнати бяха около 1,7 милиона възрастни хора и над 940 000 лица с увреждания, които са съответно с 32 % и 21 % повече спрямо 2015 г. Възрастните хора бяха също така една от групите, които се увеличиха най-много през 2016 г. в сравнение с 2015 г. и от гледна точка на основно материално подпомагане (135 през 2015 г. спрямо 21 500 през 2016 г.).</w:t>
      </w:r>
    </w:p>
    <w:p>
      <w:pPr>
        <w:pStyle w:val="Heading20"/>
        <w:rPr>
          <w:rFonts w:ascii="Times New Roman" w:hAnsi="Times New Roman"/>
          <w:b w:val="0"/>
          <w:i w:val="0"/>
          <w:noProof/>
          <w:szCs w:val="24"/>
          <w:lang w:eastAsia="en-US" w:bidi="ar-SA"/>
        </w:rPr>
      </w:pPr>
      <w:r>
        <w:rPr>
          <w:rFonts w:ascii="Times New Roman" w:hAnsi="Times New Roman"/>
          <w:i w:val="0"/>
          <w:noProof/>
          <w:szCs w:val="24"/>
          <w:lang w:eastAsia="en-US" w:bidi="ar-SA"/>
        </w:rPr>
        <w:t xml:space="preserve">През 2016 г. имаше и съществено увеличаване на помощта, предоставена на бездомни хора. </w:t>
      </w:r>
      <w:r>
        <w:rPr>
          <w:rFonts w:ascii="Times New Roman" w:hAnsi="Times New Roman"/>
          <w:b w:val="0"/>
          <w:i w:val="0"/>
          <w:noProof/>
          <w:szCs w:val="24"/>
          <w:lang w:eastAsia="en-US" w:bidi="ar-SA"/>
        </w:rPr>
        <w:t>През 2015 г. 42 бездомни лица получиха основно материално подпомагане (основни стоки) само в 1 държава членка (LU), докато през 2016 г. техният брой достигна 8 700 в 4 държави членки (CZ, GR, LU и SK). Въпреки това някои показатели сочат, че броят на бездомните лица, получили подпомагане с хранителни продукти, като цяло през 2016 г. е значително по-нисък, отколкото през 2015 г. (1,2 милиона през 2015 г. спрямо 200 000 през 2016 г.). Главно това се дължи на FR, която не предостави данни относно броя на бездомните лица, получили подпомагане с хранителни продукти през 2016 г.</w:t>
      </w:r>
      <w:r>
        <w:rPr>
          <w:rFonts w:ascii="Times New Roman" w:hAnsi="Times New Roman"/>
          <w:b w:val="0"/>
          <w:i w:val="0"/>
          <w:noProof/>
          <w:szCs w:val="24"/>
          <w:vertAlign w:val="superscript"/>
          <w:lang w:eastAsia="en-US" w:bidi="ar-SA"/>
        </w:rPr>
        <w:footnoteReference w:id="6"/>
      </w:r>
      <w:r>
        <w:rPr>
          <w:rFonts w:ascii="Times New Roman" w:hAnsi="Times New Roman"/>
          <w:b w:val="0"/>
          <w:i w:val="0"/>
          <w:noProof/>
          <w:szCs w:val="24"/>
          <w:lang w:eastAsia="en-US" w:bidi="ar-SA"/>
        </w:rPr>
        <w:t xml:space="preserve"> CZ, FI и SI отчетоха значително увеличение на броя на бездомните лица, получили подпомагане, а GR, IE и SK започнаха да предоставят подпомагане с хранителни продукти на тази група през 2016 г.</w:t>
      </w:r>
    </w:p>
    <w:p>
      <w:pPr>
        <w:pStyle w:val="Heading20"/>
        <w:rPr>
          <w:rFonts w:ascii="Times New Roman" w:hAnsi="Times New Roman"/>
          <w:b w:val="0"/>
          <w:i w:val="0"/>
          <w:noProof/>
          <w:szCs w:val="24"/>
          <w:lang w:eastAsia="en-US" w:bidi="ar-SA"/>
        </w:rPr>
      </w:pPr>
      <w:r>
        <w:rPr>
          <w:rFonts w:ascii="Times New Roman" w:hAnsi="Times New Roman"/>
          <w:i w:val="0"/>
          <w:noProof/>
          <w:szCs w:val="24"/>
          <w:lang w:eastAsia="en-US" w:bidi="ar-SA"/>
        </w:rPr>
        <w:t xml:space="preserve">Мигрантите (или лица с чуждестранен произход, малцинства) формираха третата по големина целева група при разпределянето на основно материално подпомагане и четвъртата при подпомагането с хранителни продукти през 2016 г. </w:t>
      </w:r>
      <w:r>
        <w:rPr>
          <w:rFonts w:ascii="Times New Roman" w:hAnsi="Times New Roman"/>
          <w:b w:val="0"/>
          <w:i w:val="0"/>
          <w:noProof/>
          <w:szCs w:val="24"/>
          <w:lang w:eastAsia="en-US" w:bidi="ar-SA"/>
        </w:rPr>
        <w:t>Общият брой на мигрантите, получили основно материално подпомагане, беше над два пъти по-голям, отколкото през 2015 г. (17 800 през 2015 г. спрямо 40 000 през 2016 г.). Въпреки това общият брой на лицата в тази група, получили подпомагане с хранителни продукти, беше по-нисък в сравнение с 2015 г. (около 2 милиона през 2015 г. спрямо 1,6 милиона през 2016 г.). BE, ES, IT, LV, PL и SI отчетоха по-малък брой на мигрантите, получили подпомагане, спрямо 2015 г. BG, CZ и FI, от друга страна, отбелязаха голямо увеличение.</w:t>
      </w:r>
    </w:p>
    <w:p>
      <w:pPr>
        <w:rPr>
          <w:noProof/>
          <w:szCs w:val="24"/>
        </w:rPr>
      </w:pPr>
      <w:r>
        <w:rPr>
          <w:b/>
          <w:noProof/>
        </w:rPr>
        <w:t>През 2016 г. държавите членки приложиха различни съпътстващи мерки</w:t>
      </w:r>
      <w:r>
        <w:rPr>
          <w:noProof/>
        </w:rPr>
        <w:t>. Тези инициативи включват:</w:t>
      </w:r>
    </w:p>
    <w:p>
      <w:pPr>
        <w:pStyle w:val="ListParagraph"/>
        <w:numPr>
          <w:ilvl w:val="0"/>
          <w:numId w:val="3"/>
        </w:numPr>
        <w:rPr>
          <w:b/>
          <w:noProof/>
          <w:szCs w:val="24"/>
        </w:rPr>
      </w:pPr>
      <w:r>
        <w:rPr>
          <w:noProof/>
        </w:rPr>
        <w:t>консултиране/психологическа подкрепа (напр. в EE, GR, FI, FR, LV, LT, SI, SK);</w:t>
      </w:r>
    </w:p>
    <w:p>
      <w:pPr>
        <w:pStyle w:val="ListParagraph"/>
        <w:numPr>
          <w:ilvl w:val="0"/>
          <w:numId w:val="3"/>
        </w:numPr>
        <w:rPr>
          <w:b/>
          <w:noProof/>
          <w:szCs w:val="24"/>
        </w:rPr>
      </w:pPr>
      <w:r>
        <w:rPr>
          <w:noProof/>
        </w:rPr>
        <w:t>съвети/информация относно социални и здравни услуги (ES, FI, IE, IT, RO);</w:t>
      </w:r>
    </w:p>
    <w:p>
      <w:pPr>
        <w:pStyle w:val="ListParagraph"/>
        <w:numPr>
          <w:ilvl w:val="0"/>
          <w:numId w:val="3"/>
        </w:numPr>
        <w:rPr>
          <w:b/>
          <w:noProof/>
          <w:szCs w:val="24"/>
        </w:rPr>
      </w:pPr>
      <w:r>
        <w:rPr>
          <w:noProof/>
        </w:rPr>
        <w:t>управление на семейния бюджет (BE, EE, GR, HR, LV, SK);</w:t>
      </w:r>
    </w:p>
    <w:p>
      <w:pPr>
        <w:pStyle w:val="ListParagraph"/>
        <w:numPr>
          <w:ilvl w:val="0"/>
          <w:numId w:val="3"/>
        </w:numPr>
        <w:rPr>
          <w:b/>
          <w:noProof/>
          <w:szCs w:val="24"/>
        </w:rPr>
      </w:pPr>
      <w:r>
        <w:rPr>
          <w:noProof/>
        </w:rPr>
        <w:t>спорт и отдих (SI, LV);</w:t>
      </w:r>
    </w:p>
    <w:p>
      <w:pPr>
        <w:pStyle w:val="ListParagraph"/>
        <w:numPr>
          <w:ilvl w:val="0"/>
          <w:numId w:val="3"/>
        </w:numPr>
        <w:rPr>
          <w:b/>
          <w:noProof/>
          <w:szCs w:val="24"/>
        </w:rPr>
      </w:pPr>
      <w:r>
        <w:rPr>
          <w:noProof/>
        </w:rPr>
        <w:t>хигиена/здраве (HR, LV, RO, SK);</w:t>
      </w:r>
    </w:p>
    <w:p>
      <w:pPr>
        <w:pStyle w:val="ListParagraph"/>
        <w:numPr>
          <w:ilvl w:val="0"/>
          <w:numId w:val="3"/>
        </w:numPr>
        <w:rPr>
          <w:b/>
          <w:noProof/>
          <w:szCs w:val="24"/>
        </w:rPr>
      </w:pPr>
      <w:r>
        <w:rPr>
          <w:noProof/>
        </w:rPr>
        <w:t>семинари/информация относно приготвянето на храна/здравословното и балансирано хранене (BE, BG, GR, FI, FR, HR, LV, PL, RO, SI);</w:t>
      </w:r>
    </w:p>
    <w:p>
      <w:pPr>
        <w:pStyle w:val="ListParagraph"/>
        <w:numPr>
          <w:ilvl w:val="0"/>
          <w:numId w:val="3"/>
        </w:numPr>
        <w:rPr>
          <w:b/>
          <w:noProof/>
          <w:szCs w:val="24"/>
        </w:rPr>
      </w:pPr>
      <w:r>
        <w:rPr>
          <w:noProof/>
        </w:rPr>
        <w:t>действия в извънредни ситуации/бедствия (BG);</w:t>
      </w:r>
    </w:p>
    <w:p>
      <w:pPr>
        <w:pStyle w:val="ListParagraph"/>
        <w:numPr>
          <w:ilvl w:val="0"/>
          <w:numId w:val="3"/>
        </w:numPr>
        <w:rPr>
          <w:b/>
          <w:noProof/>
          <w:szCs w:val="24"/>
        </w:rPr>
      </w:pPr>
      <w:r>
        <w:rPr>
          <w:noProof/>
        </w:rPr>
        <w:t>обучение за социални умения (LV, SI);</w:t>
      </w:r>
    </w:p>
    <w:p>
      <w:pPr>
        <w:pStyle w:val="ListParagraph"/>
        <w:numPr>
          <w:ilvl w:val="0"/>
          <w:numId w:val="3"/>
        </w:numPr>
        <w:rPr>
          <w:b/>
          <w:noProof/>
          <w:szCs w:val="24"/>
        </w:rPr>
      </w:pPr>
      <w:r>
        <w:rPr>
          <w:noProof/>
        </w:rPr>
        <w:t>избягване на телефонни измами (BG);</w:t>
      </w:r>
    </w:p>
    <w:p>
      <w:pPr>
        <w:pStyle w:val="ListParagraph"/>
        <w:numPr>
          <w:ilvl w:val="0"/>
          <w:numId w:val="3"/>
        </w:numPr>
        <w:rPr>
          <w:b/>
          <w:noProof/>
          <w:szCs w:val="24"/>
        </w:rPr>
      </w:pPr>
      <w:r>
        <w:rPr>
          <w:noProof/>
        </w:rPr>
        <w:t xml:space="preserve">предотвратяване на разхищението на храни (PL); </w:t>
      </w:r>
    </w:p>
    <w:p>
      <w:pPr>
        <w:pStyle w:val="ListParagraph"/>
        <w:numPr>
          <w:ilvl w:val="0"/>
          <w:numId w:val="3"/>
        </w:numPr>
        <w:rPr>
          <w:b/>
          <w:noProof/>
          <w:szCs w:val="24"/>
        </w:rPr>
      </w:pPr>
      <w:r>
        <w:rPr>
          <w:noProof/>
        </w:rPr>
        <w:t>подслон за бездомни хора (BG); както и</w:t>
      </w:r>
    </w:p>
    <w:p>
      <w:pPr>
        <w:pStyle w:val="ListParagraph"/>
        <w:numPr>
          <w:ilvl w:val="0"/>
          <w:numId w:val="3"/>
        </w:numPr>
        <w:rPr>
          <w:b/>
          <w:noProof/>
          <w:szCs w:val="24"/>
        </w:rPr>
      </w:pPr>
      <w:r>
        <w:rPr>
          <w:noProof/>
        </w:rPr>
        <w:t xml:space="preserve">насърчаване на организирането на социални трапезарии, доброволна работа (FI) и ограмотяване/езикови курсове (FR, SI). </w:t>
      </w:r>
    </w:p>
    <w:p>
      <w:pPr>
        <w:rPr>
          <w:b/>
          <w:noProof/>
          <w:szCs w:val="24"/>
        </w:rPr>
      </w:pPr>
      <w:r>
        <w:rPr>
          <w:noProof/>
        </w:rPr>
        <w:t xml:space="preserve">EE предлагаше също така специални програми за обучение за бивши затворници и алкохолици. </w:t>
      </w:r>
    </w:p>
    <w:p>
      <w:pPr>
        <w:rPr>
          <w:noProof/>
          <w:szCs w:val="24"/>
        </w:rPr>
      </w:pPr>
      <w:r>
        <w:rPr>
          <w:b/>
          <w:noProof/>
        </w:rPr>
        <w:t>Държавите членки докладваха, че съпътстващите мерки са спомогнали за постигането на целта на FEAD за социално приобщаване.</w:t>
      </w:r>
      <w:r>
        <w:rPr>
          <w:noProof/>
        </w:rPr>
        <w:t xml:space="preserve"> В</w:t>
      </w:r>
      <w:r>
        <w:rPr>
          <w:b/>
          <w:noProof/>
        </w:rPr>
        <w:t xml:space="preserve"> </w:t>
      </w:r>
      <w:r>
        <w:rPr>
          <w:noProof/>
        </w:rPr>
        <w:t>EE 72 % от бенефициерите бяха включени в обучение/образование и/или участваха в предлаганите услуги, а почти всички получатели на подпомагане с хранителни продукти под 16 години посещаваха училище/детска градина. В IT съпътстващите мерки са изцяло интегрирани в операциите по линия на FEAD, като на социалното приобщаване е обръщано голямо внимание от страна на националните и местните действащи лица</w:t>
      </w:r>
      <w:r>
        <w:rPr>
          <w:i/>
          <w:noProof/>
        </w:rPr>
        <w:t>.</w:t>
      </w:r>
      <w:r>
        <w:rPr>
          <w:noProof/>
        </w:rPr>
        <w:t xml:space="preserve"> В CZ бездомните хора успешно бяха насочвани, за да могат да използват услугите на дневни центрове. В SK след всяко разпределяне бенефициерите са били заинтересовани от допълнителни услуги за подпомагане като консултантски и други психологически услуги. LV отбеляза, че участниците във въведените съпътстващи мерки (консултиране, съвети за управлението на бюджета, хигиена/здраве, обучение за социални умения и т.н.) смятат, че са получили полезна информация и/или че са подобрили своите социални умения. Държавите членки са се сблъсквали и с предизвикателства. В EE в дейностите за социално приобщаване, насочени към възрастни хора с ниска степен на образование, не са се включили никакви бенефициери. IT посочи, че ефективността на мерките за насърчаване на социалното приобщаване може да се повиши чрез увеличаване на подпомагането за доброволците и засилване на ролята на местните служби. Все пак докладването по съпътстващите мерки като цяло остана ограничено, отчасти поради забавянията при изпълнението. </w:t>
      </w:r>
    </w:p>
    <w:p>
      <w:pPr>
        <w:spacing w:before="240"/>
        <w:rPr>
          <w:b/>
          <w:i/>
          <w:noProof/>
          <w:szCs w:val="24"/>
        </w:rPr>
      </w:pPr>
      <w:r>
        <w:rPr>
          <w:b/>
          <w:noProof/>
          <w:szCs w:val="24"/>
        </w:rPr>
        <w:br/>
      </w:r>
      <w:r>
        <w:rPr>
          <w:b/>
          <w:noProof/>
        </w:rPr>
        <w:t>ОП II — Социално приобщаване</w:t>
      </w:r>
    </w:p>
    <w:p>
      <w:pPr>
        <w:rPr>
          <w:noProof/>
          <w:szCs w:val="24"/>
        </w:rPr>
      </w:pPr>
      <w:r>
        <w:rPr>
          <w:b/>
          <w:noProof/>
        </w:rPr>
        <w:t xml:space="preserve">През 2016 г. 4 държави използваха ОП II, за да стартират дейности за социално приобщаване: DE, DK, NL и SE. </w:t>
      </w:r>
      <w:r>
        <w:rPr>
          <w:noProof/>
        </w:rPr>
        <w:t>DE беше единствената държава, която започна да въвежда дейности за социално приобщаване още през 2015 г., а DK, NL и SE стартираха такива дейности през 2016 г. Общо 4-те държави подпомогнаха около 23 000 лица през 2016 г.</w:t>
      </w:r>
      <w:r>
        <w:rPr>
          <w:b/>
          <w:i/>
          <w:noProof/>
        </w:rPr>
        <w:t xml:space="preserve"> </w:t>
      </w:r>
      <w:r>
        <w:rPr>
          <w:noProof/>
          <w:u w:val="single"/>
        </w:rPr>
        <w:t xml:space="preserve">Що се отнася до целевите групи (които се припокриват), </w:t>
      </w:r>
      <w:r>
        <w:rPr>
          <w:noProof/>
        </w:rPr>
        <w:t xml:space="preserve">мигрантите (или лица с чуждестранен произход, малцинства), жените и бездомните хора, в този ред, са били най-честите ползватели в рамките на програмите за социално приобщаване (ОП II). </w:t>
      </w:r>
    </w:p>
    <w:p>
      <w:pPr>
        <w:pStyle w:val="Heading20"/>
        <w:rPr>
          <w:rFonts w:ascii="Times New Roman" w:hAnsi="Times New Roman"/>
          <w:b w:val="0"/>
          <w:i w:val="0"/>
          <w:noProof/>
          <w:szCs w:val="24"/>
          <w:lang w:eastAsia="en-US" w:bidi="ar-SA"/>
        </w:rPr>
      </w:pPr>
      <w:r>
        <w:rPr>
          <w:rFonts w:ascii="Times New Roman" w:hAnsi="Times New Roman"/>
          <w:i w:val="0"/>
          <w:noProof/>
          <w:szCs w:val="24"/>
          <w:lang w:eastAsia="en-US" w:bidi="ar-SA"/>
        </w:rPr>
        <w:t xml:space="preserve">Като цяло целевите групи са добре обхванати. </w:t>
      </w:r>
      <w:r>
        <w:rPr>
          <w:rFonts w:ascii="Times New Roman" w:hAnsi="Times New Roman"/>
          <w:b w:val="0"/>
          <w:i w:val="0"/>
          <w:noProof/>
          <w:szCs w:val="24"/>
          <w:lang w:eastAsia="en-US" w:bidi="ar-SA"/>
        </w:rPr>
        <w:t xml:space="preserve">В DE особено ефективно е предоставяно подпомагане на новопристигнали възрастни лица и деца от ЕС (главно роми), както и на бездомни хора. През първата година на изпълнение DK също се справя добре, като вече са обхванати 34 % от общо 1 400 бездомни лица, които е планирано да бъдат обхванати между 2016 г. и 2019 г., като им е предложен подслон и срещи със социални работници. Около 30 % от тях след участието си в програмата за социално подпомагане са използвали други съществуващи социални услуги. В NL са подпомогнати само 6 % от лицата на възраст 65 години и повече, което се дължи на късното изпълнение на FEAD, започнало през 2016 г. В SE ориентацията е към мигрантите от ЕС/ЕИП, като са подпомогнати 581 лица, благодарение на дейности, включващи интегриране в общността, като например насочване към центрове за подслон, информиране относно правата и задълженията в SE, преводачески услуги и насърчаване на здравето. </w:t>
      </w:r>
    </w:p>
    <w:p>
      <w:pPr>
        <w:pBdr>
          <w:top w:val="single" w:sz="4" w:space="1" w:color="00000A"/>
          <w:left w:val="single" w:sz="4" w:space="4" w:color="00000A"/>
          <w:bottom w:val="single" w:sz="4" w:space="9" w:color="00000A"/>
          <w:right w:val="single" w:sz="4" w:space="4" w:color="00000A"/>
        </w:pBdr>
        <w:rPr>
          <w:b/>
          <w:i/>
          <w:noProof/>
          <w:szCs w:val="24"/>
        </w:rPr>
      </w:pPr>
      <w:r>
        <w:rPr>
          <w:noProof/>
          <w:szCs w:val="24"/>
        </w:rPr>
        <w:t xml:space="preserve">В </w:t>
      </w:r>
      <w:r>
        <w:rPr>
          <w:b/>
          <w:noProof/>
          <w:szCs w:val="24"/>
        </w:rPr>
        <w:t>DE</w:t>
      </w:r>
      <w:r>
        <w:rPr>
          <w:noProof/>
          <w:szCs w:val="24"/>
        </w:rPr>
        <w:t xml:space="preserve"> през 2016 г. са стартирани 84 проекта, които са съсредоточени върху подобряването на достъпа на: 1) новопристинали лица от ЕС в неравностойно положение — към редовни консултации и мерки за подпомагане; 2) новопристигнали деца — към образование в ранна възраст и мерки за социално приобщаване (напр. езикови курсове, развлекателни дейности, детски заведения); както и 3) бездомни хора и хора в риск от бездомничество — към редовни консултации и мерки за подпомагане.</w:t>
      </w:r>
    </w:p>
    <w:p>
      <w:pPr>
        <w:rPr>
          <w:b/>
          <w:noProof/>
          <w:szCs w:val="24"/>
        </w:rPr>
      </w:pPr>
      <w:r>
        <w:rPr>
          <w:b/>
          <w:noProof/>
        </w:rPr>
        <w:t>Пречки пред изпълнението</w:t>
      </w:r>
    </w:p>
    <w:p>
      <w:pPr>
        <w:rPr>
          <w:noProof/>
          <w:sz w:val="20"/>
        </w:rPr>
      </w:pPr>
      <w:r>
        <w:rPr>
          <w:b/>
          <w:noProof/>
        </w:rPr>
        <w:t xml:space="preserve">Няколко държави членки не успяха да разпределят никакво подпомагане през 2016 г. или започнаха предоставянето късно. </w:t>
      </w:r>
      <w:r>
        <w:rPr>
          <w:noProof/>
        </w:rPr>
        <w:t>Повечето забавяния все още могат да бъдат отдадени на късното определяне на управляващите органи. Предоставянето на подпомагане в CY беше планирано да започне през 2016 г., но различни фактори доведоха до реорганизиране и изменение на програмата. В HR имаше забавяния на стартирането, макар че през 2016 г. бяха сключени договори по проекти за разпределяне на подпомагане с хранителни продукти в училища, на самотни хора и семейства, които живеят в бедност. В PT през 2016 г. е започнало предоставянето на подпомагане с хранителни продукти, финансирано само от националния бюджет, тъй като имаше нужда от изменения, за да се гарантира безпроблемният преход от предишната програма за най-нуждаещите се лица. Подпомагането в HU беше преразгледано, вследствие на което операциите започнаха едва през декември 2016 г. Във всички тези държави членки понастоящем се предоставя подпомагане и съответно общият брой е 27 държави членки. UK е единствената държава, която все още не е започнала изпълнението на оперативна програма по линия на FEAD.</w:t>
      </w:r>
    </w:p>
    <w:p>
      <w:pPr>
        <w:rPr>
          <w:noProof/>
        </w:rPr>
      </w:pPr>
      <w:r>
        <w:rPr>
          <w:b/>
          <w:noProof/>
        </w:rPr>
        <w:t>В останалите държави членки не бяха отчетени сериозни пречки.</w:t>
      </w:r>
      <w:r>
        <w:rPr>
          <w:noProof/>
        </w:rPr>
        <w:t xml:space="preserve"> Наблюдавани бяха известни проблеми с: i) транспортните нужди (FI, GR, LV); ii) регионалната координация на количествата храни (PL); iii) недостатъчния капацитет на разпределящите организации (GR, PL); iv) сложните процедури за възлагане на обществени поръчки (HU); както и v) други забавяния (BE, MT). Държавите членки, изпълняващи ОП II, не отчетоха каквито и да било сериозни пречки. В SE само по време на етапа на първоначално изпълнение през 2016 г. функционирането на програмата е било засегнато от бавното набиране на работниците и доброволците и от необходимостта планираните дейности да бъдат адаптирани към конкретните общности. Повечето държави членки обаче посочиха редица по-общи пречки пред изпълнението. Най-голямата група посочи проблеми, свързани с набавянето на стоките (особено IT и GR), както и бюджетното/финансовото управление и капацитета на партньорските организации, които са предизвиквали забавяния в изпълнението. По-малка група от държавите членки посочи различни проблеми, главно с административен характер. Като цяло повечето от тези пречки са били преодолени, което предполага по-бързи темпове на изпълнение след 2016 г. </w:t>
      </w:r>
    </w:p>
    <w:p>
      <w:pPr>
        <w:pStyle w:val="Heading20"/>
        <w:rPr>
          <w:rFonts w:ascii="Times New Roman" w:hAnsi="Times New Roman"/>
          <w:i w:val="0"/>
          <w:noProof/>
          <w:szCs w:val="24"/>
          <w:lang w:eastAsia="en-US" w:bidi="ar-SA"/>
        </w:rPr>
      </w:pPr>
      <w:r>
        <w:rPr>
          <w:rFonts w:ascii="Times New Roman" w:hAnsi="Times New Roman"/>
          <w:i w:val="0"/>
          <w:noProof/>
          <w:szCs w:val="24"/>
          <w:lang w:eastAsia="en-US" w:bidi="ar-SA"/>
        </w:rPr>
        <w:t xml:space="preserve">Хоризонтални принципи </w:t>
      </w:r>
    </w:p>
    <w:p>
      <w:pPr>
        <w:pStyle w:val="Heading20"/>
        <w:rPr>
          <w:rFonts w:ascii="Times New Roman" w:hAnsi="Times New Roman"/>
          <w:b w:val="0"/>
          <w:i w:val="0"/>
          <w:noProof/>
          <w:szCs w:val="24"/>
          <w:lang w:eastAsia="en-US" w:bidi="ar-SA"/>
        </w:rPr>
      </w:pPr>
      <w:r>
        <w:rPr>
          <w:rFonts w:ascii="Times New Roman" w:hAnsi="Times New Roman"/>
          <w:i w:val="0"/>
          <w:noProof/>
          <w:szCs w:val="24"/>
          <w:lang w:eastAsia="en-US" w:bidi="ar-SA"/>
        </w:rPr>
        <w:t>Повечето държави членки разполагат с механизми за координация</w:t>
      </w:r>
      <w:r>
        <w:rPr>
          <w:rFonts w:ascii="Times New Roman" w:hAnsi="Times New Roman"/>
          <w:i w:val="0"/>
          <w:noProof/>
          <w:szCs w:val="24"/>
          <w:vertAlign w:val="superscript"/>
          <w:lang w:val="en-GB" w:eastAsia="en-US" w:bidi="ar-SA"/>
        </w:rPr>
        <w:footnoteReference w:id="7"/>
      </w:r>
      <w:r>
        <w:rPr>
          <w:rFonts w:ascii="Times New Roman" w:hAnsi="Times New Roman"/>
          <w:i w:val="0"/>
          <w:noProof/>
          <w:szCs w:val="24"/>
          <w:lang w:eastAsia="en-US" w:bidi="ar-SA"/>
        </w:rPr>
        <w:t xml:space="preserve">, за да се гарантира допълването с Европейския социален фонд (ЕСФ) и други политики на ЕС и да се избегне двойното финансиране. </w:t>
      </w:r>
      <w:r>
        <w:rPr>
          <w:rFonts w:ascii="Times New Roman" w:hAnsi="Times New Roman"/>
          <w:b w:val="0"/>
          <w:i w:val="0"/>
          <w:noProof/>
          <w:szCs w:val="24"/>
          <w:lang w:eastAsia="en-US" w:bidi="ar-SA"/>
        </w:rPr>
        <w:t xml:space="preserve">Държавите членки имат органи за медиация или координиращи/работни групи, за да се гарантира, че проектите и партньорските организации не получават финансиране и от ЕСФ, и по линия на </w:t>
      </w:r>
      <w:r>
        <w:rPr>
          <w:rFonts w:ascii="Times New Roman" w:hAnsi="Times New Roman"/>
          <w:b w:val="0"/>
          <w:i w:val="0"/>
          <w:noProof/>
          <w:szCs w:val="24"/>
          <w:lang w:val="en-GB" w:eastAsia="en-US" w:bidi="ar-SA"/>
        </w:rPr>
        <w:t>FEAD</w:t>
      </w:r>
      <w:r>
        <w:rPr>
          <w:rFonts w:ascii="Times New Roman" w:hAnsi="Times New Roman"/>
          <w:b w:val="0"/>
          <w:i w:val="0"/>
          <w:noProof/>
          <w:szCs w:val="24"/>
          <w:lang w:eastAsia="en-US" w:bidi="ar-SA"/>
        </w:rPr>
        <w:t xml:space="preserve">, както и че дейностите са координирани. Няколко държави членки са посочили, че включването на </w:t>
      </w:r>
      <w:r>
        <w:rPr>
          <w:rFonts w:ascii="Times New Roman" w:hAnsi="Times New Roman"/>
          <w:b w:val="0"/>
          <w:i w:val="0"/>
          <w:noProof/>
          <w:szCs w:val="24"/>
          <w:lang w:val="en-GB" w:eastAsia="en-US" w:bidi="ar-SA"/>
        </w:rPr>
        <w:t>FEAD</w:t>
      </w:r>
      <w:r>
        <w:rPr>
          <w:rFonts w:ascii="Times New Roman" w:hAnsi="Times New Roman"/>
          <w:b w:val="0"/>
          <w:i w:val="0"/>
          <w:noProof/>
          <w:szCs w:val="24"/>
          <w:lang w:eastAsia="en-US" w:bidi="ar-SA"/>
        </w:rPr>
        <w:t xml:space="preserve"> и ЕСФ в отговорностите на един и същ управляващ орган може да осигури стабилна основа за координиране и избягване на възможно двойно финансиране. Държавите членки отбелязват, че ЕСФ и </w:t>
      </w:r>
      <w:r>
        <w:rPr>
          <w:rFonts w:ascii="Times New Roman" w:hAnsi="Times New Roman"/>
          <w:b w:val="0"/>
          <w:i w:val="0"/>
          <w:noProof/>
          <w:szCs w:val="24"/>
          <w:lang w:val="en-GB" w:eastAsia="en-US" w:bidi="ar-SA"/>
        </w:rPr>
        <w:t>FEAD</w:t>
      </w:r>
      <w:r>
        <w:rPr>
          <w:rFonts w:ascii="Times New Roman" w:hAnsi="Times New Roman"/>
          <w:b w:val="0"/>
          <w:i w:val="0"/>
          <w:noProof/>
          <w:szCs w:val="24"/>
          <w:lang w:eastAsia="en-US" w:bidi="ar-SA"/>
        </w:rPr>
        <w:t xml:space="preserve"> взаимно се подкрепят и че нито </w:t>
      </w:r>
      <w:r>
        <w:rPr>
          <w:rFonts w:ascii="Times New Roman" w:hAnsi="Times New Roman"/>
          <w:b w:val="0"/>
          <w:i w:val="0"/>
          <w:noProof/>
          <w:szCs w:val="24"/>
          <w:lang w:val="en-GB" w:eastAsia="en-US" w:bidi="ar-SA"/>
        </w:rPr>
        <w:t>FEAD</w:t>
      </w:r>
      <w:r>
        <w:rPr>
          <w:rFonts w:ascii="Times New Roman" w:hAnsi="Times New Roman"/>
          <w:b w:val="0"/>
          <w:i w:val="0"/>
          <w:noProof/>
          <w:szCs w:val="24"/>
          <w:lang w:eastAsia="en-US" w:bidi="ar-SA"/>
        </w:rPr>
        <w:t>, нито ЕСФ биха могли самостоятелно да се справят с проблемите на социалното изключване и бедността; необходимо е по-нататъшното им интегриране и синергии. Тази важна констатация накара Комисията да предложи сливането на фондовете за периода на финансиране след 2020</w:t>
      </w:r>
      <w:r>
        <w:rPr>
          <w:rFonts w:ascii="Times New Roman" w:hAnsi="Times New Roman"/>
          <w:b w:val="0"/>
          <w:i w:val="0"/>
          <w:noProof/>
          <w:szCs w:val="24"/>
          <w:lang w:val="en-GB" w:eastAsia="en-US" w:bidi="ar-SA"/>
        </w:rPr>
        <w:t> </w:t>
      </w:r>
      <w:r>
        <w:rPr>
          <w:rFonts w:ascii="Times New Roman" w:hAnsi="Times New Roman"/>
          <w:b w:val="0"/>
          <w:i w:val="0"/>
          <w:noProof/>
          <w:szCs w:val="24"/>
          <w:lang w:eastAsia="en-US" w:bidi="ar-SA"/>
        </w:rPr>
        <w:t>г.</w:t>
      </w:r>
    </w:p>
    <w:p>
      <w:pPr>
        <w:pStyle w:val="Heading20"/>
        <w:rPr>
          <w:rFonts w:ascii="Times New Roman" w:hAnsi="Times New Roman"/>
          <w:b w:val="0"/>
          <w:i w:val="0"/>
          <w:noProof/>
          <w:szCs w:val="24"/>
          <w:lang w:eastAsia="en-US" w:bidi="ar-SA"/>
        </w:rPr>
      </w:pPr>
      <w:r>
        <w:rPr>
          <w:rFonts w:ascii="Times New Roman" w:hAnsi="Times New Roman"/>
          <w:b w:val="0"/>
          <w:i w:val="0"/>
          <w:noProof/>
          <w:szCs w:val="24"/>
          <w:lang w:eastAsia="en-US" w:bidi="ar-SA"/>
        </w:rPr>
        <w:t xml:space="preserve">Например в MT центровете LEAP! предоставят социално подпомагане на общности в неравностойно положение и бяха финансирани от ЕСФ. Оперативното изпълнение на проекта беше променено, за да се гарантира, че с него се допуска не само разпределяне на пакети с хранителни продукти (подпомагано по FEAD), но също така се помага на семействата и техните членове да подобрят качеството на своя живот и да се освободят от социалните помощи. Също така в Литва програмата по линия на ЕСФ е срещнала трудности да достигне до своите целеви групи и поради това е направен опит да се използва FEAD като възможност за достигане на целевите групи и за насърчаването им да вземат участие в мерките, финансирани от ЕСФ. </w:t>
      </w:r>
    </w:p>
    <w:p>
      <w:pPr>
        <w:pStyle w:val="Heading20"/>
        <w:rPr>
          <w:rFonts w:ascii="Times New Roman" w:hAnsi="Times New Roman"/>
          <w:b w:val="0"/>
          <w:i w:val="0"/>
          <w:noProof/>
          <w:szCs w:val="24"/>
          <w:lang w:eastAsia="en-US" w:bidi="ar-SA"/>
        </w:rPr>
      </w:pPr>
      <w:r>
        <w:rPr>
          <w:rFonts w:ascii="Times New Roman" w:hAnsi="Times New Roman"/>
          <w:i w:val="0"/>
          <w:noProof/>
          <w:szCs w:val="24"/>
          <w:lang w:eastAsia="en-US" w:bidi="ar-SA"/>
        </w:rPr>
        <w:t>Повечето държави членки докладваха за спазване на принципите на равенство между половете</w:t>
      </w:r>
      <w:r>
        <w:rPr>
          <w:rFonts w:ascii="Times New Roman" w:hAnsi="Times New Roman"/>
          <w:i w:val="0"/>
          <w:noProof/>
          <w:szCs w:val="24"/>
          <w:vertAlign w:val="superscript"/>
          <w:lang w:eastAsia="en-US" w:bidi="ar-SA"/>
        </w:rPr>
        <w:footnoteReference w:id="8"/>
      </w:r>
      <w:r>
        <w:rPr>
          <w:rFonts w:ascii="Times New Roman" w:hAnsi="Times New Roman"/>
          <w:i w:val="0"/>
          <w:noProof/>
          <w:szCs w:val="24"/>
          <w:lang w:eastAsia="en-US" w:bidi="ar-SA"/>
        </w:rPr>
        <w:t xml:space="preserve"> и недопускане на дискриминация.</w:t>
      </w:r>
      <w:r>
        <w:rPr>
          <w:rFonts w:ascii="Times New Roman" w:hAnsi="Times New Roman"/>
          <w:b w:val="0"/>
          <w:i w:val="0"/>
          <w:noProof/>
          <w:szCs w:val="24"/>
          <w:lang w:eastAsia="en-US" w:bidi="ar-SA"/>
        </w:rPr>
        <w:t xml:space="preserve"> Държавите членки насърчават равенството между половете и интегрират аспекта на пола на различни етапи от проектния цикъл. CZ отбеляза, че при определяне на предоставената помощ са взети предвид специфичните нужди на целевите групи, например чрез включването на конкретни продукти, използвани от самотни майки или от майки в подслони за пренощуване. DE, LV, SE и SK обясниха, че подходът на отчитане на аспектите на пола е използван при подбора на служителите и партньорските организации, както и при определянето на вида на подпомагането, което ще се предоставя на целевите групи. HU, MT и PL изрично посочиха, че нуждите на хората с увреждания са взети предвид при разпределянето на хранителните продукти и местата за провеждане на семинарите. SE докладва за известни трудности по прилагането на този хоризонтален принцип, особено в случаи на браковете на деца и други проблеми, свързани с насилие срещу жени и момичета; в опит за преодоляването им в бъдеще са организирани семинари и срещи със заинтересовани страни.</w:t>
      </w:r>
    </w:p>
    <w:p>
      <w:pPr>
        <w:pStyle w:val="FrameContents"/>
        <w:pBdr>
          <w:top w:val="single" w:sz="4" w:space="1" w:color="auto"/>
          <w:left w:val="single" w:sz="4" w:space="4" w:color="auto"/>
          <w:bottom w:val="single" w:sz="4" w:space="1" w:color="auto"/>
          <w:right w:val="single" w:sz="4" w:space="4" w:color="auto"/>
        </w:pBdr>
        <w:rPr>
          <w:noProof/>
          <w:szCs w:val="24"/>
        </w:rPr>
      </w:pPr>
      <w:r>
        <w:rPr>
          <w:noProof/>
        </w:rPr>
        <w:t xml:space="preserve">Във връзка с равенството между половете </w:t>
      </w:r>
      <w:r>
        <w:rPr>
          <w:b/>
          <w:noProof/>
        </w:rPr>
        <w:t>LV</w:t>
      </w:r>
      <w:r>
        <w:rPr>
          <w:noProof/>
        </w:rPr>
        <w:t xml:space="preserve"> е осигурила работното време за предоставяне на пакетите с хранителни продукти да остане гъвкаво и е включила възможността за доставка по домовете и след работа. Съпътстващите мерки за детски грижи също са приспособени по такъв начин, че да достигнат до хората. В пунктовете за разпределяне също е имало осигурена услуга за гледане на деца. </w:t>
      </w:r>
    </w:p>
    <w:p>
      <w:pPr>
        <w:rPr>
          <w:noProof/>
          <w:szCs w:val="24"/>
        </w:rPr>
      </w:pPr>
      <w:r>
        <w:rPr>
          <w:b/>
          <w:noProof/>
        </w:rPr>
        <w:t>По-голямата част от държавите членки посочват различни възможности за намаляване на разхищението на храни</w:t>
      </w:r>
      <w:r>
        <w:rPr>
          <w:rStyle w:val="FootnoteAnchor"/>
          <w:b/>
          <w:noProof/>
        </w:rPr>
        <w:footnoteReference w:id="9"/>
      </w:r>
      <w:r>
        <w:rPr>
          <w:b/>
          <w:noProof/>
        </w:rPr>
        <w:t>.</w:t>
      </w:r>
      <w:r>
        <w:rPr>
          <w:noProof/>
        </w:rPr>
        <w:t xml:space="preserve"> Повечето подходи включват разпределяне на хранителни продукти с дълъг срок на годност и съобразяване на хранителните продукти с нуждите/вкусовете на целевите групи, за да се сведе до минимум предоставянето на нежелани продукти. Например MT гарантира съхранението на недоставената храна и нейното последващо използване. В LV са определени специални места, където да се оставят излишните продукти, за да се избегне изхвърлянето им. В PL са получавани хранителни продукти от млекопроизводители, които имат нереализирана продукция. През лятото и при горещини млекопроизводителите също са дарявали продукти, които да бъдат разпределени сред нуждаещите се. Що се отнася до климатичните и екологичните аспекти, държавите членки са използвали устойчиви материали, които може да бъдат рециклирани и/или са биоразградими, както и са намалили емисиите от транспорт по веригата на разпределение. Например в BE са предоставяни устойчиви храни и зърнени продукти без ГМО, избягвано е палмовото олио и са осигурявани продукти на справедливата търговия и биологични продукти. </w:t>
      </w:r>
    </w:p>
    <w:p>
      <w:pPr>
        <w:rPr>
          <w:noProof/>
          <w:szCs w:val="24"/>
        </w:rPr>
      </w:pPr>
      <w:r>
        <w:rPr>
          <w:b/>
          <w:noProof/>
        </w:rPr>
        <w:t>Във връзка с ОП I почти всички държави членки подчертаха как са помогнали на бенефициерите да постигнат балансирано хранене</w:t>
      </w:r>
      <w:r>
        <w:rPr>
          <w:rStyle w:val="FootnoteAnchor"/>
          <w:b/>
          <w:noProof/>
        </w:rPr>
        <w:footnoteReference w:id="10"/>
      </w:r>
      <w:r>
        <w:rPr>
          <w:b/>
          <w:noProof/>
        </w:rPr>
        <w:t>.</w:t>
      </w:r>
      <w:r>
        <w:rPr>
          <w:noProof/>
        </w:rPr>
        <w:t xml:space="preserve"> По принцип държавите са предлагали кошници с хранителни продукти с ниско съдържание на въглехидрати, сол, захар и мазнини и богати на протеини, фибри, витамини и минерали. Две държави (ES и FI) са предлагали също така храна за намаляване на недохранването като храни за бебета и мляко на прах, съдържащо витамин D</w:t>
      </w:r>
      <w:r>
        <w:rPr>
          <w:b/>
          <w:i/>
          <w:noProof/>
        </w:rPr>
        <w:t xml:space="preserve">. </w:t>
      </w:r>
      <w:r>
        <w:rPr>
          <w:noProof/>
        </w:rPr>
        <w:t>В BE е въведена съвместна процедура за избиране на съдържанието на пакетите с хранителни продукти и осигуряване на балансирано хранене. Тази процедура за избиране на продуктите беше представена като „добра практика“ в каталога на FEAD с проучвания на отделни случаи, публикуван от мрежата на FEAD през 2017 г.</w:t>
      </w:r>
    </w:p>
    <w:p>
      <w:pPr>
        <w:pStyle w:val="Heading20"/>
        <w:rPr>
          <w:rFonts w:ascii="Times New Roman" w:hAnsi="Times New Roman"/>
          <w:i w:val="0"/>
          <w:noProof/>
          <w:szCs w:val="24"/>
          <w:lang w:eastAsia="en-US" w:bidi="ar-SA"/>
        </w:rPr>
      </w:pPr>
      <w:r>
        <w:rPr>
          <w:rFonts w:ascii="Times New Roman" w:hAnsi="Times New Roman"/>
          <w:i w:val="0"/>
          <w:noProof/>
          <w:szCs w:val="24"/>
          <w:lang w:eastAsia="en-US" w:bidi="ar-SA"/>
        </w:rPr>
        <w:t>Извършени оценки</w:t>
      </w:r>
    </w:p>
    <w:p>
      <w:pPr>
        <w:rPr>
          <w:rFonts w:ascii="Verdana" w:hAnsi="Verdana"/>
          <w:b/>
          <w:i/>
          <w:noProof/>
          <w:sz w:val="20"/>
        </w:rPr>
      </w:pPr>
      <w:r>
        <w:rPr>
          <w:b/>
          <w:noProof/>
        </w:rPr>
        <w:t>През 2016 г. в няколко държави членки (AT, IT, LV, MT и SE) са проведени изследвания, оценки и/или проучвания, за да се оцени ефективността на техните операции, както и удовлетвореността на крайните получатели от полученото подпомагане</w:t>
      </w:r>
      <w:r>
        <w:rPr>
          <w:noProof/>
        </w:rPr>
        <w:t>. През 2016 г. AT е изпратила въпросник за обратна информация до 10 000 нуждаещи се домакинства. Резултатите от проучването са благоприятни, тъй като 86 % от домакинствата са счели, че ученическата чанта представлява „много добро“ подпомагане, а 13 % са я определили като „добро“ подпомагане. В SE е извършено оценяване на управлението на FEAD и първите етапи на изпълнението на проектите от външен изпълнител. С оглед на решаването на някои от установените проблеми в доклада за оценка са включени няколко препоръки, като по-ясни програмни цели във връзка с целите на националната социална политика и проследяване на резултатите при участниците. В IT е проведено пилотно проучване на предоставянето на хранителни продукти към края на 2015 г., а резултатите бяха отчетени през 2016 г. Проучването е установило, че 71 % от партньорските организации, разпределящи подпомагането с хранителни продукти, са въвели така също съпътстващи мерки, което може да се счита за добра отправна точка.</w:t>
      </w:r>
    </w:p>
    <w:p>
      <w:pPr>
        <w:pStyle w:val="Heading20"/>
        <w:rPr>
          <w:rFonts w:ascii="Times New Roman" w:hAnsi="Times New Roman"/>
          <w:i w:val="0"/>
          <w:noProof/>
          <w:szCs w:val="24"/>
          <w:lang w:eastAsia="en-US" w:bidi="ar-SA"/>
        </w:rPr>
      </w:pPr>
      <w:r>
        <w:rPr>
          <w:rFonts w:ascii="Times New Roman" w:hAnsi="Times New Roman"/>
          <w:i w:val="0"/>
          <w:noProof/>
          <w:szCs w:val="24"/>
          <w:lang w:eastAsia="en-US" w:bidi="ar-SA"/>
        </w:rPr>
        <w:t xml:space="preserve">Принос към общите и специфичните цели на </w:t>
      </w:r>
      <w:r>
        <w:rPr>
          <w:rFonts w:ascii="Times New Roman" w:hAnsi="Times New Roman"/>
          <w:i w:val="0"/>
          <w:noProof/>
          <w:szCs w:val="24"/>
          <w:lang w:val="en-GB" w:eastAsia="en-US" w:bidi="ar-SA"/>
        </w:rPr>
        <w:t>FEAD</w:t>
      </w:r>
      <w:r>
        <w:rPr>
          <w:rFonts w:ascii="Times New Roman" w:hAnsi="Times New Roman"/>
          <w:i w:val="0"/>
          <w:noProof/>
          <w:szCs w:val="24"/>
          <w:lang w:eastAsia="en-US" w:bidi="ar-SA"/>
        </w:rPr>
        <w:t xml:space="preserve"> </w:t>
      </w:r>
    </w:p>
    <w:p>
      <w:pPr>
        <w:pStyle w:val="Heading20"/>
        <w:rPr>
          <w:rFonts w:ascii="Times New Roman" w:hAnsi="Times New Roman"/>
          <w:b w:val="0"/>
          <w:i w:val="0"/>
          <w:noProof/>
          <w:szCs w:val="24"/>
          <w:lang w:eastAsia="en-US" w:bidi="ar-SA"/>
        </w:rPr>
      </w:pPr>
      <w:r>
        <w:rPr>
          <w:rFonts w:ascii="Times New Roman" w:hAnsi="Times New Roman"/>
          <w:i w:val="0"/>
          <w:noProof/>
          <w:szCs w:val="24"/>
          <w:lang w:eastAsia="en-US" w:bidi="ar-SA"/>
        </w:rPr>
        <w:t xml:space="preserve">Държавите членки вярват, че </w:t>
      </w:r>
      <w:r>
        <w:rPr>
          <w:rFonts w:ascii="Times New Roman" w:hAnsi="Times New Roman"/>
          <w:i w:val="0"/>
          <w:noProof/>
          <w:szCs w:val="24"/>
          <w:lang w:val="en-GB" w:eastAsia="en-US" w:bidi="ar-SA"/>
        </w:rPr>
        <w:t>FEAD</w:t>
      </w:r>
      <w:r>
        <w:rPr>
          <w:rFonts w:ascii="Times New Roman" w:hAnsi="Times New Roman"/>
          <w:i w:val="0"/>
          <w:noProof/>
          <w:szCs w:val="24"/>
          <w:lang w:eastAsia="en-US" w:bidi="ar-SA"/>
        </w:rPr>
        <w:t xml:space="preserve"> помага за постигането на целите на стратегията „Европа</w:t>
      </w:r>
      <w:r>
        <w:rPr>
          <w:rFonts w:ascii="Times New Roman" w:hAnsi="Times New Roman"/>
          <w:i w:val="0"/>
          <w:noProof/>
          <w:szCs w:val="24"/>
          <w:lang w:val="en-GB" w:eastAsia="en-US" w:bidi="ar-SA"/>
        </w:rPr>
        <w:t> </w:t>
      </w:r>
      <w:r>
        <w:rPr>
          <w:rFonts w:ascii="Times New Roman" w:hAnsi="Times New Roman"/>
          <w:i w:val="0"/>
          <w:noProof/>
          <w:szCs w:val="24"/>
          <w:lang w:eastAsia="en-US" w:bidi="ar-SA"/>
        </w:rPr>
        <w:t xml:space="preserve">2020“ за намаляване на бедността и социално приобщаване посредством взаимодействие с други политики и програми на ЕС и национални политики и програми. </w:t>
      </w:r>
      <w:r>
        <w:rPr>
          <w:rFonts w:ascii="Times New Roman" w:hAnsi="Times New Roman"/>
          <w:b w:val="0"/>
          <w:i w:val="0"/>
          <w:noProof/>
          <w:szCs w:val="24"/>
          <w:lang w:eastAsia="en-US" w:bidi="ar-SA"/>
        </w:rPr>
        <w:t xml:space="preserve">Това е свързано с общата цел на </w:t>
      </w:r>
      <w:r>
        <w:rPr>
          <w:rFonts w:ascii="Times New Roman" w:hAnsi="Times New Roman"/>
          <w:b w:val="0"/>
          <w:i w:val="0"/>
          <w:noProof/>
          <w:szCs w:val="24"/>
          <w:lang w:val="en-GB" w:eastAsia="en-US" w:bidi="ar-SA"/>
        </w:rPr>
        <w:t>FEAD</w:t>
      </w:r>
      <w:r>
        <w:rPr>
          <w:rFonts w:ascii="Times New Roman" w:hAnsi="Times New Roman"/>
          <w:b w:val="0"/>
          <w:i w:val="0"/>
          <w:noProof/>
          <w:szCs w:val="24"/>
          <w:lang w:eastAsia="en-US" w:bidi="ar-SA"/>
        </w:rPr>
        <w:t xml:space="preserve"> за насърчаване на социалното сближаване, засилване на социалното приобщаване и спомагане за изкореняването на бедността, за да може да се постигне целта на стратегията „Европа</w:t>
      </w:r>
      <w:r>
        <w:rPr>
          <w:rFonts w:ascii="Times New Roman" w:hAnsi="Times New Roman"/>
          <w:b w:val="0"/>
          <w:i w:val="0"/>
          <w:noProof/>
          <w:szCs w:val="24"/>
          <w:lang w:val="en-GB" w:eastAsia="en-US" w:bidi="ar-SA"/>
        </w:rPr>
        <w:t> </w:t>
      </w:r>
      <w:r>
        <w:rPr>
          <w:rFonts w:ascii="Times New Roman" w:hAnsi="Times New Roman"/>
          <w:b w:val="0"/>
          <w:i w:val="0"/>
          <w:noProof/>
          <w:szCs w:val="24"/>
          <w:lang w:eastAsia="en-US" w:bidi="ar-SA"/>
        </w:rPr>
        <w:t>2020“ за „преодоляване на риска от бедност и социално изключване за най-малко 20</w:t>
      </w:r>
      <w:r>
        <w:rPr>
          <w:rFonts w:ascii="Times New Roman" w:hAnsi="Times New Roman"/>
          <w:b w:val="0"/>
          <w:i w:val="0"/>
          <w:noProof/>
          <w:szCs w:val="24"/>
          <w:lang w:val="en-GB" w:eastAsia="en-US" w:bidi="ar-SA"/>
        </w:rPr>
        <w:t> </w:t>
      </w:r>
      <w:r>
        <w:rPr>
          <w:rFonts w:ascii="Times New Roman" w:hAnsi="Times New Roman"/>
          <w:b w:val="0"/>
          <w:i w:val="0"/>
          <w:noProof/>
          <w:szCs w:val="24"/>
          <w:lang w:eastAsia="en-US" w:bidi="ar-SA"/>
        </w:rPr>
        <w:t>милиона</w:t>
      </w:r>
      <w:r>
        <w:rPr>
          <w:rFonts w:ascii="Times New Roman" w:hAnsi="Times New Roman"/>
          <w:b w:val="0"/>
          <w:i w:val="0"/>
          <w:noProof/>
          <w:szCs w:val="24"/>
          <w:lang w:val="en-GB" w:eastAsia="en-US" w:bidi="ar-SA"/>
        </w:rPr>
        <w:t> </w:t>
      </w:r>
      <w:r>
        <w:rPr>
          <w:rFonts w:ascii="Times New Roman" w:hAnsi="Times New Roman"/>
          <w:b w:val="0"/>
          <w:i w:val="0"/>
          <w:noProof/>
          <w:szCs w:val="24"/>
          <w:lang w:eastAsia="en-US" w:bidi="ar-SA"/>
        </w:rPr>
        <w:t xml:space="preserve">души“. </w:t>
      </w:r>
      <w:r>
        <w:rPr>
          <w:rFonts w:ascii="Times New Roman" w:hAnsi="Times New Roman"/>
          <w:b w:val="0"/>
          <w:i w:val="0"/>
          <w:noProof/>
          <w:szCs w:val="24"/>
          <w:lang w:val="en-GB" w:eastAsia="en-US" w:bidi="ar-SA"/>
        </w:rPr>
        <w:t>EE</w:t>
      </w:r>
      <w:r>
        <w:rPr>
          <w:rFonts w:ascii="Times New Roman" w:hAnsi="Times New Roman"/>
          <w:b w:val="0"/>
          <w:i w:val="0"/>
          <w:noProof/>
          <w:szCs w:val="24"/>
          <w:lang w:eastAsia="en-US" w:bidi="ar-SA"/>
        </w:rPr>
        <w:t xml:space="preserve"> докладва, че подпомагането с хранителни продукти по линия на </w:t>
      </w:r>
      <w:r>
        <w:rPr>
          <w:rFonts w:ascii="Times New Roman" w:hAnsi="Times New Roman"/>
          <w:b w:val="0"/>
          <w:i w:val="0"/>
          <w:noProof/>
          <w:szCs w:val="24"/>
          <w:lang w:val="en-GB" w:eastAsia="en-US" w:bidi="ar-SA"/>
        </w:rPr>
        <w:t>FEAD</w:t>
      </w:r>
      <w:r>
        <w:rPr>
          <w:rFonts w:ascii="Times New Roman" w:hAnsi="Times New Roman"/>
          <w:b w:val="0"/>
          <w:i w:val="0"/>
          <w:noProof/>
          <w:szCs w:val="24"/>
          <w:lang w:eastAsia="en-US" w:bidi="ar-SA"/>
        </w:rPr>
        <w:t xml:space="preserve"> заедно с държавните политики за трудовия пазар, образованието и социалното подпомагане, реформата в заетостта, финансирана от ЕСФ, увеличаването на социалните помощи и цялостния растеж на икономиката са фактори, оказали голямо въздействие върху бедността, която от 2012</w:t>
      </w:r>
      <w:r>
        <w:rPr>
          <w:rFonts w:ascii="Times New Roman" w:hAnsi="Times New Roman"/>
          <w:b w:val="0"/>
          <w:i w:val="0"/>
          <w:noProof/>
          <w:szCs w:val="24"/>
          <w:lang w:val="en-GB" w:eastAsia="en-US" w:bidi="ar-SA"/>
        </w:rPr>
        <w:t> </w:t>
      </w:r>
      <w:r>
        <w:rPr>
          <w:rFonts w:ascii="Times New Roman" w:hAnsi="Times New Roman"/>
          <w:b w:val="0"/>
          <w:i w:val="0"/>
          <w:noProof/>
          <w:szCs w:val="24"/>
          <w:lang w:eastAsia="en-US" w:bidi="ar-SA"/>
        </w:rPr>
        <w:t xml:space="preserve">г. насам намалява. В </w:t>
      </w:r>
      <w:r>
        <w:rPr>
          <w:rFonts w:ascii="Times New Roman" w:hAnsi="Times New Roman"/>
          <w:b w:val="0"/>
          <w:i w:val="0"/>
          <w:noProof/>
          <w:szCs w:val="24"/>
          <w:lang w:val="en-GB" w:eastAsia="en-US" w:bidi="ar-SA"/>
        </w:rPr>
        <w:t>DE</w:t>
      </w:r>
      <w:r>
        <w:rPr>
          <w:rFonts w:ascii="Times New Roman" w:hAnsi="Times New Roman"/>
          <w:b w:val="0"/>
          <w:i w:val="0"/>
          <w:noProof/>
          <w:szCs w:val="24"/>
          <w:lang w:eastAsia="en-US" w:bidi="ar-SA"/>
        </w:rPr>
        <w:t xml:space="preserve"> по линия на </w:t>
      </w:r>
      <w:r>
        <w:rPr>
          <w:rFonts w:ascii="Times New Roman" w:hAnsi="Times New Roman"/>
          <w:b w:val="0"/>
          <w:i w:val="0"/>
          <w:noProof/>
          <w:szCs w:val="24"/>
          <w:lang w:val="en-GB" w:eastAsia="en-US" w:bidi="ar-SA"/>
        </w:rPr>
        <w:t>FEAD</w:t>
      </w:r>
      <w:r>
        <w:rPr>
          <w:rFonts w:ascii="Times New Roman" w:hAnsi="Times New Roman"/>
          <w:b w:val="0"/>
          <w:i w:val="0"/>
          <w:noProof/>
          <w:szCs w:val="24"/>
          <w:lang w:eastAsia="en-US" w:bidi="ar-SA"/>
        </w:rPr>
        <w:t xml:space="preserve"> са подпомагани хора, изложени на риск от изпадане в бедност, за да преодолеят социалното изключване. Чрез улесняване на участието им в проект по ЕСФ те също така се приближават до придобиването на квалификации, необходими за пазара на труда. Общата оценка е, че с </w:t>
      </w:r>
      <w:r>
        <w:rPr>
          <w:rFonts w:ascii="Times New Roman" w:hAnsi="Times New Roman"/>
          <w:b w:val="0"/>
          <w:i w:val="0"/>
          <w:noProof/>
          <w:szCs w:val="24"/>
          <w:lang w:val="en-GB" w:eastAsia="en-US" w:bidi="ar-SA"/>
        </w:rPr>
        <w:t>FEAD</w:t>
      </w:r>
      <w:r>
        <w:rPr>
          <w:rFonts w:ascii="Times New Roman" w:hAnsi="Times New Roman"/>
          <w:b w:val="0"/>
          <w:i w:val="0"/>
          <w:noProof/>
          <w:szCs w:val="24"/>
          <w:lang w:eastAsia="en-US" w:bidi="ar-SA"/>
        </w:rPr>
        <w:t xml:space="preserve"> бедността намалява и социалното приобщаване се повишава. </w:t>
      </w:r>
    </w:p>
    <w:p>
      <w:pPr>
        <w:pStyle w:val="Heading20"/>
        <w:rPr>
          <w:rFonts w:ascii="Times New Roman" w:hAnsi="Times New Roman"/>
          <w:b w:val="0"/>
          <w:i w:val="0"/>
          <w:noProof/>
          <w:szCs w:val="24"/>
          <w:lang w:eastAsia="en-US" w:bidi="ar-SA"/>
        </w:rPr>
      </w:pPr>
      <w:r>
        <w:rPr>
          <w:rFonts w:ascii="Times New Roman" w:hAnsi="Times New Roman"/>
          <w:b w:val="0"/>
          <w:i w:val="0"/>
          <w:noProof/>
          <w:szCs w:val="24"/>
          <w:lang w:eastAsia="en-US" w:bidi="ar-SA"/>
        </w:rPr>
        <w:t>По специфична цел 1 (подпомагане да бъдат облекчени най-тежките форми на бедност, като предоставя нефинансова помощ на най-нуждаещите се лица) държавите членки докладваха, че:</w:t>
      </w:r>
    </w:p>
    <w:p>
      <w:pPr>
        <w:pStyle w:val="Heading20"/>
        <w:rPr>
          <w:rFonts w:ascii="Times New Roman" w:hAnsi="Times New Roman"/>
          <w:b w:val="0"/>
          <w:i w:val="0"/>
          <w:noProof/>
          <w:szCs w:val="24"/>
          <w:lang w:eastAsia="en-US" w:bidi="ar-SA"/>
        </w:rPr>
      </w:pPr>
      <w:r>
        <w:rPr>
          <w:rFonts w:ascii="Times New Roman" w:hAnsi="Times New Roman"/>
          <w:i w:val="0"/>
          <w:noProof/>
          <w:szCs w:val="24"/>
          <w:lang w:eastAsia="en-US" w:bidi="ar-SA"/>
        </w:rPr>
        <w:t>1) FEAD е помогнал за намаляването на тежките материални лишения:</w:t>
      </w:r>
      <w:r>
        <w:rPr>
          <w:rFonts w:ascii="Times New Roman" w:hAnsi="Times New Roman"/>
          <w:b w:val="0"/>
          <w:i w:val="0"/>
          <w:noProof/>
          <w:szCs w:val="24"/>
          <w:lang w:eastAsia="en-US" w:bidi="ar-SA"/>
        </w:rPr>
        <w:t xml:space="preserve"> тъй като FEAD е спомогнал за създаването на синергии с други национални програми за социално подпомагане, PL докладва, че 13 000 души вече не отговарят на изискванията за получаване на подпомагане с хранителни продукти по линия на FEAD, тъй като тяхното положение се е подобрило. GR отбеляза, че FEAD е оказал положително въздействие върху намаляването на най-тежките форми на бедност в държавата, въпреки че мащабът и сериозността на бедността са се влошили по време на икономическата криза. В SK предоставянето на храни и/или продукти за хигиенни цели е помогнало за обезпечаване на базови условия на живот за бенефициерите, например като се разнообрази храненето и се повиши неговата хранителна стойност, както и като се подобрят техните хигиенни практики.</w:t>
      </w:r>
    </w:p>
    <w:p>
      <w:pPr>
        <w:pStyle w:val="Heading20"/>
        <w:rPr>
          <w:rFonts w:ascii="Times New Roman" w:hAnsi="Times New Roman"/>
          <w:b w:val="0"/>
          <w:i w:val="0"/>
          <w:noProof/>
          <w:szCs w:val="24"/>
          <w:lang w:eastAsia="en-US" w:bidi="ar-SA"/>
        </w:rPr>
      </w:pPr>
      <w:r>
        <w:rPr>
          <w:rFonts w:ascii="Times New Roman" w:hAnsi="Times New Roman"/>
          <w:i w:val="0"/>
          <w:noProof/>
          <w:szCs w:val="24"/>
          <w:lang w:eastAsia="en-US" w:bidi="ar-SA"/>
        </w:rPr>
        <w:t>2) FEAD предоставя помощ на най-нуждаещите се лица:</w:t>
      </w:r>
      <w:r>
        <w:rPr>
          <w:rFonts w:ascii="Times New Roman" w:hAnsi="Times New Roman"/>
          <w:b w:val="0"/>
          <w:i w:val="0"/>
          <w:noProof/>
          <w:szCs w:val="24"/>
          <w:lang w:eastAsia="en-US" w:bidi="ar-SA"/>
        </w:rPr>
        <w:t xml:space="preserve"> в LV и BG предоставянето на хранителни продукти е помогнало за облекчаването на бюджетите на домакинствата, за да посрещнат други базови нужди. В LV например 82 % от бенефициерите, които са били включени в проучването през 2016 г., са считали, че FEAD им е помогнал да спестят и да подобрят семейното благосъстояние; 78 % са казали също така, че допълнителните икономии са били използвани за закупуването на повече храна. Някои домакинства са изразходвали повече пари за извънучилищни дейности на децата, което е помогнало за намаляването на риска от социално изключване. Въпреки това FR отново посочи, че макар пакетите с хранителни продукти да позволяват на хората да харчат по-голяма част от доходите и за други неща, подпомагането с хранителни продукти само по себе си не покрива дневните потребности и не може да се използва като единствено средство за борба с бедността.</w:t>
      </w:r>
    </w:p>
    <w:p>
      <w:pPr>
        <w:pStyle w:val="Heading20"/>
        <w:rPr>
          <w:rFonts w:ascii="Times New Roman" w:hAnsi="Times New Roman"/>
          <w:b w:val="0"/>
          <w:i w:val="0"/>
          <w:noProof/>
          <w:szCs w:val="24"/>
          <w:lang w:eastAsia="en-US" w:bidi="ar-SA"/>
        </w:rPr>
      </w:pPr>
      <w:r>
        <w:rPr>
          <w:rFonts w:ascii="Times New Roman" w:hAnsi="Times New Roman"/>
          <w:i w:val="0"/>
          <w:noProof/>
          <w:szCs w:val="24"/>
          <w:lang w:eastAsia="en-US" w:bidi="ar-SA"/>
        </w:rPr>
        <w:t xml:space="preserve">3) FEAD е улеснил хората по пътя им за излизане от бедността: </w:t>
      </w:r>
      <w:r>
        <w:rPr>
          <w:rFonts w:ascii="Times New Roman" w:hAnsi="Times New Roman"/>
          <w:b w:val="0"/>
          <w:i w:val="0"/>
          <w:noProof/>
          <w:szCs w:val="24"/>
          <w:lang w:eastAsia="en-US" w:bidi="ar-SA"/>
        </w:rPr>
        <w:t xml:space="preserve">партньорските организации в CZ докладваха за значителното въздействие на предоставянето на ястия в (пред-)училище, а по-специално — повишаване на посещаемостта на училище, подобряване на физическото и психическото здраве, способност за справяне с училищните дейности и концентрация. Те споменават също така подобреното положение на бенефициерите сред техните съученици и по-добрите социални умения. В DK е установено, че чрез осигуряването на по-широка достъпност за бездомните хора до съществуващите публични социални услуги, програмата повишава възможностите за предоставяне на по-трайно социално подпомагане на бездомните хора, което може да им помогне да се справят с бедността. </w:t>
      </w:r>
    </w:p>
    <w:p>
      <w:pPr>
        <w:pStyle w:val="Heading20"/>
        <w:rPr>
          <w:rFonts w:ascii="Times New Roman" w:hAnsi="Times New Roman"/>
          <w:b w:val="0"/>
          <w:i w:val="0"/>
          <w:noProof/>
          <w:szCs w:val="24"/>
          <w:lang w:eastAsia="en-US" w:bidi="ar-SA"/>
        </w:rPr>
      </w:pPr>
      <w:r>
        <w:rPr>
          <w:rFonts w:ascii="Times New Roman" w:hAnsi="Times New Roman"/>
          <w:b w:val="0"/>
          <w:i w:val="0"/>
          <w:noProof/>
          <w:szCs w:val="24"/>
          <w:lang w:eastAsia="en-US" w:bidi="ar-SA"/>
        </w:rPr>
        <w:t>По специфична цел 2 (допълване на националните политики за устойчиво премахване на бедността и за социално приобщаване) държавите членки вярват, че FEAD допълва националните политики, като:</w:t>
      </w:r>
    </w:p>
    <w:p>
      <w:pPr>
        <w:pStyle w:val="Heading20"/>
        <w:rPr>
          <w:rFonts w:ascii="Times New Roman" w:hAnsi="Times New Roman"/>
          <w:b w:val="0"/>
          <w:i w:val="0"/>
          <w:noProof/>
          <w:szCs w:val="24"/>
          <w:lang w:eastAsia="en-US" w:bidi="ar-SA"/>
        </w:rPr>
      </w:pPr>
      <w:r>
        <w:rPr>
          <w:rFonts w:ascii="Times New Roman" w:hAnsi="Times New Roman"/>
          <w:i w:val="0"/>
          <w:noProof/>
          <w:szCs w:val="24"/>
          <w:lang w:eastAsia="en-US" w:bidi="ar-SA"/>
        </w:rPr>
        <w:t>1) Подпомага групи, които в противен случай не биха получили никаква помощ:</w:t>
      </w:r>
      <w:r>
        <w:rPr>
          <w:rFonts w:ascii="Times New Roman" w:hAnsi="Times New Roman"/>
          <w:b w:val="0"/>
          <w:i w:val="0"/>
          <w:noProof/>
          <w:szCs w:val="24"/>
          <w:lang w:eastAsia="en-US" w:bidi="ar-SA"/>
        </w:rPr>
        <w:t xml:space="preserve"> в SE по линия на FEAD са подпомагани мигранти от ЕИП/ЕС, които са били изключени от националните програми за социално подпомагане. В DE дейностите по линия на FEAD са проправили пътя на целевите групи, за да могат да се възползват от редовни социални услуги, до които не биха имали достъп в противен случай. Във FI благодарение на FEAD е било възможно да се допълни националното социално подпомагане за физически лица, които имат нужда от подпомагане с хранителни продукти и които не са могли да получат помощ от държавата, тъй като няма друга програма за предоставяне на хранителни продукти, която да се финансира от правителството. </w:t>
      </w:r>
    </w:p>
    <w:p>
      <w:pPr>
        <w:pStyle w:val="Heading20"/>
        <w:rPr>
          <w:rFonts w:ascii="Times New Roman" w:hAnsi="Times New Roman"/>
          <w:b w:val="0"/>
          <w:i w:val="0"/>
          <w:noProof/>
          <w:szCs w:val="24"/>
          <w:lang w:eastAsia="en-US" w:bidi="ar-SA"/>
        </w:rPr>
      </w:pPr>
      <w:r>
        <w:rPr>
          <w:rFonts w:ascii="Times New Roman" w:hAnsi="Times New Roman"/>
          <w:i w:val="0"/>
          <w:noProof/>
          <w:szCs w:val="24"/>
          <w:lang w:eastAsia="en-US" w:bidi="ar-SA"/>
        </w:rPr>
        <w:t xml:space="preserve">2) Подобряване на съществуващите национални инициативи за борба с бедността и социалното изключване: </w:t>
      </w:r>
      <w:r>
        <w:rPr>
          <w:rFonts w:ascii="Times New Roman" w:hAnsi="Times New Roman"/>
          <w:b w:val="0"/>
          <w:i w:val="0"/>
          <w:noProof/>
          <w:szCs w:val="24"/>
          <w:lang w:eastAsia="en-US" w:bidi="ar-SA"/>
        </w:rPr>
        <w:t>MT посочва, че FEAD допълва нейната „национална стратегическа политика за намаляване на бедността и за социално приобщаване“ и допринася за постигането на целите на стратегията „Европа 2020“. EE изтъква, че FEAD допълва нейния План за развитие на благосъстоянието (2016—2023 г.) и мерките, финансирани по ЕСФ. IT докладва, че програмата по линия на FEAD е оказала влияние върху новите национални политики като „Подпомагане за активно приобщаване“, която вече е общонационална програма, и Националния фонд за борба с бедността и социалното изключване.</w:t>
      </w:r>
    </w:p>
    <w:p>
      <w:pPr>
        <w:pStyle w:val="Heading20"/>
        <w:rPr>
          <w:rFonts w:ascii="Times New Roman" w:hAnsi="Times New Roman"/>
          <w:b w:val="0"/>
          <w:i w:val="0"/>
          <w:noProof/>
          <w:szCs w:val="24"/>
          <w:lang w:eastAsia="en-US" w:bidi="ar-SA"/>
        </w:rPr>
      </w:pPr>
      <w:r>
        <w:rPr>
          <w:rFonts w:ascii="Times New Roman" w:hAnsi="Times New Roman"/>
          <w:b w:val="0"/>
          <w:i w:val="0"/>
          <w:noProof/>
          <w:szCs w:val="24"/>
          <w:lang w:eastAsia="en-US" w:bidi="ar-SA"/>
        </w:rPr>
        <w:t>Ясно е, че FEAD функционира съвместно с други политики и програми на ЕС и на държавите членки, за да помогне за постигането на целите на стратегията „Европа 2020“ за намаляване на бедността и за социално приобщаване. Собственият принос на FEAD като такъв е скромен, но съществено важен негов елемент. Освен това има аспекти от целите на FEAD, които трудно биха могли да се измерят и определят количествено, като социалното сближаване. Държавите членки обикновено бяха предпазливи при определянето на ясна причинно-следствена връзка между дейностите по линия на FEAD и намаляването на бедността и предпочитаха да се позовават на съответна взаимна зависимост. Въпреки това, те потвърдиха, че FEAD осигурява ценен принос.</w:t>
      </w:r>
    </w:p>
    <w:p>
      <w:pPr>
        <w:pStyle w:val="Heading20"/>
        <w:rPr>
          <w:rFonts w:ascii="Times New Roman" w:hAnsi="Times New Roman"/>
          <w:i w:val="0"/>
          <w:noProof/>
          <w:szCs w:val="24"/>
          <w:lang w:val="en-GB" w:eastAsia="en-US" w:bidi="ar-SA"/>
        </w:rPr>
      </w:pPr>
    </w:p>
    <w:p>
      <w:pPr>
        <w:pStyle w:val="Heading1"/>
        <w:numPr>
          <w:ilvl w:val="0"/>
          <w:numId w:val="2"/>
        </w:numPr>
        <w:rPr>
          <w:noProof/>
        </w:rPr>
      </w:pPr>
      <w:r>
        <w:rPr>
          <w:noProof/>
        </w:rPr>
        <w:t xml:space="preserve">ЗАКЛЮЧЕНИЕ </w:t>
      </w:r>
    </w:p>
    <w:p>
      <w:pPr>
        <w:pStyle w:val="CommentText"/>
        <w:rPr>
          <w:noProof/>
          <w:szCs w:val="24"/>
        </w:rPr>
      </w:pPr>
      <w:r>
        <w:rPr>
          <w:b/>
          <w:noProof/>
          <w:sz w:val="24"/>
        </w:rPr>
        <w:t>Въпреки ограничения си обхват, FEAD доказа, че действително допълва националните усилия за преодоляването на материалните лишения и за борба с бедността и социалното изключване.</w:t>
      </w:r>
      <w:r>
        <w:rPr>
          <w:noProof/>
          <w:sz w:val="24"/>
        </w:rPr>
        <w:t xml:space="preserve"> През 2016 г. подпомагане по FEAD са получили почти 16 милиона души според данни и оценки. В много случаи благодарение на фонда стана възможно да бъдат обхванати специфични групи от най-нуждаещите се лица, които в противен случай не биха получили никакво подпомагане. Такъв е случаят например с най-нуждаещите се мигранти от ЕС/ЕИП, които не са допустими за финансово подпомагане според законите на съответната държава членка. Според оценките значителен брой бездомни хора са обхванати. </w:t>
      </w:r>
    </w:p>
    <w:p>
      <w:pPr>
        <w:pStyle w:val="Heading20"/>
        <w:rPr>
          <w:rFonts w:ascii="Times New Roman" w:hAnsi="Times New Roman"/>
          <w:b w:val="0"/>
          <w:i w:val="0"/>
          <w:noProof/>
          <w:szCs w:val="24"/>
          <w:lang w:eastAsia="en-US" w:bidi="ar-SA"/>
        </w:rPr>
      </w:pPr>
      <w:r>
        <w:rPr>
          <w:rFonts w:ascii="Times New Roman" w:hAnsi="Times New Roman"/>
          <w:i w:val="0"/>
          <w:noProof/>
          <w:szCs w:val="24"/>
          <w:lang w:eastAsia="en-US" w:bidi="ar-SA"/>
        </w:rPr>
        <w:t>Основният фактор за успеха да бъдат обхванати целевите групи и да се предостави съответното подпомагане беше засиленото сътрудничество и съвместната работа с партньорски организации.</w:t>
      </w:r>
      <w:r>
        <w:rPr>
          <w:rFonts w:ascii="Times New Roman" w:hAnsi="Times New Roman"/>
          <w:b w:val="0"/>
          <w:i w:val="0"/>
          <w:noProof/>
          <w:szCs w:val="24"/>
          <w:lang w:eastAsia="en-US" w:bidi="ar-SA"/>
        </w:rPr>
        <w:t xml:space="preserve"> Партньорските организации притежават опита и знанията за това кои са най-нуждаещите се лица в тяхната общност. Те познават техните потребности и как най-добре да предоставят подпомагането. Храните и материалното подпомагане са помогнали на партньорските организации в различни държави членки да създадат отношения на взаимно доверие с бенефициерите, което улеснява предоставянето на съпътстващите мерки и друго подпомагане за социално приобщаване. Гъвкавостта на фонда и способността му за адаптиране към различни ситуации в различните държави членки са ключов фактор за успеха и отличителна черта на FEAD. В много държави партньорските организации разполагат с гъвкавост по отношение на решението кой, кога и как да получи подпомагане, което им е позволило по-ефективно да отговорят на потребностите на бенефициерите. Непрекъснатият обмен на добри практики в рамките на мрежата на FEAD и експертната група по FEAD, както и консултациите с партньорските организации на равнището на ЕС, са спомогнали за допълнителното подобряване на този аспект. </w:t>
      </w:r>
    </w:p>
    <w:p>
      <w:pPr>
        <w:pStyle w:val="Heading20"/>
        <w:rPr>
          <w:rFonts w:ascii="Times New Roman" w:hAnsi="Times New Roman"/>
          <w:b w:val="0"/>
          <w:i w:val="0"/>
          <w:noProof/>
          <w:szCs w:val="24"/>
          <w:lang w:eastAsia="en-US" w:bidi="ar-SA"/>
        </w:rPr>
      </w:pPr>
      <w:r>
        <w:rPr>
          <w:rFonts w:ascii="Times New Roman" w:hAnsi="Times New Roman"/>
          <w:i w:val="0"/>
          <w:noProof/>
          <w:szCs w:val="24"/>
          <w:lang w:eastAsia="en-US" w:bidi="ar-SA"/>
        </w:rPr>
        <w:t xml:space="preserve">Наблюдават се някои непреки последици от FEAD, свързани със създаването на синергии и ливъридж ефекти. </w:t>
      </w:r>
      <w:r>
        <w:rPr>
          <w:rFonts w:ascii="Times New Roman" w:hAnsi="Times New Roman"/>
          <w:b w:val="0"/>
          <w:i w:val="0"/>
          <w:noProof/>
          <w:szCs w:val="24"/>
          <w:lang w:eastAsia="en-US" w:bidi="ar-SA"/>
        </w:rPr>
        <w:t xml:space="preserve">FEAD е спомогнал за повишаването на ефекта от ресурсите и за мобилизирането на подпомагането, предоставяно от партньорските организации, например чрез разпределянето на хранителни продукти, получени от други източници (като млекопроизводители, които имат нереализирана продукция), което е от полза за околната среда в по-широк план (изпълнение на хоризонталните принципи) и свързва производителите с други вериги на доставки. FEAD е спомогнал също така да се повиши осведомеността на националните и местните действащи лица по отношение на аспекта на програмата, касаещ социалното приобщаване. По този начин са се засилили и ролята, и мрежата на партньорските организации. Фондът е насърчил също така засилени синергии между националните и местните действащи лица, които изпълняват програмата. </w:t>
      </w:r>
    </w:p>
    <w:p>
      <w:pPr>
        <w:rPr>
          <w:noProof/>
        </w:rPr>
      </w:pPr>
      <w:r>
        <w:rPr>
          <w:b/>
          <w:noProof/>
        </w:rPr>
        <w:t xml:space="preserve">Областите, в които има нужда от подобрение, включват ускоряването на изпълнението в редица държави, интегрирането на даренията на храни в предоставянето на подпомагане и подобреното докладване относно съпътстващите мерки. </w:t>
      </w:r>
      <w:r>
        <w:rPr>
          <w:noProof/>
        </w:rPr>
        <w:t xml:space="preserve">До края на 2017 г. предоставянето на подпомагане беше започнало във всички държави членки, с изключение на UK. Комисията ще продължи да следи напредъка, и по-специално напредъка на държавите членки, в които изпълнението на програмите е било преразгледано или забавено. Ще бъде поставен акцент върху по-нататъшния напредък по изпълнението на основното материално подпомагане в рамките на програмите ОП I. Въпреки значителния напредък, постигнат през 2016 г., този аспект все още изостава спрямо изпълнението на подпомагането с хранителни продукти. Провеждат се специални годишни срещи за преглед между всяка държава членка и Комисията с оглед на преодоляването на тези проблеми. Все още е нисък делът на дарената храна, която е включена в програмата. Комисията потърси решение на този проблем чрез изменението на Регламента относно FEAD чрез Регламента „Омнибус“, приет от Европейския парламент и Съвета и влязъл в сила през август 2018 г. Така държавите членки ще могат да определят единни ставки, еднократни суми или разходи за единица продукт (опростени варианти за разходите) и да ги използват като база за плащанията към партньорските организации, които събират и разпределят дарената храна. Съпътстващите мерки са ключов елемент на фонда, тъй като тяхната цел е да се намали социалното изключване на най-нуждаещите се лица. Докладването от държавите членки обаче беше ограничено, което не позволи да се направи задълбочено проучване. Отчасти това се дължи на горепосочените забавяния в изпълнението, но все пак представлява предизвикателство от гледна точка на степента, в която можеше да бъде оценен приносът им към постигането на целта на FEAD за повишаване на социалното приобщаване. </w:t>
      </w: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879885"/>
      <w:docPartObj>
        <w:docPartGallery w:val="Page Numbers (Bottom of Page)"/>
        <w:docPartUnique/>
      </w:docPartObj>
    </w:sdtPr>
    <w:sdtContent>
      <w:p>
        <w:pPr>
          <w:pStyle w:val="Footer"/>
          <w:jc w:val="center"/>
        </w:pPr>
        <w:r>
          <w:fldChar w:fldCharType="begin"/>
        </w:r>
        <w:r>
          <w:instrText>PAGE</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footnote>
  <w:footnote w:type="continuationSeparator" w:id="0">
    <w:p>
      <w:r>
        <w:continuationSeparator/>
      </w:r>
    </w:p>
  </w:footnote>
  <w:footnote w:id="1">
    <w:p>
      <w:pPr>
        <w:pStyle w:val="FootnoteText"/>
        <w:spacing w:after="0"/>
      </w:pPr>
      <w:r>
        <w:rPr>
          <w:rStyle w:val="FootnoteReference"/>
          <w:szCs w:val="24"/>
        </w:rPr>
        <w:footnoteRef/>
      </w:r>
      <w:r>
        <w:rPr>
          <w:rStyle w:val="FootnoteReference"/>
          <w:sz w:val="18"/>
        </w:rPr>
        <w:tab/>
      </w:r>
      <w:r>
        <w:rPr>
          <w:sz w:val="18"/>
        </w:rPr>
        <w:t xml:space="preserve"> Регламент (ЕС) № 223/2014 на Европейския парламент и на Съвета от 11 март 2014 г. относно Фонда за европейско подпомагане на най-нуждаещите се лица (ОВ L 72, 12.3.2014 г., стр. 1).</w:t>
      </w:r>
    </w:p>
  </w:footnote>
  <w:footnote w:id="2">
    <w:p>
      <w:pPr>
        <w:pStyle w:val="FootnoteText"/>
        <w:spacing w:after="0"/>
        <w:rPr>
          <w:rStyle w:val="FootnoteReference"/>
          <w:sz w:val="18"/>
        </w:rPr>
      </w:pPr>
      <w:r>
        <w:rPr>
          <w:rStyle w:val="FootnoteReference"/>
          <w:szCs w:val="24"/>
        </w:rPr>
        <w:footnoteRef/>
      </w:r>
      <w:r>
        <w:rPr>
          <w:rStyle w:val="FootnoteReference"/>
          <w:sz w:val="18"/>
        </w:rPr>
        <w:tab/>
      </w:r>
      <w:r>
        <w:t xml:space="preserve"> </w:t>
      </w:r>
      <w:r>
        <w:rPr>
          <w:sz w:val="18"/>
        </w:rPr>
        <w:t>Стратегически доклад за 2017 г. относно изпълнението на европейските структурни и инвестиционни фондове, COM(2017) 755 final.</w:t>
      </w:r>
    </w:p>
  </w:footnote>
  <w:footnote w:id="3">
    <w:p>
      <w:pPr>
        <w:pStyle w:val="FootnoteText"/>
        <w:spacing w:after="0"/>
        <w:rPr>
          <w:rStyle w:val="FootnoteReference"/>
          <w:sz w:val="18"/>
        </w:rPr>
      </w:pPr>
      <w:r>
        <w:rPr>
          <w:szCs w:val="24"/>
          <w:vertAlign w:val="superscript"/>
        </w:rPr>
        <w:footnoteRef/>
      </w:r>
      <w:r>
        <w:tab/>
        <w:t xml:space="preserve"> </w:t>
      </w:r>
      <w:r>
        <w:rPr>
          <w:sz w:val="18"/>
        </w:rPr>
        <w:t>Предложение за Регламент на Европейския парламент и на Съвета относно финансовите правила, приложими за общия бюджет на Съюза, и за изменение на регламент (ЕС) № 2012/2002, регламенти (ЕС) № 1296/2013, (ЕС) № 1301/2013, (ЕС) № 1303/2013, (ЕС) № 1304/2013, (ЕС) № 1305/2013, (ЕС) № 1306/2013, (ЕС) № 1307/2013, (ЕС) № 1308/2013, (ЕС) № 1309/2013, (ЕС) № 1316/2013, (ЕС) № 223/2014, (ЕС) № 283/2014, (ЕС) № 652/2014 на Европейския парламент и на Съвета и на Решение № 541/2014/ЕС на Европейския парламент и на Съвета, COM(2016) 605 final</w:t>
      </w:r>
      <w:r>
        <w:t>.</w:t>
      </w:r>
    </w:p>
  </w:footnote>
  <w:footnote w:id="4">
    <w:p>
      <w:pPr>
        <w:pStyle w:val="FootnoteText"/>
        <w:spacing w:after="0"/>
        <w:rPr>
          <w:sz w:val="18"/>
          <w:szCs w:val="18"/>
        </w:rPr>
      </w:pPr>
      <w:r>
        <w:rPr>
          <w:sz w:val="18"/>
          <w:szCs w:val="18"/>
        </w:rPr>
        <w:footnoteRef/>
      </w:r>
      <w:r>
        <w:rPr>
          <w:sz w:val="18"/>
          <w:szCs w:val="18"/>
        </w:rPr>
        <w:tab/>
        <w:t xml:space="preserve"> Запаси, поддържани от национални интервенционни агенции в Европейския съюз в резултат на интервенционно закупуване на стоки, които са предмет на подкрепа на пазарните цени.</w:t>
      </w:r>
    </w:p>
    <w:p>
      <w:pPr>
        <w:pStyle w:val="FootnoteText"/>
        <w:spacing w:after="0"/>
      </w:pPr>
    </w:p>
  </w:footnote>
  <w:footnote w:id="5">
    <w:p>
      <w:pPr>
        <w:pStyle w:val="FootnoteText"/>
        <w:spacing w:after="0"/>
      </w:pPr>
      <w:r>
        <w:rPr>
          <w:rStyle w:val="FootnoteReference"/>
        </w:rPr>
        <w:footnoteRef/>
      </w:r>
      <w:r>
        <w:rPr>
          <w:rStyle w:val="FootnoteReference"/>
        </w:rPr>
        <w:tab/>
      </w:r>
      <w:r>
        <w:t xml:space="preserve"> </w:t>
      </w:r>
      <w:r>
        <w:rPr>
          <w:sz w:val="18"/>
        </w:rPr>
        <w:t xml:space="preserve">Що се отнася до ОП I, представените данни се базират на изчисленията на партньорските организации въз основа на подходи за формиране на извадки (напр. преброяване на получателите в определени дни или в определени седмици от годината и екстраполиране) или други методи. Както за ОП I, така и за ОП II е възможно крайните получатели да са преброени повече от веднъж; в резултат на това общият брой на крайните получатели по целеви групи е по-висок от общия брой крайни получатели, отчетени от държавите членки. </w:t>
      </w:r>
    </w:p>
  </w:footnote>
  <w:footnote w:id="6">
    <w:p>
      <w:pPr>
        <w:pStyle w:val="FootnoteText"/>
        <w:spacing w:after="0"/>
        <w:rPr>
          <w:rStyle w:val="FootnoteReference"/>
        </w:rPr>
      </w:pPr>
      <w:r>
        <w:rPr>
          <w:rStyle w:val="FootnoteReference"/>
        </w:rPr>
        <w:footnoteRef/>
      </w:r>
      <w:r>
        <w:rPr>
          <w:rStyle w:val="FootnoteReference"/>
        </w:rPr>
        <w:tab/>
      </w:r>
      <w:r>
        <w:rPr>
          <w:sz w:val="18"/>
        </w:rPr>
        <w:t xml:space="preserve"> Според доклада за изпълнението на FR показателят 14е (бездомни хора) е „особено сложен и тази година данни по него не са събирани“. През 2015 г. FR отчете, че е предоставила подпомагане с хранителни продукти на над 1 милиона бездомни лица.</w:t>
      </w:r>
      <w:r>
        <w:rPr>
          <w:rStyle w:val="FootnoteReference"/>
        </w:rPr>
        <w:t xml:space="preserve"> </w:t>
      </w:r>
    </w:p>
  </w:footnote>
  <w:footnote w:id="7">
    <w:p>
      <w:pPr>
        <w:pStyle w:val="FootnoteText"/>
        <w:spacing w:after="0"/>
        <w:rPr>
          <w:sz w:val="18"/>
        </w:rPr>
      </w:pPr>
      <w:r>
        <w:rPr>
          <w:sz w:val="18"/>
        </w:rPr>
        <w:footnoteRef/>
      </w:r>
      <w:r>
        <w:rPr>
          <w:sz w:val="18"/>
        </w:rPr>
        <w:tab/>
        <w:t xml:space="preserve"> Член 5, параграф 6 от Регламент (ЕС) № 223/2014. </w:t>
      </w:r>
    </w:p>
  </w:footnote>
  <w:footnote w:id="8">
    <w:p>
      <w:pPr>
        <w:pStyle w:val="FootnoteText"/>
        <w:spacing w:after="0"/>
        <w:rPr>
          <w:sz w:val="18"/>
        </w:rPr>
      </w:pPr>
      <w:r>
        <w:rPr>
          <w:sz w:val="18"/>
        </w:rPr>
        <w:footnoteRef/>
      </w:r>
      <w:r>
        <w:rPr>
          <w:sz w:val="18"/>
        </w:rPr>
        <w:tab/>
        <w:t xml:space="preserve"> Член 5, параграф 11 от Регламент (ЕС) № 223/2014. </w:t>
      </w:r>
    </w:p>
  </w:footnote>
  <w:footnote w:id="9">
    <w:p>
      <w:pPr>
        <w:pStyle w:val="FootnoteText"/>
        <w:spacing w:after="0"/>
        <w:rPr>
          <w:sz w:val="18"/>
        </w:rPr>
      </w:pPr>
      <w:r>
        <w:rPr>
          <w:sz w:val="18"/>
        </w:rPr>
        <w:footnoteRef/>
      </w:r>
      <w:r>
        <w:rPr>
          <w:sz w:val="18"/>
        </w:rPr>
        <w:tab/>
        <w:t xml:space="preserve"> Член 5, параграф 13 от Регламент (ЕС) № 223/2014. </w:t>
      </w:r>
    </w:p>
  </w:footnote>
  <w:footnote w:id="10">
    <w:p>
      <w:pPr>
        <w:pStyle w:val="FootnoteText"/>
        <w:spacing w:after="0"/>
      </w:pPr>
      <w:r>
        <w:rPr>
          <w:sz w:val="18"/>
        </w:rPr>
        <w:footnoteRef/>
      </w:r>
      <w:r>
        <w:rPr>
          <w:sz w:val="18"/>
        </w:rPr>
        <w:tab/>
        <w:t xml:space="preserve"> Член 5, параграф 13 от Регламент (ЕС) № 223/2014.</w:t>
      </w:r>
      <w:r>
        <w:rPr>
          <w:rFonts w:ascii="Verdana" w:hAnsi="Verdana" w:cstheme="minorHAnsi"/>
          <w:sz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B247E"/>
    <w:multiLevelType w:val="multilevel"/>
    <w:tmpl w:val="76EE06B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C976639"/>
    <w:multiLevelType w:val="multilevel"/>
    <w:tmpl w:val="BCF0F152"/>
    <w:lvl w:ilvl="0">
      <w:start w:val="1"/>
      <w:numFmt w:val="decimal"/>
      <w:pStyle w:val="Heading1"/>
      <w:lvlText w:val="%1."/>
      <w:lvlJc w:val="left"/>
      <w:pPr>
        <w:tabs>
          <w:tab w:val="num" w:pos="480"/>
        </w:tabs>
        <w:ind w:left="480" w:hanging="480"/>
      </w:pPr>
    </w:lvl>
    <w:lvl w:ilvl="1">
      <w:start w:val="1"/>
      <w:numFmt w:val="decimal"/>
      <w:pStyle w:val="Heading21"/>
      <w:lvlText w:val="%1.%2."/>
      <w:lvlJc w:val="left"/>
      <w:pPr>
        <w:tabs>
          <w:tab w:val="num" w:pos="1287"/>
        </w:tabs>
        <w:ind w:left="1287"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02B62AE"/>
    <w:multiLevelType w:val="multilevel"/>
    <w:tmpl w:val="5EF2FBCE"/>
    <w:lvl w:ilvl="0">
      <w:start w:val="1"/>
      <w:numFmt w:val="decimal"/>
      <w:lvlText w:val="%1."/>
      <w:lvlJc w:val="left"/>
      <w:pPr>
        <w:tabs>
          <w:tab w:val="num" w:pos="480"/>
        </w:tabs>
        <w:ind w:left="480" w:hanging="480"/>
      </w:pPr>
      <w:rPr>
        <w:i w:val="0"/>
      </w:r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0924543-2BB5-490B-BDDB-1328ABFD8E12"/>
    <w:docVar w:name="LW_COVERPAGE_TYPE" w:val="1"/>
    <w:docVar w:name="LW_CROSSREFERENCE" w:val="&lt;UNUSED&gt;"/>
    <w:docVar w:name="LW_DocType" w:val="NORMAL"/>
    <w:docVar w:name="LW_EMISSION" w:val="14.11.2018"/>
    <w:docVar w:name="LW_EMISSION_ISODATE" w:val="2018-11-14"/>
    <w:docVar w:name="LW_EMISSION_LOCATION" w:val="BRX"/>
    <w:docVar w:name="LW_EMISSION_PREFIX" w:val="Брюксел, "/>
    <w:docVar w:name="LW_EMISSION_SUFFIX" w:val=" \u1075?."/>
    <w:docVar w:name="LW_ID_DOCTYPE_NONLW" w:val="CP-00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7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1054?\u1073?\u1086?\u1073?\u1097?\u1077?\u1085?\u1080?\u1077? \u1085?\u1072? \u1075?\u1086?\u1076?\u1080?\u1096?\u1085?\u1080?\u1090?\u1077? \u1076?\u1086?\u1082?\u1083?\u1072?\u1076?\u1080? \u1079?\u1072? \u1080?\u1079?\u1087?\u1098?\u1083?\u1085?\u1077?\u1085?\u1080?\u1077?\u1090?\u1086? \u1085?\u1072? \u1086?\u1087?\u1077?\u1088?\u1072?\u1090?\u1080?\u1074?\u1085?\u1080?\u1090?\u1077? \u1087?\u1088?\u1086?\u1075?\u1088?\u1072?\u1084?\u1080?, \u1089?\u1098?\u1092?\u1080?\u1085?\u1072?\u1085?\u1089?\u1080?\u1088?\u1072?\u1085?\u1080? \u1086?\u1090? \u1060?\u1086?\u1085?\u1076?\u1072? \u1079?\u1072? \u1077?\u1074?\u1088?\u1086?\u1087?\u1077?\u1081?\u1089?\u1082?\u1086? \u1087?\u1086?\u1076?\u1087?\u1086?\u1084?\u1072?\u1075?\u1072?\u1085?\u1077? \u1085?\u1072? \u1085?\u1072?\u1081?-\u1085?\u1091?\u1078?\u1076?\u1072?\u1077?\u1097?\u1080?\u1090?\u1077? \u1089?\u1077? \u1083?\u1080?\u1094?\u1072? \u1087?\u1088?\u1077?\u1079? 2016 \u1075?.&lt;/FMT&gt;_x000b_"/>
    <w:docVar w:name="LW_TYPE.DOC.CP" w:val="\u1044?\u1054?\u1050?\u1051?\u1040?\u1044? \u1053?\u1040? \u1050?\u1054?\u1052?\u1048?\u1057?\u1048?\u1071?\u1058?\u1040? \u1044?\u1054? \u1057?\u1066?\u1042?\u1045?\u1058?\u1040? \u1048? \u1045?\u1042?\u1056?\u1054?\u1055?\u1045?\u1049?\u1057?\u1050?\u1048?\u1071? \u1055?\u1040?\u1056?\u1051?\u1040?\u1052?\u1045?\u1053?\u1058?"/>
  </w:docVar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qFormat="1"/>
    <w:lsdException w:name="footnote text"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9"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rPr>
      <w:rFonts w:ascii="Times New Roman" w:eastAsia="Times New Roman" w:hAnsi="Times New Roman" w:cs="Times New Roman"/>
      <w:sz w:val="24"/>
      <w:szCs w:val="20"/>
    </w:rPr>
  </w:style>
  <w:style w:type="paragraph" w:styleId="Heading1">
    <w:name w:val="heading 1"/>
    <w:basedOn w:val="Normal"/>
    <w:link w:val="Heading1Char"/>
    <w:qFormat/>
    <w:pPr>
      <w:keepNext/>
      <w:numPr>
        <w:numId w:val="1"/>
      </w:numPr>
      <w:spacing w:before="240"/>
      <w:outlineLvl w:val="0"/>
    </w:pPr>
    <w:rPr>
      <w:b/>
      <w:smallCaps/>
    </w:rPr>
  </w:style>
  <w:style w:type="paragraph" w:styleId="Heading2">
    <w:name w:val="heading 2"/>
    <w:basedOn w:val="Normal"/>
    <w:next w:val="Text2"/>
    <w:link w:val="Heading2Char"/>
    <w:pPr>
      <w:keepNext/>
      <w:outlineLvl w:val="1"/>
    </w:pPr>
    <w:rPr>
      <w:b/>
    </w:rPr>
  </w:style>
  <w:style w:type="paragraph" w:styleId="Heading3">
    <w:name w:val="heading 3"/>
    <w:basedOn w:val="Normal"/>
    <w:link w:val="Heading3Char"/>
    <w:qFormat/>
    <w:pPr>
      <w:keepNext/>
      <w:numPr>
        <w:ilvl w:val="2"/>
        <w:numId w:val="1"/>
      </w:numPr>
      <w:outlineLvl w:val="2"/>
    </w:pPr>
    <w:rPr>
      <w:i/>
    </w:rPr>
  </w:style>
  <w:style w:type="paragraph" w:styleId="Heading4">
    <w:name w:val="heading 4"/>
    <w:basedOn w:val="Normal"/>
    <w:link w:val="Heading4Char"/>
    <w:qFormat/>
    <w:pPr>
      <w:keepNext/>
      <w:numPr>
        <w:ilvl w:val="3"/>
        <w:numId w:val="1"/>
      </w:numPr>
      <w:outlineLvl w:val="3"/>
    </w:pPr>
  </w:style>
  <w:style w:type="paragraph" w:styleId="Heading5">
    <w:name w:val="heading 5"/>
    <w:basedOn w:val="Normal"/>
    <w:next w:val="Normal"/>
    <w:link w:val="Heading5Char"/>
    <w:qFormat/>
    <w:pPr>
      <w:tabs>
        <w:tab w:val="left" w:pos="0"/>
      </w:tabs>
      <w:spacing w:before="240" w:after="60"/>
      <w:outlineLvl w:val="4"/>
    </w:pPr>
    <w:rPr>
      <w:rFonts w:ascii="Arial" w:hAnsi="Arial"/>
      <w:sz w:val="22"/>
    </w:rPr>
  </w:style>
  <w:style w:type="paragraph" w:styleId="Heading6">
    <w:name w:val="heading 6"/>
    <w:basedOn w:val="Normal"/>
    <w:next w:val="Normal"/>
    <w:link w:val="Heading6Char"/>
    <w:qFormat/>
    <w:pPr>
      <w:tabs>
        <w:tab w:val="left" w:pos="0"/>
      </w:tabs>
      <w:spacing w:before="240" w:after="60"/>
      <w:outlineLvl w:val="5"/>
    </w:pPr>
    <w:rPr>
      <w:rFonts w:ascii="Arial" w:hAnsi="Arial"/>
      <w:i/>
      <w:sz w:val="22"/>
    </w:rPr>
  </w:style>
  <w:style w:type="paragraph" w:styleId="Heading7">
    <w:name w:val="heading 7"/>
    <w:basedOn w:val="Normal"/>
    <w:next w:val="Normal"/>
    <w:link w:val="Heading7Char"/>
    <w:qFormat/>
    <w:pPr>
      <w:tabs>
        <w:tab w:val="left" w:pos="0"/>
      </w:tabs>
      <w:spacing w:before="240" w:after="60"/>
      <w:outlineLvl w:val="6"/>
    </w:pPr>
    <w:rPr>
      <w:rFonts w:ascii="Arial" w:hAnsi="Arial"/>
      <w:sz w:val="20"/>
    </w:rPr>
  </w:style>
  <w:style w:type="paragraph" w:styleId="Heading8">
    <w:name w:val="heading 8"/>
    <w:basedOn w:val="Normal"/>
    <w:next w:val="Normal"/>
    <w:link w:val="Heading8Char"/>
    <w:qFormat/>
    <w:pPr>
      <w:tabs>
        <w:tab w:val="left" w:pos="0"/>
      </w:tabs>
      <w:spacing w:before="240" w:after="60"/>
      <w:outlineLvl w:val="7"/>
    </w:pPr>
    <w:rPr>
      <w:rFonts w:ascii="Arial" w:hAnsi="Arial"/>
      <w:i/>
      <w:sz w:val="20"/>
    </w:rPr>
  </w:style>
  <w:style w:type="paragraph" w:styleId="Heading9">
    <w:name w:val="heading 9"/>
    <w:basedOn w:val="Normal"/>
    <w:next w:val="Normal"/>
    <w:link w:val="Heading9Char"/>
    <w:qFormat/>
    <w:pPr>
      <w:tabs>
        <w:tab w:val="left"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qFormat/>
    <w:pPr>
      <w:widowControl w:val="0"/>
      <w:numPr>
        <w:ilvl w:val="1"/>
        <w:numId w:val="1"/>
      </w:numPr>
      <w:tabs>
        <w:tab w:val="clear" w:pos="1287"/>
        <w:tab w:val="num" w:pos="1200"/>
      </w:tabs>
      <w:ind w:left="1200"/>
      <w:outlineLvl w:val="1"/>
    </w:pPr>
    <w:rPr>
      <w:rFonts w:ascii="Verdana" w:hAnsi="Verdana"/>
      <w:b/>
      <w:i/>
      <w:sz w:val="24"/>
    </w:rPr>
  </w:style>
  <w:style w:type="character" w:customStyle="1" w:styleId="Heading1Char">
    <w:name w:val="Heading 1 Char"/>
    <w:basedOn w:val="DefaultParagraphFont"/>
    <w:link w:val="Heading1"/>
    <w:qFormat/>
    <w:rPr>
      <w:rFonts w:ascii="Times New Roman" w:eastAsia="Times New Roman" w:hAnsi="Times New Roman" w:cs="Times New Roman"/>
      <w:b/>
      <w:smallCaps/>
      <w:sz w:val="24"/>
      <w:szCs w:val="20"/>
      <w:lang w:val="bg-BG"/>
    </w:rPr>
  </w:style>
  <w:style w:type="character" w:customStyle="1" w:styleId="Heading2Char">
    <w:name w:val="Heading 2 Char"/>
    <w:basedOn w:val="DefaultParagraphFont"/>
    <w:link w:val="Heading2"/>
    <w:qFormat/>
    <w:rPr>
      <w:rFonts w:ascii="Times New Roman" w:eastAsia="Times New Roman" w:hAnsi="Times New Roman" w:cs="Times New Roman"/>
      <w:b/>
      <w:sz w:val="24"/>
      <w:szCs w:val="20"/>
    </w:rPr>
  </w:style>
  <w:style w:type="character" w:customStyle="1" w:styleId="Heading3Char">
    <w:name w:val="Heading 3 Char"/>
    <w:basedOn w:val="DefaultParagraphFont"/>
    <w:link w:val="Heading3"/>
    <w:qFormat/>
    <w:rPr>
      <w:rFonts w:ascii="Times New Roman" w:eastAsia="Times New Roman" w:hAnsi="Times New Roman" w:cs="Times New Roman"/>
      <w:i/>
      <w:sz w:val="24"/>
      <w:szCs w:val="20"/>
      <w:lang w:val="bg-BG"/>
    </w:rPr>
  </w:style>
  <w:style w:type="character" w:customStyle="1" w:styleId="Heading4Char">
    <w:name w:val="Heading 4 Char"/>
    <w:basedOn w:val="DefaultParagraphFont"/>
    <w:link w:val="Heading4"/>
    <w:qFormat/>
    <w:rPr>
      <w:rFonts w:ascii="Times New Roman" w:eastAsia="Times New Roman" w:hAnsi="Times New Roman" w:cs="Times New Roman"/>
      <w:sz w:val="24"/>
      <w:szCs w:val="20"/>
      <w:lang w:val="bg-BG"/>
    </w:rPr>
  </w:style>
  <w:style w:type="character" w:customStyle="1" w:styleId="Heading5Char">
    <w:name w:val="Heading 5 Char"/>
    <w:basedOn w:val="DefaultParagraphFont"/>
    <w:link w:val="Heading5"/>
    <w:qFormat/>
    <w:rPr>
      <w:rFonts w:ascii="Arial" w:eastAsia="Times New Roman" w:hAnsi="Arial" w:cs="Times New Roman"/>
      <w:szCs w:val="20"/>
      <w:lang w:val="bg-BG"/>
    </w:rPr>
  </w:style>
  <w:style w:type="character" w:customStyle="1" w:styleId="Heading6Char">
    <w:name w:val="Heading 6 Char"/>
    <w:basedOn w:val="DefaultParagraphFont"/>
    <w:link w:val="Heading6"/>
    <w:qFormat/>
    <w:rPr>
      <w:rFonts w:ascii="Arial" w:eastAsia="Times New Roman" w:hAnsi="Arial" w:cs="Times New Roman"/>
      <w:i/>
      <w:szCs w:val="20"/>
      <w:lang w:val="bg-BG"/>
    </w:rPr>
  </w:style>
  <w:style w:type="character" w:customStyle="1" w:styleId="Heading7Char">
    <w:name w:val="Heading 7 Char"/>
    <w:basedOn w:val="DefaultParagraphFont"/>
    <w:link w:val="Heading7"/>
    <w:qFormat/>
    <w:rPr>
      <w:rFonts w:ascii="Arial" w:eastAsia="Times New Roman" w:hAnsi="Arial" w:cs="Times New Roman"/>
      <w:sz w:val="20"/>
      <w:szCs w:val="20"/>
      <w:lang w:val="bg-BG"/>
    </w:rPr>
  </w:style>
  <w:style w:type="character" w:customStyle="1" w:styleId="Heading8Char">
    <w:name w:val="Heading 8 Char"/>
    <w:basedOn w:val="DefaultParagraphFont"/>
    <w:link w:val="Heading8"/>
    <w:qFormat/>
    <w:rPr>
      <w:rFonts w:ascii="Arial" w:eastAsia="Times New Roman" w:hAnsi="Arial" w:cs="Times New Roman"/>
      <w:i/>
      <w:sz w:val="20"/>
      <w:szCs w:val="20"/>
      <w:lang w:val="bg-BG"/>
    </w:rPr>
  </w:style>
  <w:style w:type="character" w:customStyle="1" w:styleId="Heading9Char">
    <w:name w:val="Heading 9 Char"/>
    <w:basedOn w:val="DefaultParagraphFont"/>
    <w:link w:val="Heading9"/>
    <w:qFormat/>
    <w:rPr>
      <w:rFonts w:ascii="Arial" w:eastAsia="Times New Roman" w:hAnsi="Arial" w:cs="Times New Roman"/>
      <w:i/>
      <w:sz w:val="18"/>
      <w:szCs w:val="20"/>
      <w:lang w:val="bg-BG"/>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0"/>
      <w:lang w:val="bg-BG"/>
    </w:rPr>
  </w:style>
  <w:style w:type="character" w:customStyle="1" w:styleId="BodyText2Char">
    <w:name w:val="Body Text 2 Char"/>
    <w:basedOn w:val="DefaultParagraphFont"/>
    <w:link w:val="BodyText2"/>
    <w:qFormat/>
    <w:rPr>
      <w:rFonts w:ascii="Times New Roman" w:eastAsia="Times New Roman" w:hAnsi="Times New Roman" w:cs="Times New Roman"/>
      <w:sz w:val="24"/>
      <w:szCs w:val="20"/>
      <w:lang w:val="bg-BG"/>
    </w:rPr>
  </w:style>
  <w:style w:type="character" w:customStyle="1" w:styleId="BodyText3Char">
    <w:name w:val="Body Text 3 Char"/>
    <w:basedOn w:val="DefaultParagraphFont"/>
    <w:link w:val="BodyText3"/>
    <w:qFormat/>
    <w:rPr>
      <w:rFonts w:ascii="Times New Roman" w:eastAsia="Times New Roman" w:hAnsi="Times New Roman" w:cs="Times New Roman"/>
      <w:sz w:val="16"/>
      <w:szCs w:val="20"/>
      <w:lang w:val="bg-BG"/>
    </w:rPr>
  </w:style>
  <w:style w:type="character" w:customStyle="1" w:styleId="BodyTextFirstIndentChar">
    <w:name w:val="Body Text First Indent Char"/>
    <w:basedOn w:val="BodyTextChar"/>
    <w:qFormat/>
    <w:rPr>
      <w:rFonts w:ascii="Times New Roman" w:eastAsia="Times New Roman" w:hAnsi="Times New Roman" w:cs="Times New Roman"/>
      <w:sz w:val="24"/>
      <w:szCs w:val="20"/>
      <w:lang w:val="bg-BG"/>
    </w:rPr>
  </w:style>
  <w:style w:type="character" w:customStyle="1" w:styleId="BodyTextIndentChar">
    <w:name w:val="Body Text Indent Char"/>
    <w:basedOn w:val="DefaultParagraphFont"/>
    <w:link w:val="BodyTextIndent"/>
    <w:qFormat/>
    <w:rPr>
      <w:rFonts w:ascii="Times New Roman" w:eastAsia="Times New Roman" w:hAnsi="Times New Roman" w:cs="Times New Roman"/>
      <w:sz w:val="24"/>
      <w:szCs w:val="20"/>
      <w:lang w:val="bg-BG"/>
    </w:rPr>
  </w:style>
  <w:style w:type="character" w:customStyle="1" w:styleId="BodyTextFirstIndent2Char">
    <w:name w:val="Body Text First Indent 2 Char"/>
    <w:basedOn w:val="BodyTextIndentChar"/>
    <w:link w:val="BodyTextFirstIndent2"/>
    <w:qFormat/>
    <w:rPr>
      <w:rFonts w:ascii="Times New Roman" w:eastAsia="Times New Roman" w:hAnsi="Times New Roman" w:cs="Times New Roman"/>
      <w:sz w:val="24"/>
      <w:szCs w:val="20"/>
      <w:lang w:val="bg-BG"/>
    </w:rPr>
  </w:style>
  <w:style w:type="character" w:customStyle="1" w:styleId="BodyTextIndent2Char">
    <w:name w:val="Body Text Indent 2 Char"/>
    <w:basedOn w:val="DefaultParagraphFont"/>
    <w:link w:val="BodyTextIndent2"/>
    <w:qFormat/>
    <w:rPr>
      <w:rFonts w:ascii="Times New Roman" w:eastAsia="Times New Roman" w:hAnsi="Times New Roman" w:cs="Times New Roman"/>
      <w:sz w:val="24"/>
      <w:szCs w:val="20"/>
      <w:lang w:val="bg-BG"/>
    </w:rPr>
  </w:style>
  <w:style w:type="character" w:customStyle="1" w:styleId="BodyTextIndent3Char">
    <w:name w:val="Body Text Indent 3 Char"/>
    <w:basedOn w:val="DefaultParagraphFont"/>
    <w:link w:val="BodyTextIndent3"/>
    <w:qFormat/>
    <w:rPr>
      <w:rFonts w:ascii="Times New Roman" w:eastAsia="Times New Roman" w:hAnsi="Times New Roman" w:cs="Times New Roman"/>
      <w:sz w:val="16"/>
      <w:szCs w:val="20"/>
      <w:lang w:val="bg-BG"/>
    </w:rPr>
  </w:style>
  <w:style w:type="character" w:customStyle="1" w:styleId="ClosingChar">
    <w:name w:val="Closing Char"/>
    <w:basedOn w:val="DefaultParagraphFont"/>
    <w:link w:val="Closing"/>
    <w:qFormat/>
    <w:rPr>
      <w:rFonts w:ascii="Times New Roman" w:eastAsia="Times New Roman" w:hAnsi="Times New Roman" w:cs="Times New Roman"/>
      <w:sz w:val="24"/>
      <w:szCs w:val="20"/>
      <w:lang w:val="bg-BG"/>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val="bg-BG"/>
    </w:rPr>
  </w:style>
  <w:style w:type="character" w:customStyle="1" w:styleId="DateChar">
    <w:name w:val="Date Char"/>
    <w:basedOn w:val="DefaultParagraphFont"/>
    <w:link w:val="Date"/>
    <w:qFormat/>
    <w:rPr>
      <w:rFonts w:ascii="Times New Roman" w:eastAsia="Times New Roman" w:hAnsi="Times New Roman" w:cs="Times New Roman"/>
      <w:sz w:val="24"/>
      <w:szCs w:val="20"/>
      <w:lang w:val="bg-BG"/>
    </w:rPr>
  </w:style>
  <w:style w:type="character" w:customStyle="1" w:styleId="DocumentMapChar">
    <w:name w:val="Document Map Char"/>
    <w:basedOn w:val="DefaultParagraphFont"/>
    <w:link w:val="DocumentMap"/>
    <w:semiHidden/>
    <w:qFormat/>
    <w:rPr>
      <w:rFonts w:ascii="Tahoma" w:eastAsia="Times New Roman" w:hAnsi="Tahoma" w:cs="Times New Roman"/>
      <w:sz w:val="24"/>
      <w:szCs w:val="20"/>
      <w:shd w:val="clear" w:color="auto" w:fill="000080"/>
      <w:lang w:val="bg-BG"/>
    </w:rPr>
  </w:style>
  <w:style w:type="character" w:customStyle="1" w:styleId="EndnoteTextChar">
    <w:name w:val="Endnote Text Char"/>
    <w:basedOn w:val="DefaultParagraphFont"/>
    <w:link w:val="EndnoteText"/>
    <w:semiHidden/>
    <w:qFormat/>
    <w:rPr>
      <w:rFonts w:ascii="Times New Roman" w:eastAsia="Times New Roman" w:hAnsi="Times New Roman" w:cs="Times New Roman"/>
      <w:sz w:val="20"/>
      <w:szCs w:val="20"/>
      <w:lang w:val="bg-BG"/>
    </w:rPr>
  </w:style>
  <w:style w:type="character" w:customStyle="1" w:styleId="FooterChar">
    <w:name w:val="Footer Char"/>
    <w:basedOn w:val="DefaultParagraphFont"/>
    <w:link w:val="Footer"/>
    <w:uiPriority w:val="99"/>
    <w:qFormat/>
    <w:rPr>
      <w:rFonts w:ascii="Arial" w:eastAsia="Times New Roman" w:hAnsi="Arial" w:cs="Times New Roman"/>
      <w:sz w:val="16"/>
      <w:szCs w:val="20"/>
      <w:lang w:val="bg-BG"/>
    </w:rPr>
  </w:style>
  <w:style w:type="character" w:customStyle="1" w:styleId="FootnoteTextChar">
    <w:name w:val="Footnote Text Char"/>
    <w:basedOn w:val="DefaultParagraphFont"/>
    <w:link w:val="FootnoteText"/>
    <w:uiPriority w:val="99"/>
    <w:qFormat/>
    <w:rPr>
      <w:rFonts w:ascii="Times New Roman" w:eastAsia="Times New Roman" w:hAnsi="Times New Roman" w:cs="Times New Roman"/>
      <w:sz w:val="20"/>
      <w:szCs w:val="20"/>
      <w:lang w:val="bg-BG"/>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0"/>
      <w:lang w:val="bg-BG"/>
    </w:rPr>
  </w:style>
  <w:style w:type="character" w:customStyle="1" w:styleId="MacroTextChar">
    <w:name w:val="Macro Text Char"/>
    <w:basedOn w:val="DefaultParagraphFont"/>
    <w:link w:val="MacroText"/>
    <w:semiHidden/>
    <w:qFormat/>
    <w:rPr>
      <w:rFonts w:ascii="Courier New" w:eastAsia="Times New Roman" w:hAnsi="Courier New" w:cs="Times New Roman"/>
      <w:sz w:val="20"/>
      <w:szCs w:val="20"/>
    </w:rPr>
  </w:style>
  <w:style w:type="character" w:customStyle="1" w:styleId="MessageHeaderChar">
    <w:name w:val="Message Header Char"/>
    <w:basedOn w:val="DefaultParagraphFont"/>
    <w:link w:val="MessageHeader"/>
    <w:qFormat/>
    <w:rPr>
      <w:rFonts w:ascii="Arial" w:eastAsia="Times New Roman" w:hAnsi="Arial" w:cs="Times New Roman"/>
      <w:sz w:val="24"/>
      <w:szCs w:val="20"/>
      <w:shd w:val="clear" w:color="auto" w:fill="CCCCCC"/>
      <w:lang w:val="bg-BG"/>
    </w:rPr>
  </w:style>
  <w:style w:type="character" w:customStyle="1" w:styleId="NoteHeadingChar">
    <w:name w:val="Note Heading Char"/>
    <w:basedOn w:val="DefaultParagraphFont"/>
    <w:link w:val="NoteHeading"/>
    <w:qFormat/>
    <w:rPr>
      <w:rFonts w:ascii="Times New Roman" w:eastAsia="Times New Roman" w:hAnsi="Times New Roman" w:cs="Times New Roman"/>
      <w:sz w:val="24"/>
      <w:szCs w:val="20"/>
      <w:lang w:val="bg-BG"/>
    </w:rPr>
  </w:style>
  <w:style w:type="character" w:customStyle="1" w:styleId="PlainTextChar">
    <w:name w:val="Plain Text Char"/>
    <w:basedOn w:val="DefaultParagraphFont"/>
    <w:link w:val="PlainText"/>
    <w:qFormat/>
    <w:rPr>
      <w:rFonts w:ascii="Courier New" w:eastAsia="Times New Roman" w:hAnsi="Courier New" w:cs="Times New Roman"/>
      <w:sz w:val="20"/>
      <w:szCs w:val="20"/>
      <w:lang w:val="bg-BG"/>
    </w:rPr>
  </w:style>
  <w:style w:type="character" w:customStyle="1" w:styleId="SalutationChar">
    <w:name w:val="Salutation Char"/>
    <w:basedOn w:val="DefaultParagraphFont"/>
    <w:link w:val="Salutation"/>
    <w:qFormat/>
    <w:rPr>
      <w:rFonts w:ascii="Times New Roman" w:eastAsia="Times New Roman" w:hAnsi="Times New Roman" w:cs="Times New Roman"/>
      <w:sz w:val="24"/>
      <w:szCs w:val="20"/>
      <w:lang w:val="bg-BG"/>
    </w:rPr>
  </w:style>
  <w:style w:type="character" w:customStyle="1" w:styleId="SignatureChar">
    <w:name w:val="Signature Char"/>
    <w:basedOn w:val="DefaultParagraphFont"/>
    <w:link w:val="Signature"/>
    <w:qFormat/>
    <w:rPr>
      <w:rFonts w:ascii="Times New Roman" w:eastAsia="Times New Roman" w:hAnsi="Times New Roman" w:cs="Times New Roman"/>
      <w:sz w:val="24"/>
      <w:szCs w:val="20"/>
      <w:lang w:val="bg-BG"/>
    </w:rPr>
  </w:style>
  <w:style w:type="character" w:customStyle="1" w:styleId="SubtitleChar">
    <w:name w:val="Subtitle Char"/>
    <w:basedOn w:val="DefaultParagraphFont"/>
    <w:link w:val="Subtitle"/>
    <w:qFormat/>
    <w:rPr>
      <w:rFonts w:ascii="Arial" w:eastAsia="Times New Roman" w:hAnsi="Arial" w:cs="Times New Roman"/>
      <w:sz w:val="24"/>
      <w:szCs w:val="20"/>
      <w:lang w:val="bg-BG"/>
    </w:rPr>
  </w:style>
  <w:style w:type="character" w:customStyle="1" w:styleId="TitleChar">
    <w:name w:val="Title Char"/>
    <w:basedOn w:val="DefaultParagraphFont"/>
    <w:link w:val="Title"/>
    <w:qFormat/>
    <w:rPr>
      <w:rFonts w:ascii="Times New Roman" w:eastAsia="Times New Roman" w:hAnsi="Times New Roman" w:cs="Times New Roman"/>
      <w:b/>
      <w:sz w:val="48"/>
      <w:szCs w:val="20"/>
      <w:lang w:val="bg-BG"/>
    </w:rPr>
  </w:style>
  <w:style w:type="character" w:customStyle="1" w:styleId="InternetLink">
    <w:name w:val="Internet Link"/>
    <w:uiPriority w:val="99"/>
    <w:rPr>
      <w:color w:val="0000FF"/>
      <w:u w:val="single"/>
    </w:rPr>
  </w:style>
  <w:style w:type="character" w:styleId="FootnoteReference">
    <w:name w:val="footnote reference"/>
    <w:uiPriority w:val="99"/>
    <w:qFormat/>
    <w:rPr>
      <w:vertAlign w:val="superscript"/>
    </w:rPr>
  </w:style>
  <w:style w:type="character" w:customStyle="1" w:styleId="BalloonTextChar">
    <w:name w:val="Balloon Text Char"/>
    <w:basedOn w:val="DefaultParagraphFont"/>
    <w:link w:val="BalloonText"/>
    <w:semiHidden/>
    <w:qFormat/>
    <w:rPr>
      <w:rFonts w:ascii="Tahoma" w:eastAsia="Times New Roman" w:hAnsi="Tahoma" w:cs="Tahoma"/>
      <w:sz w:val="16"/>
      <w:szCs w:val="16"/>
      <w:lang w:val="bg-BG"/>
    </w:rPr>
  </w:style>
  <w:style w:type="character" w:customStyle="1" w:styleId="DocumentTitleChar">
    <w:name w:val="Document Title Char"/>
    <w:link w:val="DocumentTitle"/>
    <w:qFormat/>
    <w:rPr>
      <w:rFonts w:ascii="Verdana" w:eastAsia="Times New Roman" w:hAnsi="Verdana" w:cs="Times New Roman"/>
      <w:b/>
      <w:sz w:val="52"/>
      <w:szCs w:val="20"/>
      <w:lang w:val="bg-BG"/>
    </w:rPr>
  </w:style>
  <w:style w:type="character" w:customStyle="1" w:styleId="ApprovalfooterChar">
    <w:name w:val="Approval_footer Char"/>
    <w:basedOn w:val="FooterChar"/>
    <w:qFormat/>
    <w:rPr>
      <w:rFonts w:ascii="Verdana" w:eastAsia="Times New Roman" w:hAnsi="Verdana" w:cs="Times New Roman"/>
      <w:sz w:val="13"/>
      <w:szCs w:val="20"/>
      <w:lang w:val="bg-BG"/>
    </w:rPr>
  </w:style>
  <w:style w:type="character" w:customStyle="1" w:styleId="FooterDateChar">
    <w:name w:val="Footer Date Char"/>
    <w:link w:val="FooterDate"/>
    <w:qFormat/>
    <w:rPr>
      <w:rFonts w:ascii="Verdana" w:eastAsia="Times New Roman" w:hAnsi="Verdana" w:cs="Times New Roman"/>
      <w:sz w:val="16"/>
      <w:szCs w:val="20"/>
      <w:lang w:val="bg-BG"/>
    </w:rPr>
  </w:style>
  <w:style w:type="character" w:customStyle="1" w:styleId="PagenumberChar">
    <w:name w:val="Page number Char"/>
    <w:qFormat/>
    <w:rPr>
      <w:rFonts w:ascii="Verdana" w:eastAsia="Times New Roman" w:hAnsi="Verdana" w:cs="Times New Roman"/>
      <w:sz w:val="16"/>
      <w:szCs w:val="20"/>
      <w:lang w:val="bg-BG"/>
    </w:rPr>
  </w:style>
  <w:style w:type="character" w:customStyle="1" w:styleId="DocumentSubtitleChar">
    <w:name w:val="Document Subtitle Char"/>
    <w:link w:val="DocumentSubtitle"/>
    <w:qFormat/>
    <w:rPr>
      <w:rFonts w:ascii="Verdana" w:eastAsia="Times New Roman" w:hAnsi="Verdana" w:cs="Times New Roman"/>
      <w:sz w:val="32"/>
      <w:szCs w:val="36"/>
    </w:rPr>
  </w:style>
  <w:style w:type="character" w:customStyle="1" w:styleId="HeaderTitleChar">
    <w:name w:val="Header Title Char"/>
    <w:link w:val="HeaderTitle"/>
    <w:qFormat/>
    <w:rPr>
      <w:rFonts w:ascii="Verdana" w:eastAsia="Times New Roman" w:hAnsi="Verdana" w:cs="Times New Roman"/>
      <w:b/>
      <w:color w:val="808080"/>
      <w:sz w:val="18"/>
      <w:szCs w:val="18"/>
      <w:lang w:val="bg-BG"/>
    </w:rPr>
  </w:style>
  <w:style w:type="character" w:customStyle="1" w:styleId="NormalIndentChar">
    <w:name w:val="Normal Indent Char"/>
    <w:link w:val="NormalIndent"/>
    <w:qFormat/>
    <w:rPr>
      <w:rFonts w:ascii="Times New Roman" w:eastAsia="Times New Roman" w:hAnsi="Times New Roman" w:cs="Times New Roman"/>
      <w:sz w:val="24"/>
      <w:szCs w:val="20"/>
      <w:lang w:val="bg-BG"/>
    </w:rPr>
  </w:style>
  <w:style w:type="character" w:customStyle="1" w:styleId="Bulletpoint1Char">
    <w:name w:val="Bullet point1 Char"/>
    <w:basedOn w:val="NormalIndentChar"/>
    <w:link w:val="Bulletpoint1"/>
    <w:qFormat/>
    <w:rPr>
      <w:rFonts w:ascii="Verdana" w:eastAsia="Times New Roman" w:hAnsi="Verdana" w:cs="Times New Roman"/>
      <w:sz w:val="18"/>
      <w:szCs w:val="20"/>
      <w:lang w:val="bg-BG"/>
    </w:rPr>
  </w:style>
  <w:style w:type="character" w:customStyle="1" w:styleId="HeadingChar">
    <w:name w:val="Heading Char"/>
    <w:link w:val="Heading"/>
    <w:qFormat/>
    <w:rPr>
      <w:rFonts w:ascii="Verdana" w:eastAsia="Times New Roman" w:hAnsi="Verdana" w:cs="Times New Roman"/>
      <w:b/>
      <w:caps/>
      <w:sz w:val="20"/>
      <w:szCs w:val="20"/>
      <w:u w:val="single"/>
      <w:lang w:val="bg-BG"/>
    </w:rPr>
  </w:style>
  <w:style w:type="character" w:customStyle="1" w:styleId="BulletPoint2Char">
    <w:name w:val="Bullet Point 2 Char"/>
    <w:link w:val="BulletPoint2"/>
    <w:qFormat/>
    <w:rPr>
      <w:rFonts w:ascii="Verdana" w:eastAsia="Times New Roman" w:hAnsi="Verdana" w:cs="Times New Roman"/>
      <w:sz w:val="18"/>
      <w:szCs w:val="20"/>
      <w:lang w:val="bg-BG"/>
    </w:rPr>
  </w:style>
  <w:style w:type="character" w:customStyle="1" w:styleId="BodyChar">
    <w:name w:val="Body Char"/>
    <w:link w:val="Body"/>
    <w:qFormat/>
    <w:rPr>
      <w:rFonts w:ascii="Verdana" w:eastAsia="Times New Roman" w:hAnsi="Verdana" w:cs="Times New Roman"/>
      <w:sz w:val="18"/>
      <w:szCs w:val="20"/>
      <w:lang w:val="bg-BG"/>
    </w:rPr>
  </w:style>
  <w:style w:type="character" w:customStyle="1" w:styleId="Heading2Char0">
    <w:name w:val="Heading2 Char"/>
    <w:link w:val="Heading20"/>
    <w:qFormat/>
    <w:rPr>
      <w:rFonts w:ascii="Verdana" w:eastAsia="Times New Roman" w:hAnsi="Verdana" w:cs="Times New Roman"/>
      <w:b/>
      <w:i/>
      <w:sz w:val="24"/>
      <w:szCs w:val="20"/>
      <w:lang w:val="bg-BG"/>
    </w:rPr>
  </w:style>
  <w:style w:type="character" w:customStyle="1" w:styleId="FooterDocumentChar">
    <w:name w:val="Footer Document Char"/>
    <w:link w:val="FooterDocument"/>
    <w:qFormat/>
    <w:rPr>
      <w:rFonts w:ascii="Verdana" w:eastAsia="Times New Roman" w:hAnsi="Verdana" w:cs="Times New Roman"/>
      <w:i/>
      <w:sz w:val="13"/>
      <w:szCs w:val="20"/>
      <w:lang w:val="bg-BG"/>
    </w:rPr>
  </w:style>
  <w:style w:type="character" w:customStyle="1" w:styleId="SubtitleChar0">
    <w:name w:val="Subtitle_ Char"/>
    <w:basedOn w:val="Heading2Char0"/>
    <w:qFormat/>
    <w:rPr>
      <w:rFonts w:ascii="Verdana" w:eastAsia="Times New Roman" w:hAnsi="Verdana" w:cs="Times New Roman"/>
      <w:b/>
      <w:i/>
      <w:sz w:val="20"/>
      <w:szCs w:val="20"/>
      <w:lang w:val="bg-BG"/>
    </w:rPr>
  </w:style>
  <w:style w:type="character" w:customStyle="1" w:styleId="HeadingBodyChar">
    <w:name w:val="Heading Body Char"/>
    <w:basedOn w:val="DefaultParagraphFont"/>
    <w:link w:val="HeadingBody"/>
    <w:qFormat/>
    <w:rPr>
      <w:rFonts w:ascii="Verdana" w:eastAsia="Times New Roman" w:hAnsi="Verdana" w:cs="Times New Roman"/>
      <w:b/>
      <w:sz w:val="20"/>
      <w:szCs w:val="18"/>
    </w:rPr>
  </w:style>
  <w:style w:type="character" w:customStyle="1" w:styleId="TitlepublicationChar">
    <w:name w:val="Title publication Char"/>
    <w:basedOn w:val="DefaultParagraphFont"/>
    <w:link w:val="Titlepublication"/>
    <w:qFormat/>
    <w:rPr>
      <w:rFonts w:ascii="Verdana" w:eastAsia="Times New Roman" w:hAnsi="Verdana" w:cs="Times New Roman"/>
      <w:b/>
      <w:color w:val="FF0000"/>
      <w:sz w:val="52"/>
      <w:szCs w:val="52"/>
    </w:rPr>
  </w:style>
  <w:style w:type="character" w:customStyle="1" w:styleId="SubtitlepublicationChar">
    <w:name w:val="Subtitle publication Char"/>
    <w:basedOn w:val="DefaultParagraphFont"/>
    <w:link w:val="Subtitlepublication"/>
    <w:qFormat/>
    <w:rPr>
      <w:rFonts w:ascii="Verdana" w:eastAsia="Times New Roman" w:hAnsi="Verdana" w:cs="Times New Roman"/>
      <w:b/>
      <w:i/>
      <w:color w:val="FF0000"/>
      <w:sz w:val="32"/>
      <w:szCs w:val="20"/>
    </w:rPr>
  </w:style>
  <w:style w:type="character" w:customStyle="1" w:styleId="EditornameChar">
    <w:name w:val="Editor name Char"/>
    <w:basedOn w:val="DefaultParagraphFont"/>
    <w:link w:val="Editorname"/>
    <w:qFormat/>
    <w:rPr>
      <w:rFonts w:ascii="Verdana" w:eastAsia="Times New Roman" w:hAnsi="Verdana" w:cs="Times New Roman"/>
      <w:color w:val="FF0000"/>
      <w:sz w:val="24"/>
      <w:szCs w:val="20"/>
    </w:rPr>
  </w:style>
  <w:style w:type="character" w:customStyle="1" w:styleId="BackcoversummaryChar">
    <w:name w:val="Backcover_summary Char"/>
    <w:basedOn w:val="DefaultParagraphFont"/>
    <w:link w:val="Backcoversummary"/>
    <w:qFormat/>
    <w:rPr>
      <w:rFonts w:ascii="Verdana" w:eastAsia="Times New Roman" w:hAnsi="Verdana" w:cs="Times New Roman"/>
      <w:color w:val="FF0000"/>
      <w:sz w:val="24"/>
      <w:szCs w:val="20"/>
    </w:rPr>
  </w:style>
  <w:style w:type="character" w:customStyle="1" w:styleId="BackcovercategoryChar">
    <w:name w:val="Backcover_category Char"/>
    <w:basedOn w:val="DefaultParagraphFont"/>
    <w:link w:val="Backcovercategory"/>
    <w:qFormat/>
    <w:rPr>
      <w:rFonts w:ascii="Verdana" w:eastAsia="Times New Roman" w:hAnsi="Verdana" w:cs="Times New Roman"/>
      <w:i/>
      <w:color w:val="FF0000"/>
      <w:sz w:val="18"/>
      <w:szCs w:val="20"/>
    </w:rPr>
  </w:style>
  <w:style w:type="character" w:customStyle="1" w:styleId="ListBullet2Char">
    <w:name w:val="List Bullet 2 Char"/>
    <w:link w:val="ListBullet2"/>
    <w:qFormat/>
    <w:rPr>
      <w:rFonts w:ascii="Times New Roman" w:eastAsia="Times New Roman" w:hAnsi="Times New Roman" w:cs="Times New Roman"/>
      <w:sz w:val="24"/>
      <w:szCs w:val="20"/>
      <w:lang w:val="bg-BG"/>
    </w:rPr>
  </w:style>
  <w:style w:type="character" w:customStyle="1" w:styleId="StyleListBullet2Char">
    <w:name w:val="Style List Bullet 2 + Char"/>
    <w:basedOn w:val="ListBullet2Char"/>
    <w:link w:val="StyleListBullet2"/>
    <w:qFormat/>
    <w:rPr>
      <w:rFonts w:ascii="Times New Roman" w:eastAsia="Times New Roman" w:hAnsi="Times New Roman" w:cs="Times New Roman"/>
      <w:sz w:val="24"/>
      <w:szCs w:val="20"/>
      <w:lang w:val="bg-BG"/>
    </w:rPr>
  </w:style>
  <w:style w:type="character" w:customStyle="1" w:styleId="StyleBodyTextAfter0ptChar">
    <w:name w:val="Style Body Text + After:  0 pt Char"/>
    <w:basedOn w:val="BodyTextChar"/>
    <w:link w:val="StyleBodyTextAfter0pt"/>
    <w:qFormat/>
    <w:rPr>
      <w:rFonts w:ascii="Times New Roman" w:eastAsia="Times New Roman" w:hAnsi="Times New Roman" w:cs="Times New Roman"/>
      <w:sz w:val="24"/>
      <w:szCs w:val="20"/>
      <w:lang w:val="bg-BG"/>
    </w:rPr>
  </w:style>
  <w:style w:type="character" w:customStyle="1" w:styleId="StyleStyleBodyTextAfter0ptVerdanaBoldChar">
    <w:name w:val="Style Style Body Text + After:  0 pt + Verdana Bold Char"/>
    <w:link w:val="StyleStyleBodyTextAfter0ptVerdanaBold"/>
    <w:qFormat/>
    <w:rPr>
      <w:rFonts w:ascii="Times New Roman" w:eastAsia="Times New Roman" w:hAnsi="Times New Roman" w:cs="Times New Roman"/>
      <w:b/>
      <w:bCs/>
      <w:sz w:val="24"/>
      <w:szCs w:val="24"/>
      <w:lang w:val="bg-BG"/>
    </w:rPr>
  </w:style>
  <w:style w:type="character" w:customStyle="1" w:styleId="StyleStyleBodyTextAfter0ptVerdanaBoldAutoChar">
    <w:name w:val="Style Style Body Text + After:  0 pt + Verdana Bold Auto Char"/>
    <w:link w:val="StyleStyleBodyTextAfter0ptVerdanaBoldAuto"/>
    <w:qFormat/>
    <w:rPr>
      <w:rFonts w:ascii="Times New Roman" w:eastAsia="Times New Roman" w:hAnsi="Times New Roman" w:cs="Times New Roman"/>
      <w:b/>
      <w:bCs/>
      <w:sz w:val="24"/>
      <w:szCs w:val="24"/>
      <w:lang w:val="bg-BG"/>
    </w:rPr>
  </w:style>
  <w:style w:type="character" w:customStyle="1" w:styleId="StyleHeading1Gray-80Char">
    <w:name w:val="Style Heading 1 + Gray-80% Char"/>
    <w:basedOn w:val="Heading1Char"/>
    <w:qFormat/>
    <w:rPr>
      <w:rFonts w:ascii="Verdana" w:eastAsia="Times New Roman" w:hAnsi="Verdana" w:cs="Arial"/>
      <w:b/>
      <w:bCs/>
      <w:caps w:val="0"/>
      <w:smallCaps w:val="0"/>
      <w:color w:val="263673"/>
      <w:sz w:val="28"/>
      <w:szCs w:val="32"/>
      <w:lang w:val="bg-BG" w:eastAsia="bg-BG"/>
    </w:rPr>
  </w:style>
  <w:style w:type="character" w:styleId="Emphasis">
    <w:name w:val="Emphasis"/>
    <w:basedOn w:val="DefaultParagraphFont"/>
    <w:uiPriority w:val="20"/>
    <w:qFormat/>
    <w:rPr>
      <w:b/>
      <w:bCs/>
      <w:i w:val="0"/>
      <w:iCs w:val="0"/>
    </w:rPr>
  </w:style>
  <w:style w:type="character" w:customStyle="1" w:styleId="st">
    <w:name w:val="st"/>
    <w:basedOn w:val="DefaultParagraphFont"/>
    <w:qFormat/>
  </w:style>
  <w:style w:type="character" w:styleId="CommentReference">
    <w:name w:val="annotation reference"/>
    <w:basedOn w:val="DefaultParagraphFont"/>
    <w:uiPriority w:val="99"/>
    <w:semiHidden/>
    <w:unhideWhenUsed/>
    <w:qFormat/>
    <w:rPr>
      <w:sz w:val="16"/>
      <w:szCs w:val="16"/>
    </w:rPr>
  </w:style>
  <w:style w:type="character" w:customStyle="1" w:styleId="CommentSubjectChar">
    <w:name w:val="Comment Subject Char"/>
    <w:basedOn w:val="CommentTextChar"/>
    <w:link w:val="CommentSubject"/>
    <w:semiHidden/>
    <w:qFormat/>
    <w:rPr>
      <w:rFonts w:ascii="Times New Roman" w:eastAsia="Times New Roman" w:hAnsi="Times New Roman" w:cs="Times New Roman"/>
      <w:b/>
      <w:bCs/>
      <w:sz w:val="20"/>
      <w:szCs w:val="20"/>
      <w:lang w:val="bg-BG"/>
    </w:rPr>
  </w:style>
  <w:style w:type="character" w:customStyle="1" w:styleId="DGEMPLStandardCarattere">
    <w:name w:val="DGEMPL_Standard Carattere"/>
    <w:basedOn w:val="DefaultParagraphFont"/>
    <w:link w:val="DGEMPLStandard"/>
    <w:qFormat/>
    <w:rPr>
      <w:rFonts w:ascii="Verdana" w:eastAsia="Times New Roman" w:hAnsi="Verdana" w:cs="Times New Roman"/>
      <w:sz w:val="20"/>
      <w:szCs w:val="20"/>
      <w:lang w:eastAsia="bg-BG"/>
    </w:rPr>
  </w:style>
  <w:style w:type="character" w:customStyle="1" w:styleId="PSParagraphTextChar">
    <w:name w:val="PS_Paragraph_Text Char"/>
    <w:basedOn w:val="DefaultParagraphFont"/>
    <w:link w:val="PSParagraphText"/>
    <w:qFormat/>
    <w:rPr>
      <w:rFonts w:ascii="Times New Roman" w:eastAsia="Times New Roman" w:hAnsi="Times New Roman" w:cs="Times New Roman"/>
      <w:sz w:val="20"/>
      <w:szCs w:val="20"/>
      <w:lang w:eastAsia="bg-BG"/>
    </w:rPr>
  </w:style>
  <w:style w:type="character" w:customStyle="1" w:styleId="Marker">
    <w:name w:val="Marker"/>
    <w:basedOn w:val="DefaultParagraphFont"/>
    <w:qFormat/>
    <w:rPr>
      <w:color w:val="0000FF"/>
      <w:shd w:val="clear" w:color="auto" w:fill="FFFFFF"/>
    </w:rPr>
  </w:style>
  <w:style w:type="character" w:customStyle="1" w:styleId="FooterCoverPageChar">
    <w:name w:val="Footer Cover Page Char"/>
    <w:basedOn w:val="DefaultParagraphFont"/>
    <w:link w:val="FooterCoverPage"/>
    <w:qFormat/>
    <w:rPr>
      <w:rFonts w:ascii="Times New Roman" w:eastAsia="Times New Roman" w:hAnsi="Times New Roman" w:cs="Times New Roman"/>
      <w:sz w:val="24"/>
      <w:szCs w:val="20"/>
    </w:rPr>
  </w:style>
  <w:style w:type="character" w:customStyle="1" w:styleId="FooterSensitivityChar">
    <w:name w:val="Footer Sensitivity Char"/>
    <w:basedOn w:val="DefaultParagraphFont"/>
    <w:link w:val="FooterSensitivity"/>
    <w:qFormat/>
    <w:rPr>
      <w:rFonts w:ascii="Times New Roman" w:eastAsia="Times New Roman" w:hAnsi="Times New Roman" w:cs="Times New Roman"/>
      <w:b/>
      <w:sz w:val="32"/>
      <w:szCs w:val="20"/>
    </w:rPr>
  </w:style>
  <w:style w:type="character" w:customStyle="1" w:styleId="HeaderCoverPageChar">
    <w:name w:val="Header Cover Page Char"/>
    <w:basedOn w:val="DefaultParagraphFont"/>
    <w:link w:val="HeaderCoverPage"/>
    <w:qFormat/>
    <w:rPr>
      <w:rFonts w:ascii="Times New Roman" w:eastAsia="Times New Roman" w:hAnsi="Times New Roman" w:cs="Times New Roman"/>
      <w:sz w:val="24"/>
      <w:szCs w:val="20"/>
    </w:rPr>
  </w:style>
  <w:style w:type="character" w:customStyle="1" w:styleId="HeaderSensitivityChar">
    <w:name w:val="Header Sensitivity Char"/>
    <w:basedOn w:val="DefaultParagraphFont"/>
    <w:link w:val="HeaderSensitivity"/>
    <w:qFormat/>
    <w:rPr>
      <w:rFonts w:ascii="Times New Roman" w:eastAsia="Times New Roman" w:hAnsi="Times New Roman" w:cs="Times New Roman"/>
      <w:b/>
      <w:sz w:val="32"/>
      <w:szCs w:val="20"/>
    </w:rPr>
  </w:style>
  <w:style w:type="character" w:customStyle="1" w:styleId="st1">
    <w:name w:val="st1"/>
    <w:basedOn w:val="DefaultParagraphFont"/>
    <w:qFormat/>
  </w:style>
  <w:style w:type="character" w:customStyle="1" w:styleId="ListLabel1">
    <w:name w:val="ListLabel 1"/>
    <w:qFormat/>
    <w:rPr>
      <w:color w:val="7F7F7F"/>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TOC1"/>
    <w:next w:val="BodyText"/>
    <w:link w:val="HeadingChar"/>
    <w:qFormat/>
    <w:pPr>
      <w:widowControl w:val="0"/>
      <w:spacing w:after="0"/>
      <w:ind w:left="0" w:firstLine="0"/>
      <w:jc w:val="left"/>
    </w:pPr>
    <w:rPr>
      <w:b/>
      <w:sz w:val="20"/>
      <w:u w:val="single"/>
    </w:rPr>
  </w:style>
  <w:style w:type="paragraph" w:styleId="BodyText">
    <w:name w:val="Body Text"/>
    <w:basedOn w:val="Normal"/>
    <w:link w:val="BodyTextChar"/>
    <w:pPr>
      <w:spacing w:after="120"/>
    </w:pPr>
  </w:style>
  <w:style w:type="paragraph" w:styleId="List">
    <w:name w:val="List"/>
    <w:basedOn w:val="Normal"/>
    <w:pPr>
      <w:ind w:left="283" w:hanging="283"/>
    </w:pPr>
  </w:style>
  <w:style w:type="paragraph" w:styleId="Caption">
    <w:name w:val="caption"/>
    <w:basedOn w:val="Normal"/>
    <w:next w:val="Normal"/>
    <w:qFormat/>
    <w:pPr>
      <w:spacing w:before="120" w:after="120"/>
    </w:pPr>
    <w:rPr>
      <w:b/>
    </w:rPr>
  </w:style>
  <w:style w:type="paragraph" w:customStyle="1" w:styleId="Index">
    <w:name w:val="Index"/>
    <w:basedOn w:val="Normal"/>
    <w:qFormat/>
    <w:pPr>
      <w:suppressLineNumbers/>
    </w:pPr>
    <w:rPr>
      <w:rFonts w:cs="Mangal"/>
    </w:rPr>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qFormat/>
    <w:pPr>
      <w:spacing w:after="0"/>
      <w:jc w:val="left"/>
    </w:pPr>
  </w:style>
  <w:style w:type="paragraph" w:customStyle="1" w:styleId="AddressTL">
    <w:name w:val="AddressTL"/>
    <w:basedOn w:val="Normal"/>
    <w:next w:val="Normal"/>
    <w:qFormat/>
    <w:pPr>
      <w:spacing w:after="720"/>
      <w:jc w:val="left"/>
    </w:pPr>
  </w:style>
  <w:style w:type="paragraph" w:customStyle="1" w:styleId="AddressTR">
    <w:name w:val="AddressTR"/>
    <w:basedOn w:val="Normal"/>
    <w:next w:val="Normal"/>
    <w:qFormat/>
    <w:pPr>
      <w:spacing w:after="720"/>
      <w:ind w:left="5103"/>
      <w:jc w:val="left"/>
    </w:pPr>
  </w:style>
  <w:style w:type="paragraph" w:styleId="BlockText">
    <w:name w:val="Block Text"/>
    <w:basedOn w:val="Normal"/>
    <w:qFormat/>
    <w:pPr>
      <w:spacing w:after="120"/>
      <w:ind w:left="1440" w:right="144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r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link w:val="BodyTextIndent3Char"/>
    <w:qFormat/>
    <w:pPr>
      <w:spacing w:after="120"/>
      <w:ind w:left="283"/>
    </w:pPr>
    <w:rPr>
      <w:sz w:val="16"/>
    </w:rPr>
  </w:style>
  <w:style w:type="paragraph" w:customStyle="1" w:styleId="ChapterTitle">
    <w:name w:val="ChapterTitle"/>
    <w:basedOn w:val="Normal"/>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losing">
    <w:name w:val="Closing"/>
    <w:basedOn w:val="Normal"/>
    <w:link w:val="ClosingChar"/>
    <w:qFormat/>
    <w:pPr>
      <w:ind w:left="4252"/>
    </w:pPr>
  </w:style>
  <w:style w:type="paragraph" w:styleId="CommentText">
    <w:name w:val="annotation text"/>
    <w:basedOn w:val="Normal"/>
    <w:link w:val="CommentTextChar"/>
    <w:uiPriority w:val="99"/>
    <w:semiHidden/>
    <w:qFormat/>
    <w:rPr>
      <w:sz w:val="20"/>
    </w:rPr>
  </w:style>
  <w:style w:type="paragraph" w:styleId="Date">
    <w:name w:val="Date"/>
    <w:basedOn w:val="Normal"/>
    <w:link w:val="DateChar"/>
    <w:qFormat/>
    <w:pPr>
      <w:spacing w:after="0"/>
      <w:ind w:left="5103" w:right="-567"/>
      <w:jc w:val="left"/>
    </w:pPr>
  </w:style>
  <w:style w:type="paragraph" w:customStyle="1" w:styleId="References">
    <w:name w:val="References"/>
    <w:basedOn w:val="Normal"/>
    <w:next w:val="AddressTR"/>
    <w:qFormat/>
    <w:pPr>
      <w:ind w:left="5103"/>
      <w:jc w:val="left"/>
    </w:pPr>
    <w:rPr>
      <w:sz w:val="20"/>
    </w:rPr>
  </w:style>
  <w:style w:type="paragraph" w:styleId="DocumentMap">
    <w:name w:val="Document Map"/>
    <w:basedOn w:val="Normal"/>
    <w:link w:val="DocumentMapChar"/>
    <w:semiHidden/>
    <w:qFormat/>
    <w:pPr>
      <w:shd w:val="clear" w:color="auto" w:fill="000080"/>
    </w:pPr>
    <w:rPr>
      <w:rFonts w:ascii="Tahoma" w:hAnsi="Tahoma"/>
    </w:rPr>
  </w:style>
  <w:style w:type="paragraph" w:customStyle="1" w:styleId="DoubSign">
    <w:name w:val="DoubSign"/>
    <w:basedOn w:val="Normal"/>
    <w:qFormat/>
    <w:pPr>
      <w:tabs>
        <w:tab w:val="left" w:pos="5103"/>
      </w:tabs>
      <w:spacing w:before="1200" w:after="0"/>
      <w:jc w:val="left"/>
    </w:pPr>
  </w:style>
  <w:style w:type="paragraph" w:customStyle="1" w:styleId="Enclosures">
    <w:name w:val="Enclosures"/>
    <w:basedOn w:val="Normal"/>
    <w:qFormat/>
    <w:pPr>
      <w:keepNext/>
      <w:keepLines/>
      <w:tabs>
        <w:tab w:val="left" w:pos="5642"/>
      </w:tabs>
      <w:spacing w:before="480" w:after="0"/>
      <w:ind w:left="1191" w:hanging="1191"/>
      <w:jc w:val="left"/>
    </w:pPr>
  </w:style>
  <w:style w:type="paragraph" w:styleId="EndnoteText">
    <w:name w:val="endnote text"/>
    <w:basedOn w:val="Normal"/>
    <w:link w:val="EndnoteTextChar"/>
    <w:semiHidden/>
    <w:qFormat/>
    <w:rPr>
      <w:sz w:val="20"/>
    </w:rPr>
  </w:style>
  <w:style w:type="paragraph" w:styleId="EnvelopeAddress">
    <w:name w:val="envelope address"/>
    <w:basedOn w:val="Normal"/>
    <w:qFormat/>
    <w:pPr>
      <w:spacing w:after="0"/>
    </w:pPr>
  </w:style>
  <w:style w:type="paragraph" w:styleId="EnvelopeReturn">
    <w:name w:val="envelope return"/>
    <w:basedOn w:val="Normal"/>
    <w:qFormat/>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qFormat/>
    <w:pPr>
      <w:ind w:left="240" w:hanging="240"/>
    </w:pPr>
  </w:style>
  <w:style w:type="paragraph" w:styleId="Index2">
    <w:name w:val="index 2"/>
    <w:basedOn w:val="Normal"/>
    <w:next w:val="Normal"/>
    <w:autoRedefine/>
    <w:semiHidden/>
    <w:qFormat/>
    <w:pPr>
      <w:ind w:left="480" w:hanging="240"/>
    </w:pPr>
  </w:style>
  <w:style w:type="paragraph" w:styleId="Index3">
    <w:name w:val="index 3"/>
    <w:basedOn w:val="Normal"/>
    <w:next w:val="Normal"/>
    <w:autoRedefine/>
    <w:semiHidden/>
    <w:qFormat/>
    <w:pPr>
      <w:ind w:left="720" w:hanging="240"/>
    </w:pPr>
  </w:style>
  <w:style w:type="paragraph" w:styleId="Index4">
    <w:name w:val="index 4"/>
    <w:basedOn w:val="Normal"/>
    <w:next w:val="Normal"/>
    <w:autoRedefine/>
    <w:semiHidden/>
    <w:qFormat/>
    <w:pPr>
      <w:ind w:left="960" w:hanging="240"/>
    </w:pPr>
  </w:style>
  <w:style w:type="paragraph" w:styleId="Index5">
    <w:name w:val="index 5"/>
    <w:basedOn w:val="Normal"/>
    <w:next w:val="Normal"/>
    <w:autoRedefine/>
    <w:semiHidden/>
    <w:qFormat/>
    <w:pPr>
      <w:ind w:left="1200" w:hanging="240"/>
    </w:pPr>
  </w:style>
  <w:style w:type="paragraph" w:styleId="Index6">
    <w:name w:val="index 6"/>
    <w:basedOn w:val="Normal"/>
    <w:next w:val="Normal"/>
    <w:autoRedefine/>
    <w:semiHidden/>
    <w:qFormat/>
    <w:pPr>
      <w:ind w:left="1440" w:hanging="240"/>
    </w:pPr>
  </w:style>
  <w:style w:type="paragraph" w:styleId="Index7">
    <w:name w:val="index 7"/>
    <w:basedOn w:val="Normal"/>
    <w:next w:val="Normal"/>
    <w:autoRedefine/>
    <w:semiHidden/>
    <w:qFormat/>
    <w:pPr>
      <w:ind w:left="1680" w:hanging="240"/>
    </w:pPr>
  </w:style>
  <w:style w:type="paragraph" w:styleId="Index8">
    <w:name w:val="index 8"/>
    <w:basedOn w:val="Normal"/>
    <w:next w:val="Normal"/>
    <w:autoRedefine/>
    <w:semiHidden/>
    <w:qFormat/>
    <w:pPr>
      <w:ind w:left="1920" w:hanging="240"/>
    </w:pPr>
  </w:style>
  <w:style w:type="paragraph" w:styleId="Index9">
    <w:name w:val="index 9"/>
    <w:basedOn w:val="Normal"/>
    <w:next w:val="Normal"/>
    <w:autoRedefine/>
    <w:semiHidden/>
    <w:qFormat/>
    <w:pPr>
      <w:ind w:left="2160" w:hanging="240"/>
    </w:pPr>
  </w:style>
  <w:style w:type="paragraph" w:styleId="IndexHeading">
    <w:name w:val="index heading"/>
    <w:basedOn w:val="Normal"/>
    <w:semiHidden/>
    <w:qFormat/>
    <w:rPr>
      <w:rFonts w:ascii="Arial" w:hAnsi="Arial"/>
      <w:b/>
    </w:rPr>
  </w:style>
  <w:style w:type="paragraph" w:styleId="ListBullet3">
    <w:name w:val="List Bullet 3"/>
    <w:basedOn w:val="Text3"/>
    <w:qFormat/>
  </w:style>
  <w:style w:type="paragraph" w:styleId="ListBullet4">
    <w:name w:val="List Bullet 4"/>
    <w:basedOn w:val="Text4"/>
    <w:qFormat/>
  </w:style>
  <w:style w:type="paragraph" w:styleId="ListBullet5">
    <w:name w:val="List Bullet 5"/>
    <w:basedOn w:val="Normal"/>
    <w:autoRedefine/>
    <w:qFormat/>
  </w:style>
  <w:style w:type="paragraph" w:styleId="ListNumber">
    <w:name w:val="List Number"/>
    <w:basedOn w:val="Normal"/>
    <w:qFormat/>
  </w:style>
  <w:style w:type="paragraph" w:styleId="ListBullet">
    <w:name w:val="List Bullet"/>
    <w:basedOn w:val="Normal"/>
    <w:qFormat/>
  </w:style>
  <w:style w:type="paragraph" w:styleId="ListBullet2">
    <w:name w:val="List Bullet 2"/>
    <w:basedOn w:val="Text2"/>
    <w:link w:val="ListBullet2Char"/>
    <w:qFormat/>
  </w:style>
  <w:style w:type="paragraph" w:styleId="ListContinue">
    <w:name w:val="List Continue"/>
    <w:basedOn w:val="Normal"/>
    <w:qFormat/>
    <w:pPr>
      <w:spacing w:after="120"/>
      <w:ind w:left="283"/>
    </w:pPr>
  </w:style>
  <w:style w:type="paragraph" w:styleId="ListContinue2">
    <w:name w:val="List Continue 2"/>
    <w:basedOn w:val="Normal"/>
    <w:qFormat/>
    <w:pPr>
      <w:spacing w:after="120"/>
      <w:ind w:left="566"/>
    </w:pPr>
  </w:style>
  <w:style w:type="paragraph" w:styleId="ListContinue3">
    <w:name w:val="List Continue 3"/>
    <w:basedOn w:val="Normal"/>
    <w:qFormat/>
    <w:pPr>
      <w:spacing w:after="120"/>
      <w:ind w:left="849"/>
    </w:pPr>
  </w:style>
  <w:style w:type="paragraph" w:styleId="ListContinue4">
    <w:name w:val="List Continue 4"/>
    <w:basedOn w:val="Normal"/>
    <w:qFormat/>
    <w:pPr>
      <w:spacing w:after="120"/>
      <w:ind w:left="1132"/>
    </w:pPr>
  </w:style>
  <w:style w:type="paragraph" w:styleId="ListContinue5">
    <w:name w:val="List Continue 5"/>
    <w:basedOn w:val="Normal"/>
    <w:qFormat/>
    <w:pPr>
      <w:spacing w:after="120"/>
      <w:ind w:left="1415"/>
    </w:pPr>
  </w:style>
  <w:style w:type="paragraph" w:styleId="ListNumber2">
    <w:name w:val="List Number 2"/>
    <w:basedOn w:val="Text2"/>
    <w:qFormat/>
  </w:style>
  <w:style w:type="paragraph" w:styleId="ListNumber3">
    <w:name w:val="List Number 3"/>
    <w:basedOn w:val="Text3"/>
    <w:qFormat/>
  </w:style>
  <w:style w:type="paragraph" w:styleId="ListNumber4">
    <w:name w:val="List Number 4"/>
    <w:basedOn w:val="Text4"/>
    <w:qFormat/>
  </w:style>
  <w:style w:type="paragraph" w:styleId="ListNumber5">
    <w:name w:val="List Number 5"/>
    <w:basedOn w:val="Normal"/>
    <w:qFormat/>
  </w:style>
  <w:style w:type="paragraph" w:styleId="MacroText">
    <w:name w:val="macro"/>
    <w:link w:val="MacroTextChar"/>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Times New Roman"/>
      <w:szCs w:val="20"/>
    </w:rPr>
  </w:style>
  <w:style w:type="paragraph" w:styleId="MessageHeader">
    <w:name w:val="Message Header"/>
    <w:basedOn w:val="Normal"/>
    <w:link w:val="MessageHeaderChar"/>
    <w:qFormat/>
    <w:pPr>
      <w:pBdr>
        <w:top w:val="single" w:sz="6" w:space="1" w:color="00000A"/>
        <w:left w:val="single" w:sz="6" w:space="1" w:color="00000A"/>
        <w:bottom w:val="single" w:sz="6" w:space="1" w:color="00000A"/>
        <w:right w:val="single" w:sz="6" w:space="1" w:color="00000A"/>
      </w:pBdr>
      <w:shd w:val="pct20" w:color="auto" w:fill="auto"/>
      <w:ind w:left="1134" w:hanging="1134"/>
    </w:pPr>
    <w:rPr>
      <w:rFonts w:ascii="Arial" w:hAnsi="Arial"/>
    </w:rPr>
  </w:style>
  <w:style w:type="paragraph" w:styleId="NormalIndent">
    <w:name w:val="Normal Indent"/>
    <w:basedOn w:val="Normal"/>
    <w:link w:val="NormalIndentChar"/>
    <w:qFormat/>
    <w:pPr>
      <w:ind w:left="720"/>
    </w:pPr>
  </w:style>
  <w:style w:type="paragraph" w:styleId="NoteHeading">
    <w:name w:val="Note Heading"/>
    <w:basedOn w:val="Normal"/>
    <w:next w:val="Normal"/>
    <w:link w:val="NoteHeadingChar"/>
    <w:qFormat/>
  </w:style>
  <w:style w:type="paragraph" w:customStyle="1" w:styleId="NoteHead">
    <w:name w:val="NoteHead"/>
    <w:basedOn w:val="Normal"/>
    <w:qFormat/>
    <w:pPr>
      <w:spacing w:before="720" w:after="720"/>
      <w:jc w:val="center"/>
    </w:pPr>
    <w:rPr>
      <w:b/>
      <w:smallCaps/>
    </w:rPr>
  </w:style>
  <w:style w:type="paragraph" w:customStyle="1" w:styleId="Subject">
    <w:name w:val="Subject"/>
    <w:basedOn w:val="Normal"/>
    <w:next w:val="Normal"/>
    <w:qFormat/>
    <w:pPr>
      <w:spacing w:after="480"/>
      <w:ind w:left="1531" w:hanging="1531"/>
      <w:jc w:val="left"/>
    </w:pPr>
    <w:rPr>
      <w:b/>
    </w:rPr>
  </w:style>
  <w:style w:type="paragraph" w:customStyle="1" w:styleId="NoteList">
    <w:name w:val="NoteList"/>
    <w:basedOn w:val="Normal"/>
    <w:next w:val="Subject"/>
    <w:qFormat/>
    <w:pPr>
      <w:tabs>
        <w:tab w:val="left" w:pos="5823"/>
      </w:tabs>
      <w:spacing w:before="720" w:after="720"/>
      <w:ind w:left="5104" w:hanging="3119"/>
      <w:jc w:val="left"/>
    </w:pPr>
    <w:rPr>
      <w:b/>
      <w:smallCaps/>
    </w:rPr>
  </w:style>
  <w:style w:type="paragraph" w:customStyle="1" w:styleId="NumPar1">
    <w:name w:val="NumPar 1"/>
    <w:basedOn w:val="Heading1"/>
    <w:qFormat/>
    <w:pPr>
      <w:numPr>
        <w:numId w:val="0"/>
      </w:numPr>
      <w:spacing w:before="0"/>
    </w:pPr>
    <w:rPr>
      <w:b w:val="0"/>
      <w:smallCaps w:val="0"/>
    </w:rPr>
  </w:style>
  <w:style w:type="paragraph" w:customStyle="1" w:styleId="NumPar2">
    <w:name w:val="NumPar 2"/>
    <w:basedOn w:val="Heading21"/>
    <w:qFormat/>
    <w:pPr>
      <w:keepNext/>
      <w:numPr>
        <w:ilvl w:val="0"/>
        <w:numId w:val="0"/>
      </w:numPr>
    </w:pPr>
    <w:rPr>
      <w:b w:val="0"/>
    </w:rPr>
  </w:style>
  <w:style w:type="paragraph" w:customStyle="1" w:styleId="NumPar3">
    <w:name w:val="NumPar 3"/>
    <w:basedOn w:val="Heading3"/>
    <w:qFormat/>
    <w:pPr>
      <w:numPr>
        <w:ilvl w:val="0"/>
        <w:numId w:val="0"/>
      </w:numPr>
    </w:pPr>
    <w:rPr>
      <w:i w:val="0"/>
    </w:rPr>
  </w:style>
  <w:style w:type="paragraph" w:customStyle="1" w:styleId="NumPar4">
    <w:name w:val="NumPar 4"/>
    <w:basedOn w:val="Heading4"/>
    <w:qFormat/>
    <w:pPr>
      <w:numPr>
        <w:ilvl w:val="0"/>
        <w:numId w:val="0"/>
      </w:numPr>
    </w:pPr>
  </w:style>
  <w:style w:type="paragraph" w:customStyle="1" w:styleId="PartTitle">
    <w:name w:val="PartTitle"/>
    <w:basedOn w:val="Normal"/>
    <w:next w:val="ChapterTitle"/>
    <w:qFormat/>
    <w:pPr>
      <w:keepNext/>
      <w:pageBreakBefore/>
      <w:spacing w:after="480"/>
      <w:jc w:val="center"/>
    </w:pPr>
    <w:rPr>
      <w:b/>
      <w:sz w:val="36"/>
    </w:rPr>
  </w:style>
  <w:style w:type="paragraph" w:styleId="PlainText">
    <w:name w:val="Plain Text"/>
    <w:basedOn w:val="Normal"/>
    <w:link w:val="PlainTextChar"/>
    <w:qFormat/>
    <w:rPr>
      <w:rFonts w:ascii="Courier New" w:hAnsi="Courier New"/>
      <w:sz w:val="20"/>
    </w:rPr>
  </w:style>
  <w:style w:type="paragraph" w:styleId="Salutation">
    <w:name w:val="Salutation"/>
    <w:basedOn w:val="Normal"/>
    <w:next w:val="Normal"/>
    <w:link w:val="SalutationChar"/>
  </w:style>
  <w:style w:type="paragraph" w:styleId="Signature">
    <w:name w:val="Signature"/>
    <w:basedOn w:val="Normal"/>
    <w:next w:val="Enclosures"/>
    <w:link w:val="SignatureChar"/>
    <w:pPr>
      <w:tabs>
        <w:tab w:val="left" w:pos="5103"/>
      </w:tabs>
      <w:spacing w:before="1200" w:after="0"/>
      <w:ind w:left="5103"/>
      <w:jc w:val="center"/>
    </w:pPr>
  </w:style>
  <w:style w:type="paragraph" w:styleId="Subtitle">
    <w:name w:val="Subtitle"/>
    <w:basedOn w:val="Normal"/>
    <w:link w:val="SubtitleChar"/>
    <w:qFormat/>
    <w:pPr>
      <w:spacing w:after="60"/>
      <w:jc w:val="center"/>
      <w:outlineLvl w:val="1"/>
    </w:pPr>
    <w:rPr>
      <w:rFonts w:ascii="Arial" w:hAnsi="Arial"/>
    </w:rPr>
  </w:style>
  <w:style w:type="paragraph" w:customStyle="1" w:styleId="SubTitle1">
    <w:name w:val="SubTitle 1"/>
    <w:basedOn w:val="Normal"/>
    <w:qFormat/>
    <w:pPr>
      <w:jc w:val="center"/>
    </w:pPr>
    <w:rPr>
      <w:b/>
      <w:sz w:val="40"/>
    </w:rPr>
  </w:style>
  <w:style w:type="paragraph" w:customStyle="1" w:styleId="SubTitle2">
    <w:name w:val="SubTitle 2"/>
    <w:basedOn w:val="Normal"/>
    <w:qFormat/>
    <w:pPr>
      <w:jc w:val="center"/>
    </w:pPr>
    <w:rPr>
      <w:b/>
      <w:sz w:val="32"/>
    </w:rPr>
  </w:style>
  <w:style w:type="paragraph" w:styleId="TableofAuthorities">
    <w:name w:val="table of authorities"/>
    <w:basedOn w:val="Normal"/>
    <w:next w:val="Normal"/>
    <w:semiHidden/>
    <w:qFormat/>
    <w:pPr>
      <w:ind w:left="240" w:hanging="240"/>
    </w:pPr>
  </w:style>
  <w:style w:type="paragraph" w:styleId="TableofFigures">
    <w:name w:val="table of figures"/>
    <w:basedOn w:val="Normal"/>
    <w:next w:val="Normal"/>
    <w:semiHidden/>
    <w:qFormat/>
    <w:pPr>
      <w:ind w:left="480" w:hanging="480"/>
    </w:pPr>
  </w:style>
  <w:style w:type="paragraph" w:styleId="Title">
    <w:name w:val="Title"/>
    <w:basedOn w:val="Normal"/>
    <w:link w:val="TitleChar"/>
    <w:qFormat/>
    <w:pPr>
      <w:spacing w:after="480"/>
      <w:jc w:val="center"/>
    </w:pPr>
    <w:rPr>
      <w:b/>
      <w:sz w:val="48"/>
    </w:rPr>
  </w:style>
  <w:style w:type="paragraph" w:styleId="TOAHeading">
    <w:name w:val="toa heading"/>
    <w:basedOn w:val="Normal"/>
    <w:next w:val="Normal"/>
    <w:semiHidden/>
    <w:qFormat/>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rFonts w:ascii="Verdana" w:hAnsi="Verdana"/>
      <w:caps/>
      <w:sz w:val="18"/>
    </w:rPr>
  </w:style>
  <w:style w:type="paragraph" w:styleId="TOC2">
    <w:name w:val="toc 2"/>
    <w:basedOn w:val="Normal"/>
    <w:next w:val="Normal"/>
    <w:uiPriority w:val="39"/>
    <w:pPr>
      <w:tabs>
        <w:tab w:val="right" w:leader="dot" w:pos="8640"/>
      </w:tabs>
      <w:spacing w:before="60" w:after="60"/>
      <w:ind w:left="1077" w:right="720" w:hanging="595"/>
    </w:pPr>
    <w:rPr>
      <w:rFonts w:ascii="Verdana" w:hAnsi="Verdana"/>
      <w:sz w:val="18"/>
    </w:rPr>
  </w:style>
  <w:style w:type="paragraph" w:styleId="TOC3">
    <w:name w:val="toc 3"/>
    <w:basedOn w:val="Normal"/>
    <w:next w:val="Normal"/>
    <w:uiPriority w:val="39"/>
    <w:semiHidden/>
    <w:qFormat/>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qFormat/>
    <w:pPr>
      <w:spacing w:after="480"/>
      <w:ind w:left="1531" w:hanging="1531"/>
    </w:pPr>
  </w:style>
  <w:style w:type="paragraph" w:customStyle="1" w:styleId="ListBullet1">
    <w:name w:val="List Bullet 1"/>
    <w:basedOn w:val="Text1"/>
    <w:qFormat/>
  </w:style>
  <w:style w:type="paragraph" w:customStyle="1" w:styleId="ListDash">
    <w:name w:val="List Dash"/>
    <w:basedOn w:val="Normal"/>
    <w:qFormat/>
  </w:style>
  <w:style w:type="paragraph" w:customStyle="1" w:styleId="ListDash1">
    <w:name w:val="List Dash 1"/>
    <w:basedOn w:val="Text1"/>
    <w:qFormat/>
  </w:style>
  <w:style w:type="paragraph" w:customStyle="1" w:styleId="ListDash2">
    <w:name w:val="List Dash 2"/>
    <w:basedOn w:val="Text2"/>
    <w:qFormat/>
  </w:style>
  <w:style w:type="paragraph" w:customStyle="1" w:styleId="ListDash3">
    <w:name w:val="List Dash 3"/>
    <w:basedOn w:val="Text3"/>
    <w:qFormat/>
  </w:style>
  <w:style w:type="paragraph" w:customStyle="1" w:styleId="ListDash4">
    <w:name w:val="List Dash 4"/>
    <w:basedOn w:val="Text4"/>
    <w:qFormat/>
  </w:style>
  <w:style w:type="paragraph" w:customStyle="1" w:styleId="ListNumberLevel2">
    <w:name w:val="List Number (Level 2)"/>
    <w:basedOn w:val="Normal"/>
    <w:qFormat/>
  </w:style>
  <w:style w:type="paragraph" w:customStyle="1" w:styleId="ListNumberLevel3">
    <w:name w:val="List Number (Level 3)"/>
    <w:basedOn w:val="Normal"/>
    <w:qFormat/>
  </w:style>
  <w:style w:type="paragraph" w:customStyle="1" w:styleId="ListNumberLevel4">
    <w:name w:val="List Number (Level 4)"/>
    <w:basedOn w:val="Normal"/>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style>
  <w:style w:type="paragraph" w:customStyle="1" w:styleId="ListNumber2Level3">
    <w:name w:val="List Number 2 (Level 3)"/>
    <w:basedOn w:val="Text2"/>
    <w:qFormat/>
  </w:style>
  <w:style w:type="paragraph" w:customStyle="1" w:styleId="ListNumber2Level4">
    <w:name w:val="List Number 2 (Level 4)"/>
    <w:basedOn w:val="Text2"/>
    <w:qFormat/>
  </w:style>
  <w:style w:type="paragraph" w:customStyle="1" w:styleId="ListNumber3Level2">
    <w:name w:val="List Number 3 (Level 2)"/>
    <w:basedOn w:val="Text3"/>
    <w:qFormat/>
  </w:style>
  <w:style w:type="paragraph" w:customStyle="1" w:styleId="ListNumber3Level3">
    <w:name w:val="List Number 3 (Level 3)"/>
    <w:basedOn w:val="Text3"/>
    <w:qFormat/>
  </w:style>
  <w:style w:type="paragraph" w:customStyle="1" w:styleId="ListNumber3Level4">
    <w:name w:val="List Number 3 (Level 4)"/>
    <w:basedOn w:val="Text3"/>
    <w:qFormat/>
  </w:style>
  <w:style w:type="paragraph" w:customStyle="1" w:styleId="ListNumber4Level2">
    <w:name w:val="List Number 4 (Level 2)"/>
    <w:basedOn w:val="Text4"/>
    <w:qFormat/>
  </w:style>
  <w:style w:type="paragraph" w:customStyle="1" w:styleId="ListNumber4Level3">
    <w:name w:val="List Number 4 (Level 3)"/>
    <w:basedOn w:val="Text4"/>
    <w:qFormat/>
  </w:style>
  <w:style w:type="paragraph" w:customStyle="1" w:styleId="ListNumber4Level4">
    <w:name w:val="List Number 4 (Level 4)"/>
    <w:basedOn w:val="Text4"/>
    <w:qFormat/>
  </w:style>
  <w:style w:type="paragraph" w:customStyle="1" w:styleId="TOCHeading1">
    <w:name w:val="TOC Heading1"/>
    <w:basedOn w:val="Normal"/>
    <w:next w:val="Normal"/>
    <w:qFormat/>
    <w:pPr>
      <w:keepNext/>
      <w:spacing w:before="240"/>
      <w:jc w:val="center"/>
    </w:pPr>
    <w:rPr>
      <w:b/>
    </w:rPr>
  </w:style>
  <w:style w:type="paragraph" w:customStyle="1" w:styleId="Contact">
    <w:name w:val="Contact"/>
    <w:basedOn w:val="Normal"/>
    <w:next w:val="Normal"/>
    <w:qFormat/>
    <w:pPr>
      <w:spacing w:after="480"/>
      <w:ind w:left="567" w:hanging="567"/>
      <w:jc w:val="left"/>
    </w:pPr>
  </w:style>
  <w:style w:type="paragraph" w:customStyle="1" w:styleId="ZCom">
    <w:name w:val="Z_Com"/>
    <w:basedOn w:val="Normal"/>
    <w:qFormat/>
    <w:pPr>
      <w:widowControl w:val="0"/>
      <w:spacing w:after="0"/>
      <w:ind w:right="85"/>
    </w:pPr>
    <w:rPr>
      <w:rFonts w:ascii="Arial" w:hAnsi="Arial" w:cs="Arial"/>
      <w:szCs w:val="24"/>
    </w:rPr>
  </w:style>
  <w:style w:type="paragraph" w:customStyle="1" w:styleId="ZDGName">
    <w:name w:val="Z_DGName"/>
    <w:basedOn w:val="Normal"/>
    <w:qFormat/>
    <w:pPr>
      <w:widowControl w:val="0"/>
      <w:spacing w:after="0"/>
      <w:ind w:right="85"/>
      <w:jc w:val="left"/>
    </w:pPr>
    <w:rPr>
      <w:rFonts w:ascii="Arial" w:hAnsi="Arial" w:cs="Arial"/>
      <w:sz w:val="16"/>
      <w:szCs w:val="16"/>
    </w:rPr>
  </w:style>
  <w:style w:type="paragraph" w:styleId="BalloonText">
    <w:name w:val="Balloon Text"/>
    <w:basedOn w:val="Normal"/>
    <w:link w:val="BalloonTextChar"/>
    <w:semiHidden/>
    <w:qFormat/>
    <w:rPr>
      <w:rFonts w:ascii="Tahoma" w:hAnsi="Tahoma" w:cs="Tahoma"/>
      <w:sz w:val="16"/>
      <w:szCs w:val="16"/>
    </w:rPr>
  </w:style>
  <w:style w:type="paragraph" w:customStyle="1" w:styleId="DocumentTitle">
    <w:name w:val="Document Title"/>
    <w:basedOn w:val="Normal"/>
    <w:link w:val="DocumentTitleChar"/>
    <w:qFormat/>
    <w:pPr>
      <w:jc w:val="center"/>
    </w:pPr>
    <w:rPr>
      <w:rFonts w:ascii="Verdana" w:hAnsi="Verdana"/>
      <w:b/>
      <w:sz w:val="52"/>
    </w:rPr>
  </w:style>
  <w:style w:type="paragraph" w:customStyle="1" w:styleId="Footerapproval">
    <w:name w:val="Footer approval"/>
    <w:basedOn w:val="Footer"/>
    <w:qFormat/>
    <w:pPr>
      <w:tabs>
        <w:tab w:val="left" w:pos="6804"/>
      </w:tabs>
    </w:pPr>
    <w:rPr>
      <w:rFonts w:ascii="Verdana" w:hAnsi="Verdana"/>
      <w:sz w:val="13"/>
    </w:rPr>
  </w:style>
  <w:style w:type="paragraph" w:customStyle="1" w:styleId="FooterDate">
    <w:name w:val="Footer Date"/>
    <w:basedOn w:val="Footer"/>
    <w:link w:val="FooterDateChar"/>
    <w:qFormat/>
    <w:pPr>
      <w:tabs>
        <w:tab w:val="right" w:pos="9240"/>
      </w:tabs>
    </w:pPr>
    <w:rPr>
      <w:rFonts w:ascii="Verdana" w:hAnsi="Verdana"/>
    </w:rPr>
  </w:style>
  <w:style w:type="paragraph" w:customStyle="1" w:styleId="PageNumber1">
    <w:name w:val="Page Number1"/>
    <w:basedOn w:val="Footer"/>
    <w:qFormat/>
    <w:pPr>
      <w:tabs>
        <w:tab w:val="right" w:pos="9240"/>
      </w:tabs>
      <w:ind w:right="-622"/>
    </w:pPr>
    <w:rPr>
      <w:rFonts w:ascii="Verdana" w:hAnsi="Verdana"/>
    </w:rPr>
  </w:style>
  <w:style w:type="paragraph" w:customStyle="1" w:styleId="DocumentSubtitle">
    <w:name w:val="Document Subtitle"/>
    <w:basedOn w:val="DocumentTitle"/>
    <w:link w:val="DocumentSubtitleChar"/>
    <w:qFormat/>
    <w:rPr>
      <w:b w:val="0"/>
      <w:sz w:val="32"/>
      <w:szCs w:val="36"/>
    </w:rPr>
  </w:style>
  <w:style w:type="paragraph" w:customStyle="1" w:styleId="HeaderTitle">
    <w:name w:val="Header Title"/>
    <w:basedOn w:val="Normal"/>
    <w:link w:val="HeaderTitleChar"/>
    <w:qFormat/>
    <w:pPr>
      <w:jc w:val="center"/>
    </w:pPr>
    <w:rPr>
      <w:rFonts w:ascii="Verdana" w:hAnsi="Verdana"/>
      <w:b/>
      <w:color w:val="808080"/>
      <w:sz w:val="18"/>
      <w:szCs w:val="18"/>
    </w:rPr>
  </w:style>
  <w:style w:type="paragraph" w:customStyle="1" w:styleId="Bulletpoint1">
    <w:name w:val="Bullet point1"/>
    <w:basedOn w:val="NormalIndent"/>
    <w:link w:val="Bulletpoint1Char"/>
    <w:qFormat/>
    <w:pPr>
      <w:spacing w:after="120"/>
      <w:ind w:left="0"/>
      <w:jc w:val="left"/>
    </w:pPr>
    <w:rPr>
      <w:rFonts w:ascii="Verdana" w:hAnsi="Verdana"/>
      <w:sz w:val="18"/>
    </w:rPr>
  </w:style>
  <w:style w:type="paragraph" w:customStyle="1" w:styleId="BulletPoint2">
    <w:name w:val="Bullet Point 2"/>
    <w:basedOn w:val="NormalIndent"/>
    <w:link w:val="BulletPoint2Char"/>
    <w:qFormat/>
    <w:pPr>
      <w:spacing w:after="120"/>
      <w:ind w:left="1077" w:hanging="357"/>
      <w:jc w:val="left"/>
    </w:pPr>
    <w:rPr>
      <w:rFonts w:ascii="Verdana" w:hAnsi="Verdana"/>
      <w:sz w:val="18"/>
    </w:rPr>
  </w:style>
  <w:style w:type="paragraph" w:customStyle="1" w:styleId="Body">
    <w:name w:val="Body"/>
    <w:basedOn w:val="Normal"/>
    <w:link w:val="BodyChar"/>
    <w:qFormat/>
    <w:pPr>
      <w:jc w:val="left"/>
    </w:pPr>
    <w:rPr>
      <w:rFonts w:ascii="Verdana" w:hAnsi="Verdana"/>
      <w:sz w:val="18"/>
    </w:rPr>
  </w:style>
  <w:style w:type="paragraph" w:customStyle="1" w:styleId="FooterDocument">
    <w:name w:val="Footer Document"/>
    <w:basedOn w:val="Body"/>
    <w:link w:val="FooterDocumentChar"/>
    <w:qFormat/>
    <w:pPr>
      <w:spacing w:after="0"/>
    </w:pPr>
    <w:rPr>
      <w:i/>
      <w:sz w:val="13"/>
    </w:rPr>
  </w:style>
  <w:style w:type="paragraph" w:styleId="TOCHeading">
    <w:name w:val="TOC Heading"/>
    <w:basedOn w:val="Heading1"/>
    <w:next w:val="Normal"/>
    <w:uiPriority w:val="39"/>
    <w:unhideWhenUsed/>
    <w:qFormat/>
    <w:pPr>
      <w:keepLines/>
      <w:numPr>
        <w:numId w:val="0"/>
      </w:numPr>
      <w:spacing w:before="480" w:after="0" w:line="276" w:lineRule="auto"/>
      <w:jc w:val="left"/>
    </w:pPr>
    <w:rPr>
      <w:rFonts w:asciiTheme="majorHAnsi" w:eastAsiaTheme="majorEastAsia" w:hAnsiTheme="majorHAnsi" w:cstheme="majorBidi"/>
      <w:bCs/>
      <w:smallCaps w:val="0"/>
      <w:color w:val="365F91" w:themeColor="accent1" w:themeShade="BF"/>
      <w:sz w:val="28"/>
      <w:szCs w:val="28"/>
    </w:rPr>
  </w:style>
  <w:style w:type="paragraph" w:customStyle="1" w:styleId="Title2">
    <w:name w:val="Title 2"/>
    <w:basedOn w:val="Normal"/>
    <w:qFormat/>
  </w:style>
  <w:style w:type="paragraph" w:customStyle="1" w:styleId="Subtitle0">
    <w:name w:val="Subtitle_"/>
    <w:basedOn w:val="TOC2"/>
    <w:qFormat/>
    <w:pPr>
      <w:ind w:left="0" w:firstLine="0"/>
    </w:pPr>
    <w:rPr>
      <w:b/>
      <w:i/>
      <w:sz w:val="20"/>
    </w:rPr>
  </w:style>
  <w:style w:type="paragraph" w:customStyle="1" w:styleId="HeadingBody">
    <w:name w:val="Heading Body"/>
    <w:basedOn w:val="Normal"/>
    <w:link w:val="HeadingBodyChar"/>
    <w:qFormat/>
    <w:pPr>
      <w:spacing w:after="120"/>
    </w:pPr>
    <w:rPr>
      <w:rFonts w:ascii="Verdana" w:hAnsi="Verdana"/>
      <w:b/>
      <w:sz w:val="20"/>
      <w:szCs w:val="18"/>
    </w:rPr>
  </w:style>
  <w:style w:type="paragraph" w:customStyle="1" w:styleId="Titlepublication">
    <w:name w:val="Title publication"/>
    <w:basedOn w:val="Normal"/>
    <w:link w:val="TitlepublicationChar"/>
    <w:qFormat/>
    <w:pPr>
      <w:jc w:val="center"/>
    </w:pPr>
    <w:rPr>
      <w:rFonts w:ascii="Verdana" w:hAnsi="Verdana"/>
      <w:b/>
      <w:color w:val="FF0000"/>
      <w:sz w:val="52"/>
      <w:szCs w:val="52"/>
    </w:rPr>
  </w:style>
  <w:style w:type="paragraph" w:customStyle="1" w:styleId="Subtitlepublication">
    <w:name w:val="Subtitle publication"/>
    <w:basedOn w:val="Normal"/>
    <w:link w:val="SubtitlepublicationChar"/>
    <w:qFormat/>
    <w:pPr>
      <w:jc w:val="center"/>
    </w:pPr>
    <w:rPr>
      <w:rFonts w:ascii="Verdana" w:hAnsi="Verdana"/>
      <w:b/>
      <w:i/>
      <w:color w:val="FF0000"/>
      <w:sz w:val="32"/>
    </w:rPr>
  </w:style>
  <w:style w:type="paragraph" w:customStyle="1" w:styleId="Editorname">
    <w:name w:val="Editor name"/>
    <w:basedOn w:val="Normal"/>
    <w:link w:val="EditornameChar"/>
    <w:qFormat/>
    <w:pPr>
      <w:jc w:val="center"/>
    </w:pPr>
    <w:rPr>
      <w:rFonts w:ascii="Verdana" w:hAnsi="Verdana"/>
      <w:color w:val="FF0000"/>
    </w:rPr>
  </w:style>
  <w:style w:type="paragraph" w:customStyle="1" w:styleId="Backcoversummary">
    <w:name w:val="Backcover_summary"/>
    <w:basedOn w:val="Normal"/>
    <w:link w:val="BackcoversummaryChar"/>
    <w:qFormat/>
    <w:rPr>
      <w:rFonts w:ascii="Verdana" w:hAnsi="Verdana"/>
      <w:color w:val="FF0000"/>
    </w:rPr>
  </w:style>
  <w:style w:type="paragraph" w:customStyle="1" w:styleId="Backcovercategory">
    <w:name w:val="Backcover_category"/>
    <w:basedOn w:val="Normal"/>
    <w:link w:val="BackcovercategoryChar"/>
    <w:qFormat/>
    <w:pPr>
      <w:ind w:right="28"/>
    </w:pPr>
    <w:rPr>
      <w:rFonts w:ascii="Verdana" w:hAnsi="Verdana"/>
      <w:i/>
      <w:color w:val="FF0000"/>
      <w:sz w:val="18"/>
    </w:rPr>
  </w:style>
  <w:style w:type="paragraph" w:customStyle="1" w:styleId="StyleBodyTextAfter0pt">
    <w:name w:val="Style Body Text + After:  0 pt"/>
    <w:basedOn w:val="BodyText"/>
    <w:link w:val="StyleBodyTextAfter0ptChar"/>
    <w:qFormat/>
    <w:pPr>
      <w:spacing w:after="0"/>
    </w:pPr>
  </w:style>
  <w:style w:type="paragraph" w:customStyle="1" w:styleId="StyleHeading2VerdanaAuto">
    <w:name w:val="Style Heading 2 + Verdana Auto"/>
    <w:basedOn w:val="Heading21"/>
    <w:qFormat/>
    <w:pPr>
      <w:numPr>
        <w:ilvl w:val="0"/>
        <w:numId w:val="0"/>
      </w:numPr>
      <w:spacing w:before="240" w:after="60"/>
    </w:pPr>
    <w:rPr>
      <w:rFonts w:cs="Arial"/>
      <w:bCs/>
      <w:color w:val="263673"/>
      <w:sz w:val="22"/>
      <w:szCs w:val="28"/>
    </w:rPr>
  </w:style>
  <w:style w:type="paragraph" w:customStyle="1" w:styleId="StyleListBullet2">
    <w:name w:val="Style List Bullet 2 +"/>
    <w:basedOn w:val="ListBullet2"/>
    <w:link w:val="StyleListBullet2Char"/>
    <w:qFormat/>
    <w:pPr>
      <w:tabs>
        <w:tab w:val="left" w:pos="227"/>
      </w:tabs>
      <w:spacing w:before="60" w:after="60"/>
      <w:ind w:left="227" w:hanging="227"/>
      <w:jc w:val="left"/>
    </w:pPr>
  </w:style>
  <w:style w:type="paragraph" w:customStyle="1" w:styleId="StyleStyleBodyTextAfter0ptVerdanaBold">
    <w:name w:val="Style Style Body Text + After:  0 pt + Verdana Bold"/>
    <w:basedOn w:val="StyleBodyTextAfter0pt"/>
    <w:link w:val="StyleStyleBodyTextAfter0ptVerdanaBoldChar"/>
    <w:qFormat/>
    <w:rPr>
      <w:b/>
      <w:bCs/>
      <w:szCs w:val="24"/>
    </w:rPr>
  </w:style>
  <w:style w:type="paragraph" w:customStyle="1" w:styleId="StyleStyleBodyTextAfter0ptVerdanaBoldAuto">
    <w:name w:val="Style Style Body Text + After:  0 pt + Verdana Bold Auto"/>
    <w:basedOn w:val="StyleBodyTextAfter0pt"/>
    <w:link w:val="StyleStyleBodyTextAfter0ptVerdanaBoldAutoChar"/>
    <w:qFormat/>
    <w:rPr>
      <w:b/>
      <w:bCs/>
      <w:szCs w:val="24"/>
    </w:rPr>
  </w:style>
  <w:style w:type="paragraph" w:customStyle="1" w:styleId="StyleHeading1Gray-80">
    <w:name w:val="Style Heading 1 + Gray-80%"/>
    <w:basedOn w:val="Heading1"/>
    <w:qFormat/>
    <w:pPr>
      <w:numPr>
        <w:numId w:val="0"/>
      </w:numPr>
      <w:spacing w:after="60"/>
    </w:pPr>
    <w:rPr>
      <w:rFonts w:ascii="Verdana" w:hAnsi="Verdana" w:cs="Arial"/>
      <w:bCs/>
      <w:smallCaps w:val="0"/>
      <w:color w:val="263673"/>
      <w:sz w:val="28"/>
      <w:szCs w:val="32"/>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link w:val="CommentSubjectChar"/>
    <w:semiHidden/>
    <w:unhideWhenUsed/>
    <w:qFormat/>
    <w:rPr>
      <w:b/>
      <w:bCs/>
    </w:rPr>
  </w:style>
  <w:style w:type="paragraph" w:customStyle="1" w:styleId="DGEMPLStandard">
    <w:name w:val="DGEMPL_Standard"/>
    <w:link w:val="DGEMPLStandardCarattere"/>
    <w:qFormat/>
    <w:pPr>
      <w:spacing w:before="120" w:after="120"/>
      <w:jc w:val="both"/>
    </w:pPr>
    <w:rPr>
      <w:rFonts w:ascii="Verdana" w:eastAsia="Times New Roman" w:hAnsi="Verdana" w:cs="Times New Roman"/>
      <w:szCs w:val="20"/>
    </w:rPr>
  </w:style>
  <w:style w:type="paragraph" w:customStyle="1" w:styleId="PSParagraphText">
    <w:name w:val="PS_Paragraph_Text"/>
    <w:basedOn w:val="Normal"/>
    <w:link w:val="PSParagraphTextChar"/>
    <w:qFormat/>
    <w:pPr>
      <w:spacing w:after="120"/>
    </w:pPr>
    <w:rPr>
      <w:sz w:val="20"/>
    </w:rPr>
  </w:style>
  <w:style w:type="paragraph" w:customStyle="1" w:styleId="Default">
    <w:name w:val="Default"/>
    <w:qFormat/>
    <w:rPr>
      <w:rFonts w:ascii="Times New Roman" w:eastAsia="Calibri" w:hAnsi="Times New Roman" w:cs="Times New Roman"/>
      <w:color w:val="000000"/>
      <w:sz w:val="24"/>
      <w:szCs w:val="24"/>
    </w:rPr>
  </w:style>
  <w:style w:type="paragraph" w:customStyle="1" w:styleId="Pagedecouverture">
    <w:name w:val="Page de couverture"/>
    <w:basedOn w:val="Normal"/>
    <w:next w:val="Normal"/>
    <w:qFormat/>
    <w:pPr>
      <w:spacing w:after="0"/>
    </w:pPr>
    <w:rPr>
      <w:rFonts w:eastAsiaTheme="minorHAnsi"/>
      <w:szCs w:val="22"/>
    </w:rPr>
  </w:style>
  <w:style w:type="paragraph" w:customStyle="1" w:styleId="FooterCoverPage">
    <w:name w:val="Footer Cover Page"/>
    <w:basedOn w:val="Normal"/>
    <w:link w:val="FooterCoverPageChar"/>
    <w:qFormat/>
    <w:pPr>
      <w:tabs>
        <w:tab w:val="center" w:pos="4535"/>
        <w:tab w:val="right" w:pos="9071"/>
        <w:tab w:val="right" w:pos="9921"/>
      </w:tabs>
      <w:spacing w:before="360" w:after="0"/>
      <w:ind w:left="-850" w:right="-850"/>
      <w:jc w:val="left"/>
    </w:pPr>
  </w:style>
  <w:style w:type="paragraph" w:customStyle="1" w:styleId="FooterSensitivity">
    <w:name w:val="Footer Sensitivity"/>
    <w:basedOn w:val="Normal"/>
    <w:link w:val="FooterSensitivityChar"/>
    <w:qFormat/>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HeaderCoverPage">
    <w:name w:val="Header Cover Page"/>
    <w:basedOn w:val="Normal"/>
    <w:link w:val="HeaderCoverPageChar"/>
    <w:qFormat/>
    <w:pPr>
      <w:tabs>
        <w:tab w:val="center" w:pos="4535"/>
        <w:tab w:val="right" w:pos="9071"/>
      </w:tabs>
      <w:spacing w:after="120"/>
    </w:pPr>
  </w:style>
  <w:style w:type="paragraph" w:customStyle="1" w:styleId="HeaderSensitivity">
    <w:name w:val="Header Sensitivity"/>
    <w:basedOn w:val="Normal"/>
    <w:link w:val="HeaderSensitivityChar"/>
    <w:qFormat/>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styleId="Revision">
    <w:name w:val="Revision"/>
    <w:uiPriority w:val="99"/>
    <w:semiHidden/>
    <w:qFormat/>
    <w:rPr>
      <w:rFonts w:ascii="Times New Roman" w:eastAsia="Times New Roman" w:hAnsi="Times New Roman" w:cs="Times New Roman"/>
      <w:sz w:val="24"/>
      <w:szCs w:val="20"/>
    </w:rPr>
  </w:style>
  <w:style w:type="paragraph" w:styleId="NormalWeb">
    <w:name w:val="Normal (Web)"/>
    <w:basedOn w:val="Normal"/>
    <w:uiPriority w:val="99"/>
    <w:semiHidden/>
    <w:unhideWhenUsed/>
    <w:qFormat/>
    <w:pPr>
      <w:spacing w:beforeAutospacing="1" w:afterAutospacing="1"/>
      <w:jc w:val="left"/>
    </w:pPr>
    <w:rPr>
      <w:szCs w:val="24"/>
    </w:rPr>
  </w:style>
  <w:style w:type="paragraph" w:customStyle="1" w:styleId="FrameContents">
    <w:name w:val="Frame Contents"/>
    <w:basedOn w:val="Normal"/>
    <w:qFormat/>
  </w:style>
  <w:style w:type="numbering" w:customStyle="1" w:styleId="Style2">
    <w:name w:val="Style2"/>
    <w:qFormat/>
  </w:style>
  <w:style w:type="table" w:styleId="ColorfulGrid-Accent3">
    <w:name w:val="Colorful Grid Accent 3"/>
    <w:basedOn w:val="TableNormal"/>
    <w:uiPriority w:val="69"/>
    <w:rPr>
      <w:sz w:val="18"/>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leGrid">
    <w:name w:val="Table Grid"/>
    <w:basedOn w:val="TableNormal"/>
    <w:uiPriority w:val="39"/>
    <w:rPr>
      <w:sz w:val="18"/>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table" w:customStyle="1" w:styleId="Style1">
    <w:name w:val="Style1"/>
    <w:basedOn w:val="TableNormal"/>
    <w:rPr>
      <w:szCs w:val="20"/>
    </w:rPr>
    <w:tblPr/>
  </w:style>
  <w:style w:type="table" w:styleId="TableElegant">
    <w:name w:val="Table Elegant"/>
    <w:basedOn w:val="TableNormal"/>
    <w:pPr>
      <w:spacing w:after="240"/>
      <w:jc w:val="both"/>
    </w:pPr>
    <w:rPr>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Heading20">
    <w:name w:val="Heading2"/>
    <w:basedOn w:val="Title2"/>
    <w:link w:val="Heading2Char0"/>
    <w:qFormat/>
    <w:rPr>
      <w:rFonts w:ascii="Verdana" w:hAnsi="Verdana"/>
      <w:b/>
      <w:i/>
    </w:rPr>
  </w:style>
  <w:style w:type="character" w:customStyle="1" w:styleId="Heading2Char1">
    <w:name w:val="Heading 2 Char1"/>
    <w:basedOn w:val="DefaultParagraphFont"/>
    <w:semiHidden/>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qFormat="1"/>
    <w:lsdException w:name="footnote text"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9"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rPr>
      <w:rFonts w:ascii="Times New Roman" w:eastAsia="Times New Roman" w:hAnsi="Times New Roman" w:cs="Times New Roman"/>
      <w:sz w:val="24"/>
      <w:szCs w:val="20"/>
    </w:rPr>
  </w:style>
  <w:style w:type="paragraph" w:styleId="Heading1">
    <w:name w:val="heading 1"/>
    <w:basedOn w:val="Normal"/>
    <w:link w:val="Heading1Char"/>
    <w:qFormat/>
    <w:pPr>
      <w:keepNext/>
      <w:numPr>
        <w:numId w:val="1"/>
      </w:numPr>
      <w:spacing w:before="240"/>
      <w:outlineLvl w:val="0"/>
    </w:pPr>
    <w:rPr>
      <w:b/>
      <w:smallCaps/>
    </w:rPr>
  </w:style>
  <w:style w:type="paragraph" w:styleId="Heading2">
    <w:name w:val="heading 2"/>
    <w:basedOn w:val="Normal"/>
    <w:next w:val="Text2"/>
    <w:link w:val="Heading2Char"/>
    <w:pPr>
      <w:keepNext/>
      <w:outlineLvl w:val="1"/>
    </w:pPr>
    <w:rPr>
      <w:b/>
    </w:rPr>
  </w:style>
  <w:style w:type="paragraph" w:styleId="Heading3">
    <w:name w:val="heading 3"/>
    <w:basedOn w:val="Normal"/>
    <w:link w:val="Heading3Char"/>
    <w:qFormat/>
    <w:pPr>
      <w:keepNext/>
      <w:numPr>
        <w:ilvl w:val="2"/>
        <w:numId w:val="1"/>
      </w:numPr>
      <w:outlineLvl w:val="2"/>
    </w:pPr>
    <w:rPr>
      <w:i/>
    </w:rPr>
  </w:style>
  <w:style w:type="paragraph" w:styleId="Heading4">
    <w:name w:val="heading 4"/>
    <w:basedOn w:val="Normal"/>
    <w:link w:val="Heading4Char"/>
    <w:qFormat/>
    <w:pPr>
      <w:keepNext/>
      <w:numPr>
        <w:ilvl w:val="3"/>
        <w:numId w:val="1"/>
      </w:numPr>
      <w:outlineLvl w:val="3"/>
    </w:pPr>
  </w:style>
  <w:style w:type="paragraph" w:styleId="Heading5">
    <w:name w:val="heading 5"/>
    <w:basedOn w:val="Normal"/>
    <w:next w:val="Normal"/>
    <w:link w:val="Heading5Char"/>
    <w:qFormat/>
    <w:pPr>
      <w:tabs>
        <w:tab w:val="left" w:pos="0"/>
      </w:tabs>
      <w:spacing w:before="240" w:after="60"/>
      <w:outlineLvl w:val="4"/>
    </w:pPr>
    <w:rPr>
      <w:rFonts w:ascii="Arial" w:hAnsi="Arial"/>
      <w:sz w:val="22"/>
    </w:rPr>
  </w:style>
  <w:style w:type="paragraph" w:styleId="Heading6">
    <w:name w:val="heading 6"/>
    <w:basedOn w:val="Normal"/>
    <w:next w:val="Normal"/>
    <w:link w:val="Heading6Char"/>
    <w:qFormat/>
    <w:pPr>
      <w:tabs>
        <w:tab w:val="left" w:pos="0"/>
      </w:tabs>
      <w:spacing w:before="240" w:after="60"/>
      <w:outlineLvl w:val="5"/>
    </w:pPr>
    <w:rPr>
      <w:rFonts w:ascii="Arial" w:hAnsi="Arial"/>
      <w:i/>
      <w:sz w:val="22"/>
    </w:rPr>
  </w:style>
  <w:style w:type="paragraph" w:styleId="Heading7">
    <w:name w:val="heading 7"/>
    <w:basedOn w:val="Normal"/>
    <w:next w:val="Normal"/>
    <w:link w:val="Heading7Char"/>
    <w:qFormat/>
    <w:pPr>
      <w:tabs>
        <w:tab w:val="left" w:pos="0"/>
      </w:tabs>
      <w:spacing w:before="240" w:after="60"/>
      <w:outlineLvl w:val="6"/>
    </w:pPr>
    <w:rPr>
      <w:rFonts w:ascii="Arial" w:hAnsi="Arial"/>
      <w:sz w:val="20"/>
    </w:rPr>
  </w:style>
  <w:style w:type="paragraph" w:styleId="Heading8">
    <w:name w:val="heading 8"/>
    <w:basedOn w:val="Normal"/>
    <w:next w:val="Normal"/>
    <w:link w:val="Heading8Char"/>
    <w:qFormat/>
    <w:pPr>
      <w:tabs>
        <w:tab w:val="left" w:pos="0"/>
      </w:tabs>
      <w:spacing w:before="240" w:after="60"/>
      <w:outlineLvl w:val="7"/>
    </w:pPr>
    <w:rPr>
      <w:rFonts w:ascii="Arial" w:hAnsi="Arial"/>
      <w:i/>
      <w:sz w:val="20"/>
    </w:rPr>
  </w:style>
  <w:style w:type="paragraph" w:styleId="Heading9">
    <w:name w:val="heading 9"/>
    <w:basedOn w:val="Normal"/>
    <w:next w:val="Normal"/>
    <w:link w:val="Heading9Char"/>
    <w:qFormat/>
    <w:pPr>
      <w:tabs>
        <w:tab w:val="left"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qFormat/>
    <w:pPr>
      <w:widowControl w:val="0"/>
      <w:numPr>
        <w:ilvl w:val="1"/>
        <w:numId w:val="1"/>
      </w:numPr>
      <w:tabs>
        <w:tab w:val="clear" w:pos="1287"/>
        <w:tab w:val="num" w:pos="1200"/>
      </w:tabs>
      <w:ind w:left="1200"/>
      <w:outlineLvl w:val="1"/>
    </w:pPr>
    <w:rPr>
      <w:rFonts w:ascii="Verdana" w:hAnsi="Verdana"/>
      <w:b/>
      <w:i/>
      <w:sz w:val="24"/>
    </w:rPr>
  </w:style>
  <w:style w:type="character" w:customStyle="1" w:styleId="Heading1Char">
    <w:name w:val="Heading 1 Char"/>
    <w:basedOn w:val="DefaultParagraphFont"/>
    <w:link w:val="Heading1"/>
    <w:qFormat/>
    <w:rPr>
      <w:rFonts w:ascii="Times New Roman" w:eastAsia="Times New Roman" w:hAnsi="Times New Roman" w:cs="Times New Roman"/>
      <w:b/>
      <w:smallCaps/>
      <w:sz w:val="24"/>
      <w:szCs w:val="20"/>
      <w:lang w:val="bg-BG"/>
    </w:rPr>
  </w:style>
  <w:style w:type="character" w:customStyle="1" w:styleId="Heading2Char">
    <w:name w:val="Heading 2 Char"/>
    <w:basedOn w:val="DefaultParagraphFont"/>
    <w:link w:val="Heading2"/>
    <w:qFormat/>
    <w:rPr>
      <w:rFonts w:ascii="Times New Roman" w:eastAsia="Times New Roman" w:hAnsi="Times New Roman" w:cs="Times New Roman"/>
      <w:b/>
      <w:sz w:val="24"/>
      <w:szCs w:val="20"/>
    </w:rPr>
  </w:style>
  <w:style w:type="character" w:customStyle="1" w:styleId="Heading3Char">
    <w:name w:val="Heading 3 Char"/>
    <w:basedOn w:val="DefaultParagraphFont"/>
    <w:link w:val="Heading3"/>
    <w:qFormat/>
    <w:rPr>
      <w:rFonts w:ascii="Times New Roman" w:eastAsia="Times New Roman" w:hAnsi="Times New Roman" w:cs="Times New Roman"/>
      <w:i/>
      <w:sz w:val="24"/>
      <w:szCs w:val="20"/>
      <w:lang w:val="bg-BG"/>
    </w:rPr>
  </w:style>
  <w:style w:type="character" w:customStyle="1" w:styleId="Heading4Char">
    <w:name w:val="Heading 4 Char"/>
    <w:basedOn w:val="DefaultParagraphFont"/>
    <w:link w:val="Heading4"/>
    <w:qFormat/>
    <w:rPr>
      <w:rFonts w:ascii="Times New Roman" w:eastAsia="Times New Roman" w:hAnsi="Times New Roman" w:cs="Times New Roman"/>
      <w:sz w:val="24"/>
      <w:szCs w:val="20"/>
      <w:lang w:val="bg-BG"/>
    </w:rPr>
  </w:style>
  <w:style w:type="character" w:customStyle="1" w:styleId="Heading5Char">
    <w:name w:val="Heading 5 Char"/>
    <w:basedOn w:val="DefaultParagraphFont"/>
    <w:link w:val="Heading5"/>
    <w:qFormat/>
    <w:rPr>
      <w:rFonts w:ascii="Arial" w:eastAsia="Times New Roman" w:hAnsi="Arial" w:cs="Times New Roman"/>
      <w:szCs w:val="20"/>
      <w:lang w:val="bg-BG"/>
    </w:rPr>
  </w:style>
  <w:style w:type="character" w:customStyle="1" w:styleId="Heading6Char">
    <w:name w:val="Heading 6 Char"/>
    <w:basedOn w:val="DefaultParagraphFont"/>
    <w:link w:val="Heading6"/>
    <w:qFormat/>
    <w:rPr>
      <w:rFonts w:ascii="Arial" w:eastAsia="Times New Roman" w:hAnsi="Arial" w:cs="Times New Roman"/>
      <w:i/>
      <w:szCs w:val="20"/>
      <w:lang w:val="bg-BG"/>
    </w:rPr>
  </w:style>
  <w:style w:type="character" w:customStyle="1" w:styleId="Heading7Char">
    <w:name w:val="Heading 7 Char"/>
    <w:basedOn w:val="DefaultParagraphFont"/>
    <w:link w:val="Heading7"/>
    <w:qFormat/>
    <w:rPr>
      <w:rFonts w:ascii="Arial" w:eastAsia="Times New Roman" w:hAnsi="Arial" w:cs="Times New Roman"/>
      <w:sz w:val="20"/>
      <w:szCs w:val="20"/>
      <w:lang w:val="bg-BG"/>
    </w:rPr>
  </w:style>
  <w:style w:type="character" w:customStyle="1" w:styleId="Heading8Char">
    <w:name w:val="Heading 8 Char"/>
    <w:basedOn w:val="DefaultParagraphFont"/>
    <w:link w:val="Heading8"/>
    <w:qFormat/>
    <w:rPr>
      <w:rFonts w:ascii="Arial" w:eastAsia="Times New Roman" w:hAnsi="Arial" w:cs="Times New Roman"/>
      <w:i/>
      <w:sz w:val="20"/>
      <w:szCs w:val="20"/>
      <w:lang w:val="bg-BG"/>
    </w:rPr>
  </w:style>
  <w:style w:type="character" w:customStyle="1" w:styleId="Heading9Char">
    <w:name w:val="Heading 9 Char"/>
    <w:basedOn w:val="DefaultParagraphFont"/>
    <w:link w:val="Heading9"/>
    <w:qFormat/>
    <w:rPr>
      <w:rFonts w:ascii="Arial" w:eastAsia="Times New Roman" w:hAnsi="Arial" w:cs="Times New Roman"/>
      <w:i/>
      <w:sz w:val="18"/>
      <w:szCs w:val="20"/>
      <w:lang w:val="bg-BG"/>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0"/>
      <w:lang w:val="bg-BG"/>
    </w:rPr>
  </w:style>
  <w:style w:type="character" w:customStyle="1" w:styleId="BodyText2Char">
    <w:name w:val="Body Text 2 Char"/>
    <w:basedOn w:val="DefaultParagraphFont"/>
    <w:link w:val="BodyText2"/>
    <w:qFormat/>
    <w:rPr>
      <w:rFonts w:ascii="Times New Roman" w:eastAsia="Times New Roman" w:hAnsi="Times New Roman" w:cs="Times New Roman"/>
      <w:sz w:val="24"/>
      <w:szCs w:val="20"/>
      <w:lang w:val="bg-BG"/>
    </w:rPr>
  </w:style>
  <w:style w:type="character" w:customStyle="1" w:styleId="BodyText3Char">
    <w:name w:val="Body Text 3 Char"/>
    <w:basedOn w:val="DefaultParagraphFont"/>
    <w:link w:val="BodyText3"/>
    <w:qFormat/>
    <w:rPr>
      <w:rFonts w:ascii="Times New Roman" w:eastAsia="Times New Roman" w:hAnsi="Times New Roman" w:cs="Times New Roman"/>
      <w:sz w:val="16"/>
      <w:szCs w:val="20"/>
      <w:lang w:val="bg-BG"/>
    </w:rPr>
  </w:style>
  <w:style w:type="character" w:customStyle="1" w:styleId="BodyTextFirstIndentChar">
    <w:name w:val="Body Text First Indent Char"/>
    <w:basedOn w:val="BodyTextChar"/>
    <w:qFormat/>
    <w:rPr>
      <w:rFonts w:ascii="Times New Roman" w:eastAsia="Times New Roman" w:hAnsi="Times New Roman" w:cs="Times New Roman"/>
      <w:sz w:val="24"/>
      <w:szCs w:val="20"/>
      <w:lang w:val="bg-BG"/>
    </w:rPr>
  </w:style>
  <w:style w:type="character" w:customStyle="1" w:styleId="BodyTextIndentChar">
    <w:name w:val="Body Text Indent Char"/>
    <w:basedOn w:val="DefaultParagraphFont"/>
    <w:link w:val="BodyTextIndent"/>
    <w:qFormat/>
    <w:rPr>
      <w:rFonts w:ascii="Times New Roman" w:eastAsia="Times New Roman" w:hAnsi="Times New Roman" w:cs="Times New Roman"/>
      <w:sz w:val="24"/>
      <w:szCs w:val="20"/>
      <w:lang w:val="bg-BG"/>
    </w:rPr>
  </w:style>
  <w:style w:type="character" w:customStyle="1" w:styleId="BodyTextFirstIndent2Char">
    <w:name w:val="Body Text First Indent 2 Char"/>
    <w:basedOn w:val="BodyTextIndentChar"/>
    <w:link w:val="BodyTextFirstIndent2"/>
    <w:qFormat/>
    <w:rPr>
      <w:rFonts w:ascii="Times New Roman" w:eastAsia="Times New Roman" w:hAnsi="Times New Roman" w:cs="Times New Roman"/>
      <w:sz w:val="24"/>
      <w:szCs w:val="20"/>
      <w:lang w:val="bg-BG"/>
    </w:rPr>
  </w:style>
  <w:style w:type="character" w:customStyle="1" w:styleId="BodyTextIndent2Char">
    <w:name w:val="Body Text Indent 2 Char"/>
    <w:basedOn w:val="DefaultParagraphFont"/>
    <w:link w:val="BodyTextIndent2"/>
    <w:qFormat/>
    <w:rPr>
      <w:rFonts w:ascii="Times New Roman" w:eastAsia="Times New Roman" w:hAnsi="Times New Roman" w:cs="Times New Roman"/>
      <w:sz w:val="24"/>
      <w:szCs w:val="20"/>
      <w:lang w:val="bg-BG"/>
    </w:rPr>
  </w:style>
  <w:style w:type="character" w:customStyle="1" w:styleId="BodyTextIndent3Char">
    <w:name w:val="Body Text Indent 3 Char"/>
    <w:basedOn w:val="DefaultParagraphFont"/>
    <w:link w:val="BodyTextIndent3"/>
    <w:qFormat/>
    <w:rPr>
      <w:rFonts w:ascii="Times New Roman" w:eastAsia="Times New Roman" w:hAnsi="Times New Roman" w:cs="Times New Roman"/>
      <w:sz w:val="16"/>
      <w:szCs w:val="20"/>
      <w:lang w:val="bg-BG"/>
    </w:rPr>
  </w:style>
  <w:style w:type="character" w:customStyle="1" w:styleId="ClosingChar">
    <w:name w:val="Closing Char"/>
    <w:basedOn w:val="DefaultParagraphFont"/>
    <w:link w:val="Closing"/>
    <w:qFormat/>
    <w:rPr>
      <w:rFonts w:ascii="Times New Roman" w:eastAsia="Times New Roman" w:hAnsi="Times New Roman" w:cs="Times New Roman"/>
      <w:sz w:val="24"/>
      <w:szCs w:val="20"/>
      <w:lang w:val="bg-BG"/>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val="bg-BG"/>
    </w:rPr>
  </w:style>
  <w:style w:type="character" w:customStyle="1" w:styleId="DateChar">
    <w:name w:val="Date Char"/>
    <w:basedOn w:val="DefaultParagraphFont"/>
    <w:link w:val="Date"/>
    <w:qFormat/>
    <w:rPr>
      <w:rFonts w:ascii="Times New Roman" w:eastAsia="Times New Roman" w:hAnsi="Times New Roman" w:cs="Times New Roman"/>
      <w:sz w:val="24"/>
      <w:szCs w:val="20"/>
      <w:lang w:val="bg-BG"/>
    </w:rPr>
  </w:style>
  <w:style w:type="character" w:customStyle="1" w:styleId="DocumentMapChar">
    <w:name w:val="Document Map Char"/>
    <w:basedOn w:val="DefaultParagraphFont"/>
    <w:link w:val="DocumentMap"/>
    <w:semiHidden/>
    <w:qFormat/>
    <w:rPr>
      <w:rFonts w:ascii="Tahoma" w:eastAsia="Times New Roman" w:hAnsi="Tahoma" w:cs="Times New Roman"/>
      <w:sz w:val="24"/>
      <w:szCs w:val="20"/>
      <w:shd w:val="clear" w:color="auto" w:fill="000080"/>
      <w:lang w:val="bg-BG"/>
    </w:rPr>
  </w:style>
  <w:style w:type="character" w:customStyle="1" w:styleId="EndnoteTextChar">
    <w:name w:val="Endnote Text Char"/>
    <w:basedOn w:val="DefaultParagraphFont"/>
    <w:link w:val="EndnoteText"/>
    <w:semiHidden/>
    <w:qFormat/>
    <w:rPr>
      <w:rFonts w:ascii="Times New Roman" w:eastAsia="Times New Roman" w:hAnsi="Times New Roman" w:cs="Times New Roman"/>
      <w:sz w:val="20"/>
      <w:szCs w:val="20"/>
      <w:lang w:val="bg-BG"/>
    </w:rPr>
  </w:style>
  <w:style w:type="character" w:customStyle="1" w:styleId="FooterChar">
    <w:name w:val="Footer Char"/>
    <w:basedOn w:val="DefaultParagraphFont"/>
    <w:link w:val="Footer"/>
    <w:uiPriority w:val="99"/>
    <w:qFormat/>
    <w:rPr>
      <w:rFonts w:ascii="Arial" w:eastAsia="Times New Roman" w:hAnsi="Arial" w:cs="Times New Roman"/>
      <w:sz w:val="16"/>
      <w:szCs w:val="20"/>
      <w:lang w:val="bg-BG"/>
    </w:rPr>
  </w:style>
  <w:style w:type="character" w:customStyle="1" w:styleId="FootnoteTextChar">
    <w:name w:val="Footnote Text Char"/>
    <w:basedOn w:val="DefaultParagraphFont"/>
    <w:link w:val="FootnoteText"/>
    <w:uiPriority w:val="99"/>
    <w:qFormat/>
    <w:rPr>
      <w:rFonts w:ascii="Times New Roman" w:eastAsia="Times New Roman" w:hAnsi="Times New Roman" w:cs="Times New Roman"/>
      <w:sz w:val="20"/>
      <w:szCs w:val="20"/>
      <w:lang w:val="bg-BG"/>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0"/>
      <w:lang w:val="bg-BG"/>
    </w:rPr>
  </w:style>
  <w:style w:type="character" w:customStyle="1" w:styleId="MacroTextChar">
    <w:name w:val="Macro Text Char"/>
    <w:basedOn w:val="DefaultParagraphFont"/>
    <w:link w:val="MacroText"/>
    <w:semiHidden/>
    <w:qFormat/>
    <w:rPr>
      <w:rFonts w:ascii="Courier New" w:eastAsia="Times New Roman" w:hAnsi="Courier New" w:cs="Times New Roman"/>
      <w:sz w:val="20"/>
      <w:szCs w:val="20"/>
    </w:rPr>
  </w:style>
  <w:style w:type="character" w:customStyle="1" w:styleId="MessageHeaderChar">
    <w:name w:val="Message Header Char"/>
    <w:basedOn w:val="DefaultParagraphFont"/>
    <w:link w:val="MessageHeader"/>
    <w:qFormat/>
    <w:rPr>
      <w:rFonts w:ascii="Arial" w:eastAsia="Times New Roman" w:hAnsi="Arial" w:cs="Times New Roman"/>
      <w:sz w:val="24"/>
      <w:szCs w:val="20"/>
      <w:shd w:val="clear" w:color="auto" w:fill="CCCCCC"/>
      <w:lang w:val="bg-BG"/>
    </w:rPr>
  </w:style>
  <w:style w:type="character" w:customStyle="1" w:styleId="NoteHeadingChar">
    <w:name w:val="Note Heading Char"/>
    <w:basedOn w:val="DefaultParagraphFont"/>
    <w:link w:val="NoteHeading"/>
    <w:qFormat/>
    <w:rPr>
      <w:rFonts w:ascii="Times New Roman" w:eastAsia="Times New Roman" w:hAnsi="Times New Roman" w:cs="Times New Roman"/>
      <w:sz w:val="24"/>
      <w:szCs w:val="20"/>
      <w:lang w:val="bg-BG"/>
    </w:rPr>
  </w:style>
  <w:style w:type="character" w:customStyle="1" w:styleId="PlainTextChar">
    <w:name w:val="Plain Text Char"/>
    <w:basedOn w:val="DefaultParagraphFont"/>
    <w:link w:val="PlainText"/>
    <w:qFormat/>
    <w:rPr>
      <w:rFonts w:ascii="Courier New" w:eastAsia="Times New Roman" w:hAnsi="Courier New" w:cs="Times New Roman"/>
      <w:sz w:val="20"/>
      <w:szCs w:val="20"/>
      <w:lang w:val="bg-BG"/>
    </w:rPr>
  </w:style>
  <w:style w:type="character" w:customStyle="1" w:styleId="SalutationChar">
    <w:name w:val="Salutation Char"/>
    <w:basedOn w:val="DefaultParagraphFont"/>
    <w:link w:val="Salutation"/>
    <w:qFormat/>
    <w:rPr>
      <w:rFonts w:ascii="Times New Roman" w:eastAsia="Times New Roman" w:hAnsi="Times New Roman" w:cs="Times New Roman"/>
      <w:sz w:val="24"/>
      <w:szCs w:val="20"/>
      <w:lang w:val="bg-BG"/>
    </w:rPr>
  </w:style>
  <w:style w:type="character" w:customStyle="1" w:styleId="SignatureChar">
    <w:name w:val="Signature Char"/>
    <w:basedOn w:val="DefaultParagraphFont"/>
    <w:link w:val="Signature"/>
    <w:qFormat/>
    <w:rPr>
      <w:rFonts w:ascii="Times New Roman" w:eastAsia="Times New Roman" w:hAnsi="Times New Roman" w:cs="Times New Roman"/>
      <w:sz w:val="24"/>
      <w:szCs w:val="20"/>
      <w:lang w:val="bg-BG"/>
    </w:rPr>
  </w:style>
  <w:style w:type="character" w:customStyle="1" w:styleId="SubtitleChar">
    <w:name w:val="Subtitle Char"/>
    <w:basedOn w:val="DefaultParagraphFont"/>
    <w:link w:val="Subtitle"/>
    <w:qFormat/>
    <w:rPr>
      <w:rFonts w:ascii="Arial" w:eastAsia="Times New Roman" w:hAnsi="Arial" w:cs="Times New Roman"/>
      <w:sz w:val="24"/>
      <w:szCs w:val="20"/>
      <w:lang w:val="bg-BG"/>
    </w:rPr>
  </w:style>
  <w:style w:type="character" w:customStyle="1" w:styleId="TitleChar">
    <w:name w:val="Title Char"/>
    <w:basedOn w:val="DefaultParagraphFont"/>
    <w:link w:val="Title"/>
    <w:qFormat/>
    <w:rPr>
      <w:rFonts w:ascii="Times New Roman" w:eastAsia="Times New Roman" w:hAnsi="Times New Roman" w:cs="Times New Roman"/>
      <w:b/>
      <w:sz w:val="48"/>
      <w:szCs w:val="20"/>
      <w:lang w:val="bg-BG"/>
    </w:rPr>
  </w:style>
  <w:style w:type="character" w:customStyle="1" w:styleId="InternetLink">
    <w:name w:val="Internet Link"/>
    <w:uiPriority w:val="99"/>
    <w:rPr>
      <w:color w:val="0000FF"/>
      <w:u w:val="single"/>
    </w:rPr>
  </w:style>
  <w:style w:type="character" w:styleId="FootnoteReference">
    <w:name w:val="footnote reference"/>
    <w:uiPriority w:val="99"/>
    <w:qFormat/>
    <w:rPr>
      <w:vertAlign w:val="superscript"/>
    </w:rPr>
  </w:style>
  <w:style w:type="character" w:customStyle="1" w:styleId="BalloonTextChar">
    <w:name w:val="Balloon Text Char"/>
    <w:basedOn w:val="DefaultParagraphFont"/>
    <w:link w:val="BalloonText"/>
    <w:semiHidden/>
    <w:qFormat/>
    <w:rPr>
      <w:rFonts w:ascii="Tahoma" w:eastAsia="Times New Roman" w:hAnsi="Tahoma" w:cs="Tahoma"/>
      <w:sz w:val="16"/>
      <w:szCs w:val="16"/>
      <w:lang w:val="bg-BG"/>
    </w:rPr>
  </w:style>
  <w:style w:type="character" w:customStyle="1" w:styleId="DocumentTitleChar">
    <w:name w:val="Document Title Char"/>
    <w:link w:val="DocumentTitle"/>
    <w:qFormat/>
    <w:rPr>
      <w:rFonts w:ascii="Verdana" w:eastAsia="Times New Roman" w:hAnsi="Verdana" w:cs="Times New Roman"/>
      <w:b/>
      <w:sz w:val="52"/>
      <w:szCs w:val="20"/>
      <w:lang w:val="bg-BG"/>
    </w:rPr>
  </w:style>
  <w:style w:type="character" w:customStyle="1" w:styleId="ApprovalfooterChar">
    <w:name w:val="Approval_footer Char"/>
    <w:basedOn w:val="FooterChar"/>
    <w:qFormat/>
    <w:rPr>
      <w:rFonts w:ascii="Verdana" w:eastAsia="Times New Roman" w:hAnsi="Verdana" w:cs="Times New Roman"/>
      <w:sz w:val="13"/>
      <w:szCs w:val="20"/>
      <w:lang w:val="bg-BG"/>
    </w:rPr>
  </w:style>
  <w:style w:type="character" w:customStyle="1" w:styleId="FooterDateChar">
    <w:name w:val="Footer Date Char"/>
    <w:link w:val="FooterDate"/>
    <w:qFormat/>
    <w:rPr>
      <w:rFonts w:ascii="Verdana" w:eastAsia="Times New Roman" w:hAnsi="Verdana" w:cs="Times New Roman"/>
      <w:sz w:val="16"/>
      <w:szCs w:val="20"/>
      <w:lang w:val="bg-BG"/>
    </w:rPr>
  </w:style>
  <w:style w:type="character" w:customStyle="1" w:styleId="PagenumberChar">
    <w:name w:val="Page number Char"/>
    <w:qFormat/>
    <w:rPr>
      <w:rFonts w:ascii="Verdana" w:eastAsia="Times New Roman" w:hAnsi="Verdana" w:cs="Times New Roman"/>
      <w:sz w:val="16"/>
      <w:szCs w:val="20"/>
      <w:lang w:val="bg-BG"/>
    </w:rPr>
  </w:style>
  <w:style w:type="character" w:customStyle="1" w:styleId="DocumentSubtitleChar">
    <w:name w:val="Document Subtitle Char"/>
    <w:link w:val="DocumentSubtitle"/>
    <w:qFormat/>
    <w:rPr>
      <w:rFonts w:ascii="Verdana" w:eastAsia="Times New Roman" w:hAnsi="Verdana" w:cs="Times New Roman"/>
      <w:sz w:val="32"/>
      <w:szCs w:val="36"/>
    </w:rPr>
  </w:style>
  <w:style w:type="character" w:customStyle="1" w:styleId="HeaderTitleChar">
    <w:name w:val="Header Title Char"/>
    <w:link w:val="HeaderTitle"/>
    <w:qFormat/>
    <w:rPr>
      <w:rFonts w:ascii="Verdana" w:eastAsia="Times New Roman" w:hAnsi="Verdana" w:cs="Times New Roman"/>
      <w:b/>
      <w:color w:val="808080"/>
      <w:sz w:val="18"/>
      <w:szCs w:val="18"/>
      <w:lang w:val="bg-BG"/>
    </w:rPr>
  </w:style>
  <w:style w:type="character" w:customStyle="1" w:styleId="NormalIndentChar">
    <w:name w:val="Normal Indent Char"/>
    <w:link w:val="NormalIndent"/>
    <w:qFormat/>
    <w:rPr>
      <w:rFonts w:ascii="Times New Roman" w:eastAsia="Times New Roman" w:hAnsi="Times New Roman" w:cs="Times New Roman"/>
      <w:sz w:val="24"/>
      <w:szCs w:val="20"/>
      <w:lang w:val="bg-BG"/>
    </w:rPr>
  </w:style>
  <w:style w:type="character" w:customStyle="1" w:styleId="Bulletpoint1Char">
    <w:name w:val="Bullet point1 Char"/>
    <w:basedOn w:val="NormalIndentChar"/>
    <w:link w:val="Bulletpoint1"/>
    <w:qFormat/>
    <w:rPr>
      <w:rFonts w:ascii="Verdana" w:eastAsia="Times New Roman" w:hAnsi="Verdana" w:cs="Times New Roman"/>
      <w:sz w:val="18"/>
      <w:szCs w:val="20"/>
      <w:lang w:val="bg-BG"/>
    </w:rPr>
  </w:style>
  <w:style w:type="character" w:customStyle="1" w:styleId="HeadingChar">
    <w:name w:val="Heading Char"/>
    <w:link w:val="Heading"/>
    <w:qFormat/>
    <w:rPr>
      <w:rFonts w:ascii="Verdana" w:eastAsia="Times New Roman" w:hAnsi="Verdana" w:cs="Times New Roman"/>
      <w:b/>
      <w:caps/>
      <w:sz w:val="20"/>
      <w:szCs w:val="20"/>
      <w:u w:val="single"/>
      <w:lang w:val="bg-BG"/>
    </w:rPr>
  </w:style>
  <w:style w:type="character" w:customStyle="1" w:styleId="BulletPoint2Char">
    <w:name w:val="Bullet Point 2 Char"/>
    <w:link w:val="BulletPoint2"/>
    <w:qFormat/>
    <w:rPr>
      <w:rFonts w:ascii="Verdana" w:eastAsia="Times New Roman" w:hAnsi="Verdana" w:cs="Times New Roman"/>
      <w:sz w:val="18"/>
      <w:szCs w:val="20"/>
      <w:lang w:val="bg-BG"/>
    </w:rPr>
  </w:style>
  <w:style w:type="character" w:customStyle="1" w:styleId="BodyChar">
    <w:name w:val="Body Char"/>
    <w:link w:val="Body"/>
    <w:qFormat/>
    <w:rPr>
      <w:rFonts w:ascii="Verdana" w:eastAsia="Times New Roman" w:hAnsi="Verdana" w:cs="Times New Roman"/>
      <w:sz w:val="18"/>
      <w:szCs w:val="20"/>
      <w:lang w:val="bg-BG"/>
    </w:rPr>
  </w:style>
  <w:style w:type="character" w:customStyle="1" w:styleId="Heading2Char0">
    <w:name w:val="Heading2 Char"/>
    <w:link w:val="Heading20"/>
    <w:qFormat/>
    <w:rPr>
      <w:rFonts w:ascii="Verdana" w:eastAsia="Times New Roman" w:hAnsi="Verdana" w:cs="Times New Roman"/>
      <w:b/>
      <w:i/>
      <w:sz w:val="24"/>
      <w:szCs w:val="20"/>
      <w:lang w:val="bg-BG"/>
    </w:rPr>
  </w:style>
  <w:style w:type="character" w:customStyle="1" w:styleId="FooterDocumentChar">
    <w:name w:val="Footer Document Char"/>
    <w:link w:val="FooterDocument"/>
    <w:qFormat/>
    <w:rPr>
      <w:rFonts w:ascii="Verdana" w:eastAsia="Times New Roman" w:hAnsi="Verdana" w:cs="Times New Roman"/>
      <w:i/>
      <w:sz w:val="13"/>
      <w:szCs w:val="20"/>
      <w:lang w:val="bg-BG"/>
    </w:rPr>
  </w:style>
  <w:style w:type="character" w:customStyle="1" w:styleId="SubtitleChar0">
    <w:name w:val="Subtitle_ Char"/>
    <w:basedOn w:val="Heading2Char0"/>
    <w:qFormat/>
    <w:rPr>
      <w:rFonts w:ascii="Verdana" w:eastAsia="Times New Roman" w:hAnsi="Verdana" w:cs="Times New Roman"/>
      <w:b/>
      <w:i/>
      <w:sz w:val="20"/>
      <w:szCs w:val="20"/>
      <w:lang w:val="bg-BG"/>
    </w:rPr>
  </w:style>
  <w:style w:type="character" w:customStyle="1" w:styleId="HeadingBodyChar">
    <w:name w:val="Heading Body Char"/>
    <w:basedOn w:val="DefaultParagraphFont"/>
    <w:link w:val="HeadingBody"/>
    <w:qFormat/>
    <w:rPr>
      <w:rFonts w:ascii="Verdana" w:eastAsia="Times New Roman" w:hAnsi="Verdana" w:cs="Times New Roman"/>
      <w:b/>
      <w:sz w:val="20"/>
      <w:szCs w:val="18"/>
    </w:rPr>
  </w:style>
  <w:style w:type="character" w:customStyle="1" w:styleId="TitlepublicationChar">
    <w:name w:val="Title publication Char"/>
    <w:basedOn w:val="DefaultParagraphFont"/>
    <w:link w:val="Titlepublication"/>
    <w:qFormat/>
    <w:rPr>
      <w:rFonts w:ascii="Verdana" w:eastAsia="Times New Roman" w:hAnsi="Verdana" w:cs="Times New Roman"/>
      <w:b/>
      <w:color w:val="FF0000"/>
      <w:sz w:val="52"/>
      <w:szCs w:val="52"/>
    </w:rPr>
  </w:style>
  <w:style w:type="character" w:customStyle="1" w:styleId="SubtitlepublicationChar">
    <w:name w:val="Subtitle publication Char"/>
    <w:basedOn w:val="DefaultParagraphFont"/>
    <w:link w:val="Subtitlepublication"/>
    <w:qFormat/>
    <w:rPr>
      <w:rFonts w:ascii="Verdana" w:eastAsia="Times New Roman" w:hAnsi="Verdana" w:cs="Times New Roman"/>
      <w:b/>
      <w:i/>
      <w:color w:val="FF0000"/>
      <w:sz w:val="32"/>
      <w:szCs w:val="20"/>
    </w:rPr>
  </w:style>
  <w:style w:type="character" w:customStyle="1" w:styleId="EditornameChar">
    <w:name w:val="Editor name Char"/>
    <w:basedOn w:val="DefaultParagraphFont"/>
    <w:link w:val="Editorname"/>
    <w:qFormat/>
    <w:rPr>
      <w:rFonts w:ascii="Verdana" w:eastAsia="Times New Roman" w:hAnsi="Verdana" w:cs="Times New Roman"/>
      <w:color w:val="FF0000"/>
      <w:sz w:val="24"/>
      <w:szCs w:val="20"/>
    </w:rPr>
  </w:style>
  <w:style w:type="character" w:customStyle="1" w:styleId="BackcoversummaryChar">
    <w:name w:val="Backcover_summary Char"/>
    <w:basedOn w:val="DefaultParagraphFont"/>
    <w:link w:val="Backcoversummary"/>
    <w:qFormat/>
    <w:rPr>
      <w:rFonts w:ascii="Verdana" w:eastAsia="Times New Roman" w:hAnsi="Verdana" w:cs="Times New Roman"/>
      <w:color w:val="FF0000"/>
      <w:sz w:val="24"/>
      <w:szCs w:val="20"/>
    </w:rPr>
  </w:style>
  <w:style w:type="character" w:customStyle="1" w:styleId="BackcovercategoryChar">
    <w:name w:val="Backcover_category Char"/>
    <w:basedOn w:val="DefaultParagraphFont"/>
    <w:link w:val="Backcovercategory"/>
    <w:qFormat/>
    <w:rPr>
      <w:rFonts w:ascii="Verdana" w:eastAsia="Times New Roman" w:hAnsi="Verdana" w:cs="Times New Roman"/>
      <w:i/>
      <w:color w:val="FF0000"/>
      <w:sz w:val="18"/>
      <w:szCs w:val="20"/>
    </w:rPr>
  </w:style>
  <w:style w:type="character" w:customStyle="1" w:styleId="ListBullet2Char">
    <w:name w:val="List Bullet 2 Char"/>
    <w:link w:val="ListBullet2"/>
    <w:qFormat/>
    <w:rPr>
      <w:rFonts w:ascii="Times New Roman" w:eastAsia="Times New Roman" w:hAnsi="Times New Roman" w:cs="Times New Roman"/>
      <w:sz w:val="24"/>
      <w:szCs w:val="20"/>
      <w:lang w:val="bg-BG"/>
    </w:rPr>
  </w:style>
  <w:style w:type="character" w:customStyle="1" w:styleId="StyleListBullet2Char">
    <w:name w:val="Style List Bullet 2 + Char"/>
    <w:basedOn w:val="ListBullet2Char"/>
    <w:link w:val="StyleListBullet2"/>
    <w:qFormat/>
    <w:rPr>
      <w:rFonts w:ascii="Times New Roman" w:eastAsia="Times New Roman" w:hAnsi="Times New Roman" w:cs="Times New Roman"/>
      <w:sz w:val="24"/>
      <w:szCs w:val="20"/>
      <w:lang w:val="bg-BG"/>
    </w:rPr>
  </w:style>
  <w:style w:type="character" w:customStyle="1" w:styleId="StyleBodyTextAfter0ptChar">
    <w:name w:val="Style Body Text + After:  0 pt Char"/>
    <w:basedOn w:val="BodyTextChar"/>
    <w:link w:val="StyleBodyTextAfter0pt"/>
    <w:qFormat/>
    <w:rPr>
      <w:rFonts w:ascii="Times New Roman" w:eastAsia="Times New Roman" w:hAnsi="Times New Roman" w:cs="Times New Roman"/>
      <w:sz w:val="24"/>
      <w:szCs w:val="20"/>
      <w:lang w:val="bg-BG"/>
    </w:rPr>
  </w:style>
  <w:style w:type="character" w:customStyle="1" w:styleId="StyleStyleBodyTextAfter0ptVerdanaBoldChar">
    <w:name w:val="Style Style Body Text + After:  0 pt + Verdana Bold Char"/>
    <w:link w:val="StyleStyleBodyTextAfter0ptVerdanaBold"/>
    <w:qFormat/>
    <w:rPr>
      <w:rFonts w:ascii="Times New Roman" w:eastAsia="Times New Roman" w:hAnsi="Times New Roman" w:cs="Times New Roman"/>
      <w:b/>
      <w:bCs/>
      <w:sz w:val="24"/>
      <w:szCs w:val="24"/>
      <w:lang w:val="bg-BG"/>
    </w:rPr>
  </w:style>
  <w:style w:type="character" w:customStyle="1" w:styleId="StyleStyleBodyTextAfter0ptVerdanaBoldAutoChar">
    <w:name w:val="Style Style Body Text + After:  0 pt + Verdana Bold Auto Char"/>
    <w:link w:val="StyleStyleBodyTextAfter0ptVerdanaBoldAuto"/>
    <w:qFormat/>
    <w:rPr>
      <w:rFonts w:ascii="Times New Roman" w:eastAsia="Times New Roman" w:hAnsi="Times New Roman" w:cs="Times New Roman"/>
      <w:b/>
      <w:bCs/>
      <w:sz w:val="24"/>
      <w:szCs w:val="24"/>
      <w:lang w:val="bg-BG"/>
    </w:rPr>
  </w:style>
  <w:style w:type="character" w:customStyle="1" w:styleId="StyleHeading1Gray-80Char">
    <w:name w:val="Style Heading 1 + Gray-80% Char"/>
    <w:basedOn w:val="Heading1Char"/>
    <w:qFormat/>
    <w:rPr>
      <w:rFonts w:ascii="Verdana" w:eastAsia="Times New Roman" w:hAnsi="Verdana" w:cs="Arial"/>
      <w:b/>
      <w:bCs/>
      <w:caps w:val="0"/>
      <w:smallCaps w:val="0"/>
      <w:color w:val="263673"/>
      <w:sz w:val="28"/>
      <w:szCs w:val="32"/>
      <w:lang w:val="bg-BG" w:eastAsia="bg-BG"/>
    </w:rPr>
  </w:style>
  <w:style w:type="character" w:styleId="Emphasis">
    <w:name w:val="Emphasis"/>
    <w:basedOn w:val="DefaultParagraphFont"/>
    <w:uiPriority w:val="20"/>
    <w:qFormat/>
    <w:rPr>
      <w:b/>
      <w:bCs/>
      <w:i w:val="0"/>
      <w:iCs w:val="0"/>
    </w:rPr>
  </w:style>
  <w:style w:type="character" w:customStyle="1" w:styleId="st">
    <w:name w:val="st"/>
    <w:basedOn w:val="DefaultParagraphFont"/>
    <w:qFormat/>
  </w:style>
  <w:style w:type="character" w:styleId="CommentReference">
    <w:name w:val="annotation reference"/>
    <w:basedOn w:val="DefaultParagraphFont"/>
    <w:uiPriority w:val="99"/>
    <w:semiHidden/>
    <w:unhideWhenUsed/>
    <w:qFormat/>
    <w:rPr>
      <w:sz w:val="16"/>
      <w:szCs w:val="16"/>
    </w:rPr>
  </w:style>
  <w:style w:type="character" w:customStyle="1" w:styleId="CommentSubjectChar">
    <w:name w:val="Comment Subject Char"/>
    <w:basedOn w:val="CommentTextChar"/>
    <w:link w:val="CommentSubject"/>
    <w:semiHidden/>
    <w:qFormat/>
    <w:rPr>
      <w:rFonts w:ascii="Times New Roman" w:eastAsia="Times New Roman" w:hAnsi="Times New Roman" w:cs="Times New Roman"/>
      <w:b/>
      <w:bCs/>
      <w:sz w:val="20"/>
      <w:szCs w:val="20"/>
      <w:lang w:val="bg-BG"/>
    </w:rPr>
  </w:style>
  <w:style w:type="character" w:customStyle="1" w:styleId="DGEMPLStandardCarattere">
    <w:name w:val="DGEMPL_Standard Carattere"/>
    <w:basedOn w:val="DefaultParagraphFont"/>
    <w:link w:val="DGEMPLStandard"/>
    <w:qFormat/>
    <w:rPr>
      <w:rFonts w:ascii="Verdana" w:eastAsia="Times New Roman" w:hAnsi="Verdana" w:cs="Times New Roman"/>
      <w:sz w:val="20"/>
      <w:szCs w:val="20"/>
      <w:lang w:eastAsia="bg-BG"/>
    </w:rPr>
  </w:style>
  <w:style w:type="character" w:customStyle="1" w:styleId="PSParagraphTextChar">
    <w:name w:val="PS_Paragraph_Text Char"/>
    <w:basedOn w:val="DefaultParagraphFont"/>
    <w:link w:val="PSParagraphText"/>
    <w:qFormat/>
    <w:rPr>
      <w:rFonts w:ascii="Times New Roman" w:eastAsia="Times New Roman" w:hAnsi="Times New Roman" w:cs="Times New Roman"/>
      <w:sz w:val="20"/>
      <w:szCs w:val="20"/>
      <w:lang w:eastAsia="bg-BG"/>
    </w:rPr>
  </w:style>
  <w:style w:type="character" w:customStyle="1" w:styleId="Marker">
    <w:name w:val="Marker"/>
    <w:basedOn w:val="DefaultParagraphFont"/>
    <w:qFormat/>
    <w:rPr>
      <w:color w:val="0000FF"/>
      <w:shd w:val="clear" w:color="auto" w:fill="FFFFFF"/>
    </w:rPr>
  </w:style>
  <w:style w:type="character" w:customStyle="1" w:styleId="FooterCoverPageChar">
    <w:name w:val="Footer Cover Page Char"/>
    <w:basedOn w:val="DefaultParagraphFont"/>
    <w:link w:val="FooterCoverPage"/>
    <w:qFormat/>
    <w:rPr>
      <w:rFonts w:ascii="Times New Roman" w:eastAsia="Times New Roman" w:hAnsi="Times New Roman" w:cs="Times New Roman"/>
      <w:sz w:val="24"/>
      <w:szCs w:val="20"/>
    </w:rPr>
  </w:style>
  <w:style w:type="character" w:customStyle="1" w:styleId="FooterSensitivityChar">
    <w:name w:val="Footer Sensitivity Char"/>
    <w:basedOn w:val="DefaultParagraphFont"/>
    <w:link w:val="FooterSensitivity"/>
    <w:qFormat/>
    <w:rPr>
      <w:rFonts w:ascii="Times New Roman" w:eastAsia="Times New Roman" w:hAnsi="Times New Roman" w:cs="Times New Roman"/>
      <w:b/>
      <w:sz w:val="32"/>
      <w:szCs w:val="20"/>
    </w:rPr>
  </w:style>
  <w:style w:type="character" w:customStyle="1" w:styleId="HeaderCoverPageChar">
    <w:name w:val="Header Cover Page Char"/>
    <w:basedOn w:val="DefaultParagraphFont"/>
    <w:link w:val="HeaderCoverPage"/>
    <w:qFormat/>
    <w:rPr>
      <w:rFonts w:ascii="Times New Roman" w:eastAsia="Times New Roman" w:hAnsi="Times New Roman" w:cs="Times New Roman"/>
      <w:sz w:val="24"/>
      <w:szCs w:val="20"/>
    </w:rPr>
  </w:style>
  <w:style w:type="character" w:customStyle="1" w:styleId="HeaderSensitivityChar">
    <w:name w:val="Header Sensitivity Char"/>
    <w:basedOn w:val="DefaultParagraphFont"/>
    <w:link w:val="HeaderSensitivity"/>
    <w:qFormat/>
    <w:rPr>
      <w:rFonts w:ascii="Times New Roman" w:eastAsia="Times New Roman" w:hAnsi="Times New Roman" w:cs="Times New Roman"/>
      <w:b/>
      <w:sz w:val="32"/>
      <w:szCs w:val="20"/>
    </w:rPr>
  </w:style>
  <w:style w:type="character" w:customStyle="1" w:styleId="st1">
    <w:name w:val="st1"/>
    <w:basedOn w:val="DefaultParagraphFont"/>
    <w:qFormat/>
  </w:style>
  <w:style w:type="character" w:customStyle="1" w:styleId="ListLabel1">
    <w:name w:val="ListLabel 1"/>
    <w:qFormat/>
    <w:rPr>
      <w:color w:val="7F7F7F"/>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TOC1"/>
    <w:next w:val="BodyText"/>
    <w:link w:val="HeadingChar"/>
    <w:qFormat/>
    <w:pPr>
      <w:widowControl w:val="0"/>
      <w:spacing w:after="0"/>
      <w:ind w:left="0" w:firstLine="0"/>
      <w:jc w:val="left"/>
    </w:pPr>
    <w:rPr>
      <w:b/>
      <w:sz w:val="20"/>
      <w:u w:val="single"/>
    </w:rPr>
  </w:style>
  <w:style w:type="paragraph" w:styleId="BodyText">
    <w:name w:val="Body Text"/>
    <w:basedOn w:val="Normal"/>
    <w:link w:val="BodyTextChar"/>
    <w:pPr>
      <w:spacing w:after="120"/>
    </w:pPr>
  </w:style>
  <w:style w:type="paragraph" w:styleId="List">
    <w:name w:val="List"/>
    <w:basedOn w:val="Normal"/>
    <w:pPr>
      <w:ind w:left="283" w:hanging="283"/>
    </w:pPr>
  </w:style>
  <w:style w:type="paragraph" w:styleId="Caption">
    <w:name w:val="caption"/>
    <w:basedOn w:val="Normal"/>
    <w:next w:val="Normal"/>
    <w:qFormat/>
    <w:pPr>
      <w:spacing w:before="120" w:after="120"/>
    </w:pPr>
    <w:rPr>
      <w:b/>
    </w:rPr>
  </w:style>
  <w:style w:type="paragraph" w:customStyle="1" w:styleId="Index">
    <w:name w:val="Index"/>
    <w:basedOn w:val="Normal"/>
    <w:qFormat/>
    <w:pPr>
      <w:suppressLineNumbers/>
    </w:pPr>
    <w:rPr>
      <w:rFonts w:cs="Mangal"/>
    </w:rPr>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qFormat/>
    <w:pPr>
      <w:spacing w:after="0"/>
      <w:jc w:val="left"/>
    </w:pPr>
  </w:style>
  <w:style w:type="paragraph" w:customStyle="1" w:styleId="AddressTL">
    <w:name w:val="AddressTL"/>
    <w:basedOn w:val="Normal"/>
    <w:next w:val="Normal"/>
    <w:qFormat/>
    <w:pPr>
      <w:spacing w:after="720"/>
      <w:jc w:val="left"/>
    </w:pPr>
  </w:style>
  <w:style w:type="paragraph" w:customStyle="1" w:styleId="AddressTR">
    <w:name w:val="AddressTR"/>
    <w:basedOn w:val="Normal"/>
    <w:next w:val="Normal"/>
    <w:qFormat/>
    <w:pPr>
      <w:spacing w:after="720"/>
      <w:ind w:left="5103"/>
      <w:jc w:val="left"/>
    </w:pPr>
  </w:style>
  <w:style w:type="paragraph" w:styleId="BlockText">
    <w:name w:val="Block Text"/>
    <w:basedOn w:val="Normal"/>
    <w:qFormat/>
    <w:pPr>
      <w:spacing w:after="120"/>
      <w:ind w:left="1440" w:right="144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r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link w:val="BodyTextIndent3Char"/>
    <w:qFormat/>
    <w:pPr>
      <w:spacing w:after="120"/>
      <w:ind w:left="283"/>
    </w:pPr>
    <w:rPr>
      <w:sz w:val="16"/>
    </w:rPr>
  </w:style>
  <w:style w:type="paragraph" w:customStyle="1" w:styleId="ChapterTitle">
    <w:name w:val="ChapterTitle"/>
    <w:basedOn w:val="Normal"/>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losing">
    <w:name w:val="Closing"/>
    <w:basedOn w:val="Normal"/>
    <w:link w:val="ClosingChar"/>
    <w:qFormat/>
    <w:pPr>
      <w:ind w:left="4252"/>
    </w:pPr>
  </w:style>
  <w:style w:type="paragraph" w:styleId="CommentText">
    <w:name w:val="annotation text"/>
    <w:basedOn w:val="Normal"/>
    <w:link w:val="CommentTextChar"/>
    <w:uiPriority w:val="99"/>
    <w:semiHidden/>
    <w:qFormat/>
    <w:rPr>
      <w:sz w:val="20"/>
    </w:rPr>
  </w:style>
  <w:style w:type="paragraph" w:styleId="Date">
    <w:name w:val="Date"/>
    <w:basedOn w:val="Normal"/>
    <w:link w:val="DateChar"/>
    <w:qFormat/>
    <w:pPr>
      <w:spacing w:after="0"/>
      <w:ind w:left="5103" w:right="-567"/>
      <w:jc w:val="left"/>
    </w:pPr>
  </w:style>
  <w:style w:type="paragraph" w:customStyle="1" w:styleId="References">
    <w:name w:val="References"/>
    <w:basedOn w:val="Normal"/>
    <w:next w:val="AddressTR"/>
    <w:qFormat/>
    <w:pPr>
      <w:ind w:left="5103"/>
      <w:jc w:val="left"/>
    </w:pPr>
    <w:rPr>
      <w:sz w:val="20"/>
    </w:rPr>
  </w:style>
  <w:style w:type="paragraph" w:styleId="DocumentMap">
    <w:name w:val="Document Map"/>
    <w:basedOn w:val="Normal"/>
    <w:link w:val="DocumentMapChar"/>
    <w:semiHidden/>
    <w:qFormat/>
    <w:pPr>
      <w:shd w:val="clear" w:color="auto" w:fill="000080"/>
    </w:pPr>
    <w:rPr>
      <w:rFonts w:ascii="Tahoma" w:hAnsi="Tahoma"/>
    </w:rPr>
  </w:style>
  <w:style w:type="paragraph" w:customStyle="1" w:styleId="DoubSign">
    <w:name w:val="DoubSign"/>
    <w:basedOn w:val="Normal"/>
    <w:qFormat/>
    <w:pPr>
      <w:tabs>
        <w:tab w:val="left" w:pos="5103"/>
      </w:tabs>
      <w:spacing w:before="1200" w:after="0"/>
      <w:jc w:val="left"/>
    </w:pPr>
  </w:style>
  <w:style w:type="paragraph" w:customStyle="1" w:styleId="Enclosures">
    <w:name w:val="Enclosures"/>
    <w:basedOn w:val="Normal"/>
    <w:qFormat/>
    <w:pPr>
      <w:keepNext/>
      <w:keepLines/>
      <w:tabs>
        <w:tab w:val="left" w:pos="5642"/>
      </w:tabs>
      <w:spacing w:before="480" w:after="0"/>
      <w:ind w:left="1191" w:hanging="1191"/>
      <w:jc w:val="left"/>
    </w:pPr>
  </w:style>
  <w:style w:type="paragraph" w:styleId="EndnoteText">
    <w:name w:val="endnote text"/>
    <w:basedOn w:val="Normal"/>
    <w:link w:val="EndnoteTextChar"/>
    <w:semiHidden/>
    <w:qFormat/>
    <w:rPr>
      <w:sz w:val="20"/>
    </w:rPr>
  </w:style>
  <w:style w:type="paragraph" w:styleId="EnvelopeAddress">
    <w:name w:val="envelope address"/>
    <w:basedOn w:val="Normal"/>
    <w:qFormat/>
    <w:pPr>
      <w:spacing w:after="0"/>
    </w:pPr>
  </w:style>
  <w:style w:type="paragraph" w:styleId="EnvelopeReturn">
    <w:name w:val="envelope return"/>
    <w:basedOn w:val="Normal"/>
    <w:qFormat/>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qFormat/>
    <w:pPr>
      <w:ind w:left="240" w:hanging="240"/>
    </w:pPr>
  </w:style>
  <w:style w:type="paragraph" w:styleId="Index2">
    <w:name w:val="index 2"/>
    <w:basedOn w:val="Normal"/>
    <w:next w:val="Normal"/>
    <w:autoRedefine/>
    <w:semiHidden/>
    <w:qFormat/>
    <w:pPr>
      <w:ind w:left="480" w:hanging="240"/>
    </w:pPr>
  </w:style>
  <w:style w:type="paragraph" w:styleId="Index3">
    <w:name w:val="index 3"/>
    <w:basedOn w:val="Normal"/>
    <w:next w:val="Normal"/>
    <w:autoRedefine/>
    <w:semiHidden/>
    <w:qFormat/>
    <w:pPr>
      <w:ind w:left="720" w:hanging="240"/>
    </w:pPr>
  </w:style>
  <w:style w:type="paragraph" w:styleId="Index4">
    <w:name w:val="index 4"/>
    <w:basedOn w:val="Normal"/>
    <w:next w:val="Normal"/>
    <w:autoRedefine/>
    <w:semiHidden/>
    <w:qFormat/>
    <w:pPr>
      <w:ind w:left="960" w:hanging="240"/>
    </w:pPr>
  </w:style>
  <w:style w:type="paragraph" w:styleId="Index5">
    <w:name w:val="index 5"/>
    <w:basedOn w:val="Normal"/>
    <w:next w:val="Normal"/>
    <w:autoRedefine/>
    <w:semiHidden/>
    <w:qFormat/>
    <w:pPr>
      <w:ind w:left="1200" w:hanging="240"/>
    </w:pPr>
  </w:style>
  <w:style w:type="paragraph" w:styleId="Index6">
    <w:name w:val="index 6"/>
    <w:basedOn w:val="Normal"/>
    <w:next w:val="Normal"/>
    <w:autoRedefine/>
    <w:semiHidden/>
    <w:qFormat/>
    <w:pPr>
      <w:ind w:left="1440" w:hanging="240"/>
    </w:pPr>
  </w:style>
  <w:style w:type="paragraph" w:styleId="Index7">
    <w:name w:val="index 7"/>
    <w:basedOn w:val="Normal"/>
    <w:next w:val="Normal"/>
    <w:autoRedefine/>
    <w:semiHidden/>
    <w:qFormat/>
    <w:pPr>
      <w:ind w:left="1680" w:hanging="240"/>
    </w:pPr>
  </w:style>
  <w:style w:type="paragraph" w:styleId="Index8">
    <w:name w:val="index 8"/>
    <w:basedOn w:val="Normal"/>
    <w:next w:val="Normal"/>
    <w:autoRedefine/>
    <w:semiHidden/>
    <w:qFormat/>
    <w:pPr>
      <w:ind w:left="1920" w:hanging="240"/>
    </w:pPr>
  </w:style>
  <w:style w:type="paragraph" w:styleId="Index9">
    <w:name w:val="index 9"/>
    <w:basedOn w:val="Normal"/>
    <w:next w:val="Normal"/>
    <w:autoRedefine/>
    <w:semiHidden/>
    <w:qFormat/>
    <w:pPr>
      <w:ind w:left="2160" w:hanging="240"/>
    </w:pPr>
  </w:style>
  <w:style w:type="paragraph" w:styleId="IndexHeading">
    <w:name w:val="index heading"/>
    <w:basedOn w:val="Normal"/>
    <w:semiHidden/>
    <w:qFormat/>
    <w:rPr>
      <w:rFonts w:ascii="Arial" w:hAnsi="Arial"/>
      <w:b/>
    </w:rPr>
  </w:style>
  <w:style w:type="paragraph" w:styleId="ListBullet3">
    <w:name w:val="List Bullet 3"/>
    <w:basedOn w:val="Text3"/>
    <w:qFormat/>
  </w:style>
  <w:style w:type="paragraph" w:styleId="ListBullet4">
    <w:name w:val="List Bullet 4"/>
    <w:basedOn w:val="Text4"/>
    <w:qFormat/>
  </w:style>
  <w:style w:type="paragraph" w:styleId="ListBullet5">
    <w:name w:val="List Bullet 5"/>
    <w:basedOn w:val="Normal"/>
    <w:autoRedefine/>
    <w:qFormat/>
  </w:style>
  <w:style w:type="paragraph" w:styleId="ListNumber">
    <w:name w:val="List Number"/>
    <w:basedOn w:val="Normal"/>
    <w:qFormat/>
  </w:style>
  <w:style w:type="paragraph" w:styleId="ListBullet">
    <w:name w:val="List Bullet"/>
    <w:basedOn w:val="Normal"/>
    <w:qFormat/>
  </w:style>
  <w:style w:type="paragraph" w:styleId="ListBullet2">
    <w:name w:val="List Bullet 2"/>
    <w:basedOn w:val="Text2"/>
    <w:link w:val="ListBullet2Char"/>
    <w:qFormat/>
  </w:style>
  <w:style w:type="paragraph" w:styleId="ListContinue">
    <w:name w:val="List Continue"/>
    <w:basedOn w:val="Normal"/>
    <w:qFormat/>
    <w:pPr>
      <w:spacing w:after="120"/>
      <w:ind w:left="283"/>
    </w:pPr>
  </w:style>
  <w:style w:type="paragraph" w:styleId="ListContinue2">
    <w:name w:val="List Continue 2"/>
    <w:basedOn w:val="Normal"/>
    <w:qFormat/>
    <w:pPr>
      <w:spacing w:after="120"/>
      <w:ind w:left="566"/>
    </w:pPr>
  </w:style>
  <w:style w:type="paragraph" w:styleId="ListContinue3">
    <w:name w:val="List Continue 3"/>
    <w:basedOn w:val="Normal"/>
    <w:qFormat/>
    <w:pPr>
      <w:spacing w:after="120"/>
      <w:ind w:left="849"/>
    </w:pPr>
  </w:style>
  <w:style w:type="paragraph" w:styleId="ListContinue4">
    <w:name w:val="List Continue 4"/>
    <w:basedOn w:val="Normal"/>
    <w:qFormat/>
    <w:pPr>
      <w:spacing w:after="120"/>
      <w:ind w:left="1132"/>
    </w:pPr>
  </w:style>
  <w:style w:type="paragraph" w:styleId="ListContinue5">
    <w:name w:val="List Continue 5"/>
    <w:basedOn w:val="Normal"/>
    <w:qFormat/>
    <w:pPr>
      <w:spacing w:after="120"/>
      <w:ind w:left="1415"/>
    </w:pPr>
  </w:style>
  <w:style w:type="paragraph" w:styleId="ListNumber2">
    <w:name w:val="List Number 2"/>
    <w:basedOn w:val="Text2"/>
    <w:qFormat/>
  </w:style>
  <w:style w:type="paragraph" w:styleId="ListNumber3">
    <w:name w:val="List Number 3"/>
    <w:basedOn w:val="Text3"/>
    <w:qFormat/>
  </w:style>
  <w:style w:type="paragraph" w:styleId="ListNumber4">
    <w:name w:val="List Number 4"/>
    <w:basedOn w:val="Text4"/>
    <w:qFormat/>
  </w:style>
  <w:style w:type="paragraph" w:styleId="ListNumber5">
    <w:name w:val="List Number 5"/>
    <w:basedOn w:val="Normal"/>
    <w:qFormat/>
  </w:style>
  <w:style w:type="paragraph" w:styleId="MacroText">
    <w:name w:val="macro"/>
    <w:link w:val="MacroTextChar"/>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Times New Roman"/>
      <w:szCs w:val="20"/>
    </w:rPr>
  </w:style>
  <w:style w:type="paragraph" w:styleId="MessageHeader">
    <w:name w:val="Message Header"/>
    <w:basedOn w:val="Normal"/>
    <w:link w:val="MessageHeaderChar"/>
    <w:qFormat/>
    <w:pPr>
      <w:pBdr>
        <w:top w:val="single" w:sz="6" w:space="1" w:color="00000A"/>
        <w:left w:val="single" w:sz="6" w:space="1" w:color="00000A"/>
        <w:bottom w:val="single" w:sz="6" w:space="1" w:color="00000A"/>
        <w:right w:val="single" w:sz="6" w:space="1" w:color="00000A"/>
      </w:pBdr>
      <w:shd w:val="pct20" w:color="auto" w:fill="auto"/>
      <w:ind w:left="1134" w:hanging="1134"/>
    </w:pPr>
    <w:rPr>
      <w:rFonts w:ascii="Arial" w:hAnsi="Arial"/>
    </w:rPr>
  </w:style>
  <w:style w:type="paragraph" w:styleId="NormalIndent">
    <w:name w:val="Normal Indent"/>
    <w:basedOn w:val="Normal"/>
    <w:link w:val="NormalIndentChar"/>
    <w:qFormat/>
    <w:pPr>
      <w:ind w:left="720"/>
    </w:pPr>
  </w:style>
  <w:style w:type="paragraph" w:styleId="NoteHeading">
    <w:name w:val="Note Heading"/>
    <w:basedOn w:val="Normal"/>
    <w:next w:val="Normal"/>
    <w:link w:val="NoteHeadingChar"/>
    <w:qFormat/>
  </w:style>
  <w:style w:type="paragraph" w:customStyle="1" w:styleId="NoteHead">
    <w:name w:val="NoteHead"/>
    <w:basedOn w:val="Normal"/>
    <w:qFormat/>
    <w:pPr>
      <w:spacing w:before="720" w:after="720"/>
      <w:jc w:val="center"/>
    </w:pPr>
    <w:rPr>
      <w:b/>
      <w:smallCaps/>
    </w:rPr>
  </w:style>
  <w:style w:type="paragraph" w:customStyle="1" w:styleId="Subject">
    <w:name w:val="Subject"/>
    <w:basedOn w:val="Normal"/>
    <w:next w:val="Normal"/>
    <w:qFormat/>
    <w:pPr>
      <w:spacing w:after="480"/>
      <w:ind w:left="1531" w:hanging="1531"/>
      <w:jc w:val="left"/>
    </w:pPr>
    <w:rPr>
      <w:b/>
    </w:rPr>
  </w:style>
  <w:style w:type="paragraph" w:customStyle="1" w:styleId="NoteList">
    <w:name w:val="NoteList"/>
    <w:basedOn w:val="Normal"/>
    <w:next w:val="Subject"/>
    <w:qFormat/>
    <w:pPr>
      <w:tabs>
        <w:tab w:val="left" w:pos="5823"/>
      </w:tabs>
      <w:spacing w:before="720" w:after="720"/>
      <w:ind w:left="5104" w:hanging="3119"/>
      <w:jc w:val="left"/>
    </w:pPr>
    <w:rPr>
      <w:b/>
      <w:smallCaps/>
    </w:rPr>
  </w:style>
  <w:style w:type="paragraph" w:customStyle="1" w:styleId="NumPar1">
    <w:name w:val="NumPar 1"/>
    <w:basedOn w:val="Heading1"/>
    <w:qFormat/>
    <w:pPr>
      <w:numPr>
        <w:numId w:val="0"/>
      </w:numPr>
      <w:spacing w:before="0"/>
    </w:pPr>
    <w:rPr>
      <w:b w:val="0"/>
      <w:smallCaps w:val="0"/>
    </w:rPr>
  </w:style>
  <w:style w:type="paragraph" w:customStyle="1" w:styleId="NumPar2">
    <w:name w:val="NumPar 2"/>
    <w:basedOn w:val="Heading21"/>
    <w:qFormat/>
    <w:pPr>
      <w:keepNext/>
      <w:numPr>
        <w:ilvl w:val="0"/>
        <w:numId w:val="0"/>
      </w:numPr>
    </w:pPr>
    <w:rPr>
      <w:b w:val="0"/>
    </w:rPr>
  </w:style>
  <w:style w:type="paragraph" w:customStyle="1" w:styleId="NumPar3">
    <w:name w:val="NumPar 3"/>
    <w:basedOn w:val="Heading3"/>
    <w:qFormat/>
    <w:pPr>
      <w:numPr>
        <w:ilvl w:val="0"/>
        <w:numId w:val="0"/>
      </w:numPr>
    </w:pPr>
    <w:rPr>
      <w:i w:val="0"/>
    </w:rPr>
  </w:style>
  <w:style w:type="paragraph" w:customStyle="1" w:styleId="NumPar4">
    <w:name w:val="NumPar 4"/>
    <w:basedOn w:val="Heading4"/>
    <w:qFormat/>
    <w:pPr>
      <w:numPr>
        <w:ilvl w:val="0"/>
        <w:numId w:val="0"/>
      </w:numPr>
    </w:pPr>
  </w:style>
  <w:style w:type="paragraph" w:customStyle="1" w:styleId="PartTitle">
    <w:name w:val="PartTitle"/>
    <w:basedOn w:val="Normal"/>
    <w:next w:val="ChapterTitle"/>
    <w:qFormat/>
    <w:pPr>
      <w:keepNext/>
      <w:pageBreakBefore/>
      <w:spacing w:after="480"/>
      <w:jc w:val="center"/>
    </w:pPr>
    <w:rPr>
      <w:b/>
      <w:sz w:val="36"/>
    </w:rPr>
  </w:style>
  <w:style w:type="paragraph" w:styleId="PlainText">
    <w:name w:val="Plain Text"/>
    <w:basedOn w:val="Normal"/>
    <w:link w:val="PlainTextChar"/>
    <w:qFormat/>
    <w:rPr>
      <w:rFonts w:ascii="Courier New" w:hAnsi="Courier New"/>
      <w:sz w:val="20"/>
    </w:rPr>
  </w:style>
  <w:style w:type="paragraph" w:styleId="Salutation">
    <w:name w:val="Salutation"/>
    <w:basedOn w:val="Normal"/>
    <w:next w:val="Normal"/>
    <w:link w:val="SalutationChar"/>
  </w:style>
  <w:style w:type="paragraph" w:styleId="Signature">
    <w:name w:val="Signature"/>
    <w:basedOn w:val="Normal"/>
    <w:next w:val="Enclosures"/>
    <w:link w:val="SignatureChar"/>
    <w:pPr>
      <w:tabs>
        <w:tab w:val="left" w:pos="5103"/>
      </w:tabs>
      <w:spacing w:before="1200" w:after="0"/>
      <w:ind w:left="5103"/>
      <w:jc w:val="center"/>
    </w:pPr>
  </w:style>
  <w:style w:type="paragraph" w:styleId="Subtitle">
    <w:name w:val="Subtitle"/>
    <w:basedOn w:val="Normal"/>
    <w:link w:val="SubtitleChar"/>
    <w:qFormat/>
    <w:pPr>
      <w:spacing w:after="60"/>
      <w:jc w:val="center"/>
      <w:outlineLvl w:val="1"/>
    </w:pPr>
    <w:rPr>
      <w:rFonts w:ascii="Arial" w:hAnsi="Arial"/>
    </w:rPr>
  </w:style>
  <w:style w:type="paragraph" w:customStyle="1" w:styleId="SubTitle1">
    <w:name w:val="SubTitle 1"/>
    <w:basedOn w:val="Normal"/>
    <w:qFormat/>
    <w:pPr>
      <w:jc w:val="center"/>
    </w:pPr>
    <w:rPr>
      <w:b/>
      <w:sz w:val="40"/>
    </w:rPr>
  </w:style>
  <w:style w:type="paragraph" w:customStyle="1" w:styleId="SubTitle2">
    <w:name w:val="SubTitle 2"/>
    <w:basedOn w:val="Normal"/>
    <w:qFormat/>
    <w:pPr>
      <w:jc w:val="center"/>
    </w:pPr>
    <w:rPr>
      <w:b/>
      <w:sz w:val="32"/>
    </w:rPr>
  </w:style>
  <w:style w:type="paragraph" w:styleId="TableofAuthorities">
    <w:name w:val="table of authorities"/>
    <w:basedOn w:val="Normal"/>
    <w:next w:val="Normal"/>
    <w:semiHidden/>
    <w:qFormat/>
    <w:pPr>
      <w:ind w:left="240" w:hanging="240"/>
    </w:pPr>
  </w:style>
  <w:style w:type="paragraph" w:styleId="TableofFigures">
    <w:name w:val="table of figures"/>
    <w:basedOn w:val="Normal"/>
    <w:next w:val="Normal"/>
    <w:semiHidden/>
    <w:qFormat/>
    <w:pPr>
      <w:ind w:left="480" w:hanging="480"/>
    </w:pPr>
  </w:style>
  <w:style w:type="paragraph" w:styleId="Title">
    <w:name w:val="Title"/>
    <w:basedOn w:val="Normal"/>
    <w:link w:val="TitleChar"/>
    <w:qFormat/>
    <w:pPr>
      <w:spacing w:after="480"/>
      <w:jc w:val="center"/>
    </w:pPr>
    <w:rPr>
      <w:b/>
      <w:sz w:val="48"/>
    </w:rPr>
  </w:style>
  <w:style w:type="paragraph" w:styleId="TOAHeading">
    <w:name w:val="toa heading"/>
    <w:basedOn w:val="Normal"/>
    <w:next w:val="Normal"/>
    <w:semiHidden/>
    <w:qFormat/>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rFonts w:ascii="Verdana" w:hAnsi="Verdana"/>
      <w:caps/>
      <w:sz w:val="18"/>
    </w:rPr>
  </w:style>
  <w:style w:type="paragraph" w:styleId="TOC2">
    <w:name w:val="toc 2"/>
    <w:basedOn w:val="Normal"/>
    <w:next w:val="Normal"/>
    <w:uiPriority w:val="39"/>
    <w:pPr>
      <w:tabs>
        <w:tab w:val="right" w:leader="dot" w:pos="8640"/>
      </w:tabs>
      <w:spacing w:before="60" w:after="60"/>
      <w:ind w:left="1077" w:right="720" w:hanging="595"/>
    </w:pPr>
    <w:rPr>
      <w:rFonts w:ascii="Verdana" w:hAnsi="Verdana"/>
      <w:sz w:val="18"/>
    </w:rPr>
  </w:style>
  <w:style w:type="paragraph" w:styleId="TOC3">
    <w:name w:val="toc 3"/>
    <w:basedOn w:val="Normal"/>
    <w:next w:val="Normal"/>
    <w:uiPriority w:val="39"/>
    <w:semiHidden/>
    <w:qFormat/>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qFormat/>
    <w:pPr>
      <w:spacing w:after="480"/>
      <w:ind w:left="1531" w:hanging="1531"/>
    </w:pPr>
  </w:style>
  <w:style w:type="paragraph" w:customStyle="1" w:styleId="ListBullet1">
    <w:name w:val="List Bullet 1"/>
    <w:basedOn w:val="Text1"/>
    <w:qFormat/>
  </w:style>
  <w:style w:type="paragraph" w:customStyle="1" w:styleId="ListDash">
    <w:name w:val="List Dash"/>
    <w:basedOn w:val="Normal"/>
    <w:qFormat/>
  </w:style>
  <w:style w:type="paragraph" w:customStyle="1" w:styleId="ListDash1">
    <w:name w:val="List Dash 1"/>
    <w:basedOn w:val="Text1"/>
    <w:qFormat/>
  </w:style>
  <w:style w:type="paragraph" w:customStyle="1" w:styleId="ListDash2">
    <w:name w:val="List Dash 2"/>
    <w:basedOn w:val="Text2"/>
    <w:qFormat/>
  </w:style>
  <w:style w:type="paragraph" w:customStyle="1" w:styleId="ListDash3">
    <w:name w:val="List Dash 3"/>
    <w:basedOn w:val="Text3"/>
    <w:qFormat/>
  </w:style>
  <w:style w:type="paragraph" w:customStyle="1" w:styleId="ListDash4">
    <w:name w:val="List Dash 4"/>
    <w:basedOn w:val="Text4"/>
    <w:qFormat/>
  </w:style>
  <w:style w:type="paragraph" w:customStyle="1" w:styleId="ListNumberLevel2">
    <w:name w:val="List Number (Level 2)"/>
    <w:basedOn w:val="Normal"/>
    <w:qFormat/>
  </w:style>
  <w:style w:type="paragraph" w:customStyle="1" w:styleId="ListNumberLevel3">
    <w:name w:val="List Number (Level 3)"/>
    <w:basedOn w:val="Normal"/>
    <w:qFormat/>
  </w:style>
  <w:style w:type="paragraph" w:customStyle="1" w:styleId="ListNumberLevel4">
    <w:name w:val="List Number (Level 4)"/>
    <w:basedOn w:val="Normal"/>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style>
  <w:style w:type="paragraph" w:customStyle="1" w:styleId="ListNumber2Level3">
    <w:name w:val="List Number 2 (Level 3)"/>
    <w:basedOn w:val="Text2"/>
    <w:qFormat/>
  </w:style>
  <w:style w:type="paragraph" w:customStyle="1" w:styleId="ListNumber2Level4">
    <w:name w:val="List Number 2 (Level 4)"/>
    <w:basedOn w:val="Text2"/>
    <w:qFormat/>
  </w:style>
  <w:style w:type="paragraph" w:customStyle="1" w:styleId="ListNumber3Level2">
    <w:name w:val="List Number 3 (Level 2)"/>
    <w:basedOn w:val="Text3"/>
    <w:qFormat/>
  </w:style>
  <w:style w:type="paragraph" w:customStyle="1" w:styleId="ListNumber3Level3">
    <w:name w:val="List Number 3 (Level 3)"/>
    <w:basedOn w:val="Text3"/>
    <w:qFormat/>
  </w:style>
  <w:style w:type="paragraph" w:customStyle="1" w:styleId="ListNumber3Level4">
    <w:name w:val="List Number 3 (Level 4)"/>
    <w:basedOn w:val="Text3"/>
    <w:qFormat/>
  </w:style>
  <w:style w:type="paragraph" w:customStyle="1" w:styleId="ListNumber4Level2">
    <w:name w:val="List Number 4 (Level 2)"/>
    <w:basedOn w:val="Text4"/>
    <w:qFormat/>
  </w:style>
  <w:style w:type="paragraph" w:customStyle="1" w:styleId="ListNumber4Level3">
    <w:name w:val="List Number 4 (Level 3)"/>
    <w:basedOn w:val="Text4"/>
    <w:qFormat/>
  </w:style>
  <w:style w:type="paragraph" w:customStyle="1" w:styleId="ListNumber4Level4">
    <w:name w:val="List Number 4 (Level 4)"/>
    <w:basedOn w:val="Text4"/>
    <w:qFormat/>
  </w:style>
  <w:style w:type="paragraph" w:customStyle="1" w:styleId="TOCHeading1">
    <w:name w:val="TOC Heading1"/>
    <w:basedOn w:val="Normal"/>
    <w:next w:val="Normal"/>
    <w:qFormat/>
    <w:pPr>
      <w:keepNext/>
      <w:spacing w:before="240"/>
      <w:jc w:val="center"/>
    </w:pPr>
    <w:rPr>
      <w:b/>
    </w:rPr>
  </w:style>
  <w:style w:type="paragraph" w:customStyle="1" w:styleId="Contact">
    <w:name w:val="Contact"/>
    <w:basedOn w:val="Normal"/>
    <w:next w:val="Normal"/>
    <w:qFormat/>
    <w:pPr>
      <w:spacing w:after="480"/>
      <w:ind w:left="567" w:hanging="567"/>
      <w:jc w:val="left"/>
    </w:pPr>
  </w:style>
  <w:style w:type="paragraph" w:customStyle="1" w:styleId="ZCom">
    <w:name w:val="Z_Com"/>
    <w:basedOn w:val="Normal"/>
    <w:qFormat/>
    <w:pPr>
      <w:widowControl w:val="0"/>
      <w:spacing w:after="0"/>
      <w:ind w:right="85"/>
    </w:pPr>
    <w:rPr>
      <w:rFonts w:ascii="Arial" w:hAnsi="Arial" w:cs="Arial"/>
      <w:szCs w:val="24"/>
    </w:rPr>
  </w:style>
  <w:style w:type="paragraph" w:customStyle="1" w:styleId="ZDGName">
    <w:name w:val="Z_DGName"/>
    <w:basedOn w:val="Normal"/>
    <w:qFormat/>
    <w:pPr>
      <w:widowControl w:val="0"/>
      <w:spacing w:after="0"/>
      <w:ind w:right="85"/>
      <w:jc w:val="left"/>
    </w:pPr>
    <w:rPr>
      <w:rFonts w:ascii="Arial" w:hAnsi="Arial" w:cs="Arial"/>
      <w:sz w:val="16"/>
      <w:szCs w:val="16"/>
    </w:rPr>
  </w:style>
  <w:style w:type="paragraph" w:styleId="BalloonText">
    <w:name w:val="Balloon Text"/>
    <w:basedOn w:val="Normal"/>
    <w:link w:val="BalloonTextChar"/>
    <w:semiHidden/>
    <w:qFormat/>
    <w:rPr>
      <w:rFonts w:ascii="Tahoma" w:hAnsi="Tahoma" w:cs="Tahoma"/>
      <w:sz w:val="16"/>
      <w:szCs w:val="16"/>
    </w:rPr>
  </w:style>
  <w:style w:type="paragraph" w:customStyle="1" w:styleId="DocumentTitle">
    <w:name w:val="Document Title"/>
    <w:basedOn w:val="Normal"/>
    <w:link w:val="DocumentTitleChar"/>
    <w:qFormat/>
    <w:pPr>
      <w:jc w:val="center"/>
    </w:pPr>
    <w:rPr>
      <w:rFonts w:ascii="Verdana" w:hAnsi="Verdana"/>
      <w:b/>
      <w:sz w:val="52"/>
    </w:rPr>
  </w:style>
  <w:style w:type="paragraph" w:customStyle="1" w:styleId="Footerapproval">
    <w:name w:val="Footer approval"/>
    <w:basedOn w:val="Footer"/>
    <w:qFormat/>
    <w:pPr>
      <w:tabs>
        <w:tab w:val="left" w:pos="6804"/>
      </w:tabs>
    </w:pPr>
    <w:rPr>
      <w:rFonts w:ascii="Verdana" w:hAnsi="Verdana"/>
      <w:sz w:val="13"/>
    </w:rPr>
  </w:style>
  <w:style w:type="paragraph" w:customStyle="1" w:styleId="FooterDate">
    <w:name w:val="Footer Date"/>
    <w:basedOn w:val="Footer"/>
    <w:link w:val="FooterDateChar"/>
    <w:qFormat/>
    <w:pPr>
      <w:tabs>
        <w:tab w:val="right" w:pos="9240"/>
      </w:tabs>
    </w:pPr>
    <w:rPr>
      <w:rFonts w:ascii="Verdana" w:hAnsi="Verdana"/>
    </w:rPr>
  </w:style>
  <w:style w:type="paragraph" w:customStyle="1" w:styleId="PageNumber1">
    <w:name w:val="Page Number1"/>
    <w:basedOn w:val="Footer"/>
    <w:qFormat/>
    <w:pPr>
      <w:tabs>
        <w:tab w:val="right" w:pos="9240"/>
      </w:tabs>
      <w:ind w:right="-622"/>
    </w:pPr>
    <w:rPr>
      <w:rFonts w:ascii="Verdana" w:hAnsi="Verdana"/>
    </w:rPr>
  </w:style>
  <w:style w:type="paragraph" w:customStyle="1" w:styleId="DocumentSubtitle">
    <w:name w:val="Document Subtitle"/>
    <w:basedOn w:val="DocumentTitle"/>
    <w:link w:val="DocumentSubtitleChar"/>
    <w:qFormat/>
    <w:rPr>
      <w:b w:val="0"/>
      <w:sz w:val="32"/>
      <w:szCs w:val="36"/>
    </w:rPr>
  </w:style>
  <w:style w:type="paragraph" w:customStyle="1" w:styleId="HeaderTitle">
    <w:name w:val="Header Title"/>
    <w:basedOn w:val="Normal"/>
    <w:link w:val="HeaderTitleChar"/>
    <w:qFormat/>
    <w:pPr>
      <w:jc w:val="center"/>
    </w:pPr>
    <w:rPr>
      <w:rFonts w:ascii="Verdana" w:hAnsi="Verdana"/>
      <w:b/>
      <w:color w:val="808080"/>
      <w:sz w:val="18"/>
      <w:szCs w:val="18"/>
    </w:rPr>
  </w:style>
  <w:style w:type="paragraph" w:customStyle="1" w:styleId="Bulletpoint1">
    <w:name w:val="Bullet point1"/>
    <w:basedOn w:val="NormalIndent"/>
    <w:link w:val="Bulletpoint1Char"/>
    <w:qFormat/>
    <w:pPr>
      <w:spacing w:after="120"/>
      <w:ind w:left="0"/>
      <w:jc w:val="left"/>
    </w:pPr>
    <w:rPr>
      <w:rFonts w:ascii="Verdana" w:hAnsi="Verdana"/>
      <w:sz w:val="18"/>
    </w:rPr>
  </w:style>
  <w:style w:type="paragraph" w:customStyle="1" w:styleId="BulletPoint2">
    <w:name w:val="Bullet Point 2"/>
    <w:basedOn w:val="NormalIndent"/>
    <w:link w:val="BulletPoint2Char"/>
    <w:qFormat/>
    <w:pPr>
      <w:spacing w:after="120"/>
      <w:ind w:left="1077" w:hanging="357"/>
      <w:jc w:val="left"/>
    </w:pPr>
    <w:rPr>
      <w:rFonts w:ascii="Verdana" w:hAnsi="Verdana"/>
      <w:sz w:val="18"/>
    </w:rPr>
  </w:style>
  <w:style w:type="paragraph" w:customStyle="1" w:styleId="Body">
    <w:name w:val="Body"/>
    <w:basedOn w:val="Normal"/>
    <w:link w:val="BodyChar"/>
    <w:qFormat/>
    <w:pPr>
      <w:jc w:val="left"/>
    </w:pPr>
    <w:rPr>
      <w:rFonts w:ascii="Verdana" w:hAnsi="Verdana"/>
      <w:sz w:val="18"/>
    </w:rPr>
  </w:style>
  <w:style w:type="paragraph" w:customStyle="1" w:styleId="FooterDocument">
    <w:name w:val="Footer Document"/>
    <w:basedOn w:val="Body"/>
    <w:link w:val="FooterDocumentChar"/>
    <w:qFormat/>
    <w:pPr>
      <w:spacing w:after="0"/>
    </w:pPr>
    <w:rPr>
      <w:i/>
      <w:sz w:val="13"/>
    </w:rPr>
  </w:style>
  <w:style w:type="paragraph" w:styleId="TOCHeading">
    <w:name w:val="TOC Heading"/>
    <w:basedOn w:val="Heading1"/>
    <w:next w:val="Normal"/>
    <w:uiPriority w:val="39"/>
    <w:unhideWhenUsed/>
    <w:qFormat/>
    <w:pPr>
      <w:keepLines/>
      <w:numPr>
        <w:numId w:val="0"/>
      </w:numPr>
      <w:spacing w:before="480" w:after="0" w:line="276" w:lineRule="auto"/>
      <w:jc w:val="left"/>
    </w:pPr>
    <w:rPr>
      <w:rFonts w:asciiTheme="majorHAnsi" w:eastAsiaTheme="majorEastAsia" w:hAnsiTheme="majorHAnsi" w:cstheme="majorBidi"/>
      <w:bCs/>
      <w:smallCaps w:val="0"/>
      <w:color w:val="365F91" w:themeColor="accent1" w:themeShade="BF"/>
      <w:sz w:val="28"/>
      <w:szCs w:val="28"/>
    </w:rPr>
  </w:style>
  <w:style w:type="paragraph" w:customStyle="1" w:styleId="Title2">
    <w:name w:val="Title 2"/>
    <w:basedOn w:val="Normal"/>
    <w:qFormat/>
  </w:style>
  <w:style w:type="paragraph" w:customStyle="1" w:styleId="Subtitle0">
    <w:name w:val="Subtitle_"/>
    <w:basedOn w:val="TOC2"/>
    <w:qFormat/>
    <w:pPr>
      <w:ind w:left="0" w:firstLine="0"/>
    </w:pPr>
    <w:rPr>
      <w:b/>
      <w:i/>
      <w:sz w:val="20"/>
    </w:rPr>
  </w:style>
  <w:style w:type="paragraph" w:customStyle="1" w:styleId="HeadingBody">
    <w:name w:val="Heading Body"/>
    <w:basedOn w:val="Normal"/>
    <w:link w:val="HeadingBodyChar"/>
    <w:qFormat/>
    <w:pPr>
      <w:spacing w:after="120"/>
    </w:pPr>
    <w:rPr>
      <w:rFonts w:ascii="Verdana" w:hAnsi="Verdana"/>
      <w:b/>
      <w:sz w:val="20"/>
      <w:szCs w:val="18"/>
    </w:rPr>
  </w:style>
  <w:style w:type="paragraph" w:customStyle="1" w:styleId="Titlepublication">
    <w:name w:val="Title publication"/>
    <w:basedOn w:val="Normal"/>
    <w:link w:val="TitlepublicationChar"/>
    <w:qFormat/>
    <w:pPr>
      <w:jc w:val="center"/>
    </w:pPr>
    <w:rPr>
      <w:rFonts w:ascii="Verdana" w:hAnsi="Verdana"/>
      <w:b/>
      <w:color w:val="FF0000"/>
      <w:sz w:val="52"/>
      <w:szCs w:val="52"/>
    </w:rPr>
  </w:style>
  <w:style w:type="paragraph" w:customStyle="1" w:styleId="Subtitlepublication">
    <w:name w:val="Subtitle publication"/>
    <w:basedOn w:val="Normal"/>
    <w:link w:val="SubtitlepublicationChar"/>
    <w:qFormat/>
    <w:pPr>
      <w:jc w:val="center"/>
    </w:pPr>
    <w:rPr>
      <w:rFonts w:ascii="Verdana" w:hAnsi="Verdana"/>
      <w:b/>
      <w:i/>
      <w:color w:val="FF0000"/>
      <w:sz w:val="32"/>
    </w:rPr>
  </w:style>
  <w:style w:type="paragraph" w:customStyle="1" w:styleId="Editorname">
    <w:name w:val="Editor name"/>
    <w:basedOn w:val="Normal"/>
    <w:link w:val="EditornameChar"/>
    <w:qFormat/>
    <w:pPr>
      <w:jc w:val="center"/>
    </w:pPr>
    <w:rPr>
      <w:rFonts w:ascii="Verdana" w:hAnsi="Verdana"/>
      <w:color w:val="FF0000"/>
    </w:rPr>
  </w:style>
  <w:style w:type="paragraph" w:customStyle="1" w:styleId="Backcoversummary">
    <w:name w:val="Backcover_summary"/>
    <w:basedOn w:val="Normal"/>
    <w:link w:val="BackcoversummaryChar"/>
    <w:qFormat/>
    <w:rPr>
      <w:rFonts w:ascii="Verdana" w:hAnsi="Verdana"/>
      <w:color w:val="FF0000"/>
    </w:rPr>
  </w:style>
  <w:style w:type="paragraph" w:customStyle="1" w:styleId="Backcovercategory">
    <w:name w:val="Backcover_category"/>
    <w:basedOn w:val="Normal"/>
    <w:link w:val="BackcovercategoryChar"/>
    <w:qFormat/>
    <w:pPr>
      <w:ind w:right="28"/>
    </w:pPr>
    <w:rPr>
      <w:rFonts w:ascii="Verdana" w:hAnsi="Verdana"/>
      <w:i/>
      <w:color w:val="FF0000"/>
      <w:sz w:val="18"/>
    </w:rPr>
  </w:style>
  <w:style w:type="paragraph" w:customStyle="1" w:styleId="StyleBodyTextAfter0pt">
    <w:name w:val="Style Body Text + After:  0 pt"/>
    <w:basedOn w:val="BodyText"/>
    <w:link w:val="StyleBodyTextAfter0ptChar"/>
    <w:qFormat/>
    <w:pPr>
      <w:spacing w:after="0"/>
    </w:pPr>
  </w:style>
  <w:style w:type="paragraph" w:customStyle="1" w:styleId="StyleHeading2VerdanaAuto">
    <w:name w:val="Style Heading 2 + Verdana Auto"/>
    <w:basedOn w:val="Heading21"/>
    <w:qFormat/>
    <w:pPr>
      <w:numPr>
        <w:ilvl w:val="0"/>
        <w:numId w:val="0"/>
      </w:numPr>
      <w:spacing w:before="240" w:after="60"/>
    </w:pPr>
    <w:rPr>
      <w:rFonts w:cs="Arial"/>
      <w:bCs/>
      <w:color w:val="263673"/>
      <w:sz w:val="22"/>
      <w:szCs w:val="28"/>
    </w:rPr>
  </w:style>
  <w:style w:type="paragraph" w:customStyle="1" w:styleId="StyleListBullet2">
    <w:name w:val="Style List Bullet 2 +"/>
    <w:basedOn w:val="ListBullet2"/>
    <w:link w:val="StyleListBullet2Char"/>
    <w:qFormat/>
    <w:pPr>
      <w:tabs>
        <w:tab w:val="left" w:pos="227"/>
      </w:tabs>
      <w:spacing w:before="60" w:after="60"/>
      <w:ind w:left="227" w:hanging="227"/>
      <w:jc w:val="left"/>
    </w:pPr>
  </w:style>
  <w:style w:type="paragraph" w:customStyle="1" w:styleId="StyleStyleBodyTextAfter0ptVerdanaBold">
    <w:name w:val="Style Style Body Text + After:  0 pt + Verdana Bold"/>
    <w:basedOn w:val="StyleBodyTextAfter0pt"/>
    <w:link w:val="StyleStyleBodyTextAfter0ptVerdanaBoldChar"/>
    <w:qFormat/>
    <w:rPr>
      <w:b/>
      <w:bCs/>
      <w:szCs w:val="24"/>
    </w:rPr>
  </w:style>
  <w:style w:type="paragraph" w:customStyle="1" w:styleId="StyleStyleBodyTextAfter0ptVerdanaBoldAuto">
    <w:name w:val="Style Style Body Text + After:  0 pt + Verdana Bold Auto"/>
    <w:basedOn w:val="StyleBodyTextAfter0pt"/>
    <w:link w:val="StyleStyleBodyTextAfter0ptVerdanaBoldAutoChar"/>
    <w:qFormat/>
    <w:rPr>
      <w:b/>
      <w:bCs/>
      <w:szCs w:val="24"/>
    </w:rPr>
  </w:style>
  <w:style w:type="paragraph" w:customStyle="1" w:styleId="StyleHeading1Gray-80">
    <w:name w:val="Style Heading 1 + Gray-80%"/>
    <w:basedOn w:val="Heading1"/>
    <w:qFormat/>
    <w:pPr>
      <w:numPr>
        <w:numId w:val="0"/>
      </w:numPr>
      <w:spacing w:after="60"/>
    </w:pPr>
    <w:rPr>
      <w:rFonts w:ascii="Verdana" w:hAnsi="Verdana" w:cs="Arial"/>
      <w:bCs/>
      <w:smallCaps w:val="0"/>
      <w:color w:val="263673"/>
      <w:sz w:val="28"/>
      <w:szCs w:val="32"/>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link w:val="CommentSubjectChar"/>
    <w:semiHidden/>
    <w:unhideWhenUsed/>
    <w:qFormat/>
    <w:rPr>
      <w:b/>
      <w:bCs/>
    </w:rPr>
  </w:style>
  <w:style w:type="paragraph" w:customStyle="1" w:styleId="DGEMPLStandard">
    <w:name w:val="DGEMPL_Standard"/>
    <w:link w:val="DGEMPLStandardCarattere"/>
    <w:qFormat/>
    <w:pPr>
      <w:spacing w:before="120" w:after="120"/>
      <w:jc w:val="both"/>
    </w:pPr>
    <w:rPr>
      <w:rFonts w:ascii="Verdana" w:eastAsia="Times New Roman" w:hAnsi="Verdana" w:cs="Times New Roman"/>
      <w:szCs w:val="20"/>
    </w:rPr>
  </w:style>
  <w:style w:type="paragraph" w:customStyle="1" w:styleId="PSParagraphText">
    <w:name w:val="PS_Paragraph_Text"/>
    <w:basedOn w:val="Normal"/>
    <w:link w:val="PSParagraphTextChar"/>
    <w:qFormat/>
    <w:pPr>
      <w:spacing w:after="120"/>
    </w:pPr>
    <w:rPr>
      <w:sz w:val="20"/>
    </w:rPr>
  </w:style>
  <w:style w:type="paragraph" w:customStyle="1" w:styleId="Default">
    <w:name w:val="Default"/>
    <w:qFormat/>
    <w:rPr>
      <w:rFonts w:ascii="Times New Roman" w:eastAsia="Calibri" w:hAnsi="Times New Roman" w:cs="Times New Roman"/>
      <w:color w:val="000000"/>
      <w:sz w:val="24"/>
      <w:szCs w:val="24"/>
    </w:rPr>
  </w:style>
  <w:style w:type="paragraph" w:customStyle="1" w:styleId="Pagedecouverture">
    <w:name w:val="Page de couverture"/>
    <w:basedOn w:val="Normal"/>
    <w:next w:val="Normal"/>
    <w:qFormat/>
    <w:pPr>
      <w:spacing w:after="0"/>
    </w:pPr>
    <w:rPr>
      <w:rFonts w:eastAsiaTheme="minorHAnsi"/>
      <w:szCs w:val="22"/>
    </w:rPr>
  </w:style>
  <w:style w:type="paragraph" w:customStyle="1" w:styleId="FooterCoverPage">
    <w:name w:val="Footer Cover Page"/>
    <w:basedOn w:val="Normal"/>
    <w:link w:val="FooterCoverPageChar"/>
    <w:qFormat/>
    <w:pPr>
      <w:tabs>
        <w:tab w:val="center" w:pos="4535"/>
        <w:tab w:val="right" w:pos="9071"/>
        <w:tab w:val="right" w:pos="9921"/>
      </w:tabs>
      <w:spacing w:before="360" w:after="0"/>
      <w:ind w:left="-850" w:right="-850"/>
      <w:jc w:val="left"/>
    </w:pPr>
  </w:style>
  <w:style w:type="paragraph" w:customStyle="1" w:styleId="FooterSensitivity">
    <w:name w:val="Footer Sensitivity"/>
    <w:basedOn w:val="Normal"/>
    <w:link w:val="FooterSensitivityChar"/>
    <w:qFormat/>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HeaderCoverPage">
    <w:name w:val="Header Cover Page"/>
    <w:basedOn w:val="Normal"/>
    <w:link w:val="HeaderCoverPageChar"/>
    <w:qFormat/>
    <w:pPr>
      <w:tabs>
        <w:tab w:val="center" w:pos="4535"/>
        <w:tab w:val="right" w:pos="9071"/>
      </w:tabs>
      <w:spacing w:after="120"/>
    </w:pPr>
  </w:style>
  <w:style w:type="paragraph" w:customStyle="1" w:styleId="HeaderSensitivity">
    <w:name w:val="Header Sensitivity"/>
    <w:basedOn w:val="Normal"/>
    <w:link w:val="HeaderSensitivityChar"/>
    <w:qFormat/>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styleId="Revision">
    <w:name w:val="Revision"/>
    <w:uiPriority w:val="99"/>
    <w:semiHidden/>
    <w:qFormat/>
    <w:rPr>
      <w:rFonts w:ascii="Times New Roman" w:eastAsia="Times New Roman" w:hAnsi="Times New Roman" w:cs="Times New Roman"/>
      <w:sz w:val="24"/>
      <w:szCs w:val="20"/>
    </w:rPr>
  </w:style>
  <w:style w:type="paragraph" w:styleId="NormalWeb">
    <w:name w:val="Normal (Web)"/>
    <w:basedOn w:val="Normal"/>
    <w:uiPriority w:val="99"/>
    <w:semiHidden/>
    <w:unhideWhenUsed/>
    <w:qFormat/>
    <w:pPr>
      <w:spacing w:beforeAutospacing="1" w:afterAutospacing="1"/>
      <w:jc w:val="left"/>
    </w:pPr>
    <w:rPr>
      <w:szCs w:val="24"/>
    </w:rPr>
  </w:style>
  <w:style w:type="paragraph" w:customStyle="1" w:styleId="FrameContents">
    <w:name w:val="Frame Contents"/>
    <w:basedOn w:val="Normal"/>
    <w:qFormat/>
  </w:style>
  <w:style w:type="numbering" w:customStyle="1" w:styleId="Style2">
    <w:name w:val="Style2"/>
    <w:qFormat/>
  </w:style>
  <w:style w:type="table" w:styleId="ColorfulGrid-Accent3">
    <w:name w:val="Colorful Grid Accent 3"/>
    <w:basedOn w:val="TableNormal"/>
    <w:uiPriority w:val="69"/>
    <w:rPr>
      <w:sz w:val="18"/>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leGrid">
    <w:name w:val="Table Grid"/>
    <w:basedOn w:val="TableNormal"/>
    <w:uiPriority w:val="39"/>
    <w:rPr>
      <w:sz w:val="18"/>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table" w:customStyle="1" w:styleId="Style1">
    <w:name w:val="Style1"/>
    <w:basedOn w:val="TableNormal"/>
    <w:rPr>
      <w:szCs w:val="20"/>
    </w:rPr>
    <w:tblPr/>
  </w:style>
  <w:style w:type="table" w:styleId="TableElegant">
    <w:name w:val="Table Elegant"/>
    <w:basedOn w:val="TableNormal"/>
    <w:pPr>
      <w:spacing w:after="240"/>
      <w:jc w:val="both"/>
    </w:pPr>
    <w:rPr>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Heading20">
    <w:name w:val="Heading2"/>
    <w:basedOn w:val="Title2"/>
    <w:link w:val="Heading2Char0"/>
    <w:qFormat/>
    <w:rPr>
      <w:rFonts w:ascii="Verdana" w:hAnsi="Verdana"/>
      <w:b/>
      <w:i/>
    </w:rPr>
  </w:style>
  <w:style w:type="character" w:customStyle="1" w:styleId="Heading2Char1">
    <w:name w:val="Heading 2 Char1"/>
    <w:basedOn w:val="DefaultParagraphFont"/>
    <w:semiHidden/>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92255-7468-4CBC-8CB7-96931F1A0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15</Pages>
  <Words>6173</Words>
  <Characters>34754</Characters>
  <Application>Microsoft Office Word</Application>
  <DocSecurity>0</DocSecurity>
  <Lines>589</Lines>
  <Paragraphs>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35</cp:revision>
  <cp:lastPrinted>2018-08-10T08:17:00Z</cp:lastPrinted>
  <dcterms:created xsi:type="dcterms:W3CDTF">2018-10-31T11:13:00Z</dcterms:created>
  <dcterms:modified xsi:type="dcterms:W3CDTF">2018-11-06T09:45:00Z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DocSecurity">
    <vt:i4>0</vt:i4>
  </property>
  <property fmtid="{D5CDD505-2E9C-101B-9397-08002B2CF9AE}" pid="5" name="DocStatus">
    <vt:lpwstr>Green</vt:lpwstr>
  </property>
  <property fmtid="{D5CDD505-2E9C-101B-9397-08002B2CF9AE}" pid="6" name="HyperlinksChanged">
    <vt:bool>false</vt:bool>
  </property>
  <property fmtid="{D5CDD505-2E9C-101B-9397-08002B2CF9AE}" pid="7" name="Last edited using">
    <vt:lpwstr>LW 6.0.1, Build 20180503</vt:lpwstr>
  </property>
  <property fmtid="{D5CDD505-2E9C-101B-9397-08002B2CF9AE}" pid="8" name="Level of sensitivity">
    <vt:lpwstr>Standard treatment</vt:lpwstr>
  </property>
  <property fmtid="{D5CDD505-2E9C-101B-9397-08002B2CF9AE}" pid="9" name="LinksUpToDate">
    <vt:bool>false</vt:bool>
  </property>
  <property fmtid="{D5CDD505-2E9C-101B-9397-08002B2CF9AE}" pid="10" name="Part">
    <vt:lpwstr>1</vt:lpwstr>
  </property>
  <property fmtid="{D5CDD505-2E9C-101B-9397-08002B2CF9AE}" pid="11" name="ScaleCrop">
    <vt:bool>false</vt:bool>
  </property>
  <property fmtid="{D5CDD505-2E9C-101B-9397-08002B2CF9AE}" pid="12" name="ShareDoc">
    <vt:bool>false</vt:bool>
  </property>
  <property fmtid="{D5CDD505-2E9C-101B-9397-08002B2CF9AE}" pid="13" name="Total parts">
    <vt:lpwstr>1</vt:lpwstr>
  </property>
  <property fmtid="{D5CDD505-2E9C-101B-9397-08002B2CF9AE}" pid="14" name="Created using">
    <vt:lpwstr>LW 6.0.1, Build 20180503</vt:lpwstr>
  </property>
</Properties>
</file>