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4D0AEF-A8EB-4A19-B879-78846883F465"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120" w:line="240" w:lineRule="auto"/>
        <w:rPr>
          <w:rFonts w:cs="Times New Roman"/>
          <w:noProof/>
          <w:sz w:val="24"/>
          <w:szCs w:val="24"/>
        </w:rPr>
      </w:pPr>
      <w:bookmarkStart w:id="1" w:name="_GoBack"/>
      <w:bookmarkEnd w:id="1"/>
      <w:r>
        <w:rPr>
          <w:noProof/>
          <w:sz w:val="24"/>
        </w:rPr>
        <w:lastRenderedPageBreak/>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Ендокринните нарушители са химични вещества, които променят функционирането на ендокринната система и оказват отрицателно въздействие върху здравето на човека и на животните. Те могат да са със синтетичен или естествен произход. Експозицията на ендокринни нарушители може да възникне от различни източници, като например остатъци от пестициди или потребителски продукти, използвани в ежедневието ни или които се срещат в него.</w:t>
      </w:r>
    </w:p>
    <w:p>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b/>
          <w:i/>
          <w:noProof/>
          <w:sz w:val="24"/>
          <w:szCs w:val="24"/>
        </w:rPr>
      </w:pPr>
      <w:r>
        <w:rPr>
          <w:rFonts w:ascii="Times New Roman" w:hAnsi="Times New Roman"/>
          <w:b/>
          <w:i/>
          <w:noProof/>
          <w:sz w:val="24"/>
        </w:rPr>
        <w:t>Какво представлява ендокринната система?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Ендокринната система е съобщителната система на тялото. Тя използва хормони — молекули, пренасящи сигнали и преминаващи през кръвта, като средство за предаване на информация и за да въздейства на отдалечени клетки, тъкани и органи. Хормоните са от съществено значение за контрола на редица процеси в тялото: от ранни процеси, като ембрионалното развитие и образуването на органите, до контрола на функциите на тъканите и органите у възрастните индивиди.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От 90-те години насам опасенията във връзка с ендокринните нарушители нарастват все повече</w:t>
      </w:r>
      <w:r>
        <w:rPr>
          <w:rStyle w:val="FootnoteReference"/>
          <w:rFonts w:ascii="Times New Roman" w:hAnsi="Times New Roman"/>
          <w:noProof/>
          <w:sz w:val="24"/>
        </w:rPr>
        <w:footnoteReference w:id="2"/>
      </w:r>
      <w:r>
        <w:rPr>
          <w:rFonts w:ascii="Times New Roman" w:hAnsi="Times New Roman"/>
          <w:noProof/>
          <w:sz w:val="24"/>
        </w:rPr>
        <w:t>. След приемането през 1998 г. на Резолюция относно ендокринните нарушители от Европейския парламент</w:t>
      </w:r>
      <w:r>
        <w:rPr>
          <w:rStyle w:val="FootnoteReference"/>
          <w:rFonts w:ascii="Times New Roman" w:hAnsi="Times New Roman"/>
          <w:noProof/>
          <w:sz w:val="24"/>
        </w:rPr>
        <w:footnoteReference w:id="3"/>
      </w:r>
      <w:r>
        <w:rPr>
          <w:rFonts w:ascii="Times New Roman" w:hAnsi="Times New Roman"/>
          <w:noProof/>
          <w:sz w:val="24"/>
        </w:rPr>
        <w:t>, през декември 1999 г. Комисията прие Стратегия на Общността за ендокринните нарушители</w:t>
      </w:r>
      <w:r>
        <w:rPr>
          <w:rStyle w:val="FootnoteReference"/>
          <w:rFonts w:ascii="Times New Roman" w:hAnsi="Times New Roman"/>
          <w:noProof/>
          <w:sz w:val="24"/>
        </w:rPr>
        <w:footnoteReference w:id="4"/>
      </w:r>
      <w:r>
        <w:rPr>
          <w:rFonts w:ascii="Times New Roman" w:hAnsi="Times New Roman"/>
          <w:noProof/>
          <w:sz w:val="24"/>
        </w:rPr>
        <w:t>, която оттогава търпи развитие чрез действия в сферата на научните изследвания, нормативното регулиране и международното сътрудничество.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Отбелязан е значителен напредък по отношение на разбирането и регулирането на ендокринните нарушители и днес ЕС е признат като един от световните лидери в работата с тези химикали. Същевременно безпокойството на обществеността във връзка с тях остава голямо.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Комисията винаги е била ангажирана и ще остане ангажирана със защитата на гражданите на ЕС и на околната среда от всички опасни химикали. Предвид това и почти двадесет години след приемането на стратегията на Общността от 1999 г. вече се усеща необходимостта да се актуализира подходът на ЕС относно ендокринните нарушители, така че той да продължи да бъде авангарден и да позволява съгласуваното предприемане на действия във връзка с тези вещества в различни области, като се опира на натрупаните познания и опит и на постигнатите резултати. Ето защо днес Комисията представя стратегическия си подход към ендокринните нарушители за следващите години, като крайната обща цел е да се гарантира високо ниво на защита на гражданите на ЕС и на околната среда и в същото време да се запази функционирането на вътрешен пазар, който задоволява нуждите на потребителите и позволява на всички предприятия в ЕС да се развиват.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Настоящото съобщение е изготвено в отговор на исканията на Европейския парламент и на Съвета</w:t>
      </w:r>
      <w:r>
        <w:rPr>
          <w:rStyle w:val="FootnoteReference"/>
          <w:rFonts w:ascii="Times New Roman" w:hAnsi="Times New Roman"/>
          <w:noProof/>
          <w:sz w:val="24"/>
        </w:rPr>
        <w:footnoteReference w:id="5"/>
      </w:r>
      <w:r>
        <w:rPr>
          <w:rFonts w:ascii="Times New Roman" w:hAnsi="Times New Roman"/>
          <w:noProof/>
          <w:sz w:val="24"/>
        </w:rPr>
        <w:t>, свързано е със 7-ата програма за действие за околната среда</w:t>
      </w:r>
      <w:r>
        <w:rPr>
          <w:rStyle w:val="FootnoteReference"/>
          <w:rFonts w:ascii="Times New Roman" w:hAnsi="Times New Roman"/>
          <w:noProof/>
          <w:sz w:val="24"/>
        </w:rPr>
        <w:footnoteReference w:id="6"/>
      </w:r>
      <w:r>
        <w:rPr>
          <w:rFonts w:ascii="Times New Roman" w:hAnsi="Times New Roman"/>
          <w:noProof/>
          <w:sz w:val="24"/>
        </w:rPr>
        <w:t xml:space="preserve"> и е в контекста на международните ангажименти за действие във връзка с опасните химикали</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раздел 1 се описва постигнатият научен напредък по отношение на ендокринните нарушители през последните двадесет години. В раздел 2 са обобщени действията, които ЕС е предприел досега, а в раздел 3 се очертава подходът, предложен от Комисията за ефективно развитие в бъдеще на политиката на ЕС относно ендокринните нарушители.</w:t>
      </w:r>
    </w:p>
    <w:p>
      <w:pPr>
        <w:pStyle w:val="Heading1"/>
        <w:spacing w:before="360" w:after="120" w:line="240" w:lineRule="auto"/>
        <w:rPr>
          <w:rFonts w:cs="Times New Roman"/>
          <w:noProof/>
          <w:sz w:val="24"/>
          <w:szCs w:val="24"/>
        </w:rPr>
      </w:pPr>
      <w:r>
        <w:rPr>
          <w:noProof/>
          <w:sz w:val="24"/>
        </w:rPr>
        <w:t>1. НАУЧНИ ПОЗНАНИЯ ЗА ЕНДОКРИННИТЕ НАРУШИТЕЛИ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последните десетилетия науката отбеляза значителен напредък по темата за нарушаването на функциите на ендокринната система. След приемането на стратегията на Общността през 1999 г. са издадени хиляди специализирани научни публикации, в които се изследва естеството на нарушаването на функциите на ендокринната система, причините и последствията от него за здравето на човека и за популациите от диви животни. В публикации на Европейската комисия, на агенции на ЕС или в рамките на координирани от Комисията дейности също се отбелязва постигнатият напредък.</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След 1999 г. </w:t>
      </w:r>
      <w:r>
        <w:rPr>
          <w:rFonts w:ascii="Times New Roman" w:hAnsi="Times New Roman"/>
          <w:b/>
          <w:noProof/>
          <w:sz w:val="24"/>
        </w:rPr>
        <w:t>научните доказателства за връзката между експозицията на ендокринни нарушители и заболяванията при човека или отрицателното ѝ въздействие върху дивите животни стават все по-убедителни</w:t>
      </w:r>
      <w:r>
        <w:rPr>
          <w:rFonts w:ascii="Times New Roman" w:hAnsi="Times New Roman"/>
          <w:noProof/>
          <w:sz w:val="24"/>
        </w:rPr>
        <w:t xml:space="preserve">. Освен това с напредъка на науката се постигна съгласие относно редица въпроси, които са от значение за разбирането на нарушаването на функциите на ендокринната система. Съществува широк консенсус относно </w:t>
      </w:r>
      <w:r>
        <w:rPr>
          <w:rFonts w:ascii="Times New Roman" w:hAnsi="Times New Roman"/>
          <w:b/>
          <w:noProof/>
          <w:sz w:val="24"/>
        </w:rPr>
        <w:t>определението</w:t>
      </w:r>
      <w:r>
        <w:rPr>
          <w:rFonts w:ascii="Times New Roman" w:hAnsi="Times New Roman"/>
          <w:noProof/>
          <w:sz w:val="24"/>
        </w:rPr>
        <w:t>, изготвено през 2002 г. от Международната програма за безопасност на химикалите — съвместна програма на редица агенции на ООН, в т.ч. и Световната здравна организация — съгласно което ендокринен нарушител се дефинира като „</w:t>
      </w:r>
      <w:r>
        <w:rPr>
          <w:rFonts w:ascii="Times New Roman" w:hAnsi="Times New Roman"/>
          <w:i/>
          <w:noProof/>
          <w:sz w:val="24"/>
        </w:rPr>
        <w:t>екзогенно вещество или смес, което променя функцията(ите) на ендокринната система и в резултат от това причинява неблагоприятни за здравето ефекти в здрав организъм, неговото поколение или (под)популациите му</w:t>
      </w:r>
      <w:r>
        <w:rPr>
          <w:rFonts w:ascii="Times New Roman" w:hAnsi="Times New Roman"/>
          <w:noProof/>
          <w:sz w:val="24"/>
        </w:rPr>
        <w:t>“</w:t>
      </w:r>
      <w:r>
        <w:rPr>
          <w:rStyle w:val="FootnoteReference"/>
          <w:rFonts w:ascii="Times New Roman" w:hAnsi="Times New Roman"/>
          <w:noProof/>
          <w:sz w:val="24"/>
        </w:rPr>
        <w:footnoteReference w:id="8"/>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Налице е консенсус и относно факта, че </w:t>
      </w:r>
      <w:r>
        <w:rPr>
          <w:rFonts w:ascii="Times New Roman" w:hAnsi="Times New Roman"/>
          <w:b/>
          <w:noProof/>
          <w:sz w:val="24"/>
        </w:rPr>
        <w:t>най-чувствителният период на експозиция</w:t>
      </w:r>
      <w:r>
        <w:rPr>
          <w:rFonts w:ascii="Times New Roman" w:hAnsi="Times New Roman"/>
          <w:noProof/>
          <w:sz w:val="24"/>
        </w:rPr>
        <w:t xml:space="preserve"> на ендокринни нарушители е по време на важни периоди от развитието, като например вътреутробното развитие на плода и пубертета</w:t>
      </w:r>
      <w:r>
        <w:rPr>
          <w:rStyle w:val="FootnoteReference"/>
          <w:rFonts w:ascii="Times New Roman" w:hAnsi="Times New Roman"/>
          <w:noProof/>
          <w:sz w:val="24"/>
        </w:rPr>
        <w:footnoteReference w:id="9"/>
      </w:r>
      <w:r>
        <w:rPr>
          <w:rFonts w:ascii="Times New Roman" w:hAnsi="Times New Roman"/>
          <w:noProof/>
          <w:sz w:val="24"/>
        </w:rPr>
        <w:t xml:space="preserve">. Експозицията на ендокринни нарушители през тези периоди може да доведе до трайно въздействие и по-голяма податливост на болести на по-късен етап от живота. Всепризнато е също така, че </w:t>
      </w:r>
      <w:r>
        <w:rPr>
          <w:rFonts w:ascii="Times New Roman" w:hAnsi="Times New Roman"/>
          <w:b/>
          <w:noProof/>
          <w:sz w:val="24"/>
        </w:rPr>
        <w:t>ендокринните нарушители могат да доведат до смущения във функционирането на ендокринната система по различни начини</w:t>
      </w:r>
      <w:r>
        <w:rPr>
          <w:rFonts w:ascii="Times New Roman" w:hAnsi="Times New Roman"/>
          <w:noProof/>
          <w:sz w:val="24"/>
        </w:rPr>
        <w:t>. До момента научните изследвания се занимаваха основно с ограничен брой ендокринни механизми</w:t>
      </w:r>
      <w:r>
        <w:rPr>
          <w:rStyle w:val="FootnoteReference"/>
          <w:rFonts w:ascii="Times New Roman" w:hAnsi="Times New Roman"/>
          <w:noProof/>
          <w:sz w:val="24"/>
        </w:rPr>
        <w:footnoteReference w:id="10"/>
      </w:r>
      <w:r>
        <w:rPr>
          <w:rFonts w:ascii="Times New Roman" w:hAnsi="Times New Roman"/>
          <w:noProof/>
          <w:sz w:val="24"/>
        </w:rPr>
        <w:t>. През последните години обаче беше доказано, че и други части на ендокринната система могат да бъдат чувствителни към ендокринни нарушители. Също така се увеличават доказателствата, че ендокринните нарушители могат да имат съвместно допълващо въздействие („</w:t>
      </w:r>
      <w:r>
        <w:rPr>
          <w:rFonts w:ascii="Times New Roman" w:hAnsi="Times New Roman"/>
          <w:b/>
          <w:noProof/>
          <w:sz w:val="24"/>
        </w:rPr>
        <w:t>ефект на смесването</w:t>
      </w:r>
      <w:r>
        <w:rPr>
          <w:rFonts w:ascii="Times New Roman" w:hAnsi="Times New Roman"/>
          <w:noProof/>
          <w:sz w:val="24"/>
        </w:rPr>
        <w:t>“ или „</w:t>
      </w:r>
      <w:r>
        <w:rPr>
          <w:rFonts w:ascii="Times New Roman" w:hAnsi="Times New Roman"/>
          <w:b/>
          <w:noProof/>
          <w:sz w:val="24"/>
        </w:rPr>
        <w:t>ефект на коктейла</w:t>
      </w:r>
      <w:r>
        <w:rPr>
          <w:rFonts w:ascii="Times New Roman" w:hAnsi="Times New Roman"/>
          <w:noProof/>
          <w:sz w:val="24"/>
        </w:rPr>
        <w:t>“), т.е. експозицията на комбинация от ендокринни нарушители може да доведе до неблагоприятен ефект при концентрации, при които поотделно ефект не се наблюдава</w:t>
      </w:r>
      <w:r>
        <w:rPr>
          <w:rStyle w:val="FootnoteReference"/>
          <w:rFonts w:ascii="Times New Roman" w:hAnsi="Times New Roman"/>
          <w:noProof/>
          <w:sz w:val="24"/>
        </w:rPr>
        <w:footnoteReference w:id="11"/>
      </w:r>
      <w:r>
        <w:rPr>
          <w:rFonts w:ascii="Times New Roman" w:hAnsi="Times New Roman"/>
          <w:noProof/>
          <w:sz w:val="24"/>
        </w:rPr>
        <w:t xml:space="preserve"> (дори ако този ефект не е специфичен за ендокринните нарушители)</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всичко </w:t>
      </w:r>
      <w:r>
        <w:rPr>
          <w:rFonts w:ascii="Times New Roman" w:hAnsi="Times New Roman"/>
          <w:b/>
          <w:noProof/>
          <w:sz w:val="24"/>
        </w:rPr>
        <w:t>в познанията по тази тема все още има пропуски</w:t>
      </w:r>
      <w:r>
        <w:rPr>
          <w:rFonts w:ascii="Times New Roman" w:hAnsi="Times New Roman"/>
          <w:noProof/>
          <w:sz w:val="24"/>
        </w:rPr>
        <w:t>. Те се отнасят по-специално до следното:</w:t>
      </w:r>
    </w:p>
    <w:p>
      <w:pPr>
        <w:pStyle w:val="ListParagraph"/>
        <w:numPr>
          <w:ilvl w:val="0"/>
          <w:numId w:val="3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въздействието на </w:t>
      </w:r>
      <w:r>
        <w:rPr>
          <w:rFonts w:ascii="Times New Roman" w:hAnsi="Times New Roman"/>
          <w:b/>
          <w:noProof/>
          <w:sz w:val="24"/>
        </w:rPr>
        <w:t>експозицията на ендокринни нарушители върху развитието на заболявания и върху дивите животни</w:t>
      </w:r>
      <w:r>
        <w:rPr>
          <w:rFonts w:ascii="Times New Roman" w:hAnsi="Times New Roman"/>
          <w:noProof/>
          <w:sz w:val="24"/>
        </w:rPr>
        <w:t>. В тази връзка може да се каже, че се наблюдава непълно разбиране на специфичната роля на експозицията на химикали и на начина, по който тази роля може да бъде разграничена от други евентуални причини за неблагоприятните последици, които са в процес на проучване. На практика има и други фактори, допринасящи за развитието на разстройства на ендокринната система при хората (напр. генетично наследство, хранене, начин на живот или други фактори, свързани с околната среда) или за въздействието върху дивите животни (например свръхексплоатация, изменение на климата);</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съществуващата полемика дали и как определени токсикологични принципи, като принципа „праг на безопасност“,</w:t>
      </w:r>
      <w:r>
        <w:rPr>
          <w:noProof/>
        </w:rPr>
        <w:t xml:space="preserve"> </w:t>
      </w:r>
      <w:r>
        <w:rPr>
          <w:rFonts w:ascii="Times New Roman" w:hAnsi="Times New Roman"/>
          <w:noProof/>
          <w:sz w:val="24"/>
        </w:rPr>
        <w:t xml:space="preserve">т.е. дозата, под която не се очаква да възникне неблагоприятен ефект, </w:t>
      </w:r>
      <w:r>
        <w:rPr>
          <w:rFonts w:ascii="Times New Roman" w:hAnsi="Times New Roman"/>
          <w:b/>
          <w:noProof/>
          <w:sz w:val="24"/>
        </w:rPr>
        <w:t>се прилагат за оценката на безопасността на ендокринните нарушители</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Част от научната общност е на мнение, че за ендокринните нарушители не може да бъде установен безопасен праг; </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изчерпателното разбиране за комбинираната експозиция</w:t>
      </w:r>
      <w:r>
        <w:rPr>
          <w:rFonts w:ascii="Times New Roman" w:hAnsi="Times New Roman"/>
          <w:noProof/>
          <w:sz w:val="24"/>
        </w:rPr>
        <w:t xml:space="preserve"> („ефект на смесването/коктейла“);</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разработване на по-безопасни алтернативи</w:t>
      </w:r>
      <w:r>
        <w:rPr>
          <w:rFonts w:ascii="Times New Roman" w:hAnsi="Times New Roman"/>
          <w:noProof/>
          <w:sz w:val="24"/>
        </w:rPr>
        <w:t xml:space="preserve"> (включително нехимични подходи) за заместване на ендокринните нарушители;</w:t>
      </w:r>
    </w:p>
    <w:p>
      <w:pPr>
        <w:pStyle w:val="ListParagraph"/>
        <w:numPr>
          <w:ilvl w:val="0"/>
          <w:numId w:val="35"/>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b/>
          <w:noProof/>
          <w:sz w:val="24"/>
        </w:rPr>
        <w:t>механизма</w:t>
      </w:r>
      <w:r>
        <w:rPr>
          <w:rFonts w:ascii="Times New Roman" w:hAnsi="Times New Roman"/>
          <w:noProof/>
          <w:sz w:val="24"/>
        </w:rPr>
        <w:t xml:space="preserve"> на нарушаването на функциите на ендокринната система.</w:t>
      </w:r>
    </w:p>
    <w:p>
      <w:pPr>
        <w:pStyle w:val="Heading2"/>
        <w:spacing w:before="0" w:line="240" w:lineRule="auto"/>
        <w:rPr>
          <w:rFonts w:cs="Times New Roman"/>
          <w:noProof/>
          <w:szCs w:val="24"/>
        </w:rPr>
      </w:pPr>
      <w:r>
        <w:rPr>
          <w:noProof/>
        </w:rPr>
        <w:t xml:space="preserve">Изпитвания и степен, до която учените са в състояние да предоставят сведения на регулаторите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Друга област, в която науката е отбелязала значителен напредък, но в която все още има какво да се постигне, е областта, свързана с </w:t>
      </w:r>
      <w:r>
        <w:rPr>
          <w:rFonts w:ascii="Times New Roman" w:hAnsi="Times New Roman"/>
          <w:b/>
          <w:noProof/>
          <w:sz w:val="24"/>
        </w:rPr>
        <w:t>разработването и валидирането на методи за изпитване</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На практика наистина са необходими надеждни изпитвания за определянето на ендокринните нарушители, като се вземат предвид различните начини, по които ендокринните нарушители могат да въздействат на ендокринната система, и към тях да се подходи по подходящ начин. Организацията за икономическо сътрудничество и развитие е водещият признат орган за изготвяне на международно приети насоки за провеждане на изпитвания</w:t>
      </w:r>
      <w:r>
        <w:rPr>
          <w:rStyle w:val="FootnoteReference"/>
          <w:rFonts w:ascii="Times New Roman" w:hAnsi="Times New Roman"/>
          <w:noProof/>
          <w:sz w:val="24"/>
        </w:rPr>
        <w:footnoteReference w:id="14"/>
      </w:r>
      <w:r>
        <w:rPr>
          <w:rFonts w:ascii="Times New Roman" w:hAnsi="Times New Roman"/>
          <w:noProof/>
          <w:sz w:val="24"/>
        </w:rPr>
        <w:t>, които се транспонират в съответното законодателство на ЕС, по целесъобразност. През 2013 г. Европейският орган за безопасност на храните разгледа съществуващите насоки за провеждане на изпитвания за ендокринни нарушители. Той стигна до заключението</w:t>
      </w:r>
      <w:r>
        <w:rPr>
          <w:rStyle w:val="FootnoteReference"/>
          <w:rFonts w:ascii="Times New Roman" w:hAnsi="Times New Roman"/>
          <w:noProof/>
          <w:sz w:val="24"/>
        </w:rPr>
        <w:footnoteReference w:id="15"/>
      </w:r>
      <w:r>
        <w:rPr>
          <w:rFonts w:ascii="Times New Roman" w:hAnsi="Times New Roman"/>
          <w:noProof/>
          <w:sz w:val="24"/>
        </w:rPr>
        <w:t>, че вече има (или скоро ще има) на разположение различни изпитвания за някои ендокринни механизми, които може да бъдат повлияни от ендокринните нарушители</w:t>
      </w:r>
      <w:r>
        <w:rPr>
          <w:rStyle w:val="FootnoteReference"/>
          <w:rFonts w:ascii="Times New Roman" w:hAnsi="Times New Roman"/>
          <w:noProof/>
          <w:sz w:val="24"/>
        </w:rPr>
        <w:footnoteReference w:id="16"/>
      </w:r>
      <w:r>
        <w:rPr>
          <w:rFonts w:ascii="Times New Roman" w:hAnsi="Times New Roman"/>
          <w:noProof/>
          <w:sz w:val="24"/>
        </w:rPr>
        <w:t xml:space="preserve"> при бозайниците и рибите, докато за птиците и земноводните има налице по-малко изпитвания. Органът установи също така, че: тепърва трябва да се разработят и/или валидират изпитвания, обхващащи други въпроси, свързани с ендокринната система, или други групи животни; няма подходящи прогнозни модели за някои болести, свързани с ендокринната система, като например хормонални ракови заболявания или разстройства на обмяната на веществата/затлъстяване, както и че няма нито едно проучване за оценка на ефекта от експозицията на бозайниците през целия жизнен цикъл</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Освен това, както и в други научноизследователски области, така и за ендокринните нарушители е необходимо да се постигане напредък при разработването на алтернативи на изпитванията върху животни: това би означавало по-добро използване на съществуващите данни (и използване в по-голяма степен на техниките за екстраполация</w:t>
      </w:r>
      <w:r>
        <w:rPr>
          <w:rStyle w:val="FootnoteReference"/>
          <w:rFonts w:ascii="Times New Roman" w:hAnsi="Times New Roman"/>
          <w:noProof/>
          <w:sz w:val="24"/>
        </w:rPr>
        <w:footnoteReference w:id="18"/>
      </w:r>
      <w:r>
        <w:rPr>
          <w:rFonts w:ascii="Times New Roman" w:hAnsi="Times New Roman"/>
          <w:noProof/>
          <w:sz w:val="24"/>
        </w:rPr>
        <w:t xml:space="preserve">) и придаване на по-голяма тежест на математическото моделиране и на нови методи </w:t>
      </w:r>
      <w:r>
        <w:rPr>
          <w:rFonts w:ascii="Times New Roman" w:hAnsi="Times New Roman"/>
          <w:i/>
          <w:noProof/>
          <w:sz w:val="24"/>
        </w:rPr>
        <w:t>in vitro</w:t>
      </w:r>
      <w:r>
        <w:rPr>
          <w:rFonts w:ascii="Times New Roman" w:hAnsi="Times New Roman"/>
          <w:noProof/>
          <w:sz w:val="24"/>
        </w:rPr>
        <w:t>.</w:t>
      </w:r>
    </w:p>
    <w:p>
      <w:pPr>
        <w:pStyle w:val="Heading1"/>
        <w:spacing w:before="360" w:after="120" w:line="240" w:lineRule="auto"/>
        <w:rPr>
          <w:rFonts w:cs="Times New Roman"/>
          <w:caps/>
          <w:noProof/>
          <w:sz w:val="24"/>
          <w:szCs w:val="24"/>
        </w:rPr>
      </w:pPr>
      <w:r>
        <w:rPr>
          <w:caps/>
          <w:noProof/>
          <w:sz w:val="24"/>
        </w:rPr>
        <w:t>2. Политиката на ЕС и нормативното уреждане на въпросите, свързани с ендокринните нарушители, до момента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След приемането на Стратегията на Общността през 1999 г. ЕС реагира чрез разработването на политика относно ендокринните нарушители, която се съсредоточава върху </w:t>
      </w:r>
      <w:r>
        <w:rPr>
          <w:rFonts w:ascii="Times New Roman" w:hAnsi="Times New Roman"/>
          <w:b/>
          <w:noProof/>
          <w:sz w:val="24"/>
        </w:rPr>
        <w:t>насърчаването на научните изследвания</w:t>
      </w:r>
      <w:r>
        <w:rPr>
          <w:rFonts w:ascii="Times New Roman" w:hAnsi="Times New Roman"/>
          <w:noProof/>
          <w:sz w:val="24"/>
        </w:rPr>
        <w:t xml:space="preserve">, ефективното </w:t>
      </w:r>
      <w:r>
        <w:rPr>
          <w:rFonts w:ascii="Times New Roman" w:hAnsi="Times New Roman"/>
          <w:b/>
          <w:noProof/>
          <w:sz w:val="24"/>
        </w:rPr>
        <w:t>нормативно уреждане на въпросите, свързани с ендокринните нарушители</w:t>
      </w:r>
      <w:r>
        <w:rPr>
          <w:rFonts w:ascii="Times New Roman" w:hAnsi="Times New Roman"/>
          <w:noProof/>
          <w:sz w:val="24"/>
        </w:rPr>
        <w:t xml:space="preserve"> и развитието на </w:t>
      </w:r>
      <w:r>
        <w:rPr>
          <w:rFonts w:ascii="Times New Roman" w:hAnsi="Times New Roman"/>
          <w:b/>
          <w:noProof/>
          <w:sz w:val="24"/>
        </w:rPr>
        <w:t>международното сътрудничество</w:t>
      </w:r>
      <w:r>
        <w:rPr>
          <w:rFonts w:ascii="Times New Roman" w:hAnsi="Times New Roman"/>
          <w:noProof/>
          <w:sz w:val="24"/>
        </w:rPr>
        <w:t xml:space="preserve"> в тази област.</w:t>
      </w:r>
    </w:p>
    <w:p>
      <w:pPr>
        <w:pStyle w:val="Heading2"/>
        <w:spacing w:before="0" w:after="120" w:line="240" w:lineRule="auto"/>
        <w:rPr>
          <w:rFonts w:cs="Times New Roman"/>
          <w:noProof/>
          <w:szCs w:val="24"/>
        </w:rPr>
      </w:pPr>
      <w:r>
        <w:rPr>
          <w:noProof/>
        </w:rPr>
        <w:t>Научни изследвания в ЕС и разработване на насоки за провеждане на изпитвания на ендокринните нарушители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След 1999 г. основните инструменти за подпомагане на научния прогрес в областта на ендокринните нарушители са рамковите програми на ЕС за научни изследвания и технологично развитие. Финансирани са над 50 многонационални съвместни проекта, по които са предоставени над 150 млн. евро от ЕС. Тяхната цел е да се изясни механизмът на действие върху ендокринната система, да се определят неблагоприятните ефекти върху здравето на човека и дивите животни, произтичащи от експозиция на ендокринни нарушители, и да се разработят инструменти за определяне на ендокринни нарушители и оценка на експозицията. Още 52 млн. евро са заделени по програма „Хоризонт 2020“ за проекти, свързани с нови методи за изпитване на ендокринни нарушители, като тези средства ще бъдат отпуснати до края на 2018 г.</w:t>
      </w:r>
    </w:p>
    <w:p>
      <w:pPr>
        <w:spacing w:after="120" w:line="240" w:lineRule="auto"/>
        <w:jc w:val="both"/>
        <w:rPr>
          <w:rFonts w:ascii="Times New Roman" w:hAnsi="Times New Roman" w:cs="Times New Roman"/>
          <w:noProof/>
          <w:sz w:val="24"/>
          <w:szCs w:val="24"/>
        </w:rPr>
      </w:pPr>
      <w:r>
        <w:rPr>
          <w:rFonts w:ascii="Times New Roman" w:hAnsi="Times New Roman"/>
          <w:noProof/>
          <w:sz w:val="24"/>
        </w:rPr>
        <w:t>Освен научните изследвания, финансирани по линия на „Хоризонт 2020“, през последните години бяха положени специални усилия, за да се подобри допълнително наличието на насоки за изпитване за определяне на ендокринни нарушители и да се коригират слабостите в изпитванията на равнището на ЕС и в международен план, което бе извършено под егидата на Организацията за икономическо сътрудничество и развитие. Провеждането на повече авторитетни изпитвания е важен начин за подобряване на ефективността на контрола. Европейската комисия финансира редица дейности с акцент върху установяването на пропуски в насоките за провеждане на изпитвания, определянето на възможни начини за отстраняване на тези пропуски, определянето на приоритети за бъдещо разработване на насоки за провеждане на изпитвания и подобряването на съществуващите насоки или разработването на нови</w:t>
      </w:r>
      <w:r>
        <w:rPr>
          <w:rStyle w:val="FootnoteReference"/>
          <w:rFonts w:ascii="Times New Roman" w:hAnsi="Times New Roman"/>
          <w:noProof/>
          <w:sz w:val="24"/>
        </w:rPr>
        <w:footnoteReference w:id="19"/>
      </w:r>
      <w:r>
        <w:rPr>
          <w:rFonts w:ascii="Times New Roman" w:hAnsi="Times New Roman"/>
          <w:noProof/>
          <w:sz w:val="24"/>
        </w:rPr>
        <w:t>.</w:t>
      </w:r>
    </w:p>
    <w:p>
      <w:pPr>
        <w:pStyle w:val="Heading2"/>
        <w:spacing w:before="0" w:after="120" w:line="240" w:lineRule="auto"/>
        <w:rPr>
          <w:rFonts w:cs="Times New Roman"/>
          <w:noProof/>
          <w:szCs w:val="24"/>
        </w:rPr>
      </w:pPr>
      <w:r>
        <w:rPr>
          <w:noProof/>
        </w:rPr>
        <w:t xml:space="preserve">Какъв е подходът към ендокринните нарушители в законодателството на ЕС </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Заедно с научния напредък през последните десетилетия ЕС постепенно актуализира своето законодателство в областта на химикалите, за да се осигури високо ниво на защита на здравето на човека, здравето на животните и околната среда, като същевременно се осигурява безпрепятствено функциониране на вътрешния пазар. Днес законодателството на ЕС е признато като едно от предоставящите най-висока степен на защита в света и се прилага за всички химикали, включително химикалите със свойства, нарушаващи функциите на ендокринната система.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Подходът на ЕС почива на научни становища на високо равнище от съответните органи за оценка на риска, като например Европейската агенция по химикали, Европейския орган за безопасност на храните или Научния комитет по безопасност на потребителите, и на решения, свързани с управлението на риска, приети от Комисията в съгласие с държавите членки. Когато дадена научна оценка не може да бъде извършена с достатъчна степен на сигурност, при предприемането на мерки за защита на своите граждани и на околната среда Комисията се ръководи от така наречения </w:t>
      </w:r>
      <w:r>
        <w:rPr>
          <w:rFonts w:ascii="Times New Roman" w:hAnsi="Times New Roman"/>
          <w:i/>
          <w:noProof/>
          <w:sz w:val="24"/>
        </w:rPr>
        <w:t>принцип на предпазливостта</w:t>
      </w:r>
      <w:r>
        <w:rPr>
          <w:rFonts w:ascii="Times New Roman" w:hAnsi="Times New Roman"/>
          <w:noProof/>
          <w:sz w:val="24"/>
        </w:rPr>
        <w:t>. Прилагането на законодателството се извършва от държавите членки, а Комисията улеснява обмена на информация между националните компетентни органи, за да подобри техните дейности по прилагане на законодателството</w:t>
      </w:r>
      <w:r>
        <w:rPr>
          <w:rStyle w:val="FootnoteReference"/>
          <w:rFonts w:ascii="Times New Roman" w:hAnsi="Times New Roman"/>
          <w:noProof/>
          <w:sz w:val="24"/>
        </w:rPr>
        <w:footnoteReference w:id="20"/>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Комисията предприе действия относно ендокринните нарушители в съответствие с различните изисквания, предвидени в съответното законодателство. Специални разпоредби относно начина на действие във връзка с ендокринните нарушители вече са включени в законодателството относно пестицидите</w:t>
      </w:r>
      <w:r>
        <w:rPr>
          <w:rStyle w:val="FootnoteReference"/>
          <w:rFonts w:ascii="Times New Roman" w:hAnsi="Times New Roman"/>
          <w:noProof/>
          <w:sz w:val="24"/>
        </w:rPr>
        <w:footnoteReference w:id="21"/>
      </w:r>
      <w:r>
        <w:rPr>
          <w:rFonts w:ascii="Times New Roman" w:hAnsi="Times New Roman"/>
          <w:noProof/>
          <w:sz w:val="24"/>
        </w:rPr>
        <w:t xml:space="preserve"> и биоцидите</w:t>
      </w:r>
      <w:r>
        <w:rPr>
          <w:rStyle w:val="FootnoteReference"/>
          <w:rFonts w:ascii="Times New Roman" w:hAnsi="Times New Roman"/>
          <w:noProof/>
          <w:sz w:val="24"/>
        </w:rPr>
        <w:footnoteReference w:id="22"/>
      </w:r>
      <w:r>
        <w:rPr>
          <w:rFonts w:ascii="Times New Roman" w:hAnsi="Times New Roman"/>
          <w:noProof/>
          <w:sz w:val="24"/>
        </w:rPr>
        <w:t>, химикалите като цяло („Регламента REACH“)</w:t>
      </w:r>
      <w:r>
        <w:rPr>
          <w:rStyle w:val="FootnoteReference"/>
          <w:rFonts w:ascii="Times New Roman" w:hAnsi="Times New Roman"/>
          <w:noProof/>
          <w:sz w:val="24"/>
        </w:rPr>
        <w:footnoteReference w:id="23"/>
      </w:r>
      <w:r>
        <w:rPr>
          <w:rFonts w:ascii="Times New Roman" w:hAnsi="Times New Roman"/>
          <w:noProof/>
          <w:sz w:val="24"/>
        </w:rPr>
        <w:t>, медицинските изделия</w:t>
      </w:r>
      <w:r>
        <w:rPr>
          <w:rStyle w:val="FootnoteReference"/>
          <w:rFonts w:ascii="Times New Roman" w:hAnsi="Times New Roman"/>
          <w:noProof/>
          <w:sz w:val="24"/>
        </w:rPr>
        <w:footnoteReference w:id="24"/>
      </w:r>
      <w:r>
        <w:rPr>
          <w:rFonts w:ascii="Times New Roman" w:hAnsi="Times New Roman"/>
          <w:noProof/>
          <w:sz w:val="24"/>
        </w:rPr>
        <w:t xml:space="preserve"> и водите</w:t>
      </w:r>
      <w:r>
        <w:rPr>
          <w:rStyle w:val="FootnoteReference"/>
          <w:rFonts w:ascii="Times New Roman" w:hAnsi="Times New Roman"/>
          <w:noProof/>
          <w:sz w:val="24"/>
        </w:rPr>
        <w:footnoteReference w:id="25"/>
      </w:r>
      <w:r>
        <w:rPr>
          <w:rFonts w:ascii="Times New Roman" w:hAnsi="Times New Roman"/>
          <w:noProof/>
          <w:sz w:val="24"/>
        </w:rPr>
        <w:t>. Тези изисквания са различни в зависимост от конкретното законодателство. Други законодателни актове, като например актовете относно материалите, предназначени за контакт с храни</w:t>
      </w:r>
      <w:r>
        <w:rPr>
          <w:rStyle w:val="FootnoteReference"/>
          <w:rFonts w:ascii="Times New Roman" w:hAnsi="Times New Roman"/>
          <w:noProof/>
          <w:sz w:val="24"/>
        </w:rPr>
        <w:footnoteReference w:id="26"/>
      </w:r>
      <w:r>
        <w:rPr>
          <w:rFonts w:ascii="Times New Roman" w:hAnsi="Times New Roman"/>
          <w:noProof/>
          <w:sz w:val="24"/>
        </w:rPr>
        <w:t>, козметичните продукти</w:t>
      </w:r>
      <w:r>
        <w:rPr>
          <w:rStyle w:val="FootnoteReference"/>
          <w:rFonts w:ascii="Times New Roman" w:hAnsi="Times New Roman"/>
          <w:noProof/>
          <w:sz w:val="24"/>
        </w:rPr>
        <w:footnoteReference w:id="27"/>
      </w:r>
      <w:r>
        <w:rPr>
          <w:rFonts w:ascii="Times New Roman" w:hAnsi="Times New Roman"/>
          <w:noProof/>
          <w:sz w:val="24"/>
        </w:rPr>
        <w:t>, детските играчки</w:t>
      </w:r>
      <w:r>
        <w:rPr>
          <w:rStyle w:val="FootnoteReference"/>
          <w:rFonts w:ascii="Times New Roman" w:hAnsi="Times New Roman"/>
          <w:noProof/>
          <w:sz w:val="24"/>
        </w:rPr>
        <w:footnoteReference w:id="28"/>
      </w:r>
      <w:r>
        <w:rPr>
          <w:rFonts w:ascii="Times New Roman" w:hAnsi="Times New Roman"/>
          <w:noProof/>
          <w:sz w:val="24"/>
        </w:rPr>
        <w:t xml:space="preserve"> или защитата на работниците на работното място</w:t>
      </w:r>
      <w:r>
        <w:rPr>
          <w:rStyle w:val="FootnoteReference"/>
          <w:rFonts w:ascii="Times New Roman" w:hAnsi="Times New Roman"/>
          <w:noProof/>
          <w:sz w:val="24"/>
        </w:rPr>
        <w:footnoteReference w:id="29"/>
      </w:r>
      <w:r>
        <w:rPr>
          <w:rFonts w:ascii="Times New Roman" w:hAnsi="Times New Roman"/>
          <w:noProof/>
          <w:sz w:val="24"/>
        </w:rPr>
        <w:t xml:space="preserve">, не съдържат специални разпоредби относно ендокринните нарушители. Веществата със свойства, нарушаващи функциите на ендокринната система, обаче подлежат на отделни регулаторни действия според конкретния случай въз основа на общите изисквания на законодателството.   </w:t>
      </w:r>
    </w:p>
    <w:p>
      <w:pPr>
        <w:spacing w:before="120" w:after="120" w:line="240" w:lineRule="auto"/>
        <w:jc w:val="center"/>
        <w:rPr>
          <w:rFonts w:ascii="Times New Roman" w:hAnsi="Times New Roman" w:cs="Times New Roman"/>
          <w:b/>
          <w:i/>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59776" behindDoc="1" locked="0" layoutInCell="1" allowOverlap="1">
                <wp:simplePos x="0" y="0"/>
                <wp:positionH relativeFrom="column">
                  <wp:posOffset>-42544</wp:posOffset>
                </wp:positionH>
                <wp:positionV relativeFrom="paragraph">
                  <wp:posOffset>-50165</wp:posOffset>
                </wp:positionV>
                <wp:extent cx="5943600" cy="5334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43600" cy="5334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5pt;margin-top:-3.95pt;width:468pt;height:4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" fillcolor="white [3212]" strokecolor="black [3213]" strokeweight="1pt"/>
            </w:pict>
          </mc:Fallback>
        </mc:AlternateContent>
      </w:r>
      <w:r>
        <w:rPr>
          <w:rFonts w:ascii="Times New Roman" w:hAnsi="Times New Roman"/>
          <w:b/>
          <w:i/>
          <w:noProof/>
          <w:sz w:val="24"/>
        </w:rPr>
        <w:t>Регламентиране на въпросите, свързани с ендокринните нарушители: някои примери</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Наскоро Комисията установи </w:t>
      </w:r>
      <w:r>
        <w:rPr>
          <w:rFonts w:ascii="Times New Roman" w:hAnsi="Times New Roman"/>
          <w:b/>
          <w:noProof/>
          <w:sz w:val="24"/>
        </w:rPr>
        <w:t>критерии за определяне на ендокринни нарушители в законодателството относно пестицидите и биоцидите</w:t>
      </w:r>
      <w:r>
        <w:rPr>
          <w:rFonts w:ascii="Times New Roman" w:hAnsi="Times New Roman"/>
          <w:noProof/>
          <w:sz w:val="24"/>
        </w:rPr>
        <w:t xml:space="preserve"> въз основа на определението на Световната здравна организация</w:t>
      </w:r>
      <w:r>
        <w:rPr>
          <w:rStyle w:val="FootnoteReference"/>
          <w:rFonts w:ascii="Times New Roman" w:hAnsi="Times New Roman"/>
          <w:noProof/>
          <w:sz w:val="24"/>
        </w:rPr>
        <w:footnoteReference w:id="30"/>
      </w:r>
      <w:r>
        <w:rPr>
          <w:rFonts w:ascii="Times New Roman" w:hAnsi="Times New Roman"/>
          <w:noProof/>
          <w:sz w:val="24"/>
        </w:rPr>
        <w:t>. Тази посока на развитие представлява важна стъпка, тъй като никога досега в нормативен контекст не са били установявани критерии за определяне на ендокринни нарушители. Като цяло в бъдеще няма да бъде позволено вещества, определени като ендокринни нарушители, да бъдат използвани в посочените продуктови категории, освен когато се прилагат изключително ограничени възможности за дерогация.</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Регламента </w:t>
      </w:r>
      <w:r>
        <w:rPr>
          <w:rFonts w:ascii="Times New Roman" w:hAnsi="Times New Roman"/>
          <w:b/>
          <w:noProof/>
          <w:sz w:val="24"/>
        </w:rPr>
        <w:t>REACH</w:t>
      </w:r>
      <w:r>
        <w:rPr>
          <w:rFonts w:ascii="Times New Roman" w:hAnsi="Times New Roman"/>
          <w:noProof/>
          <w:sz w:val="24"/>
        </w:rPr>
        <w:t xml:space="preserve"> два еднокринни нарушителя са включени в списъка с вещества, за които се изисква специално разрешение за пускане на пазара</w:t>
      </w:r>
      <w:r>
        <w:rPr>
          <w:rStyle w:val="FootnoteReference"/>
          <w:rFonts w:ascii="Times New Roman" w:hAnsi="Times New Roman"/>
          <w:noProof/>
          <w:sz w:val="24"/>
        </w:rPr>
        <w:footnoteReference w:id="31"/>
      </w:r>
      <w:r>
        <w:rPr>
          <w:rFonts w:ascii="Times New Roman" w:hAnsi="Times New Roman"/>
          <w:noProof/>
          <w:sz w:val="24"/>
        </w:rPr>
        <w:t>.</w:t>
      </w:r>
      <w:r>
        <w:rPr>
          <w:rFonts w:ascii="Times New Roman" w:hAnsi="Times New Roman"/>
          <w:noProof/>
          <w:color w:val="000000" w:themeColor="text1"/>
          <w:sz w:val="24"/>
        </w:rPr>
        <w:t xml:space="preserve"> Други 13 вещества са определени като ендокринни нарушители и са включени в списъка на </w:t>
      </w:r>
      <w:r>
        <w:rPr>
          <w:rFonts w:ascii="Times New Roman" w:hAnsi="Times New Roman"/>
          <w:i/>
          <w:noProof/>
          <w:color w:val="000000" w:themeColor="text1"/>
          <w:sz w:val="24"/>
        </w:rPr>
        <w:t>кандидат-веществата</w:t>
      </w:r>
      <w:r>
        <w:rPr>
          <w:rFonts w:ascii="Times New Roman" w:hAnsi="Times New Roman"/>
          <w:noProof/>
          <w:color w:val="000000" w:themeColor="text1"/>
          <w:sz w:val="24"/>
        </w:rPr>
        <w:t xml:space="preserve"> за евентуално бъдещо включване в списъка за разрешаване</w:t>
      </w:r>
      <w:r>
        <w:rPr>
          <w:rStyle w:val="FootnoteReference"/>
          <w:rFonts w:ascii="Times New Roman" w:hAnsi="Times New Roman"/>
          <w:noProof/>
          <w:color w:val="000000" w:themeColor="text1"/>
          <w:sz w:val="24"/>
        </w:rPr>
        <w:footnoteReference w:id="32"/>
      </w:r>
      <w:r>
        <w:rPr>
          <w:rFonts w:ascii="Times New Roman" w:hAnsi="Times New Roman"/>
          <w:noProof/>
          <w:color w:val="000000" w:themeColor="text1"/>
          <w:sz w:val="24"/>
        </w:rPr>
        <w:t xml:space="preserve">. </w:t>
      </w:r>
      <w:r>
        <w:rPr>
          <w:rFonts w:ascii="Times New Roman" w:hAnsi="Times New Roman"/>
          <w:noProof/>
          <w:sz w:val="24"/>
        </w:rPr>
        <w:t>Веществата със свойства, нарушаващи функциите на ендокринната система, са обвързани и с ограничения</w:t>
      </w:r>
      <w:r>
        <w:rPr>
          <w:rStyle w:val="FootnoteReference"/>
          <w:rFonts w:ascii="Times New Roman" w:hAnsi="Times New Roman"/>
          <w:noProof/>
          <w:color w:val="000000" w:themeColor="text1"/>
          <w:sz w:val="24"/>
        </w:rPr>
        <w:footnoteReference w:id="33"/>
      </w:r>
      <w:r>
        <w:rPr>
          <w:rFonts w:ascii="Times New Roman"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Например неотдавна Комисията получи подкрепа от държавите членки</w:t>
      </w:r>
      <w:r>
        <w:rPr>
          <w:rStyle w:val="FootnoteReference"/>
          <w:rFonts w:ascii="Times New Roman" w:hAnsi="Times New Roman"/>
          <w:noProof/>
          <w:sz w:val="24"/>
        </w:rPr>
        <w:footnoteReference w:id="34"/>
      </w:r>
      <w:r>
        <w:rPr>
          <w:rFonts w:ascii="Times New Roman" w:hAnsi="Times New Roman"/>
          <w:noProof/>
          <w:sz w:val="24"/>
        </w:rPr>
        <w:t xml:space="preserve"> по предложение </w:t>
      </w:r>
      <w:r>
        <w:rPr>
          <w:rFonts w:ascii="Times New Roman" w:hAnsi="Times New Roman"/>
          <w:b/>
          <w:noProof/>
          <w:sz w:val="24"/>
        </w:rPr>
        <w:t>да се забрани наличието на четири фталата</w:t>
      </w:r>
      <w:r>
        <w:rPr>
          <w:rFonts w:ascii="Times New Roman" w:hAnsi="Times New Roman"/>
          <w:noProof/>
          <w:sz w:val="24"/>
        </w:rPr>
        <w:t xml:space="preserve"> — химикали, широко използвани за омекотяване на пластмасата</w:t>
      </w:r>
      <w:r>
        <w:rPr>
          <w:rStyle w:val="FootnoteReference"/>
          <w:rFonts w:ascii="Times New Roman" w:hAnsi="Times New Roman"/>
          <w:noProof/>
          <w:color w:val="000000" w:themeColor="text1"/>
          <w:sz w:val="24"/>
        </w:rPr>
        <w:footnoteReference w:id="35"/>
      </w:r>
      <w:r>
        <w:rPr>
          <w:rFonts w:ascii="Times New Roman" w:hAnsi="Times New Roman"/>
          <w:noProof/>
          <w:sz w:val="24"/>
        </w:rPr>
        <w:t>, в множество различни продукти за ежедневна употреба на равнище от 0,1 % или повече.</w:t>
      </w:r>
      <w:r>
        <w:rPr>
          <w:rFonts w:ascii="Times New Roman" w:hAnsi="Times New Roman"/>
          <w:noProof/>
          <w:color w:val="000000" w:themeColor="text1"/>
          <w:sz w:val="24"/>
        </w:rPr>
        <w:t xml:space="preserve"> </w:t>
      </w:r>
      <w:r>
        <w:rPr>
          <w:rFonts w:ascii="Times New Roman" w:hAnsi="Times New Roman"/>
          <w:noProof/>
          <w:sz w:val="24"/>
        </w:rPr>
        <w:t>Освен това над 80 химични вещества са в процес на оценка поради опасения за потенциалните им свойства, нарушаващи функциите на ендокринната система.</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законодателството в областта на </w:t>
      </w:r>
      <w:r>
        <w:rPr>
          <w:rFonts w:ascii="Times New Roman" w:hAnsi="Times New Roman"/>
          <w:b/>
          <w:noProof/>
          <w:sz w:val="24"/>
        </w:rPr>
        <w:t>водите</w:t>
      </w:r>
      <w:r>
        <w:rPr>
          <w:rFonts w:ascii="Times New Roman" w:hAnsi="Times New Roman"/>
          <w:noProof/>
          <w:sz w:val="24"/>
        </w:rPr>
        <w:t xml:space="preserve"> Комисията </w:t>
      </w:r>
      <w:r>
        <w:rPr>
          <w:rFonts w:ascii="Times New Roman" w:hAnsi="Times New Roman"/>
          <w:b/>
          <w:noProof/>
          <w:sz w:val="24"/>
        </w:rPr>
        <w:t>е включила няколко ендокринни нарушителя</w:t>
      </w:r>
      <w:r>
        <w:rPr>
          <w:rStyle w:val="FootnoteReference"/>
          <w:rFonts w:ascii="Times New Roman" w:hAnsi="Times New Roman"/>
          <w:b/>
          <w:noProof/>
          <w:sz w:val="24"/>
        </w:rPr>
        <w:footnoteReference w:id="36"/>
      </w:r>
      <w:r>
        <w:rPr>
          <w:rFonts w:ascii="Times New Roman" w:hAnsi="Times New Roman"/>
          <w:b/>
          <w:noProof/>
          <w:sz w:val="24"/>
        </w:rPr>
        <w:t xml:space="preserve"> в списъка с „приоритетни вещества“, предизвикващи особено безпокойство</w:t>
      </w:r>
      <w:r>
        <w:rPr>
          <w:rStyle w:val="FootnoteReference"/>
          <w:rFonts w:ascii="Times New Roman" w:hAnsi="Times New Roman"/>
          <w:noProof/>
          <w:sz w:val="24"/>
        </w:rPr>
        <w:footnoteReference w:id="37"/>
      </w:r>
      <w:r>
        <w:rPr>
          <w:rFonts w:ascii="Times New Roman" w:hAnsi="Times New Roman"/>
          <w:noProof/>
          <w:sz w:val="24"/>
        </w:rPr>
        <w:t>, за които се прилагат стандартите за качество на околната среда и контрол на емисиите. Освен това Комисията е включила три ендокринни нарушителя в „списъка за наблюдение“ на вещества, за които следва да се събират данни от наблюдение, извършвано в целия Съюз</w:t>
      </w:r>
      <w:r>
        <w:rPr>
          <w:rStyle w:val="FootnoteReference"/>
          <w:rFonts w:ascii="Times New Roman" w:hAnsi="Times New Roman"/>
          <w:noProof/>
          <w:sz w:val="24"/>
        </w:rPr>
        <w:footnoteReference w:id="38"/>
      </w:r>
      <w:r>
        <w:rPr>
          <w:rFonts w:ascii="Times New Roman" w:hAnsi="Times New Roman"/>
          <w:noProof/>
          <w:sz w:val="24"/>
        </w:rPr>
        <w:t>.</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55680" behindDoc="1" locked="0" layoutInCell="1" allowOverlap="1">
                <wp:simplePos x="0" y="0"/>
                <wp:positionH relativeFrom="column">
                  <wp:posOffset>-42544</wp:posOffset>
                </wp:positionH>
                <wp:positionV relativeFrom="paragraph">
                  <wp:posOffset>-42545</wp:posOffset>
                </wp:positionV>
                <wp:extent cx="5924550" cy="3238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32385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35pt;margin-top:-3.35pt;width:466.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" fillcolor="white [3212]" strokecolor="black [3213]" strokeweight="1pt"/>
            </w:pict>
          </mc:Fallback>
        </mc:AlternateContent>
      </w:r>
      <w:r>
        <w:rPr>
          <w:rFonts w:ascii="Times New Roman" w:hAnsi="Times New Roman"/>
          <w:noProof/>
          <w:sz w:val="24"/>
        </w:rPr>
        <w:t xml:space="preserve">Поради опасения от наличие на свойства, нарушаващи функциите на ендокринната система, химичното вещество </w:t>
      </w:r>
      <w:r>
        <w:rPr>
          <w:rFonts w:ascii="Times New Roman" w:hAnsi="Times New Roman"/>
          <w:b/>
          <w:noProof/>
          <w:sz w:val="24"/>
        </w:rPr>
        <w:t>бисфенол А е забранено за употреба в бебешки шишета и други съдове за храни за кърмачета и малки деца</w:t>
      </w:r>
      <w:r>
        <w:rPr>
          <w:rFonts w:ascii="Times New Roman" w:hAnsi="Times New Roman"/>
          <w:noProof/>
          <w:sz w:val="24"/>
        </w:rPr>
        <w:t>, а за другите материали, предназначени за контакт с храни, са установени много ниски стойности на допустими граници на миграция</w:t>
      </w:r>
      <w:r>
        <w:rPr>
          <w:rStyle w:val="FootnoteReference"/>
          <w:rFonts w:ascii="Times New Roman" w:hAnsi="Times New Roman"/>
          <w:noProof/>
          <w:sz w:val="24"/>
        </w:rPr>
        <w:footnoteReference w:id="39"/>
      </w:r>
      <w:r>
        <w:rPr>
          <w:rFonts w:ascii="Times New Roman" w:hAnsi="Times New Roman"/>
          <w:noProof/>
          <w:sz w:val="24"/>
        </w:rPr>
        <w:t xml:space="preserve">. Също така са </w:t>
      </w:r>
      <w:r>
        <w:rPr>
          <w:rFonts w:ascii="Times New Roman" w:hAnsi="Times New Roman"/>
          <w:b/>
          <w:noProof/>
          <w:sz w:val="24"/>
        </w:rPr>
        <w:t>наложени ограничения за стойностите</w:t>
      </w:r>
      <w:r>
        <w:rPr>
          <w:rFonts w:ascii="Times New Roman" w:hAnsi="Times New Roman"/>
          <w:noProof/>
          <w:sz w:val="24"/>
        </w:rPr>
        <w:t xml:space="preserve"> на бисфенол А в детски играчки, предназначени за малки деца на възраст под 36 месеца или предназначени да бъдат поставяни в устата</w:t>
      </w:r>
      <w:r>
        <w:rPr>
          <w:rStyle w:val="FootnoteReference"/>
          <w:rFonts w:ascii="Times New Roman" w:hAnsi="Times New Roman"/>
          <w:noProof/>
          <w:sz w:val="24"/>
        </w:rPr>
        <w:footnoteReference w:id="40"/>
      </w:r>
      <w:r>
        <w:rPr>
          <w:rFonts w:ascii="Times New Roman" w:hAnsi="Times New Roman"/>
          <w:noProof/>
          <w:sz w:val="24"/>
        </w:rPr>
        <w:t xml:space="preserve">, както и в </w:t>
      </w:r>
      <w:r>
        <w:rPr>
          <w:rFonts w:ascii="Times New Roman" w:hAnsi="Times New Roman"/>
          <w:b/>
          <w:noProof/>
          <w:sz w:val="24"/>
        </w:rPr>
        <w:t>хартията</w:t>
      </w:r>
      <w:r>
        <w:rPr>
          <w:rFonts w:ascii="Times New Roman" w:hAnsi="Times New Roman"/>
          <w:noProof/>
          <w:sz w:val="24"/>
        </w:rPr>
        <w:t xml:space="preserve"> за касови бележки</w:t>
      </w:r>
      <w:r>
        <w:rPr>
          <w:rStyle w:val="FootnoteReference"/>
          <w:rFonts w:ascii="Times New Roman" w:hAnsi="Times New Roman"/>
          <w:noProof/>
          <w:sz w:val="24"/>
        </w:rPr>
        <w:footnoteReference w:id="41"/>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Установени са също така </w:t>
      </w:r>
      <w:r>
        <w:rPr>
          <w:rFonts w:ascii="Times New Roman" w:hAnsi="Times New Roman"/>
          <w:noProof/>
          <w:color w:val="000000"/>
          <w:sz w:val="24"/>
        </w:rPr>
        <w:t>много ниски</w:t>
      </w:r>
      <w:r>
        <w:rPr>
          <w:rFonts w:ascii="Times New Roman" w:hAnsi="Times New Roman"/>
          <w:noProof/>
          <w:sz w:val="24"/>
        </w:rPr>
        <w:t xml:space="preserve"> гранични стойности на професионална експозиция за бисфенол А, </w:t>
      </w:r>
      <w:r>
        <w:rPr>
          <w:rFonts w:ascii="Times New Roman" w:hAnsi="Times New Roman"/>
          <w:b/>
          <w:noProof/>
          <w:sz w:val="24"/>
        </w:rPr>
        <w:t>за да се защитят работниците от експозиция</w:t>
      </w:r>
      <w:r>
        <w:rPr>
          <w:rFonts w:ascii="Times New Roman" w:hAnsi="Times New Roman"/>
          <w:noProof/>
          <w:sz w:val="24"/>
        </w:rPr>
        <w:t xml:space="preserve"> чрез инхалабилен прах</w:t>
      </w:r>
      <w:r>
        <w:rPr>
          <w:rStyle w:val="FootnoteReference"/>
          <w:rFonts w:ascii="Times New Roman" w:hAnsi="Times New Roman"/>
          <w:noProof/>
          <w:sz w:val="24"/>
        </w:rPr>
        <w:footnoteReference w:id="42"/>
      </w:r>
      <w:r>
        <w:rPr>
          <w:rFonts w:ascii="Times New Roman" w:hAnsi="Times New Roman"/>
          <w:noProof/>
          <w:sz w:val="24"/>
        </w:rPr>
        <w:t xml:space="preserve">. </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Съгласно законодателството в областта на </w:t>
      </w:r>
      <w:r>
        <w:rPr>
          <w:rFonts w:ascii="Times New Roman" w:hAnsi="Times New Roman"/>
          <w:b/>
          <w:noProof/>
          <w:sz w:val="24"/>
        </w:rPr>
        <w:t>козметичните продукти</w:t>
      </w:r>
      <w:r>
        <w:rPr>
          <w:rFonts w:ascii="Times New Roman" w:hAnsi="Times New Roman"/>
          <w:noProof/>
          <w:sz w:val="24"/>
        </w:rPr>
        <w:t xml:space="preserve"> са установени специални ограничения или забрани за различни консерванти със свойства, нарушаващи функциите на ендокринната система, по-специално с цел да се защитят кърмачетата и малките деца</w:t>
      </w:r>
      <w:r>
        <w:rPr>
          <w:rStyle w:val="FootnoteReference"/>
          <w:rFonts w:ascii="Times New Roman" w:hAnsi="Times New Roman"/>
          <w:noProof/>
          <w:sz w:val="24"/>
        </w:rPr>
        <w:footnoteReference w:id="43"/>
      </w:r>
      <w:r>
        <w:rPr>
          <w:rFonts w:ascii="Times New Roman" w:hAnsi="Times New Roman"/>
          <w:noProof/>
          <w:sz w:val="24"/>
        </w:rPr>
        <w:t xml:space="preserve">. Освен това </w:t>
      </w:r>
      <w:r>
        <w:rPr>
          <w:rFonts w:ascii="Times New Roman" w:hAnsi="Times New Roman"/>
          <w:b/>
          <w:noProof/>
          <w:sz w:val="24"/>
        </w:rPr>
        <w:t>беше забранено</w:t>
      </w:r>
      <w:r>
        <w:rPr>
          <w:rFonts w:ascii="Times New Roman" w:hAnsi="Times New Roman"/>
          <w:noProof/>
          <w:sz w:val="24"/>
        </w:rPr>
        <w:t xml:space="preserve"> и вещество, използвано в слънцезащитни продукти като </w:t>
      </w:r>
      <w:r>
        <w:rPr>
          <w:rFonts w:ascii="Times New Roman" w:hAnsi="Times New Roman"/>
          <w:b/>
          <w:noProof/>
          <w:sz w:val="24"/>
        </w:rPr>
        <w:t>филтър за ултравиолетово лъчение</w:t>
      </w:r>
      <w:r>
        <w:rPr>
          <w:rStyle w:val="FootnoteReference"/>
          <w:rFonts w:ascii="Times New Roman" w:hAnsi="Times New Roman"/>
          <w:noProof/>
          <w:sz w:val="24"/>
        </w:rPr>
        <w:footnoteReference w:id="44"/>
      </w:r>
      <w:r>
        <w:rPr>
          <w:rFonts w:ascii="Times New Roman" w:hAnsi="Times New Roman"/>
          <w:noProof/>
          <w:sz w:val="24"/>
        </w:rPr>
        <w:t xml:space="preserve">, като бяха взети предвид по-специално потенциалните му свойства, нарушаващи функциите на ендокринната система.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За разгръщането на пълния потенциал на законодателството на ЕС, което има отношение към ендокринните нарушители, понастоящем Комисията разработва действия в няколко области. Те включват:</w:t>
      </w:r>
    </w:p>
    <w:p>
      <w:pPr>
        <w:pStyle w:val="ListParagraph"/>
        <w:numPr>
          <w:ilvl w:val="0"/>
          <w:numId w:val="47"/>
        </w:numPr>
        <w:spacing w:after="120" w:line="240" w:lineRule="auto"/>
        <w:ind w:left="714" w:hanging="357"/>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целта да се разработи хоризонтален подход за определянето на ендокринни нарушители в цялото законодателство на ЕС въз основа на критериите, разработени за пестицидите и биоцидите;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актуализиране на изискванията за данните в различните нормативни уредби за подобряване на определянето на ендокринните нарушители;  </w:t>
      </w:r>
    </w:p>
    <w:p>
      <w:pPr>
        <w:pStyle w:val="ListParagraph"/>
        <w:numPr>
          <w:ilvl w:val="0"/>
          <w:numId w:val="47"/>
        </w:numPr>
        <w:spacing w:after="120" w:line="240" w:lineRule="auto"/>
        <w:jc w:val="both"/>
        <w:rPr>
          <w:rFonts w:ascii="Times New Roman" w:eastAsiaTheme="majorEastAsia" w:hAnsi="Times New Roman" w:cs="Times New Roman"/>
          <w:bCs/>
          <w:noProof/>
          <w:sz w:val="24"/>
          <w:szCs w:val="24"/>
        </w:rPr>
      </w:pPr>
      <w:r>
        <w:rPr>
          <w:rFonts w:ascii="Times New Roman" w:eastAsiaTheme="majorEastAsia" w:hAnsi="Times New Roman"/>
          <w:noProof/>
          <w:sz w:val="24"/>
        </w:rPr>
        <w:t>оценяване на възможността за подобряване на обмена на информацията по веригата на доставките за ендокринни нарушители съгласно Регламента REACH в контекста на работата по изготвянето на информационни листове за безопасност</w:t>
      </w:r>
      <w:r>
        <w:rPr>
          <w:rStyle w:val="FootnoteReference"/>
          <w:rFonts w:ascii="Times New Roman" w:eastAsiaTheme="majorEastAsia" w:hAnsi="Times New Roman"/>
          <w:noProof/>
          <w:sz w:val="24"/>
        </w:rPr>
        <w:footnoteReference w:id="45"/>
      </w:r>
      <w:r>
        <w:rPr>
          <w:rFonts w:ascii="Times New Roman" w:eastAsiaTheme="majorEastAsia" w:hAnsi="Times New Roman"/>
          <w:noProof/>
          <w:sz w:val="24"/>
        </w:rPr>
        <w:t xml:space="preserve">;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задълбочаване на работата по научната оценка на ендокринните нарушители с цел предприемане на по-нататъшни регулаторни действия;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подкрепа за споделянето на данни и дейностите по наблюдение;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изготвяне на документи с насоки и на доклади;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организиране на обучения за лицата, ангажирани с оценката на риска и с управлението на риска.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Освен това към момента Европейският парламент и Съветът разглеждат няколко текущи инициативи на Комисията или дейностите по прилагането им са в ход, като след като работата по тях приключи, с тях ще се осигурят допълнителни средства за предприемане на мерки в областта на ендокринните нарушители. Те включват: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за регламент относно </w:t>
      </w:r>
      <w:r>
        <w:rPr>
          <w:rFonts w:ascii="Times New Roman" w:hAnsi="Times New Roman"/>
          <w:b/>
          <w:noProof/>
          <w:sz w:val="24"/>
        </w:rPr>
        <w:t>прозрачността и устойчивостта на оценката на риска</w:t>
      </w:r>
      <w:r>
        <w:rPr>
          <w:rFonts w:ascii="Times New Roman" w:hAnsi="Times New Roman"/>
          <w:noProof/>
          <w:sz w:val="24"/>
        </w:rPr>
        <w:t xml:space="preserve"> съгласно законодателството на ЕС в областта на храните</w:t>
      </w:r>
      <w:r>
        <w:rPr>
          <w:rStyle w:val="FootnoteReference"/>
          <w:rFonts w:ascii="Times New Roman" w:hAnsi="Times New Roman"/>
          <w:noProof/>
          <w:sz w:val="24"/>
        </w:rPr>
        <w:footnoteReference w:id="46"/>
      </w:r>
      <w:r>
        <w:rPr>
          <w:rFonts w:ascii="Times New Roman" w:hAnsi="Times New Roman"/>
          <w:noProof/>
          <w:sz w:val="24"/>
        </w:rPr>
        <w:t xml:space="preserve">, което има за цел да повиши доверието в регулаторния процес, включително оценката на веществата, за които има съмнение, че са ендокринни нарушители;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европейската стратегия за пластмасите</w:t>
      </w:r>
      <w:r>
        <w:rPr>
          <w:rStyle w:val="FootnoteReference"/>
          <w:rFonts w:ascii="Times New Roman" w:hAnsi="Times New Roman"/>
          <w:noProof/>
          <w:sz w:val="24"/>
        </w:rPr>
        <w:footnoteReference w:id="47"/>
      </w:r>
      <w:r>
        <w:rPr>
          <w:rFonts w:ascii="Times New Roman" w:hAnsi="Times New Roman"/>
          <w:noProof/>
          <w:sz w:val="24"/>
        </w:rPr>
        <w:t>, чиято цел е да се ускори заместването на вещества, пораждащи безпокойство, включително ендокринните нарушители, с цел да се насърчи рециклирането;</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предложението да се преразгледа </w:t>
      </w:r>
      <w:r>
        <w:rPr>
          <w:rFonts w:ascii="Times New Roman" w:hAnsi="Times New Roman"/>
          <w:b/>
          <w:noProof/>
          <w:sz w:val="24"/>
        </w:rPr>
        <w:t>Директивата за питейната вода</w:t>
      </w:r>
      <w:r>
        <w:rPr>
          <w:rStyle w:val="FootnoteReference"/>
          <w:rFonts w:ascii="Times New Roman" w:hAnsi="Times New Roman"/>
          <w:noProof/>
          <w:sz w:val="24"/>
        </w:rPr>
        <w:footnoteReference w:id="48"/>
      </w:r>
      <w:r>
        <w:rPr>
          <w:rFonts w:ascii="Times New Roman" w:hAnsi="Times New Roman"/>
          <w:noProof/>
          <w:sz w:val="24"/>
        </w:rPr>
        <w:t>, с което към списъка с параметри за определяне на безопасността на питейната вода се добавят три ендокринни нарушителя</w:t>
      </w:r>
      <w:r>
        <w:rPr>
          <w:rStyle w:val="FootnoteReference"/>
          <w:rFonts w:ascii="Times New Roman" w:hAnsi="Times New Roman"/>
          <w:noProof/>
          <w:sz w:val="24"/>
        </w:rPr>
        <w:footnoteReference w:id="49"/>
      </w:r>
      <w:r>
        <w:rPr>
          <w:rFonts w:ascii="Times New Roman" w:hAnsi="Times New Roman"/>
          <w:noProof/>
          <w:sz w:val="24"/>
        </w:rPr>
        <w:t>;</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новия търговски механизъм за потребителите</w:t>
      </w:r>
      <w:r>
        <w:rPr>
          <w:rStyle w:val="FootnoteReference"/>
          <w:rFonts w:ascii="Times New Roman" w:hAnsi="Times New Roman"/>
          <w:b/>
          <w:noProof/>
          <w:sz w:val="24"/>
        </w:rPr>
        <w:footnoteReference w:id="50"/>
      </w:r>
      <w:r>
        <w:rPr>
          <w:rFonts w:ascii="Times New Roman" w:hAnsi="Times New Roman"/>
          <w:noProof/>
          <w:sz w:val="24"/>
        </w:rPr>
        <w:t xml:space="preserve"> и </w:t>
      </w:r>
      <w:r>
        <w:rPr>
          <w:rFonts w:ascii="Times New Roman" w:hAnsi="Times New Roman"/>
          <w:b/>
          <w:noProof/>
          <w:sz w:val="24"/>
        </w:rPr>
        <w:t>пакета за стоките</w:t>
      </w:r>
      <w:r>
        <w:rPr>
          <w:rStyle w:val="FootnoteReference"/>
          <w:rFonts w:ascii="Times New Roman" w:hAnsi="Times New Roman"/>
          <w:noProof/>
          <w:sz w:val="24"/>
        </w:rPr>
        <w:footnoteReference w:id="51"/>
      </w:r>
      <w:r>
        <w:rPr>
          <w:rFonts w:ascii="Times New Roman" w:hAnsi="Times New Roman"/>
          <w:noProof/>
          <w:sz w:val="24"/>
        </w:rPr>
        <w:t>, което ще подобри прилагането на изискванията за безопасност на продуктите и ще е средство за справяне с проблемите, свързани с незаконното наличие на ендокринни нарушители в редица продукти</w:t>
      </w:r>
      <w:r>
        <w:rPr>
          <w:rStyle w:val="FootnoteReference"/>
          <w:rFonts w:ascii="Times New Roman" w:hAnsi="Times New Roman"/>
          <w:noProof/>
          <w:sz w:val="24"/>
        </w:rPr>
        <w:footnoteReference w:id="52"/>
      </w:r>
      <w:r>
        <w:rPr>
          <w:rFonts w:ascii="Times New Roman" w:hAnsi="Times New Roman"/>
          <w:noProof/>
          <w:sz w:val="24"/>
        </w:rPr>
        <w:t xml:space="preserve">;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и актуализация на съществуващата правна уредба в областта на </w:t>
      </w:r>
      <w:r>
        <w:rPr>
          <w:rFonts w:ascii="Times New Roman" w:hAnsi="Times New Roman"/>
          <w:b/>
          <w:noProof/>
          <w:sz w:val="24"/>
        </w:rPr>
        <w:t>здравословните и безопасни условия на труд</w:t>
      </w:r>
      <w:r>
        <w:rPr>
          <w:rFonts w:ascii="Times New Roman" w:hAnsi="Times New Roman"/>
          <w:noProof/>
          <w:sz w:val="24"/>
        </w:rPr>
        <w:t xml:space="preserve"> въз основа на солидно обосновани научни становища, за да бъдат защитени работниците, изложени на опасни химикали, някои от които имат свойства, нарушаващи функциите на ендокринната система.</w:t>
      </w:r>
    </w:p>
    <w:p>
      <w:pPr>
        <w:keepNext/>
        <w:autoSpaceDE w:val="0"/>
        <w:autoSpaceDN w:val="0"/>
        <w:adjustRightInd w:val="0"/>
        <w:spacing w:after="120" w:line="240" w:lineRule="auto"/>
        <w:jc w:val="both"/>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Международно сътрудничество в областта на ендокринните нарушители</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и държавите членки участват активно в работата на Организацията за икономическо сътрудничество и развитие, като така допринасят за усилията на организацията за разработване на съгласувани в международен план насоки за изпитване на ендокринните нарушители и за подобряване на координацията на международната сцена.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и държавите членки също така подкрепят дейността на Световната здравна организация</w:t>
      </w:r>
      <w:r>
        <w:rPr>
          <w:rStyle w:val="FootnoteReference"/>
          <w:rFonts w:ascii="Times New Roman" w:hAnsi="Times New Roman"/>
          <w:noProof/>
          <w:sz w:val="24"/>
        </w:rPr>
        <w:footnoteReference w:id="53"/>
      </w:r>
      <w:r>
        <w:rPr>
          <w:rFonts w:ascii="Times New Roman" w:hAnsi="Times New Roman"/>
          <w:noProof/>
          <w:sz w:val="24"/>
        </w:rPr>
        <w:t>, Стратегическия подход за международно управление на химикали и Програмата на ООН за околната среда. Комисията и държавите членки си сътрудничат и обменят информация и с международни партньори под егидата на Световната търговска организация във връзка с измененията на нормативната уредба, които биха могли да повлияят на търговията</w:t>
      </w:r>
      <w:r>
        <w:rPr>
          <w:rStyle w:val="FootnoteReference"/>
          <w:rFonts w:ascii="Times New Roman" w:hAnsi="Times New Roman"/>
          <w:noProof/>
          <w:sz w:val="24"/>
        </w:rPr>
        <w:footnoteReference w:id="54"/>
      </w:r>
      <w:r>
        <w:rPr>
          <w:rFonts w:ascii="Times New Roman" w:hAnsi="Times New Roman"/>
          <w:noProof/>
          <w:sz w:val="24"/>
        </w:rPr>
        <w:t>. Освен това, по линия на двустранните отношения е извършван обмен на информация с международни партньори, по-специално Съединените щати, Канада, Япония, а наскоро и Китай. Въпреки наличието на различни подходи към решенията на проблема, свързан с ендокринните нарушители, всички партньори са съгласни, че този въпрос е с приоритетно значение</w:t>
      </w:r>
      <w:r>
        <w:rPr>
          <w:rStyle w:val="FootnoteReference"/>
          <w:rFonts w:ascii="Times New Roman" w:hAnsi="Times New Roman"/>
          <w:noProof/>
          <w:sz w:val="24"/>
        </w:rPr>
        <w:footnoteReference w:id="55"/>
      </w:r>
      <w:r>
        <w:rPr>
          <w:rFonts w:ascii="Times New Roman" w:hAnsi="Times New Roman"/>
          <w:noProof/>
          <w:sz w:val="24"/>
        </w:rPr>
        <w:t xml:space="preserve">. Двустранните споразумения за сътрудничество с търговските партньори включват и организиране на обсъждания по въпроси, свързани с ендокринните нарушители. </w:t>
      </w:r>
    </w:p>
    <w:p>
      <w:pPr>
        <w:pStyle w:val="Heading1"/>
        <w:spacing w:before="360" w:after="120" w:line="240" w:lineRule="auto"/>
        <w:rPr>
          <w:rFonts w:cs="Times New Roman"/>
          <w:caps/>
          <w:noProof/>
          <w:sz w:val="24"/>
          <w:szCs w:val="24"/>
        </w:rPr>
      </w:pPr>
      <w:r>
        <w:rPr>
          <w:caps/>
          <w:noProof/>
          <w:sz w:val="24"/>
        </w:rPr>
        <w:t>3. Развитие на политиката на ЕС относно ендокринните нарушители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винаги е била ангажирана и ще остане ангажирана с осигуряването на високо ниво на защита от ендокринни нарушители на гражданите на ЕС и на околната среда и в същото време със запазването на функционирането на вътрешен пазар, който задоволява нуждите на потребителите и позволява на всички предприятия в ЕС да се развиват.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Изпълнението на стратегията на Общността от 1999 г. постави ЕС на челно място в разбирането и регулирането на тези опасни химикали. Но за да се отбележи по-нататъшен напредък и да се поддържа високото ниво на защита, е важно да се гарантира, че уредбата на ЕС продължава да разглежда съгласувано въпросите, свързани с ендокринните нарушители, във всички съответни области.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Стратегическият подход на ЕС относно ендокринните нарушители през следващите години следва да се опира на принципа на предпазливостта и да има за цел:</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свеждане до минимум на експозицията на хората и на околната среда</w:t>
      </w:r>
      <w:r>
        <w:rPr>
          <w:noProof/>
        </w:rPr>
        <w:t xml:space="preserve"> </w:t>
      </w:r>
      <w:r>
        <w:rPr>
          <w:rFonts w:ascii="Times New Roman" w:hAnsi="Times New Roman"/>
          <w:noProof/>
          <w:sz w:val="24"/>
        </w:rPr>
        <w:t xml:space="preserve">на ендокринните нарушители, като се обръща специално внимание на експозициите по време на важните периоди на развитието на организма, като например вътреутробното развитие на плода и пубертета;  </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ускоряване на полагането на стабилна основа от научни изследвания</w:t>
      </w:r>
      <w:r>
        <w:rPr>
          <w:rFonts w:ascii="Times New Roman" w:hAnsi="Times New Roman"/>
          <w:noProof/>
          <w:sz w:val="24"/>
        </w:rPr>
        <w:t xml:space="preserve"> за ефективно и напредничаво вземане на решения;</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насърчаване на активен диалог</w:t>
      </w:r>
      <w:r>
        <w:rPr>
          <w:rFonts w:ascii="Times New Roman" w:hAnsi="Times New Roman"/>
          <w:noProof/>
          <w:sz w:val="24"/>
        </w:rPr>
        <w:t>, позволяващ да бъде чут гласът на всички заинтересовани страни и те да работят съвместно.</w:t>
      </w:r>
    </w:p>
    <w:p>
      <w:pPr>
        <w:pStyle w:val="Heading2"/>
        <w:spacing w:before="0" w:after="120" w:line="240" w:lineRule="auto"/>
        <w:rPr>
          <w:rFonts w:cs="Times New Roman"/>
          <w:noProof/>
          <w:szCs w:val="24"/>
        </w:rPr>
      </w:pPr>
      <w:r>
        <w:rPr>
          <w:noProof/>
        </w:rPr>
        <w:t>Съгласуван подход при регламентирането на ендокринните нарушители</w:t>
      </w:r>
    </w:p>
    <w:p>
      <w:pPr>
        <w:pStyle w:val="NormalWeb"/>
        <w:spacing w:before="0" w:beforeAutospacing="0" w:after="120" w:afterAutospacing="0"/>
        <w:jc w:val="both"/>
        <w:rPr>
          <w:noProof/>
        </w:rPr>
      </w:pPr>
      <w:r>
        <w:rPr>
          <w:noProof/>
        </w:rPr>
        <w:t>Законодателните мерки, които съставляват правната уредба на ЕС, с която се уреждат въпросите относно химикалите, са разработвани на различни етапи и в някои случаи имат различни цели. Така се стигна до наличието на различни подходи към въпросите, свързани с ендокринните нарушители, според сектора, в който те се уреждат, и се повдигна въпросът дали правната уредба на ЕС относно ендокринните нарушители е достатъчно съгласувана. По-конкретно има два въпроса, които заслужават специално внимание:</w:t>
      </w:r>
    </w:p>
    <w:p>
      <w:pPr>
        <w:pStyle w:val="NormalWeb"/>
        <w:spacing w:before="120" w:beforeAutospacing="0" w:after="120" w:afterAutospacing="0"/>
        <w:jc w:val="both"/>
        <w:rPr>
          <w:noProof/>
        </w:rPr>
      </w:pPr>
      <w:r>
        <w:rPr>
          <w:b/>
          <w:noProof/>
        </w:rPr>
        <w:t>Хоризонтален подход към определянето на ендокринни нарушители</w:t>
      </w:r>
      <w:r>
        <w:rPr>
          <w:noProof/>
        </w:rPr>
        <w:t>:</w:t>
      </w:r>
      <w:r>
        <w:rPr>
          <w:b/>
          <w:noProof/>
        </w:rPr>
        <w:t xml:space="preserve"> </w:t>
      </w:r>
      <w:r>
        <w:rPr>
          <w:noProof/>
        </w:rPr>
        <w:t xml:space="preserve">Комисията счита, че следва да има съгласуван подход към определянето на ендокринните нарушители в цялото засягащо тези въпроси законодателство на Съюза, който се опира на широко възприетото определение на Световната здравна организация. </w:t>
      </w:r>
    </w:p>
    <w:p>
      <w:pPr>
        <w:pStyle w:val="NormalWeb"/>
        <w:spacing w:before="120" w:beforeAutospacing="0" w:after="120" w:afterAutospacing="0"/>
        <w:jc w:val="both"/>
        <w:rPr>
          <w:noProof/>
          <w:spacing w:val="-4"/>
        </w:rPr>
      </w:pPr>
      <w:r>
        <w:rPr>
          <w:noProof/>
          <w:spacing w:val="-4"/>
        </w:rPr>
        <w:t>Наскоро установените критерии за пестицидите и биоцидите представляват първа стъпка в тази посока, но законодателството на ЕС в други области не съдържа такива критерии.</w:t>
      </w:r>
    </w:p>
    <w:p>
      <w:pPr>
        <w:pStyle w:val="NormalWeb"/>
        <w:spacing w:before="120" w:beforeAutospacing="0" w:after="120" w:afterAutospacing="0"/>
        <w:jc w:val="both"/>
        <w:rPr>
          <w:noProof/>
        </w:rPr>
      </w:pPr>
    </w:p>
    <w:p>
      <w:pPr>
        <w:pStyle w:val="NormalWeb"/>
        <w:spacing w:before="120" w:beforeAutospacing="0" w:after="120" w:afterAutospacing="0"/>
        <w:jc w:val="both"/>
        <w:rPr>
          <w:noProof/>
        </w:rPr>
      </w:pPr>
      <w:r>
        <w:rPr>
          <w:noProof/>
        </w:rPr>
        <w:t xml:space="preserve">Бе застъпена позицията, че от съображения за правна сигурност и за да се избегне евентуалният риск дадено вещество да бъде определено като ендокринен нарушител по един законодателен акт, но не и по друг, в законодателството следва да бъдат установени хоризонтални критерии за определянето на ендокринни нарушители. Този въпрос следва да бъде разгледан по-подробно. </w:t>
      </w:r>
    </w:p>
    <w:p>
      <w:pPr>
        <w:pStyle w:val="NormalWeb"/>
        <w:spacing w:before="120" w:beforeAutospacing="0" w:after="120" w:afterAutospacing="0"/>
        <w:jc w:val="both"/>
        <w:rPr>
          <w:noProof/>
        </w:rPr>
      </w:pPr>
      <w:r>
        <w:rPr>
          <w:b/>
          <w:noProof/>
        </w:rPr>
        <w:t xml:space="preserve">Оражение за работата с ендокринните нарушители съгласно предвиденото в нормативната уредба: </w:t>
      </w:r>
      <w:r>
        <w:rPr>
          <w:noProof/>
        </w:rPr>
        <w:t xml:space="preserve">в отделните законодателни актове за залегнали различни нормативни подходи към веществата, определени като ендокринни нарушители. </w:t>
      </w:r>
    </w:p>
    <w:p>
      <w:pPr>
        <w:pStyle w:val="NormalWeb"/>
        <w:spacing w:before="120" w:beforeAutospacing="0" w:after="120" w:afterAutospacing="0"/>
        <w:jc w:val="both"/>
        <w:rPr>
          <w:noProof/>
        </w:rPr>
      </w:pPr>
      <w:r>
        <w:rPr>
          <w:noProof/>
        </w:rPr>
        <w:t xml:space="preserve">За пестицидите и биоцидите съзаконодателите приеха специални разпоредби, почиващи на </w:t>
      </w:r>
      <w:r>
        <w:rPr>
          <w:i/>
          <w:noProof/>
        </w:rPr>
        <w:t>принципа на предпазливостта</w:t>
      </w:r>
      <w:r>
        <w:rPr>
          <w:rStyle w:val="FootnoteReference"/>
          <w:noProof/>
        </w:rPr>
        <w:footnoteReference w:id="56"/>
      </w:r>
      <w:r>
        <w:rPr>
          <w:noProof/>
        </w:rPr>
        <w:t xml:space="preserve"> и при които са взети под внимание редица съображения. Като например отчитат специфичното естество на въпросните продукти, факта, че ендокринните нарушители са вещества, които пораждат особено безпокойство, и липсата на научна категоричност по отношение на тяхната оценка (например във връзка с наличието на безопасна гранична стойност на експозиция), съзаконодателите решиха, че след като за дадено вещество се докаже, че е ендокринен нарушител, по правило то не може да бъде разрешено за употреба. Съществуват изключително ограничени възможности за дерогация. </w:t>
      </w:r>
    </w:p>
    <w:p>
      <w:pPr>
        <w:pStyle w:val="NormalWeb"/>
        <w:spacing w:before="120" w:beforeAutospacing="0" w:after="120" w:afterAutospacing="0"/>
        <w:jc w:val="both"/>
        <w:rPr>
          <w:noProof/>
        </w:rPr>
      </w:pPr>
      <w:r>
        <w:rPr>
          <w:noProof/>
        </w:rPr>
        <w:t xml:space="preserve">Съгласно Регламента REACH ендокринните нарушители са изрично посочени като вещества, които могат да бъдат определяни като вещества, пораждащи сериозно безпокойство, и ако бъдат приоритизирани, са обвързани със спазването на изисквания за разрешение. По отношение на ендокринните нарушители могат да се прилагат и ограничения.  </w:t>
      </w:r>
    </w:p>
    <w:p>
      <w:pPr>
        <w:pStyle w:val="NormalWeb"/>
        <w:spacing w:before="120" w:beforeAutospacing="0" w:after="120" w:afterAutospacing="0"/>
        <w:jc w:val="both"/>
        <w:rPr>
          <w:noProof/>
        </w:rPr>
      </w:pPr>
      <w:r>
        <w:rPr>
          <w:noProof/>
        </w:rPr>
        <w:t>Други законодателни актове, като например регламентът относно козметичните продукти, макар да не споменават изрично ендокринните нарушители, ги считат за други вещества, които могат да имат неблагоприятно въздействие върху здравето на човека.</w:t>
      </w:r>
    </w:p>
    <w:p>
      <w:pPr>
        <w:pStyle w:val="NormalWeb"/>
        <w:spacing w:before="120" w:beforeAutospacing="0" w:after="120" w:afterAutospacing="0"/>
        <w:jc w:val="both"/>
        <w:rPr>
          <w:b/>
          <w:noProof/>
        </w:rPr>
      </w:pPr>
      <w:r>
        <w:rPr>
          <w:noProof/>
        </w:rPr>
        <w:t>Някои от заинтересованите страни изказват становището, че в някои области законодателството на ЕС не предлага адекватен законодателен подход за ефективно разрешаване на въпросите относно ендокринните нарушители. Този проблем заслужава да бъде разгледан по-задълбочено.</w:t>
      </w:r>
    </w:p>
    <w:p>
      <w:pPr>
        <w:pStyle w:val="NormalWeb"/>
        <w:spacing w:before="0" w:beforeAutospacing="0" w:after="120" w:afterAutospacing="0"/>
        <w:jc w:val="both"/>
        <w:rPr>
          <w:noProof/>
        </w:rPr>
      </w:pPr>
      <w:r>
        <w:rPr>
          <w:noProof/>
        </w:rPr>
        <w:t>В съответствие с програмата на Комисията за по-добро законотворчество и ангажимента да се гарантира, че законите на ЕС продължават да са подходящи за целта си, бяха направени или в момента се извършват различни оценки, които в различна степен засягат темата за ендокринните нарушители</w:t>
      </w:r>
      <w:r>
        <w:rPr>
          <w:rStyle w:val="FootnoteReference"/>
          <w:noProof/>
        </w:rPr>
        <w:footnoteReference w:id="57"/>
      </w:r>
      <w:r>
        <w:rPr>
          <w:noProof/>
        </w:rPr>
        <w:t xml:space="preserve">. Нито една оценка досега обаче не е успяла да обхване всичките различни вертикални и хоризонтални аспекти на ендокринните нарушители. </w:t>
      </w:r>
    </w:p>
    <w:p>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jc w:val="both"/>
        <w:rPr>
          <w:b/>
          <w:noProof/>
        </w:rPr>
      </w:pPr>
      <w:r>
        <w:rPr>
          <w:noProof/>
        </w:rPr>
        <w:sym w:font="Wingdings" w:char="F0E8"/>
      </w:r>
      <w:r>
        <w:rPr>
          <w:noProof/>
        </w:rPr>
        <w:t xml:space="preserve">Комисията </w:t>
      </w:r>
      <w:r>
        <w:rPr>
          <w:b/>
          <w:noProof/>
        </w:rPr>
        <w:t>ще предприеме проверка за пригодност</w:t>
      </w:r>
      <w:r>
        <w:rPr>
          <w:noProof/>
        </w:rPr>
        <w:t>, за да направи оценка на това дали съответното законодателство на ЕС относно ендокринните нарушители постига своята обща цел за опазване на здравето на човека и на околната среда чрез свеждане до минимум на експозицията на тези вещества.</w:t>
      </w:r>
      <w:r>
        <w:rPr>
          <w:b/>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noProof/>
        </w:rPr>
      </w:pPr>
      <w:r>
        <w:rPr>
          <w:noProof/>
        </w:rPr>
        <w:t xml:space="preserve">За първи път с проверката за пригодност ще се предложи </w:t>
      </w:r>
      <w:r>
        <w:rPr>
          <w:b/>
          <w:noProof/>
        </w:rPr>
        <w:t>междусекторен поглед върху ендокринните нарушители</w:t>
      </w:r>
      <w:r>
        <w:rPr>
          <w:noProof/>
        </w:rPr>
        <w:t xml:space="preserve">, като се стъпи на научните доказателства и на значителния обем от данни, които вече са събрани и анализирани във връзка с финализираните и текущите оценки. Това ще даде възможност да се направи анализ на начина, по който различните разпоредби/подходи относно ендокринните нарушители си взаимодействат, да се набележат евентуални пропуски, несъответствия или полезни взаимодействия и да се направи оценка на тяхното колективно въздействие върху разходите и ползите за здравето на човека, околната среда, конкурентоспособността на земеделските стопани и промишлеността в ЕС, както и за международната търговия. При проверката за пригодност ще се обърне особено внимание на областите, за които в съответното законодателство не са предвидени специални разпоредби относно ендокринните нарушители, като например детските играчки, козметичните продукти и материалите, предназначени за контакт с храни.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noProof/>
        </w:rPr>
      </w:pPr>
      <w:r>
        <w:rPr>
          <w:noProof/>
        </w:rPr>
        <w:t xml:space="preserve">Ще бъде отделено </w:t>
      </w:r>
      <w:r>
        <w:rPr>
          <w:b/>
          <w:noProof/>
        </w:rPr>
        <w:t>особено внимание на последователността и интензивността на действията</w:t>
      </w:r>
      <w:r>
        <w:rPr>
          <w:noProof/>
        </w:rPr>
        <w:t xml:space="preserve"> за защита на уязвимите групи от населението, които са особено чувствителни към ендокринните нарушители, като например подрастващите или плода в утробата. Проверката за пригодност ще даде възможност за всеобхватни консултации с гражданите на ЕС и заинтересованите страни, включително чрез обществена консултация. Като цяло тя ще спомогне да се направи оценка дали законодателството е подходящо за целта си в съответствие с изискванията за по-добро законотворчество и ще предостави аргументи при обмислянето на това дали са необходими законодателни промени.</w:t>
      </w:r>
    </w:p>
    <w:p>
      <w:pPr>
        <w:pStyle w:val="Heading2"/>
        <w:keepLines w:val="0"/>
        <w:spacing w:before="240" w:after="120" w:line="240" w:lineRule="auto"/>
        <w:rPr>
          <w:rFonts w:cs="Times New Roman"/>
          <w:b w:val="0"/>
          <w:noProof/>
          <w:szCs w:val="24"/>
        </w:rPr>
      </w:pPr>
      <w:r>
        <w:rPr>
          <w:noProof/>
        </w:rPr>
        <w:t>Подход, почиващ на най-съвременните научни доказателства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Вземането на решения в ЕС се основава на доказателства. Поради това, ако ЕС иска да задълбочи разбирането за ендокринните нарушители и да изгради здрава основа за ефективно създаване на политики, от съществено значение е на научните изследвания да се предоставя непрекъснатата подкрепа. </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noProof/>
        </w:rPr>
        <w:t xml:space="preserve"> </w:t>
      </w:r>
      <w:r>
        <w:rPr>
          <w:rFonts w:ascii="Times New Roman" w:hAnsi="Times New Roman"/>
          <w:noProof/>
          <w:sz w:val="24"/>
        </w:rPr>
        <w:t>В своята бъдеща рамкова програма за научни изследвания и иновации „Хоризонт Европа“</w:t>
      </w:r>
      <w:r>
        <w:rPr>
          <w:rStyle w:val="FootnoteReference"/>
          <w:rFonts w:ascii="Times New Roman" w:hAnsi="Times New Roman"/>
          <w:noProof/>
          <w:sz w:val="24"/>
        </w:rPr>
        <w:footnoteReference w:id="58"/>
      </w:r>
      <w:r>
        <w:rPr>
          <w:rFonts w:ascii="Times New Roman" w:hAnsi="Times New Roman"/>
          <w:noProof/>
          <w:sz w:val="24"/>
        </w:rPr>
        <w:t xml:space="preserve"> Комисията ще продължи да осигурява необходимата </w:t>
      </w:r>
      <w:r>
        <w:rPr>
          <w:rFonts w:ascii="Times New Roman" w:hAnsi="Times New Roman"/>
          <w:b/>
          <w:noProof/>
          <w:sz w:val="24"/>
        </w:rPr>
        <w:t>подкрепа за научните изследвания, чиято цел е защита на гражданите и опазване на околната среда от експозиция на вредни химикали, включително ендокринни нарушители,</w:t>
      </w:r>
      <w:r>
        <w:rPr>
          <w:rFonts w:ascii="Times New Roman" w:hAnsi="Times New Roman"/>
          <w:noProof/>
          <w:sz w:val="24"/>
        </w:rPr>
        <w:t xml:space="preserve"> въз основа на работата по настоящата рамкова програма „Хоризонт 2020“.</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Особено внимание следва да се отдели на областите, в които все още има пропуски в познанията относно ендокринните нарушители, както е определено в раздел 1, и в които наличието на повече научни доказателства може да подкрепи по възможно най-добрия начин усъвършенстването на политиките.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Няколко от предложените научноизследователски направления по програмата „Хоризонт Европа“ са от особено значение за ендокринните нарушители. Те включват: </w:t>
      </w:r>
    </w:p>
    <w:p>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научни изследвания за по-нататъшно разработване на оценка на опасността, оценка на риска и управление на химикалите, включително и за т. нар. „ефект на коктейла“, както и за събиране, споделяне и комбиниране на необходимите данни; </w:t>
      </w:r>
    </w:p>
    <w:p>
      <w:pPr>
        <w:pStyle w:val="ListParagraph"/>
        <w:numPr>
          <w:ilvl w:val="0"/>
          <w:numId w:val="36"/>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научни изследвания относно отстраняването на веществата, пораждащи безпокойство, на фазата на производство и в края на жизнения цикъл; оказване на подкрепа за разработването на безопасни заместители и безопасни и рентабилни технологии за производство;</w:t>
      </w:r>
    </w:p>
    <w:p>
      <w:pPr>
        <w:pStyle w:val="ListParagraph"/>
        <w:numPr>
          <w:ilvl w:val="0"/>
          <w:numId w:val="36"/>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научни изследвания относно екоиновации за предотвратяване и възстановяване след замърсяване на околната среда с опасни вещества и с химикали, които са повод за ново безпокойство; разглеждане на пресечните точки между химикали, продукти и отпадъци.</w:t>
      </w:r>
    </w:p>
    <w:p>
      <w:pPr>
        <w:pStyle w:val="Heading2"/>
        <w:spacing w:before="120" w:after="120" w:line="240" w:lineRule="auto"/>
        <w:rPr>
          <w:rFonts w:cs="Times New Roman"/>
          <w:noProof/>
          <w:szCs w:val="24"/>
        </w:rPr>
      </w:pPr>
      <w:r>
        <w:rPr>
          <w:noProof/>
        </w:rPr>
        <w:t xml:space="preserve">Приобщаващ подход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може да отбелязва напредък, като същевременно ефективно реагира на въпросите, свързани с ендокринните нарушители, Комисията ще следва приобщаващ подход, който е открит, прозрачен и обединява всички заинтересовани страни. Комисията е готова да изслушва внимателно, да води партньорски диалог и да обменя активно информация по тези въпроси.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Това се отнася и за сътрудничеството с партньори извън ЕС, за да се следят отблизо резултатите от научните изследвания, да се гарантира ефикасното използване на ресурсите в световен мащаб, да се гарантира съгласуваността на уредбата, като така се намалят пречките пред търговията, и се запази все така водещата роля на ЕС в световен мащаб.</w:t>
      </w:r>
    </w:p>
    <w:p>
      <w:pPr>
        <w:spacing w:after="120" w:line="240" w:lineRule="auto"/>
        <w:jc w:val="both"/>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E8"/>
      </w:r>
      <w:r>
        <w:rPr>
          <w:rFonts w:ascii="Times New Roman" w:hAnsi="Times New Roman" w:cs="Times New Roman"/>
          <w:noProof/>
          <w:sz w:val="24"/>
          <w:szCs w:val="24"/>
          <w:lang w:val="en-GB"/>
        </w:rPr>
        <w:t xml:space="preserve"> </w:t>
      </w:r>
      <w:r>
        <w:rPr>
          <w:rFonts w:ascii="Times New Roman" w:hAnsi="Times New Roman"/>
          <w:noProof/>
          <w:sz w:val="24"/>
        </w:rPr>
        <w:t xml:space="preserve">Комисията ще организира годишен </w:t>
      </w:r>
      <w:r>
        <w:rPr>
          <w:rFonts w:ascii="Times New Roman" w:hAnsi="Times New Roman"/>
          <w:b/>
          <w:noProof/>
          <w:sz w:val="24"/>
        </w:rPr>
        <w:t>форум по въпросите за ендокринните нарушители</w:t>
      </w:r>
      <w:r>
        <w:rPr>
          <w:rFonts w:ascii="Times New Roman" w:hAnsi="Times New Roman"/>
          <w:noProof/>
          <w:sz w:val="24"/>
        </w:rPr>
        <w:t xml:space="preserve">. Форумът ще даде възможност на учените и заинтересованите страни от публичния и частния сектор с опит в областта на ендокринните нарушители да се срещат и да обменят информация и най-добри практики, да набелязват кои са предизвикателствата и да изграждат полезни взаимовръзки с цел да предоставят информация на Комисията, която тя да използва в работата си по темата.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noProof/>
          <w:sz w:val="24"/>
        </w:rPr>
        <w:t xml:space="preserve">Комисията ще </w:t>
      </w:r>
      <w:r>
        <w:rPr>
          <w:rFonts w:ascii="Times New Roman" w:hAnsi="Times New Roman"/>
          <w:b/>
          <w:noProof/>
          <w:sz w:val="24"/>
        </w:rPr>
        <w:t>увеличи своята подкрепа за работата на съответните международни организации</w:t>
      </w:r>
      <w:r>
        <w:rPr>
          <w:rFonts w:ascii="Times New Roman" w:hAnsi="Times New Roman"/>
          <w:noProof/>
          <w:sz w:val="24"/>
        </w:rPr>
        <w:t xml:space="preserve"> и приканва държавите членки да направят същото. От особено значение е необходимостта да се предостави на Организацията за икономическо сътрудничество и развитие съответната подкрепа за напредъка при разработването на международно съгласувани насоки за изпитване.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noProof/>
          <w:sz w:val="24"/>
        </w:rPr>
        <w:t xml:space="preserve">Комисията ще проучи и възможностите за включването на ендокринните нарушители в съществуващата </w:t>
      </w:r>
      <w:r>
        <w:rPr>
          <w:rFonts w:ascii="Times New Roman" w:hAnsi="Times New Roman"/>
          <w:b/>
          <w:noProof/>
          <w:sz w:val="24"/>
        </w:rPr>
        <w:t>международна система за класифициране на химикали</w:t>
      </w:r>
      <w:r>
        <w:rPr>
          <w:rFonts w:ascii="Times New Roman" w:hAnsi="Times New Roman"/>
          <w:noProof/>
          <w:sz w:val="24"/>
        </w:rPr>
        <w:t>. По този начин ще се достигне до глобално решение във връзка с определянето на ендокринните нарушители (подобно на това, което вече съществува за други класове на опасност, като например мутагените, канцерогените и токсичните за репродукцията вещества).</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sz w:val="24"/>
          <w:szCs w:val="24"/>
        </w:rPr>
      </w:pPr>
      <w:r>
        <w:rPr>
          <w:rFonts w:ascii="Times New Roman" w:hAnsi="Times New Roman" w:cs="Times New Roman"/>
          <w:noProof/>
          <w:sz w:val="24"/>
          <w:szCs w:val="24"/>
        </w:rPr>
        <w:sym w:font="Wingdings" w:char="F0E8"/>
      </w:r>
      <w:r>
        <w:rPr>
          <w:rFonts w:ascii="Times New Roman" w:hAnsi="Times New Roman" w:cs="Times New Roman"/>
          <w:noProof/>
          <w:sz w:val="24"/>
          <w:szCs w:val="24"/>
        </w:rPr>
        <w:t xml:space="preserve"> </w:t>
      </w:r>
      <w:r>
        <w:rPr>
          <w:rFonts w:ascii="Times New Roman" w:hAnsi="Times New Roman"/>
          <w:noProof/>
          <w:sz w:val="24"/>
        </w:rPr>
        <w:t xml:space="preserve">С цел на гражданите на ЕС да се предостави ясна, изчерпателна и достоверна информация, Комисията ще създаде </w:t>
      </w:r>
      <w:r>
        <w:rPr>
          <w:rFonts w:ascii="Times New Roman" w:hAnsi="Times New Roman"/>
          <w:b/>
          <w:noProof/>
          <w:sz w:val="24"/>
        </w:rPr>
        <w:t>единен уебпортал за информация за ендокринните нарушители</w:t>
      </w:r>
      <w:r>
        <w:rPr>
          <w:rFonts w:ascii="Times New Roman" w:hAnsi="Times New Roman"/>
          <w:noProof/>
          <w:sz w:val="24"/>
        </w:rPr>
        <w:t xml:space="preserve">. На този портал ще бъде събрана на едно място и ще бъде оптимизирана цялата информация за ендокринните нарушители, които понастоящем може да бъде намерена на различни уебсайтове на Комисията и на агенциите на ЕС. Ето защо той ще представлява единна точка за достъп до информация за ендокринните нарушители и с него ще се предложи по-лесен и по-прозрачен начин за гражданите и за заинтересованите страни да получават актуална информация по въпроса. Като отчита съображенията, свързани със субсидиарността, </w:t>
      </w:r>
      <w:r>
        <w:rPr>
          <w:rFonts w:ascii="Times New Roman" w:hAnsi="Times New Roman"/>
          <w:b/>
          <w:noProof/>
          <w:sz w:val="24"/>
        </w:rPr>
        <w:t>Комисията</w:t>
      </w:r>
      <w:r>
        <w:rPr>
          <w:rFonts w:ascii="Times New Roman" w:hAnsi="Times New Roman"/>
          <w:noProof/>
          <w:sz w:val="24"/>
        </w:rPr>
        <w:t xml:space="preserve"> ще </w:t>
      </w:r>
      <w:r>
        <w:rPr>
          <w:rFonts w:ascii="Times New Roman" w:hAnsi="Times New Roman"/>
          <w:b/>
          <w:noProof/>
          <w:sz w:val="24"/>
        </w:rPr>
        <w:t>насърчава държавите членки, които преценят това за целесъобразно, да разработват специални информационни и образователни кампании</w:t>
      </w:r>
      <w:r>
        <w:rPr>
          <w:rFonts w:ascii="Times New Roman" w:hAnsi="Times New Roman"/>
          <w:noProof/>
          <w:sz w:val="24"/>
        </w:rPr>
        <w:t xml:space="preserve"> за ендокринните нарушители, предназначени за широката общественост и за уязвимите групи. </w:t>
      </w:r>
    </w:p>
    <w:p>
      <w:pPr>
        <w:pStyle w:val="Heading1"/>
        <w:spacing w:before="360" w:after="120" w:line="240" w:lineRule="auto"/>
        <w:rPr>
          <w:rFonts w:cs="Times New Roman"/>
          <w:noProof/>
          <w:sz w:val="24"/>
          <w:szCs w:val="24"/>
        </w:rPr>
      </w:pPr>
      <w:r>
        <w:rPr>
          <w:noProof/>
          <w:sz w:val="24"/>
        </w:rPr>
        <w:t>4. ЗАКЛЮЧЕНИЕ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Почти двадесет години след стратегията на Общността за ендокринните нарушители от 1999 г. нарушаването на функциите на ендокринната система продължава да бъде предизвикателство в световен план и източник на безпокойство за много граждани на ЕС. Макар през последните две десетилетия да е постигнат значителен напредък за по-доброто разбиране и управление на ендокринните нарушители, е необходимо усилията на ЕС да бъдат активизирани още повече.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запазва своята ангажираност за защита на гражданите на ЕС и на околната среда от ендокринните нарушители. Ето защо стратегическият подход, очертан по-горе, има за цел да осигури високо ниво на защита на гражданите на ЕС и на околната среда и в същото време да запази функционирането на вътрешен пазар, който задоволява нуждите на потребителите и позволява на всички предприятия в ЕС да се развиват.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съответствие с Програмата на Комисията за по-добро законотворчество и ангажимента да се гарантира, че законите на ЕС продължават да са подходящи за целта си, Комисията </w:t>
      </w:r>
      <w:r>
        <w:rPr>
          <w:rFonts w:ascii="Times New Roman" w:hAnsi="Times New Roman"/>
          <w:b/>
          <w:noProof/>
          <w:sz w:val="24"/>
        </w:rPr>
        <w:t>дава началото на всеобхватен процес на преглед на съществуващата законодателна уредба относно ендокринните нарушители</w:t>
      </w:r>
      <w:r>
        <w:rPr>
          <w:rFonts w:ascii="Times New Roman" w:hAnsi="Times New Roman"/>
          <w:noProof/>
          <w:sz w:val="24"/>
        </w:rPr>
        <w:t>. Този процес на размисъл ще позволи да се направи оценка дали законодателството на ЕС относно ендокринните нарушители изпълнява своите общи цели за опазване на здравето на човека и на околната среда. Той ще осигури участието на гражданите и на заинтересованите страни, включително чрез обществена консултация, и ще подпомогне Комисията при активизирането на дебата и при вземането на решение дали са необходими промени в законодателната уредба.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инициативите, обявени в настоящото съобщение, ще </w:t>
      </w:r>
      <w:r>
        <w:rPr>
          <w:rFonts w:ascii="Times New Roman" w:hAnsi="Times New Roman"/>
          <w:b/>
          <w:noProof/>
          <w:sz w:val="24"/>
        </w:rPr>
        <w:t>подкрепят продължаващия напредък на съответните научни изследвания</w:t>
      </w:r>
      <w:r>
        <w:rPr>
          <w:rFonts w:ascii="Times New Roman" w:hAnsi="Times New Roman"/>
          <w:noProof/>
          <w:sz w:val="24"/>
        </w:rPr>
        <w:t xml:space="preserve">, ще </w:t>
      </w:r>
      <w:r>
        <w:rPr>
          <w:rFonts w:ascii="Times New Roman" w:hAnsi="Times New Roman"/>
          <w:b/>
          <w:noProof/>
          <w:sz w:val="24"/>
        </w:rPr>
        <w:t>насърчат провеждането на приобщаващ диалог</w:t>
      </w:r>
      <w:r>
        <w:rPr>
          <w:rFonts w:ascii="Times New Roman" w:hAnsi="Times New Roman"/>
          <w:noProof/>
          <w:sz w:val="24"/>
        </w:rPr>
        <w:t xml:space="preserve"> и сътрудничеството с всички заинтересовани страни и ще позволят </w:t>
      </w:r>
      <w:r>
        <w:rPr>
          <w:rFonts w:ascii="Times New Roman" w:hAnsi="Times New Roman"/>
          <w:b/>
          <w:noProof/>
          <w:sz w:val="24"/>
        </w:rPr>
        <w:t>по-активното изпълнение на съществуващите политики</w:t>
      </w:r>
      <w:r>
        <w:rPr>
          <w:rFonts w:ascii="Times New Roman" w:hAnsi="Times New Roman"/>
          <w:noProof/>
          <w:sz w:val="24"/>
        </w:rPr>
        <w:t xml:space="preserve"> относно ендокринните нарушители.</w:t>
      </w: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приканва Парламента и Съвета да подкрепят инициативите, очертани в настоящото съобщение, и да дадат своя принос към дебата, като едновременно с това приканва към участие и Европейския икономически и социален комитет и Комитета на регионите.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93091"/>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проведения през 1996 г. семинар</w:t>
      </w:r>
      <w:r>
        <w:t xml:space="preserve"> </w:t>
      </w:r>
      <w:hyperlink r:id="rId1">
        <w:r>
          <w:rPr>
            <w:rStyle w:val="Hyperlink"/>
            <w:rFonts w:ascii="Times New Roman" w:hAnsi="Times New Roman"/>
            <w:i/>
          </w:rPr>
          <w:t>The Impact of Endocrine Disruptors on Human Health and Wildlife</w:t>
        </w:r>
      </w:hyperlink>
      <w:r>
        <w:t xml:space="preserve"> </w:t>
      </w:r>
      <w:r>
        <w:rPr>
          <w:rFonts w:ascii="Times New Roman" w:hAnsi="Times New Roman"/>
        </w:rPr>
        <w:t>(Въздействие на ендокринните нарушители върху здравето на човека и на дивите животни), подпомогнат от Европейската комисия.</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C 341, 9.11.1998 г., стр. 37.</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COM(1999) 706.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резолюциите на Европейския парламент от 14 март 2013 г. (P7_TA(2013)0091) и от 8 юни 2016 г. (P8_TA(2016)0270) и заключенията на Съвета относно защитата на човешкото здраве и околната среда чрез добро управление на химикалите (19.12.2016 г.).</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 1386/2013/ЕС на Европейския парламент и на Съвета от 20 ноември 2013 г. относно Обща програма на Европейския съюз за действие за околната среда до 2020 г. (ОВ L 354, 28.12.2013 г., стр. 171).</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по-специално: </w:t>
      </w:r>
      <w:hyperlink r:id="rId2">
        <w:r>
          <w:rPr>
            <w:rStyle w:val="Hyperlink"/>
            <w:rFonts w:ascii="Times New Roman" w:hAnsi="Times New Roman"/>
          </w:rPr>
          <w:t>програмата на ООН до 2030 г. за устойчиво развитие</w:t>
        </w:r>
      </w:hyperlink>
      <w:r>
        <w:t xml:space="preserve"> (2015), </w:t>
      </w:r>
      <w:hyperlink r:id="rId3">
        <w:r>
          <w:rPr>
            <w:rStyle w:val="Hyperlink"/>
            <w:rFonts w:ascii="Times New Roman" w:hAnsi="Times New Roman"/>
          </w:rPr>
          <w:t>Декларацията от Парма</w:t>
        </w:r>
      </w:hyperlink>
      <w:r>
        <w:t xml:space="preserve"> </w:t>
      </w:r>
      <w:r>
        <w:rPr>
          <w:rFonts w:ascii="Times New Roman" w:hAnsi="Times New Roman" w:cs="Times New Roman"/>
        </w:rPr>
        <w:t>(2010) и</w:t>
      </w:r>
      <w:r>
        <w:t xml:space="preserve"> </w:t>
      </w:r>
      <w:hyperlink r:id="rId4">
        <w:r>
          <w:rPr>
            <w:rStyle w:val="Hyperlink"/>
            <w:rFonts w:ascii="Times New Roman" w:hAnsi="Times New Roman"/>
          </w:rPr>
          <w:t>Декларацията от Острава</w:t>
        </w:r>
      </w:hyperlink>
      <w:r>
        <w:t xml:space="preserve"> </w:t>
      </w:r>
      <w:r>
        <w:rPr>
          <w:rFonts w:ascii="Times New Roman" w:hAnsi="Times New Roman"/>
        </w:rPr>
        <w:t xml:space="preserve">(2017) от държавите в европейския регион на Световната здравна организация (по-специално, в Декларацията от Парма ендокринните нарушители са изброени сред най-важните екологични и здравни предизвикателства на нашето време) и заключенията от третата и четвъртата сесия на </w:t>
      </w:r>
      <w:hyperlink r:id="rId5">
        <w:r>
          <w:rPr>
            <w:rStyle w:val="Hyperlink"/>
            <w:rFonts w:ascii="Times New Roman" w:hAnsi="Times New Roman"/>
          </w:rPr>
          <w:t>Международната конференция за управление на химикалите</w:t>
        </w:r>
      </w:hyperlink>
      <w:r>
        <w:t>.</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Международна програма за безопасност на химикалите (IPCS) (2002),</w:t>
      </w:r>
      <w:r>
        <w:t xml:space="preserve"> </w:t>
      </w:r>
      <w:hyperlink r:id="rId6">
        <w:r>
          <w:rPr>
            <w:rStyle w:val="Hyperlink"/>
            <w:rFonts w:ascii="Times New Roman" w:hAnsi="Times New Roman"/>
            <w:i/>
          </w:rPr>
          <w:t>Global Assessment of the State-of-the-science of Endocrine Disruptors</w:t>
        </w:r>
      </w:hyperlink>
      <w:r>
        <w:t xml:space="preserve"> </w:t>
      </w:r>
      <w:r>
        <w:rPr>
          <w:rFonts w:ascii="Times New Roman" w:hAnsi="Times New Roman"/>
        </w:rPr>
        <w:t>(Обща оценка на най-актуалните научни данни за ендокринните нарушители).</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Програма на ООН за околната среда (UNEP)/Световна здравна организация (СЗО) (2012), </w:t>
      </w:r>
      <w:hyperlink r:id="rId7">
        <w:r>
          <w:rPr>
            <w:rStyle w:val="Hyperlink"/>
            <w:rFonts w:ascii="Times New Roman" w:hAnsi="Times New Roman"/>
            <w:i/>
          </w:rPr>
          <w:t>State of the science of endocrine disrupting chemicals</w:t>
        </w:r>
      </w:hyperlink>
      <w:r>
        <w:t xml:space="preserve"> </w:t>
      </w:r>
      <w:r>
        <w:rPr>
          <w:rFonts w:ascii="Times New Roman" w:hAnsi="Times New Roman"/>
        </w:rPr>
        <w:t>(Най-актуални научни данни за веществата, нарушаващи функциите на ендокринната система).</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Естроген, андроген, хормон на щитовидната жлеза или стероидогенеза (EATS).</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UNEP/СЗО (2012). Вж. също така например Thrupp TJ et al. (2018), </w:t>
      </w:r>
      <w:r>
        <w:rPr>
          <w:rFonts w:ascii="Times New Roman" w:hAnsi="Times New Roman"/>
          <w:i/>
        </w:rPr>
        <w:t>The consequences of exposure to mixtures of chemicals: Something from ‘nothing’ and ‘a lot from a little’ when fish are exposed to steroid hormones</w:t>
      </w:r>
      <w:r>
        <w:rPr>
          <w:rFonts w:ascii="Times New Roman" w:hAnsi="Times New Roman"/>
        </w:rPr>
        <w:t xml:space="preserve"> (Последствията от експозиция на смеси от химикали: от „нищо“ нещо и „много от малко“ при експозиция на риби на стероидни хормони), Science of the total environment (Наука за цялостната околна среда), т. 619—620, 1 април 2018 г., стр. 1482—1492.</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Европейският орган за безопасност на храните изготвя </w:t>
      </w:r>
      <w:hyperlink r:id="rId8">
        <w:r>
          <w:rPr>
            <w:rFonts w:ascii="Times New Roman" w:hAnsi="Times New Roman"/>
          </w:rPr>
          <w:t>ръководство</w:t>
        </w:r>
      </w:hyperlink>
      <w:r>
        <w:rPr>
          <w:rFonts w:ascii="Times New Roman" w:hAnsi="Times New Roman"/>
        </w:rPr>
        <w:t xml:space="preserve"> относно методологиите за хармонизирана оценка на риска за здравето на човека, здравето на животните и оценка на екологичния риск от комбинирана експозиция на множество химикали; Европейски орган за безопасност на храните (ЕОБХ) (2013), </w:t>
      </w:r>
      <w:hyperlink r:id="rId9">
        <w:r>
          <w:rPr>
            <w:rStyle w:val="Hyperlink"/>
            <w:rFonts w:ascii="Times New Roman" w:hAnsi="Times New Roman"/>
            <w:i/>
          </w:rPr>
          <w:t>Scientific Opinion on the identification of pesticides to be included in cumulative assessment groups on the basis of their toxicological profile</w:t>
        </w:r>
      </w:hyperlink>
      <w:r>
        <w:t xml:space="preserve"> </w:t>
      </w:r>
      <w:r>
        <w:rPr>
          <w:rFonts w:ascii="Times New Roman" w:hAnsi="Times New Roman"/>
        </w:rPr>
        <w:t>(Научно становище относно определянето на пестициди, които да бъдат включени в групите за кумулативна оценка въз основа на токсикологичния им профил).</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Друг пример е зависимостта доза-реакция за ендокринните нарушители. По всички тези въпроси вж. по-конкретно: Съвместен изследователски център (JRC) (2013),</w:t>
      </w:r>
      <w:hyperlink r:id="rId10">
        <w:r>
          <w:rPr>
            <w:rStyle w:val="Hyperlink"/>
            <w:rFonts w:ascii="Times New Roman" w:hAnsi="Times New Roman"/>
            <w:i/>
          </w:rPr>
          <w:t>Key scientific issues relevant to the identification and characterisation of endocrine disrupting substances - Report of the Endocrine Disrupters Expert Advisory Group</w:t>
        </w:r>
      </w:hyperlink>
      <w:r>
        <w:rPr>
          <w:rStyle w:val="Hyperlink"/>
          <w:rFonts w:ascii="Times New Roman" w:hAnsi="Times New Roman"/>
          <w:i/>
        </w:rPr>
        <w:t xml:space="preserve"> </w:t>
      </w:r>
      <w:r>
        <w:rPr>
          <w:rFonts w:ascii="Times New Roman" w:hAnsi="Times New Roman"/>
        </w:rPr>
        <w:t>(Важни научни въпроси, свързани с определянето и охарактеризирането на ендокринните нарушители — доклад на експертната консултативна група по ендокринните нарушители);</w:t>
      </w:r>
      <w:r>
        <w:rPr>
          <w:rStyle w:val="Hyperlink"/>
          <w:rFonts w:ascii="Times New Roman" w:hAnsi="Times New Roman"/>
          <w:i/>
        </w:rPr>
        <w:t xml:space="preserve"> </w:t>
      </w:r>
      <w:r>
        <w:rPr>
          <w:rFonts w:ascii="Times New Roman" w:hAnsi="Times New Roman"/>
        </w:rPr>
        <w:t xml:space="preserve">JRC (2013), </w:t>
      </w:r>
      <w:hyperlink r:id="rId11">
        <w:r>
          <w:rPr>
            <w:rStyle w:val="Hyperlink"/>
            <w:rFonts w:ascii="Times New Roman" w:hAnsi="Times New Roman"/>
            <w:i/>
          </w:rPr>
          <w:t>Thresholds for Endocrine Disrupters and Related Uncertainties - Report of the Endocrine Disrupters Expert Advisory Group</w:t>
        </w:r>
      </w:hyperlink>
      <w:r>
        <w:t xml:space="preserve"> </w:t>
      </w:r>
      <w:r>
        <w:rPr>
          <w:rFonts w:ascii="Times New Roman" w:hAnsi="Times New Roman"/>
        </w:rPr>
        <w:t>(Прагови стойности за ендокринните нарушители и свързани с тях неопределени аспекти — доклад на експертната консултативна група по ендокринните нарушители); Beausoleil et al. (2016),</w:t>
      </w:r>
      <w:r>
        <w:t xml:space="preserve"> </w:t>
      </w:r>
      <w:hyperlink r:id="rId12">
        <w:r>
          <w:rPr>
            <w:rStyle w:val="Hyperlink"/>
            <w:rFonts w:ascii="Times New Roman" w:hAnsi="Times New Roman"/>
            <w:i/>
          </w:rPr>
          <w:t>Review of non-monotonic dose-responses of substances for human risk assessment</w:t>
        </w:r>
      </w:hyperlink>
      <w:r>
        <w:rPr>
          <w:rStyle w:val="Hyperlink"/>
          <w:rFonts w:ascii="Times New Roman" w:hAnsi="Times New Roman"/>
          <w:color w:val="auto"/>
          <w:u w:val="none"/>
        </w:rPr>
        <w:t xml:space="preserve"> </w:t>
      </w:r>
      <w:r>
        <w:rPr>
          <w:rFonts w:ascii="Times New Roman" w:hAnsi="Times New Roman"/>
        </w:rPr>
        <w:t xml:space="preserve">(Преглед на немонотонните реакции на дозата при вещества за оценка на риска за хората); Solecki et al. (2017), </w:t>
      </w:r>
      <w:hyperlink r:id="rId13">
        <w:r>
          <w:rPr>
            <w:rStyle w:val="Hyperlink"/>
            <w:rFonts w:ascii="Times New Roman" w:hAnsi="Times New Roman"/>
            <w:i/>
          </w:rPr>
          <w:t>Scientific principles for the identification of endocrine-disrupting chemicals: a consensus statement</w:t>
        </w:r>
      </w:hyperlink>
      <w:r>
        <w:t xml:space="preserve"> </w:t>
      </w:r>
      <w:r>
        <w:rPr>
          <w:rFonts w:ascii="Times New Roman" w:hAnsi="Times New Roman"/>
        </w:rPr>
        <w:t>(Научни принципи за определянето на химикали, които нарушават функциите на ендокринната система: консенсусно становище).</w:t>
      </w:r>
      <w:r>
        <w:rPr>
          <w:rFonts w:ascii="Times New Roman" w:hAnsi="Times New Roman"/>
          <w:i/>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Насоките за провеждане на изпитвания във връзка с ендокринните нарушители са посочени в</w:t>
      </w:r>
      <w:r>
        <w:t xml:space="preserve"> </w:t>
      </w:r>
      <w:hyperlink r:id="rId14">
        <w:r>
          <w:rPr>
            <w:rStyle w:val="Hyperlink"/>
            <w:rFonts w:ascii="Times New Roman" w:hAnsi="Times New Roman"/>
          </w:rPr>
          <w:t>Концептуалната рамка на ОИСР за изпитване и оценка на ендокринни нарушители</w:t>
        </w:r>
      </w:hyperlink>
      <w:r>
        <w:rPr>
          <w:rStyle w:val="Hyperlink"/>
          <w:rFonts w:ascii="Times New Roman" w:hAnsi="Times New Roman"/>
        </w:rPr>
        <w:t>.</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EFSA (2013), </w:t>
      </w:r>
      <w:hyperlink r:id="rId15">
        <w:r>
          <w:rPr>
            <w:rStyle w:val="Hyperlink"/>
            <w:rFonts w:ascii="Times New Roman" w:hAnsi="Times New Roman"/>
            <w:i/>
          </w:rPr>
          <w:t>Scientific Opinion on the hazard assessment of endocrine disruptors: Scientific criteria for identification of endocrine disruptors and appropriateness of existing test methods for assessing effects mediated by these substances on human health and the environment</w:t>
        </w:r>
      </w:hyperlink>
      <w:r>
        <w:rPr>
          <w:rStyle w:val="Hyperlink"/>
          <w:rFonts w:ascii="Times New Roman" w:hAnsi="Times New Roman"/>
          <w:i/>
          <w:u w:val="none"/>
        </w:rPr>
        <w:t xml:space="preserve"> </w:t>
      </w:r>
      <w:r>
        <w:rPr>
          <w:rFonts w:ascii="Times New Roman" w:hAnsi="Times New Roman"/>
        </w:rPr>
        <w:t>(Научно становище относно оценката на опасността от ендокринните нарушители: научни критерии за определянето на ендокринните нарушители и целесъобразност на съществуващите методи за изпитване за оценка на въздействието на тези вещества върху здравето на човека и околната среда).</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Естроген, андроген, хормон на щитовидната жлеза или стероидогенеза (EATS). </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Налице са научни насоки за тълкуване на резултатите от отделните изпитвания и за събиране на всички налични доказателства за дадено вещество, за да му бъде направена оценка за свайства, нарушаващи функциите на ендокринната система. На международно равнище отправният документ е </w:t>
      </w:r>
      <w:hyperlink r:id="rId16">
        <w:r>
          <w:rPr>
            <w:rStyle w:val="Hyperlink"/>
            <w:rFonts w:ascii="Times New Roman" w:hAnsi="Times New Roman"/>
            <w:i/>
          </w:rPr>
          <w:t>Guidance Document on Standardised Test Guidelines for Evaluating Chemicals for Endocrine Disruption</w:t>
        </w:r>
      </w:hyperlink>
      <w:r>
        <w:rPr>
          <w:rStyle w:val="Hyperlink"/>
          <w:rFonts w:ascii="Times New Roman" w:hAnsi="Times New Roman"/>
          <w:i/>
          <w:u w:val="none"/>
        </w:rPr>
        <w:t xml:space="preserve"> </w:t>
      </w:r>
      <w:r>
        <w:rPr>
          <w:rFonts w:ascii="Times New Roman" w:hAnsi="Times New Roman"/>
        </w:rPr>
        <w:t>(Насоки относно стандартизирани указания за изпитване за оценка на химикали за нарушаване на функциите на ендокринната система) на ОИСР (2012).</w:t>
      </w:r>
      <w:r>
        <w:rPr>
          <w:rStyle w:val="Hyperlink"/>
          <w:rFonts w:ascii="Times New Roman" w:hAnsi="Times New Roman"/>
          <w:i/>
          <w:u w:val="none"/>
        </w:rPr>
        <w:t xml:space="preserve"> </w:t>
      </w:r>
      <w:r>
        <w:rPr>
          <w:rFonts w:ascii="Times New Roman" w:hAnsi="Times New Roman"/>
        </w:rPr>
        <w:t>На равнището на ЕС съществуват специални насоки в контекста на различните правни уредби.</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Като пример може да се посочи асоциативният подход (read-across), който позволява да се прогнозира каква е информацията за дадено вещество, като се използват данни от друго вещество.</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Примерите включват: </w:t>
      </w:r>
      <w:hyperlink r:id="rId17">
        <w:r>
          <w:rPr>
            <w:rStyle w:val="Hyperlink"/>
            <w:rFonts w:ascii="Times New Roman" w:hAnsi="Times New Roman"/>
            <w:i/>
          </w:rPr>
          <w:t>Setting priorities for further development and validation of test methods and testing approaches for evaluating endocrine disruptors</w:t>
        </w:r>
        <w:r>
          <w:rPr>
            <w:rStyle w:val="Hyperlink"/>
            <w:rFonts w:ascii="Times New Roman" w:hAnsi="Times New Roman"/>
            <w:i/>
            <w:u w:val="none"/>
          </w:rPr>
          <w:t xml:space="preserve"> </w:t>
        </w:r>
        <w:r>
          <w:rPr>
            <w:rStyle w:val="Hyperlink"/>
            <w:rFonts w:ascii="Times New Roman" w:hAnsi="Times New Roman"/>
            <w:color w:val="auto"/>
            <w:u w:val="none"/>
          </w:rPr>
          <w:t>(2018)</w:t>
        </w:r>
      </w:hyperlink>
      <w:r>
        <w:rPr>
          <w:rFonts w:ascii="Times New Roman" w:hAnsi="Times New Roman"/>
        </w:rPr>
        <w:t xml:space="preserve"> (Определяне на приоритети за бъдещо разработване и валидиране на методи за изпитване и подходи за изпитване с цел оценка на ендокринните нарушители); </w:t>
      </w:r>
      <w:r>
        <w:rPr>
          <w:rFonts w:ascii="Times New Roman" w:hAnsi="Times New Roman"/>
          <w:i/>
        </w:rPr>
        <w:t>Development of a study protocol for thyroid disruptor testing in the mammalian system</w:t>
      </w:r>
      <w:r>
        <w:rPr>
          <w:rFonts w:ascii="Times New Roman" w:hAnsi="Times New Roman"/>
        </w:rPr>
        <w:t xml:space="preserve"> (Изготвяне на протокол за изпитване на  нарушители на функциите на щитовидната жлеза в системата на бозайниците) (работата по него ще приключи през 2019 г.); </w:t>
      </w:r>
      <w:hyperlink r:id="rId18">
        <w:r>
          <w:rPr>
            <w:rStyle w:val="Hyperlink"/>
            <w:rFonts w:ascii="Times New Roman" w:hAnsi="Times New Roman"/>
            <w:i/>
          </w:rPr>
          <w:t>Validation study to assess in vitro methods for thyroid disruptors</w:t>
        </w:r>
      </w:hyperlink>
      <w:r>
        <w:t xml:space="preserve"> </w:t>
      </w:r>
      <w:r>
        <w:rPr>
          <w:rFonts w:ascii="Times New Roman" w:hAnsi="Times New Roman"/>
        </w:rPr>
        <w:t xml:space="preserve">(Изследване за валидиране за оценка на методи </w:t>
      </w:r>
      <w:r>
        <w:rPr>
          <w:rFonts w:ascii="Times New Roman" w:hAnsi="Times New Roman"/>
          <w:i/>
        </w:rPr>
        <w:t>in vitro</w:t>
      </w:r>
      <w:r>
        <w:rPr>
          <w:rFonts w:ascii="Times New Roman" w:hAnsi="Times New Roman"/>
        </w:rPr>
        <w:t xml:space="preserve"> за нарушители на функциите на щитовидната жлеза (започнало през 2017 г., работата по него продължава).</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посредством</w:t>
      </w:r>
      <w:r>
        <w:t xml:space="preserve"> </w:t>
      </w:r>
      <w:hyperlink r:id="rId19">
        <w:r>
          <w:rPr>
            <w:rStyle w:val="Hyperlink"/>
            <w:rFonts w:ascii="Times New Roman" w:hAnsi="Times New Roman"/>
          </w:rPr>
          <w:t>системата за бърз обмен на информация за опасни нехранителни стоки</w:t>
        </w:r>
      </w:hyperlink>
      <w:r>
        <w:rPr>
          <w:rFonts w:ascii="Times New Roman" w:hAnsi="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1107/2009 на Европейския парламент и на Съвета от 21 октомври 2009 г. относно пускането на пазара на продукти за растителна защита (ОВ L 309, 24.11.2009 г., стр. 1).</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Биоцидите се използват за борба с вредители (например в дезинфектанти) — Регламент (ЕС) № 528/2012 на Европейския парламент и на Съвета от 22 май 2012 г. относно предоставянето на пазара и употребата на биоциди (OВ L 167, 27.6.2012 г., стр. 1).</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(OВ L 396, 30.12.2006 г., стр. 1).</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2017/745 на Европейския парламент и на Съвета от 5 април 2017 г. за медицинските изделия (OВ L 117, 5.5.2017 г., стр. 1).</w:t>
      </w:r>
    </w:p>
  </w:footnote>
  <w:footnote w:id="2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1935/2004 на Европейския парламент и на Съвета от 27 октомври 2004 г. относно материалите и предметите, предназначени за контакт с храни (OВ L 338, 13.11.2004 г., стр. 4).</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1223/2009 на Европейския парламент и на Съвета от 30 ноември 2009 г. относно козметичните продукти (ОВ L 342, 22.12.2009 г., стр. 59).</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2009/48/ЕО на Европейския парламент и на Съвета от 18 юни 2009 г. относно безопасността на детските играчки (ОВ L 170, 30.6.2009 г., стр. 1.).</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по-специално Директива 98/24/ЕО на Съвета от 7 април 1998 г. за опазване на здравето и безопасността на работниците от рискове, свързани с химични агенти на работното място (OВ L 131, 5.5.1998 г., стр. 11) и 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(OВ L 158, 30.4.2004 г., стр. 50).</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2017/2100 на Комисията (OВ L 301, 17.11.2017 г., стр. 1) и Регламент (ЕС) 2018/605 на Комисията (OВ L 101, 20.4.2018 г., стр. 33).</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Списъкът на веществата, подлежащи на разрешаване</w:t>
      </w:r>
      <w:r>
        <w:rPr>
          <w:rFonts w:ascii="Times New Roman" w:hAnsi="Times New Roman"/>
        </w:rPr>
        <w:t>, в приложение XIV към Регламента REACH — съответните вещества са например някои фталати, етоксилати на нонилфенол и етоксилати на октилфенол.</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Повече информация за </w:t>
      </w:r>
      <w:r>
        <w:rPr>
          <w:rFonts w:ascii="Times New Roman" w:hAnsi="Times New Roman"/>
          <w:i/>
        </w:rPr>
        <w:t>списъка с кандидат-веществата</w:t>
      </w:r>
      <w:r>
        <w:rPr>
          <w:rFonts w:ascii="Times New Roman" w:hAnsi="Times New Roman"/>
        </w:rPr>
        <w:t xml:space="preserve"> е достъпна на </w:t>
      </w:r>
      <w:hyperlink r:id="rId20">
        <w:r>
          <w:rPr>
            <w:rStyle w:val="Hyperlink"/>
            <w:rFonts w:ascii="Times New Roman" w:hAnsi="Times New Roman"/>
          </w:rPr>
          <w:t>уебсайта</w:t>
        </w:r>
      </w:hyperlink>
      <w:r>
        <w:t xml:space="preserve"> </w:t>
      </w:r>
      <w:r>
        <w:rPr>
          <w:rFonts w:ascii="Times New Roman" w:hAnsi="Times New Roman" w:cs="Times New Roman"/>
        </w:rPr>
        <w:t>на Европейската агенция по химикали.</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приложение XVII към Регламента REACH.</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 11 юли 2018 г. Комитетът по Регламента REACH, съставен от експерти от всички държави членки, единодушно </w:t>
      </w:r>
      <w:hyperlink r:id="rId21">
        <w:r>
          <w:rPr>
            <w:rStyle w:val="Hyperlink"/>
            <w:rFonts w:ascii="Times New Roman" w:hAnsi="Times New Roman"/>
          </w:rPr>
          <w:t>подкрепи</w:t>
        </w:r>
      </w:hyperlink>
      <w:r>
        <w:t xml:space="preserve"> </w:t>
      </w:r>
      <w:r>
        <w:rPr>
          <w:rFonts w:ascii="Times New Roman" w:hAnsi="Times New Roman" w:cs="Times New Roman"/>
        </w:rPr>
        <w:t>предложената мярка.</w:t>
      </w:r>
      <w:r>
        <w:rPr>
          <w:rFonts w:ascii="Times New Roman" w:hAnsi="Times New Roman"/>
        </w:rPr>
        <w:t xml:space="preserve"> </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Бис(2-етилхексил) фталат, </w:t>
      </w:r>
      <w:hyperlink r:id="rId22">
        <w:r>
          <w:rPr>
            <w:rFonts w:ascii="Times New Roman" w:hAnsi="Times New Roman"/>
          </w:rPr>
          <w:t>бензил бутил фталат</w:t>
        </w:r>
      </w:hyperlink>
      <w:r>
        <w:rPr>
          <w:rFonts w:ascii="Times New Roman" w:hAnsi="Times New Roman"/>
        </w:rPr>
        <w:t>, дибутилов фталат, диизобутилов фталат.</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 бромиран дифенилов етер, бис-(2-етилхексилов) фталат (DEHP) и съединения на трибутилкалая.</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Последно актуализиран с Директива 2013/39/ЕС на Европейския парламент и на Съвета от 12 август 2013 г. за изменение на директиви 2000/60/ЕО и 2008/105/ЕО по отношение на приоритетните вещества в областта на политиката за водите (ОВ L 226, 24.8.2013 г., стр. 1).</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 xml:space="preserve">Решение за изпълнение (ЕС) 2018/840 на Комисията (OВ L 141, 7.6.2018 г., стр. 9). Веществата са: </w:t>
      </w:r>
      <w:r>
        <w:rPr>
          <w:rFonts w:ascii="Times New Roman" w:hAnsi="Times New Roman"/>
        </w:rPr>
        <w:t>17-алфа-Етинилестрадиол (EE2), 17-бета-Естрадиол (E2) и естрон (E1).</w:t>
      </w:r>
      <w:r>
        <w:rPr>
          <w:rStyle w:val="Strong"/>
          <w:rFonts w:ascii="Times New Roman" w:hAnsi="Times New Roman"/>
          <w:b w:val="0"/>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10/2011 на Комисията (OВ L 12, 15.1.2011 г., стр. 1) и Регламент (ЕС) 2018/213 на Комисията (OВ L 41, 14.2.2018 г., стр. 6).</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2017/898 на Комисията (ОВ L 138, 25.5.2017 г., стр. 128).</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2016/2235 на Комисията (ОВ L 337, 13.12.2016 г., стр. 3).</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Директиви 2009/161/ЕС (OВ L 338, 19.12.2009 г., стр. 87) и (ЕС) 2017/164 на Комисията (OВ L 27, 1.2.2017 г., стр. 115). Последното преразглеждане е въз основа на препоръката от 2014 г. на Научния комитет за граничните стойности на професионална експозиция (SCOEL/SUM/113).</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Някои така наречени парабени — с Регламент (ЕС) № 358/2014 на Комисията (OВ L 107, 10.4.2014 г., стр. 5) и Регламент (ЕС) № 1004/2014 на Комисията (OВ L 282, 26.9.2014 г., стр. 5).</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3-бензилиден камфор — Регламент (ЕС) 2015/1298 на Комисията (OВ L 199, 29.7.2015 г., стр. 22), след становището на Научния комитет по безопасност на потребителите SCCS/1513/13.</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Информационните листове за безопасност са документи, които се предоставят на потребителите надолу по веригата и включват информация за свойствата на веществата и смесите. Вж. преглед на Регламента REACH (COM (2018) 116).</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179. </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28 и COM(2018) 32 — като последваща работа по Плана за действие за кръговата икономика COM(2015) 614.</w:t>
      </w:r>
    </w:p>
  </w:footnote>
  <w:footnote w:id="4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753. </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Бета-естрадиол, нонилфенол и бисфенол A.</w:t>
      </w:r>
    </w:p>
  </w:footnote>
  <w:footnote w:id="5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183.</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По-специално предложението на Комисията за регламент относно постигането на съответствие със законодателството и неговото прилагане (COM (2017) 795).</w:t>
      </w:r>
    </w:p>
  </w:footnote>
  <w:footnote w:id="5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2018 г. в резултат от работата по инициатива за наблюдение на пазара, координирана от Форума за обмен на информация за прилагането на законодателството към Европейската агенция по химикали (Forum REF-4 Project Report — </w:t>
      </w:r>
      <w:hyperlink r:id="rId23">
        <w:r>
          <w:rPr>
            <w:rStyle w:val="Hyperlink"/>
            <w:rFonts w:ascii="Times New Roman" w:hAnsi="Times New Roman"/>
          </w:rPr>
          <w:t>Harmonised Enforcement Project on Restrictions (Проект за хармонизирано прилагане на разпоредбите относно ограниченията)</w:t>
        </w:r>
      </w:hyperlink>
      <w:r>
        <w:rPr>
          <w:rFonts w:ascii="Times New Roman" w:hAnsi="Times New Roman"/>
        </w:rPr>
        <w:t xml:space="preserve">, ECHA-18-R-03-EN), бе установено, че 19,7 % от проверените детски играчки и 3,6 % от проверените продукти за грижа за детето съдържат количества фталати, което не съответстват на изискванията на законодателството (основно с произход извън Европейското икономическо пространство или с неизвестен произход). През 2017 г. чрез системата за бърз обмен на информация за опасни нехранителни стоки между държавите членки бяха разменени над 170 уведомления за продукти, които не съответстват на изискванията по отношение на фталатите. </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Както е посочено по-горе, критериите за определяне на ендокринни нарушители в законодателството относно пестицидите и биоцидите се основават на определението на Световната здравна организация.</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Такъв беше например случаят, когато се изготвяха критерии за определянето на ендокринни нарушители в рамките на законодателството за пестицидите и биоцидите.</w:t>
      </w:r>
    </w:p>
  </w:footnote>
  <w:footnote w:id="5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Американската агенция за защита на околната среда е разработила програма за скрининг на ендокринните нарушители. В Япония Министерството на здравеопазването, труда и социалната политика е създало Комитет за въздействието на ендокринните нарушители върху здравето.</w:t>
      </w:r>
    </w:p>
  </w:footnote>
  <w:footnote w:id="5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1, параграф 4 от Регламент (ЕО) № 1107/2009 и член 1, параграф 1 от Регламент (ЕС) № 528/2012.</w:t>
      </w:r>
    </w:p>
  </w:footnote>
  <w:footnote w:id="5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Например</w:t>
      </w:r>
      <w:r>
        <w:t xml:space="preserve"> </w:t>
      </w:r>
      <w:hyperlink r:id="rId24">
        <w:r>
          <w:rPr>
            <w:rStyle w:val="Hyperlink"/>
            <w:rFonts w:ascii="Times New Roman" w:hAnsi="Times New Roman"/>
          </w:rPr>
          <w:t>оценката на Регламента REACH по програмата за пригодност и резултатност на регулаторната рамка (REFIT)</w:t>
        </w:r>
      </w:hyperlink>
      <w:r>
        <w:rPr>
          <w:rFonts w:ascii="Times New Roman" w:hAnsi="Times New Roman"/>
        </w:rPr>
        <w:t xml:space="preserve">, </w:t>
      </w:r>
      <w:hyperlink r:id="rId25">
        <w:r>
          <w:rPr>
            <w:rStyle w:val="Hyperlink"/>
            <w:rFonts w:ascii="Times New Roman" w:hAnsi="Times New Roman"/>
          </w:rPr>
          <w:t>прегледа на Регламента REACH по отношение на разрешаването на вещества със свойства, нарушаващи функциите на ендокринната система, в съответствие с Регламента REACH, член 138, параграф 7,</w:t>
        </w:r>
      </w:hyperlink>
      <w:r>
        <w:rPr>
          <w:rFonts w:ascii="Times New Roman" w:hAnsi="Times New Roman"/>
        </w:rPr>
        <w:t xml:space="preserve"> </w:t>
      </w:r>
      <w:hyperlink r:id="rId26">
        <w:r>
          <w:rPr>
            <w:rStyle w:val="Hyperlink"/>
            <w:rFonts w:ascii="Times New Roman" w:hAnsi="Times New Roman"/>
          </w:rPr>
          <w:t>проверката за пригодност на законодателството относно химикалите</w:t>
        </w:r>
      </w:hyperlink>
      <w:r>
        <w:rPr>
          <w:rFonts w:ascii="Times New Roman" w:hAnsi="Times New Roman"/>
        </w:rPr>
        <w:t xml:space="preserve">, </w:t>
      </w:r>
      <w:hyperlink r:id="rId27">
        <w:r>
          <w:rPr>
            <w:rStyle w:val="Hyperlink"/>
            <w:rFonts w:ascii="Times New Roman" w:hAnsi="Times New Roman"/>
          </w:rPr>
          <w:t>оценката на правната уредба относно пестицидите</w:t>
        </w:r>
      </w:hyperlink>
      <w:r>
        <w:rPr>
          <w:rFonts w:ascii="Times New Roman" w:hAnsi="Times New Roman"/>
        </w:rPr>
        <w:t xml:space="preserve">, </w:t>
      </w:r>
      <w:hyperlink r:id="rId28">
        <w:r>
          <w:rPr>
            <w:rStyle w:val="Hyperlink"/>
            <w:rFonts w:ascii="Times New Roman" w:hAnsi="Times New Roman"/>
          </w:rPr>
          <w:t>оценката на 7-ата програма за действие за околната среда</w:t>
        </w:r>
      </w:hyperlink>
      <w:r>
        <w:rPr>
          <w:rStyle w:val="Hyperlink"/>
          <w:rFonts w:ascii="Times New Roman" w:hAnsi="Times New Roman"/>
        </w:rPr>
        <w:t>,</w:t>
      </w:r>
      <w:r>
        <w:rPr>
          <w:rStyle w:val="Hyperlink"/>
          <w:rFonts w:ascii="Times New Roman" w:hAnsi="Times New Roman"/>
          <w:color w:val="auto"/>
          <w:u w:val="none"/>
        </w:rPr>
        <w:t xml:space="preserve"> </w:t>
      </w:r>
      <w:hyperlink r:id="rId29" w:anchor="scope_of_the_fitness_check">
        <w:r>
          <w:rPr>
            <w:rStyle w:val="Hyperlink"/>
            <w:rFonts w:ascii="Times New Roman" w:hAnsi="Times New Roman"/>
          </w:rPr>
          <w:t>оценката за пригодност на законодателството в областта на водите</w:t>
        </w:r>
      </w:hyperlink>
      <w:r>
        <w:rPr>
          <w:rFonts w:ascii="Times New Roman" w:hAnsi="Times New Roman"/>
        </w:rPr>
        <w:t xml:space="preserve">, </w:t>
      </w:r>
      <w:hyperlink r:id="rId30">
        <w:r>
          <w:rPr>
            <w:rStyle w:val="Hyperlink"/>
            <w:rFonts w:ascii="Times New Roman" w:hAnsi="Times New Roman"/>
          </w:rPr>
          <w:t>оценката на законодателството относно материалите, предназначени за контакт с храни</w:t>
        </w:r>
      </w:hyperlink>
      <w:r>
        <w:rPr>
          <w:rStyle w:val="Hyperlink"/>
          <w:rFonts w:ascii="Times New Roman" w:hAnsi="Times New Roman"/>
          <w:u w:val="none"/>
        </w:rPr>
        <w:t xml:space="preserve"> </w:t>
      </w:r>
      <w:r>
        <w:rPr>
          <w:rFonts w:ascii="Times New Roman" w:hAnsi="Times New Roman"/>
        </w:rPr>
        <w:t xml:space="preserve">и </w:t>
      </w:r>
      <w:hyperlink r:id="rId31">
        <w:r>
          <w:rPr>
            <w:rStyle w:val="Hyperlink"/>
            <w:rFonts w:ascii="Times New Roman" w:hAnsi="Times New Roman"/>
          </w:rPr>
          <w:t>оценката на законодателството относно безопасността на играчките</w:t>
        </w:r>
      </w:hyperlink>
      <w:r>
        <w:rPr>
          <w:rStyle w:val="Hyperlink"/>
          <w:rFonts w:ascii="Times New Roman" w:hAnsi="Times New Roman"/>
          <w:color w:val="auto"/>
          <w:u w:val="none"/>
        </w:rPr>
        <w:t>.</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(2018) 435 и COM (2018) 436 — вж. по-специално във втория стълб „Глобални предизвикателства и конкурентоспособност на промишлеността“, клъстер „Здравеопазване“ (с предложен бюджет в размер на 7,7 милиарда евро) и клъстер „Преки действия на Съвместния изследователски център (JRC) извън ядрената област“ (с предложен бюджет от 2,2 милиарда евро).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FB"/>
    <w:multiLevelType w:val="hybridMultilevel"/>
    <w:tmpl w:val="54D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74308"/>
    <w:multiLevelType w:val="hybridMultilevel"/>
    <w:tmpl w:val="923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AB0FCE"/>
    <w:multiLevelType w:val="hybridMultilevel"/>
    <w:tmpl w:val="218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47D0"/>
    <w:multiLevelType w:val="hybridMultilevel"/>
    <w:tmpl w:val="9758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453E2"/>
    <w:multiLevelType w:val="hybridMultilevel"/>
    <w:tmpl w:val="0FD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E43A7"/>
    <w:multiLevelType w:val="hybridMultilevel"/>
    <w:tmpl w:val="34C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84A8B"/>
    <w:multiLevelType w:val="hybridMultilevel"/>
    <w:tmpl w:val="D316A5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3053C"/>
    <w:multiLevelType w:val="hybridMultilevel"/>
    <w:tmpl w:val="DB9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1813"/>
    <w:multiLevelType w:val="hybridMultilevel"/>
    <w:tmpl w:val="9A0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1B398A"/>
    <w:multiLevelType w:val="hybridMultilevel"/>
    <w:tmpl w:val="45F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92AD9"/>
    <w:multiLevelType w:val="hybridMultilevel"/>
    <w:tmpl w:val="E2E0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1032F"/>
    <w:multiLevelType w:val="hybridMultilevel"/>
    <w:tmpl w:val="ACA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F3ACB"/>
    <w:multiLevelType w:val="hybridMultilevel"/>
    <w:tmpl w:val="70527EBE"/>
    <w:lvl w:ilvl="0" w:tplc="AAA4D3A6">
      <w:start w:val="1"/>
      <w:numFmt w:val="bullet"/>
      <w:lvlText w:val=""/>
      <w:lvlJc w:val="left"/>
      <w:pPr>
        <w:tabs>
          <w:tab w:val="num" w:pos="720"/>
        </w:tabs>
        <w:ind w:left="720" w:hanging="360"/>
      </w:pPr>
      <w:rPr>
        <w:rFonts w:ascii="Wingdings" w:hAnsi="Wingdings" w:hint="default"/>
      </w:rPr>
    </w:lvl>
    <w:lvl w:ilvl="1" w:tplc="3462086C">
      <w:start w:val="1470"/>
      <w:numFmt w:val="bullet"/>
      <w:lvlText w:val=""/>
      <w:lvlJc w:val="left"/>
      <w:pPr>
        <w:tabs>
          <w:tab w:val="num" w:pos="1440"/>
        </w:tabs>
        <w:ind w:left="1440" w:hanging="360"/>
      </w:pPr>
      <w:rPr>
        <w:rFonts w:ascii="Wingdings" w:hAnsi="Wingdings" w:hint="default"/>
      </w:rPr>
    </w:lvl>
    <w:lvl w:ilvl="2" w:tplc="6B949A7A" w:tentative="1">
      <w:start w:val="1"/>
      <w:numFmt w:val="bullet"/>
      <w:lvlText w:val=""/>
      <w:lvlJc w:val="left"/>
      <w:pPr>
        <w:tabs>
          <w:tab w:val="num" w:pos="2160"/>
        </w:tabs>
        <w:ind w:left="2160" w:hanging="360"/>
      </w:pPr>
      <w:rPr>
        <w:rFonts w:ascii="Wingdings" w:hAnsi="Wingdings" w:hint="default"/>
      </w:rPr>
    </w:lvl>
    <w:lvl w:ilvl="3" w:tplc="DED2A64E" w:tentative="1">
      <w:start w:val="1"/>
      <w:numFmt w:val="bullet"/>
      <w:lvlText w:val=""/>
      <w:lvlJc w:val="left"/>
      <w:pPr>
        <w:tabs>
          <w:tab w:val="num" w:pos="2880"/>
        </w:tabs>
        <w:ind w:left="2880" w:hanging="360"/>
      </w:pPr>
      <w:rPr>
        <w:rFonts w:ascii="Wingdings" w:hAnsi="Wingdings" w:hint="default"/>
      </w:rPr>
    </w:lvl>
    <w:lvl w:ilvl="4" w:tplc="AF967F94" w:tentative="1">
      <w:start w:val="1"/>
      <w:numFmt w:val="bullet"/>
      <w:lvlText w:val=""/>
      <w:lvlJc w:val="left"/>
      <w:pPr>
        <w:tabs>
          <w:tab w:val="num" w:pos="3600"/>
        </w:tabs>
        <w:ind w:left="3600" w:hanging="360"/>
      </w:pPr>
      <w:rPr>
        <w:rFonts w:ascii="Wingdings" w:hAnsi="Wingdings" w:hint="default"/>
      </w:rPr>
    </w:lvl>
    <w:lvl w:ilvl="5" w:tplc="CBDAEC8A" w:tentative="1">
      <w:start w:val="1"/>
      <w:numFmt w:val="bullet"/>
      <w:lvlText w:val=""/>
      <w:lvlJc w:val="left"/>
      <w:pPr>
        <w:tabs>
          <w:tab w:val="num" w:pos="4320"/>
        </w:tabs>
        <w:ind w:left="4320" w:hanging="360"/>
      </w:pPr>
      <w:rPr>
        <w:rFonts w:ascii="Wingdings" w:hAnsi="Wingdings" w:hint="default"/>
      </w:rPr>
    </w:lvl>
    <w:lvl w:ilvl="6" w:tplc="1BAC0308" w:tentative="1">
      <w:start w:val="1"/>
      <w:numFmt w:val="bullet"/>
      <w:lvlText w:val=""/>
      <w:lvlJc w:val="left"/>
      <w:pPr>
        <w:tabs>
          <w:tab w:val="num" w:pos="5040"/>
        </w:tabs>
        <w:ind w:left="5040" w:hanging="360"/>
      </w:pPr>
      <w:rPr>
        <w:rFonts w:ascii="Wingdings" w:hAnsi="Wingdings" w:hint="default"/>
      </w:rPr>
    </w:lvl>
    <w:lvl w:ilvl="7" w:tplc="B1164B5E" w:tentative="1">
      <w:start w:val="1"/>
      <w:numFmt w:val="bullet"/>
      <w:lvlText w:val=""/>
      <w:lvlJc w:val="left"/>
      <w:pPr>
        <w:tabs>
          <w:tab w:val="num" w:pos="5760"/>
        </w:tabs>
        <w:ind w:left="5760" w:hanging="360"/>
      </w:pPr>
      <w:rPr>
        <w:rFonts w:ascii="Wingdings" w:hAnsi="Wingdings" w:hint="default"/>
      </w:rPr>
    </w:lvl>
    <w:lvl w:ilvl="8" w:tplc="EA58D078" w:tentative="1">
      <w:start w:val="1"/>
      <w:numFmt w:val="bullet"/>
      <w:lvlText w:val=""/>
      <w:lvlJc w:val="left"/>
      <w:pPr>
        <w:tabs>
          <w:tab w:val="num" w:pos="6480"/>
        </w:tabs>
        <w:ind w:left="6480" w:hanging="360"/>
      </w:pPr>
      <w:rPr>
        <w:rFonts w:ascii="Wingdings" w:hAnsi="Wingdings" w:hint="default"/>
      </w:rPr>
    </w:lvl>
  </w:abstractNum>
  <w:abstractNum w:abstractNumId="13">
    <w:nsid w:val="2B627953"/>
    <w:multiLevelType w:val="hybridMultilevel"/>
    <w:tmpl w:val="275A2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D47568"/>
    <w:multiLevelType w:val="hybridMultilevel"/>
    <w:tmpl w:val="F402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252C2"/>
    <w:multiLevelType w:val="hybridMultilevel"/>
    <w:tmpl w:val="C31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1B03FF"/>
    <w:multiLevelType w:val="hybridMultilevel"/>
    <w:tmpl w:val="EEF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816BE"/>
    <w:multiLevelType w:val="hybridMultilevel"/>
    <w:tmpl w:val="3AD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70DED"/>
    <w:multiLevelType w:val="hybridMultilevel"/>
    <w:tmpl w:val="30DA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97E6284"/>
    <w:multiLevelType w:val="hybridMultilevel"/>
    <w:tmpl w:val="62A85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0D15103"/>
    <w:multiLevelType w:val="hybridMultilevel"/>
    <w:tmpl w:val="71D0AF8C"/>
    <w:lvl w:ilvl="0" w:tplc="804EC7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D736E"/>
    <w:multiLevelType w:val="hybridMultilevel"/>
    <w:tmpl w:val="0DAC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2569CB"/>
    <w:multiLevelType w:val="hybridMultilevel"/>
    <w:tmpl w:val="E224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E7F41"/>
    <w:multiLevelType w:val="hybridMultilevel"/>
    <w:tmpl w:val="4AA06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D2DC0"/>
    <w:multiLevelType w:val="hybridMultilevel"/>
    <w:tmpl w:val="B20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A1A03"/>
    <w:multiLevelType w:val="hybridMultilevel"/>
    <w:tmpl w:val="8084B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E712C"/>
    <w:multiLevelType w:val="hybridMultilevel"/>
    <w:tmpl w:val="096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84BAD"/>
    <w:multiLevelType w:val="hybridMultilevel"/>
    <w:tmpl w:val="E476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43070"/>
    <w:multiLevelType w:val="hybridMultilevel"/>
    <w:tmpl w:val="E042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66665F"/>
    <w:multiLevelType w:val="hybridMultilevel"/>
    <w:tmpl w:val="48F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672B21"/>
    <w:multiLevelType w:val="hybridMultilevel"/>
    <w:tmpl w:val="74CE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D81625"/>
    <w:multiLevelType w:val="hybridMultilevel"/>
    <w:tmpl w:val="731C8FDC"/>
    <w:lvl w:ilvl="0" w:tplc="164810D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512D82"/>
    <w:multiLevelType w:val="multilevel"/>
    <w:tmpl w:val="E2602438"/>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272443"/>
    <w:multiLevelType w:val="hybridMultilevel"/>
    <w:tmpl w:val="B8D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C1398A"/>
    <w:multiLevelType w:val="hybridMultilevel"/>
    <w:tmpl w:val="303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AA3151"/>
    <w:multiLevelType w:val="multilevel"/>
    <w:tmpl w:val="4A4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E00AB"/>
    <w:multiLevelType w:val="hybridMultilevel"/>
    <w:tmpl w:val="BD7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65F2D"/>
    <w:multiLevelType w:val="hybridMultilevel"/>
    <w:tmpl w:val="0A38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87945"/>
    <w:multiLevelType w:val="hybridMultilevel"/>
    <w:tmpl w:val="59A6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883456"/>
    <w:multiLevelType w:val="hybridMultilevel"/>
    <w:tmpl w:val="EAE4B72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nsid w:val="7042762F"/>
    <w:multiLevelType w:val="hybridMultilevel"/>
    <w:tmpl w:val="6C3CD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4A408AE"/>
    <w:multiLevelType w:val="hybridMultilevel"/>
    <w:tmpl w:val="44B8B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4B79B6"/>
    <w:multiLevelType w:val="hybridMultilevel"/>
    <w:tmpl w:val="2FE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332FF"/>
    <w:multiLevelType w:val="hybridMultilevel"/>
    <w:tmpl w:val="4640786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C2FBA"/>
    <w:multiLevelType w:val="hybridMultilevel"/>
    <w:tmpl w:val="F35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9447D"/>
    <w:multiLevelType w:val="hybridMultilevel"/>
    <w:tmpl w:val="9166A0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DF60C94"/>
    <w:multiLevelType w:val="hybridMultilevel"/>
    <w:tmpl w:val="B7746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890063"/>
    <w:multiLevelType w:val="hybridMultilevel"/>
    <w:tmpl w:val="EE54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1"/>
  </w:num>
  <w:num w:numId="3">
    <w:abstractNumId w:val="42"/>
  </w:num>
  <w:num w:numId="4">
    <w:abstractNumId w:val="5"/>
  </w:num>
  <w:num w:numId="5">
    <w:abstractNumId w:val="23"/>
  </w:num>
  <w:num w:numId="6">
    <w:abstractNumId w:val="38"/>
  </w:num>
  <w:num w:numId="7">
    <w:abstractNumId w:val="18"/>
  </w:num>
  <w:num w:numId="8">
    <w:abstractNumId w:val="46"/>
  </w:num>
  <w:num w:numId="9">
    <w:abstractNumId w:val="16"/>
  </w:num>
  <w:num w:numId="10">
    <w:abstractNumId w:val="4"/>
  </w:num>
  <w:num w:numId="11">
    <w:abstractNumId w:val="44"/>
  </w:num>
  <w:num w:numId="12">
    <w:abstractNumId w:val="29"/>
  </w:num>
  <w:num w:numId="13">
    <w:abstractNumId w:val="12"/>
  </w:num>
  <w:num w:numId="14">
    <w:abstractNumId w:val="39"/>
  </w:num>
  <w:num w:numId="15">
    <w:abstractNumId w:val="10"/>
  </w:num>
  <w:num w:numId="16">
    <w:abstractNumId w:val="17"/>
  </w:num>
  <w:num w:numId="17">
    <w:abstractNumId w:val="20"/>
  </w:num>
  <w:num w:numId="18">
    <w:abstractNumId w:val="45"/>
  </w:num>
  <w:num w:numId="19">
    <w:abstractNumId w:val="11"/>
  </w:num>
  <w:num w:numId="20">
    <w:abstractNumId w:val="1"/>
  </w:num>
  <w:num w:numId="21">
    <w:abstractNumId w:val="40"/>
  </w:num>
  <w:num w:numId="22">
    <w:abstractNumId w:val="6"/>
  </w:num>
  <w:num w:numId="23">
    <w:abstractNumId w:val="15"/>
  </w:num>
  <w:num w:numId="24">
    <w:abstractNumId w:val="34"/>
  </w:num>
  <w:num w:numId="25">
    <w:abstractNumId w:val="36"/>
  </w:num>
  <w:num w:numId="26">
    <w:abstractNumId w:val="48"/>
  </w:num>
  <w:num w:numId="27">
    <w:abstractNumId w:val="21"/>
  </w:num>
  <w:num w:numId="28">
    <w:abstractNumId w:val="30"/>
  </w:num>
  <w:num w:numId="29">
    <w:abstractNumId w:val="33"/>
  </w:num>
  <w:num w:numId="30">
    <w:abstractNumId w:val="9"/>
  </w:num>
  <w:num w:numId="31">
    <w:abstractNumId w:val="8"/>
  </w:num>
  <w:num w:numId="32">
    <w:abstractNumId w:val="22"/>
  </w:num>
  <w:num w:numId="33">
    <w:abstractNumId w:val="3"/>
  </w:num>
  <w:num w:numId="34">
    <w:abstractNumId w:val="14"/>
  </w:num>
  <w:num w:numId="35">
    <w:abstractNumId w:val="24"/>
  </w:num>
  <w:num w:numId="36">
    <w:abstractNumId w:val="37"/>
  </w:num>
  <w:num w:numId="37">
    <w:abstractNumId w:val="28"/>
  </w:num>
  <w:num w:numId="38">
    <w:abstractNumId w:val="43"/>
  </w:num>
  <w:num w:numId="39">
    <w:abstractNumId w:val="0"/>
  </w:num>
  <w:num w:numId="40">
    <w:abstractNumId w:val="35"/>
  </w:num>
  <w:num w:numId="41">
    <w:abstractNumId w:val="26"/>
  </w:num>
  <w:num w:numId="42">
    <w:abstractNumId w:val="31"/>
  </w:num>
  <w:num w:numId="43">
    <w:abstractNumId w:val="32"/>
  </w:num>
  <w:num w:numId="44">
    <w:abstractNumId w:val="13"/>
  </w:num>
  <w:num w:numId="45">
    <w:abstractNumId w:val="19"/>
  </w:num>
  <w:num w:numId="46">
    <w:abstractNumId w:val="2"/>
  </w:num>
  <w:num w:numId="47">
    <w:abstractNumId w:val="7"/>
  </w:num>
  <w:num w:numId="48">
    <w:abstractNumId w:val="47"/>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UCCI Francesco Felice (SG)">
    <w15:presenceInfo w15:providerId="None" w15:userId="CARLUCCI Francesco Felic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4D0AEF-A8EB-4A19-B879-78846883F465"/>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98?\u1084? \u1074?\u1089?\u1077?\u1086?\u1073?\u1093?\u1074?\u1072?\u1090?\u1085?\u1072? \u1088?\u1072?\u1084?\u1082?\u1072? \u1085?\u1072? \u1045?\u1074?\u1088?\u1086?\u1087?\u1077?\u1081?\u1089?\u1082?\u1080?\u1103? \u1089?\u1098?\u1102?\u1079? \u1086?\u1090?\u1085?\u1086?\u1089?\u1085?\u1086? \u1077?\u1085?\u1076?\u1086?\u1082?\u1088?\u1080?\u1085?\u1085?\u1080?\u1090?\u1077? \u1085?\u1072?\u1088?\u1091?\u1096?\u1080?\u1090?\u1077?\u1083?\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9">
      <w:bodyDiv w:val="1"/>
      <w:marLeft w:val="0"/>
      <w:marRight w:val="0"/>
      <w:marTop w:val="0"/>
      <w:marBottom w:val="0"/>
      <w:divBdr>
        <w:top w:val="none" w:sz="0" w:space="0" w:color="auto"/>
        <w:left w:val="none" w:sz="0" w:space="0" w:color="auto"/>
        <w:bottom w:val="none" w:sz="0" w:space="0" w:color="auto"/>
        <w:right w:val="none" w:sz="0" w:space="0" w:color="auto"/>
      </w:divBdr>
      <w:divsChild>
        <w:div w:id="1101030620">
          <w:marLeft w:val="0"/>
          <w:marRight w:val="0"/>
          <w:marTop w:val="0"/>
          <w:marBottom w:val="0"/>
          <w:divBdr>
            <w:top w:val="none" w:sz="0" w:space="0" w:color="auto"/>
            <w:left w:val="none" w:sz="0" w:space="0" w:color="auto"/>
            <w:bottom w:val="none" w:sz="0" w:space="0" w:color="auto"/>
            <w:right w:val="none" w:sz="0" w:space="0" w:color="auto"/>
          </w:divBdr>
        </w:div>
        <w:div w:id="2082094174">
          <w:marLeft w:val="0"/>
          <w:marRight w:val="0"/>
          <w:marTop w:val="0"/>
          <w:marBottom w:val="0"/>
          <w:divBdr>
            <w:top w:val="none" w:sz="0" w:space="0" w:color="auto"/>
            <w:left w:val="none" w:sz="0" w:space="0" w:color="auto"/>
            <w:bottom w:val="none" w:sz="0" w:space="0" w:color="auto"/>
            <w:right w:val="none" w:sz="0" w:space="0" w:color="auto"/>
          </w:divBdr>
        </w:div>
        <w:div w:id="2132896917">
          <w:marLeft w:val="0"/>
          <w:marRight w:val="0"/>
          <w:marTop w:val="0"/>
          <w:marBottom w:val="0"/>
          <w:divBdr>
            <w:top w:val="none" w:sz="0" w:space="0" w:color="auto"/>
            <w:left w:val="none" w:sz="0" w:space="0" w:color="auto"/>
            <w:bottom w:val="none" w:sz="0" w:space="0" w:color="auto"/>
            <w:right w:val="none" w:sz="0" w:space="0" w:color="auto"/>
          </w:divBdr>
        </w:div>
        <w:div w:id="1044410135">
          <w:marLeft w:val="0"/>
          <w:marRight w:val="0"/>
          <w:marTop w:val="0"/>
          <w:marBottom w:val="0"/>
          <w:divBdr>
            <w:top w:val="none" w:sz="0" w:space="0" w:color="auto"/>
            <w:left w:val="none" w:sz="0" w:space="0" w:color="auto"/>
            <w:bottom w:val="none" w:sz="0" w:space="0" w:color="auto"/>
            <w:right w:val="none" w:sz="0" w:space="0" w:color="auto"/>
          </w:divBdr>
        </w:div>
      </w:divsChild>
    </w:div>
    <w:div w:id="49622753">
      <w:bodyDiv w:val="1"/>
      <w:marLeft w:val="0"/>
      <w:marRight w:val="0"/>
      <w:marTop w:val="0"/>
      <w:marBottom w:val="0"/>
      <w:divBdr>
        <w:top w:val="none" w:sz="0" w:space="0" w:color="auto"/>
        <w:left w:val="none" w:sz="0" w:space="0" w:color="auto"/>
        <w:bottom w:val="none" w:sz="0" w:space="0" w:color="auto"/>
        <w:right w:val="none" w:sz="0" w:space="0" w:color="auto"/>
      </w:divBdr>
      <w:divsChild>
        <w:div w:id="1171068604">
          <w:marLeft w:val="0"/>
          <w:marRight w:val="0"/>
          <w:marTop w:val="0"/>
          <w:marBottom w:val="0"/>
          <w:divBdr>
            <w:top w:val="none" w:sz="0" w:space="0" w:color="auto"/>
            <w:left w:val="none" w:sz="0" w:space="0" w:color="auto"/>
            <w:bottom w:val="none" w:sz="0" w:space="0" w:color="auto"/>
            <w:right w:val="none" w:sz="0" w:space="0" w:color="auto"/>
          </w:divBdr>
          <w:divsChild>
            <w:div w:id="600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84">
      <w:bodyDiv w:val="1"/>
      <w:marLeft w:val="0"/>
      <w:marRight w:val="0"/>
      <w:marTop w:val="0"/>
      <w:marBottom w:val="0"/>
      <w:divBdr>
        <w:top w:val="none" w:sz="0" w:space="0" w:color="auto"/>
        <w:left w:val="none" w:sz="0" w:space="0" w:color="auto"/>
        <w:bottom w:val="none" w:sz="0" w:space="0" w:color="auto"/>
        <w:right w:val="none" w:sz="0" w:space="0" w:color="auto"/>
      </w:divBdr>
    </w:div>
    <w:div w:id="104035532">
      <w:bodyDiv w:val="1"/>
      <w:marLeft w:val="0"/>
      <w:marRight w:val="0"/>
      <w:marTop w:val="0"/>
      <w:marBottom w:val="0"/>
      <w:divBdr>
        <w:top w:val="none" w:sz="0" w:space="0" w:color="auto"/>
        <w:left w:val="none" w:sz="0" w:space="0" w:color="auto"/>
        <w:bottom w:val="none" w:sz="0" w:space="0" w:color="auto"/>
        <w:right w:val="none" w:sz="0" w:space="0" w:color="auto"/>
      </w:divBdr>
    </w:div>
    <w:div w:id="259799394">
      <w:bodyDiv w:val="1"/>
      <w:marLeft w:val="0"/>
      <w:marRight w:val="0"/>
      <w:marTop w:val="0"/>
      <w:marBottom w:val="0"/>
      <w:divBdr>
        <w:top w:val="none" w:sz="0" w:space="0" w:color="auto"/>
        <w:left w:val="none" w:sz="0" w:space="0" w:color="auto"/>
        <w:bottom w:val="none" w:sz="0" w:space="0" w:color="auto"/>
        <w:right w:val="none" w:sz="0" w:space="0" w:color="auto"/>
      </w:divBdr>
    </w:div>
    <w:div w:id="260535104">
      <w:bodyDiv w:val="1"/>
      <w:marLeft w:val="0"/>
      <w:marRight w:val="0"/>
      <w:marTop w:val="0"/>
      <w:marBottom w:val="0"/>
      <w:divBdr>
        <w:top w:val="none" w:sz="0" w:space="0" w:color="auto"/>
        <w:left w:val="none" w:sz="0" w:space="0" w:color="auto"/>
        <w:bottom w:val="none" w:sz="0" w:space="0" w:color="auto"/>
        <w:right w:val="none" w:sz="0" w:space="0" w:color="auto"/>
      </w:divBdr>
      <w:divsChild>
        <w:div w:id="1019552452">
          <w:marLeft w:val="0"/>
          <w:marRight w:val="0"/>
          <w:marTop w:val="0"/>
          <w:marBottom w:val="0"/>
          <w:divBdr>
            <w:top w:val="none" w:sz="0" w:space="0" w:color="auto"/>
            <w:left w:val="none" w:sz="0" w:space="0" w:color="auto"/>
            <w:bottom w:val="none" w:sz="0" w:space="0" w:color="auto"/>
            <w:right w:val="none" w:sz="0" w:space="0" w:color="auto"/>
          </w:divBdr>
        </w:div>
        <w:div w:id="1319069223">
          <w:marLeft w:val="0"/>
          <w:marRight w:val="0"/>
          <w:marTop w:val="0"/>
          <w:marBottom w:val="0"/>
          <w:divBdr>
            <w:top w:val="none" w:sz="0" w:space="0" w:color="auto"/>
            <w:left w:val="none" w:sz="0" w:space="0" w:color="auto"/>
            <w:bottom w:val="none" w:sz="0" w:space="0" w:color="auto"/>
            <w:right w:val="none" w:sz="0" w:space="0" w:color="auto"/>
          </w:divBdr>
        </w:div>
      </w:divsChild>
    </w:div>
    <w:div w:id="273292417">
      <w:bodyDiv w:val="1"/>
      <w:marLeft w:val="0"/>
      <w:marRight w:val="0"/>
      <w:marTop w:val="0"/>
      <w:marBottom w:val="0"/>
      <w:divBdr>
        <w:top w:val="none" w:sz="0" w:space="0" w:color="auto"/>
        <w:left w:val="none" w:sz="0" w:space="0" w:color="auto"/>
        <w:bottom w:val="none" w:sz="0" w:space="0" w:color="auto"/>
        <w:right w:val="none" w:sz="0" w:space="0" w:color="auto"/>
      </w:divBdr>
      <w:divsChild>
        <w:div w:id="61026827">
          <w:marLeft w:val="547"/>
          <w:marRight w:val="0"/>
          <w:marTop w:val="96"/>
          <w:marBottom w:val="0"/>
          <w:divBdr>
            <w:top w:val="none" w:sz="0" w:space="0" w:color="auto"/>
            <w:left w:val="none" w:sz="0" w:space="0" w:color="auto"/>
            <w:bottom w:val="none" w:sz="0" w:space="0" w:color="auto"/>
            <w:right w:val="none" w:sz="0" w:space="0" w:color="auto"/>
          </w:divBdr>
        </w:div>
        <w:div w:id="577442677">
          <w:marLeft w:val="1166"/>
          <w:marRight w:val="0"/>
          <w:marTop w:val="77"/>
          <w:marBottom w:val="0"/>
          <w:divBdr>
            <w:top w:val="none" w:sz="0" w:space="0" w:color="auto"/>
            <w:left w:val="none" w:sz="0" w:space="0" w:color="auto"/>
            <w:bottom w:val="none" w:sz="0" w:space="0" w:color="auto"/>
            <w:right w:val="none" w:sz="0" w:space="0" w:color="auto"/>
          </w:divBdr>
        </w:div>
        <w:div w:id="949971416">
          <w:marLeft w:val="1166"/>
          <w:marRight w:val="0"/>
          <w:marTop w:val="77"/>
          <w:marBottom w:val="0"/>
          <w:divBdr>
            <w:top w:val="none" w:sz="0" w:space="0" w:color="auto"/>
            <w:left w:val="none" w:sz="0" w:space="0" w:color="auto"/>
            <w:bottom w:val="none" w:sz="0" w:space="0" w:color="auto"/>
            <w:right w:val="none" w:sz="0" w:space="0" w:color="auto"/>
          </w:divBdr>
        </w:div>
        <w:div w:id="1182208790">
          <w:marLeft w:val="1166"/>
          <w:marRight w:val="0"/>
          <w:marTop w:val="77"/>
          <w:marBottom w:val="0"/>
          <w:divBdr>
            <w:top w:val="none" w:sz="0" w:space="0" w:color="auto"/>
            <w:left w:val="none" w:sz="0" w:space="0" w:color="auto"/>
            <w:bottom w:val="none" w:sz="0" w:space="0" w:color="auto"/>
            <w:right w:val="none" w:sz="0" w:space="0" w:color="auto"/>
          </w:divBdr>
        </w:div>
        <w:div w:id="1285042254">
          <w:marLeft w:val="1166"/>
          <w:marRight w:val="0"/>
          <w:marTop w:val="77"/>
          <w:marBottom w:val="0"/>
          <w:divBdr>
            <w:top w:val="none" w:sz="0" w:space="0" w:color="auto"/>
            <w:left w:val="none" w:sz="0" w:space="0" w:color="auto"/>
            <w:bottom w:val="none" w:sz="0" w:space="0" w:color="auto"/>
            <w:right w:val="none" w:sz="0" w:space="0" w:color="auto"/>
          </w:divBdr>
        </w:div>
        <w:div w:id="1475024716">
          <w:marLeft w:val="547"/>
          <w:marRight w:val="0"/>
          <w:marTop w:val="96"/>
          <w:marBottom w:val="0"/>
          <w:divBdr>
            <w:top w:val="none" w:sz="0" w:space="0" w:color="auto"/>
            <w:left w:val="none" w:sz="0" w:space="0" w:color="auto"/>
            <w:bottom w:val="none" w:sz="0" w:space="0" w:color="auto"/>
            <w:right w:val="none" w:sz="0" w:space="0" w:color="auto"/>
          </w:divBdr>
        </w:div>
        <w:div w:id="1712461244">
          <w:marLeft w:val="547"/>
          <w:marRight w:val="0"/>
          <w:marTop w:val="96"/>
          <w:marBottom w:val="0"/>
          <w:divBdr>
            <w:top w:val="none" w:sz="0" w:space="0" w:color="auto"/>
            <w:left w:val="none" w:sz="0" w:space="0" w:color="auto"/>
            <w:bottom w:val="none" w:sz="0" w:space="0" w:color="auto"/>
            <w:right w:val="none" w:sz="0" w:space="0" w:color="auto"/>
          </w:divBdr>
        </w:div>
        <w:div w:id="1799643144">
          <w:marLeft w:val="1166"/>
          <w:marRight w:val="0"/>
          <w:marTop w:val="77"/>
          <w:marBottom w:val="0"/>
          <w:divBdr>
            <w:top w:val="none" w:sz="0" w:space="0" w:color="auto"/>
            <w:left w:val="none" w:sz="0" w:space="0" w:color="auto"/>
            <w:bottom w:val="none" w:sz="0" w:space="0" w:color="auto"/>
            <w:right w:val="none" w:sz="0" w:space="0" w:color="auto"/>
          </w:divBdr>
        </w:div>
        <w:div w:id="1982804728">
          <w:marLeft w:val="547"/>
          <w:marRight w:val="0"/>
          <w:marTop w:val="96"/>
          <w:marBottom w:val="0"/>
          <w:divBdr>
            <w:top w:val="none" w:sz="0" w:space="0" w:color="auto"/>
            <w:left w:val="none" w:sz="0" w:space="0" w:color="auto"/>
            <w:bottom w:val="none" w:sz="0" w:space="0" w:color="auto"/>
            <w:right w:val="none" w:sz="0" w:space="0" w:color="auto"/>
          </w:divBdr>
        </w:div>
        <w:div w:id="1994554927">
          <w:marLeft w:val="547"/>
          <w:marRight w:val="0"/>
          <w:marTop w:val="96"/>
          <w:marBottom w:val="0"/>
          <w:divBdr>
            <w:top w:val="none" w:sz="0" w:space="0" w:color="auto"/>
            <w:left w:val="none" w:sz="0" w:space="0" w:color="auto"/>
            <w:bottom w:val="none" w:sz="0" w:space="0" w:color="auto"/>
            <w:right w:val="none" w:sz="0" w:space="0" w:color="auto"/>
          </w:divBdr>
        </w:div>
      </w:divsChild>
    </w:div>
    <w:div w:id="28573986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2">
          <w:marLeft w:val="0"/>
          <w:marRight w:val="0"/>
          <w:marTop w:val="0"/>
          <w:marBottom w:val="0"/>
          <w:divBdr>
            <w:top w:val="none" w:sz="0" w:space="0" w:color="auto"/>
            <w:left w:val="none" w:sz="0" w:space="0" w:color="auto"/>
            <w:bottom w:val="none" w:sz="0" w:space="0" w:color="auto"/>
            <w:right w:val="none" w:sz="0" w:space="0" w:color="auto"/>
          </w:divBdr>
        </w:div>
        <w:div w:id="2021615995">
          <w:marLeft w:val="0"/>
          <w:marRight w:val="0"/>
          <w:marTop w:val="0"/>
          <w:marBottom w:val="0"/>
          <w:divBdr>
            <w:top w:val="none" w:sz="0" w:space="0" w:color="auto"/>
            <w:left w:val="none" w:sz="0" w:space="0" w:color="auto"/>
            <w:bottom w:val="none" w:sz="0" w:space="0" w:color="auto"/>
            <w:right w:val="none" w:sz="0" w:space="0" w:color="auto"/>
          </w:divBdr>
        </w:div>
        <w:div w:id="719402742">
          <w:marLeft w:val="0"/>
          <w:marRight w:val="0"/>
          <w:marTop w:val="0"/>
          <w:marBottom w:val="0"/>
          <w:divBdr>
            <w:top w:val="none" w:sz="0" w:space="0" w:color="auto"/>
            <w:left w:val="none" w:sz="0" w:space="0" w:color="auto"/>
            <w:bottom w:val="none" w:sz="0" w:space="0" w:color="auto"/>
            <w:right w:val="none" w:sz="0" w:space="0" w:color="auto"/>
          </w:divBdr>
        </w:div>
        <w:div w:id="139813144">
          <w:marLeft w:val="0"/>
          <w:marRight w:val="0"/>
          <w:marTop w:val="0"/>
          <w:marBottom w:val="0"/>
          <w:divBdr>
            <w:top w:val="none" w:sz="0" w:space="0" w:color="auto"/>
            <w:left w:val="none" w:sz="0" w:space="0" w:color="auto"/>
            <w:bottom w:val="none" w:sz="0" w:space="0" w:color="auto"/>
            <w:right w:val="none" w:sz="0" w:space="0" w:color="auto"/>
          </w:divBdr>
        </w:div>
        <w:div w:id="1769545726">
          <w:marLeft w:val="0"/>
          <w:marRight w:val="0"/>
          <w:marTop w:val="0"/>
          <w:marBottom w:val="0"/>
          <w:divBdr>
            <w:top w:val="none" w:sz="0" w:space="0" w:color="auto"/>
            <w:left w:val="none" w:sz="0" w:space="0" w:color="auto"/>
            <w:bottom w:val="none" w:sz="0" w:space="0" w:color="auto"/>
            <w:right w:val="none" w:sz="0" w:space="0" w:color="auto"/>
          </w:divBdr>
        </w:div>
        <w:div w:id="1518427348">
          <w:marLeft w:val="0"/>
          <w:marRight w:val="0"/>
          <w:marTop w:val="0"/>
          <w:marBottom w:val="0"/>
          <w:divBdr>
            <w:top w:val="none" w:sz="0" w:space="0" w:color="auto"/>
            <w:left w:val="none" w:sz="0" w:space="0" w:color="auto"/>
            <w:bottom w:val="none" w:sz="0" w:space="0" w:color="auto"/>
            <w:right w:val="none" w:sz="0" w:space="0" w:color="auto"/>
          </w:divBdr>
        </w:div>
        <w:div w:id="1219825658">
          <w:marLeft w:val="0"/>
          <w:marRight w:val="0"/>
          <w:marTop w:val="0"/>
          <w:marBottom w:val="0"/>
          <w:divBdr>
            <w:top w:val="none" w:sz="0" w:space="0" w:color="auto"/>
            <w:left w:val="none" w:sz="0" w:space="0" w:color="auto"/>
            <w:bottom w:val="none" w:sz="0" w:space="0" w:color="auto"/>
            <w:right w:val="none" w:sz="0" w:space="0" w:color="auto"/>
          </w:divBdr>
        </w:div>
        <w:div w:id="40835928">
          <w:marLeft w:val="0"/>
          <w:marRight w:val="0"/>
          <w:marTop w:val="0"/>
          <w:marBottom w:val="0"/>
          <w:divBdr>
            <w:top w:val="none" w:sz="0" w:space="0" w:color="auto"/>
            <w:left w:val="none" w:sz="0" w:space="0" w:color="auto"/>
            <w:bottom w:val="none" w:sz="0" w:space="0" w:color="auto"/>
            <w:right w:val="none" w:sz="0" w:space="0" w:color="auto"/>
          </w:divBdr>
        </w:div>
      </w:divsChild>
    </w:div>
    <w:div w:id="296884119">
      <w:bodyDiv w:val="1"/>
      <w:marLeft w:val="0"/>
      <w:marRight w:val="0"/>
      <w:marTop w:val="0"/>
      <w:marBottom w:val="0"/>
      <w:divBdr>
        <w:top w:val="none" w:sz="0" w:space="0" w:color="auto"/>
        <w:left w:val="none" w:sz="0" w:space="0" w:color="auto"/>
        <w:bottom w:val="none" w:sz="0" w:space="0" w:color="auto"/>
        <w:right w:val="none" w:sz="0" w:space="0" w:color="auto"/>
      </w:divBdr>
      <w:divsChild>
        <w:div w:id="462817165">
          <w:marLeft w:val="0"/>
          <w:marRight w:val="0"/>
          <w:marTop w:val="0"/>
          <w:marBottom w:val="0"/>
          <w:divBdr>
            <w:top w:val="none" w:sz="0" w:space="0" w:color="auto"/>
            <w:left w:val="none" w:sz="0" w:space="0" w:color="auto"/>
            <w:bottom w:val="none" w:sz="0" w:space="0" w:color="auto"/>
            <w:right w:val="none" w:sz="0" w:space="0" w:color="auto"/>
          </w:divBdr>
        </w:div>
        <w:div w:id="825169465">
          <w:marLeft w:val="0"/>
          <w:marRight w:val="0"/>
          <w:marTop w:val="0"/>
          <w:marBottom w:val="0"/>
          <w:divBdr>
            <w:top w:val="none" w:sz="0" w:space="0" w:color="auto"/>
            <w:left w:val="none" w:sz="0" w:space="0" w:color="auto"/>
            <w:bottom w:val="none" w:sz="0" w:space="0" w:color="auto"/>
            <w:right w:val="none" w:sz="0" w:space="0" w:color="auto"/>
          </w:divBdr>
        </w:div>
        <w:div w:id="838619152">
          <w:marLeft w:val="0"/>
          <w:marRight w:val="0"/>
          <w:marTop w:val="0"/>
          <w:marBottom w:val="0"/>
          <w:divBdr>
            <w:top w:val="none" w:sz="0" w:space="0" w:color="auto"/>
            <w:left w:val="none" w:sz="0" w:space="0" w:color="auto"/>
            <w:bottom w:val="none" w:sz="0" w:space="0" w:color="auto"/>
            <w:right w:val="none" w:sz="0" w:space="0" w:color="auto"/>
          </w:divBdr>
        </w:div>
      </w:divsChild>
    </w:div>
    <w:div w:id="343173083">
      <w:bodyDiv w:val="1"/>
      <w:marLeft w:val="0"/>
      <w:marRight w:val="0"/>
      <w:marTop w:val="0"/>
      <w:marBottom w:val="0"/>
      <w:divBdr>
        <w:top w:val="none" w:sz="0" w:space="0" w:color="auto"/>
        <w:left w:val="none" w:sz="0" w:space="0" w:color="auto"/>
        <w:bottom w:val="none" w:sz="0" w:space="0" w:color="auto"/>
        <w:right w:val="none" w:sz="0" w:space="0" w:color="auto"/>
      </w:divBdr>
      <w:divsChild>
        <w:div w:id="658847829">
          <w:marLeft w:val="0"/>
          <w:marRight w:val="0"/>
          <w:marTop w:val="0"/>
          <w:marBottom w:val="0"/>
          <w:divBdr>
            <w:top w:val="none" w:sz="0" w:space="0" w:color="auto"/>
            <w:left w:val="none" w:sz="0" w:space="0" w:color="auto"/>
            <w:bottom w:val="none" w:sz="0" w:space="0" w:color="auto"/>
            <w:right w:val="none" w:sz="0" w:space="0" w:color="auto"/>
          </w:divBdr>
        </w:div>
        <w:div w:id="797334164">
          <w:marLeft w:val="0"/>
          <w:marRight w:val="0"/>
          <w:marTop w:val="0"/>
          <w:marBottom w:val="0"/>
          <w:divBdr>
            <w:top w:val="none" w:sz="0" w:space="0" w:color="auto"/>
            <w:left w:val="none" w:sz="0" w:space="0" w:color="auto"/>
            <w:bottom w:val="none" w:sz="0" w:space="0" w:color="auto"/>
            <w:right w:val="none" w:sz="0" w:space="0" w:color="auto"/>
          </w:divBdr>
        </w:div>
      </w:divsChild>
    </w:div>
    <w:div w:id="365177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2">
          <w:marLeft w:val="0"/>
          <w:marRight w:val="0"/>
          <w:marTop w:val="0"/>
          <w:marBottom w:val="0"/>
          <w:divBdr>
            <w:top w:val="none" w:sz="0" w:space="0" w:color="auto"/>
            <w:left w:val="none" w:sz="0" w:space="0" w:color="auto"/>
            <w:bottom w:val="none" w:sz="0" w:space="0" w:color="auto"/>
            <w:right w:val="none" w:sz="0" w:space="0" w:color="auto"/>
          </w:divBdr>
        </w:div>
        <w:div w:id="136261778">
          <w:marLeft w:val="0"/>
          <w:marRight w:val="0"/>
          <w:marTop w:val="0"/>
          <w:marBottom w:val="0"/>
          <w:divBdr>
            <w:top w:val="none" w:sz="0" w:space="0" w:color="auto"/>
            <w:left w:val="none" w:sz="0" w:space="0" w:color="auto"/>
            <w:bottom w:val="none" w:sz="0" w:space="0" w:color="auto"/>
            <w:right w:val="none" w:sz="0" w:space="0" w:color="auto"/>
          </w:divBdr>
        </w:div>
        <w:div w:id="1651061049">
          <w:marLeft w:val="0"/>
          <w:marRight w:val="0"/>
          <w:marTop w:val="0"/>
          <w:marBottom w:val="0"/>
          <w:divBdr>
            <w:top w:val="none" w:sz="0" w:space="0" w:color="auto"/>
            <w:left w:val="none" w:sz="0" w:space="0" w:color="auto"/>
            <w:bottom w:val="none" w:sz="0" w:space="0" w:color="auto"/>
            <w:right w:val="none" w:sz="0" w:space="0" w:color="auto"/>
          </w:divBdr>
        </w:div>
        <w:div w:id="2085255226">
          <w:marLeft w:val="0"/>
          <w:marRight w:val="0"/>
          <w:marTop w:val="0"/>
          <w:marBottom w:val="0"/>
          <w:divBdr>
            <w:top w:val="none" w:sz="0" w:space="0" w:color="auto"/>
            <w:left w:val="none" w:sz="0" w:space="0" w:color="auto"/>
            <w:bottom w:val="none" w:sz="0" w:space="0" w:color="auto"/>
            <w:right w:val="none" w:sz="0" w:space="0" w:color="auto"/>
          </w:divBdr>
        </w:div>
        <w:div w:id="54620654">
          <w:marLeft w:val="0"/>
          <w:marRight w:val="0"/>
          <w:marTop w:val="0"/>
          <w:marBottom w:val="0"/>
          <w:divBdr>
            <w:top w:val="none" w:sz="0" w:space="0" w:color="auto"/>
            <w:left w:val="none" w:sz="0" w:space="0" w:color="auto"/>
            <w:bottom w:val="none" w:sz="0" w:space="0" w:color="auto"/>
            <w:right w:val="none" w:sz="0" w:space="0" w:color="auto"/>
          </w:divBdr>
        </w:div>
        <w:div w:id="1595672720">
          <w:marLeft w:val="0"/>
          <w:marRight w:val="0"/>
          <w:marTop w:val="0"/>
          <w:marBottom w:val="0"/>
          <w:divBdr>
            <w:top w:val="none" w:sz="0" w:space="0" w:color="auto"/>
            <w:left w:val="none" w:sz="0" w:space="0" w:color="auto"/>
            <w:bottom w:val="none" w:sz="0" w:space="0" w:color="auto"/>
            <w:right w:val="none" w:sz="0" w:space="0" w:color="auto"/>
          </w:divBdr>
        </w:div>
      </w:divsChild>
    </w:div>
    <w:div w:id="367535342">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7">
          <w:marLeft w:val="0"/>
          <w:marRight w:val="0"/>
          <w:marTop w:val="0"/>
          <w:marBottom w:val="0"/>
          <w:divBdr>
            <w:top w:val="none" w:sz="0" w:space="0" w:color="auto"/>
            <w:left w:val="none" w:sz="0" w:space="0" w:color="auto"/>
            <w:bottom w:val="none" w:sz="0" w:space="0" w:color="auto"/>
            <w:right w:val="none" w:sz="0" w:space="0" w:color="auto"/>
          </w:divBdr>
        </w:div>
        <w:div w:id="355739742">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1016662125">
          <w:marLeft w:val="0"/>
          <w:marRight w:val="0"/>
          <w:marTop w:val="0"/>
          <w:marBottom w:val="0"/>
          <w:divBdr>
            <w:top w:val="none" w:sz="0" w:space="0" w:color="auto"/>
            <w:left w:val="none" w:sz="0" w:space="0" w:color="auto"/>
            <w:bottom w:val="none" w:sz="0" w:space="0" w:color="auto"/>
            <w:right w:val="none" w:sz="0" w:space="0" w:color="auto"/>
          </w:divBdr>
        </w:div>
        <w:div w:id="895118110">
          <w:marLeft w:val="0"/>
          <w:marRight w:val="0"/>
          <w:marTop w:val="0"/>
          <w:marBottom w:val="0"/>
          <w:divBdr>
            <w:top w:val="none" w:sz="0" w:space="0" w:color="auto"/>
            <w:left w:val="none" w:sz="0" w:space="0" w:color="auto"/>
            <w:bottom w:val="none" w:sz="0" w:space="0" w:color="auto"/>
            <w:right w:val="none" w:sz="0" w:space="0" w:color="auto"/>
          </w:divBdr>
        </w:div>
      </w:divsChild>
    </w:div>
    <w:div w:id="375738526">
      <w:bodyDiv w:val="1"/>
      <w:marLeft w:val="0"/>
      <w:marRight w:val="0"/>
      <w:marTop w:val="0"/>
      <w:marBottom w:val="0"/>
      <w:divBdr>
        <w:top w:val="none" w:sz="0" w:space="0" w:color="auto"/>
        <w:left w:val="none" w:sz="0" w:space="0" w:color="auto"/>
        <w:bottom w:val="none" w:sz="0" w:space="0" w:color="auto"/>
        <w:right w:val="none" w:sz="0" w:space="0" w:color="auto"/>
      </w:divBdr>
      <w:divsChild>
        <w:div w:id="37945928">
          <w:marLeft w:val="0"/>
          <w:marRight w:val="0"/>
          <w:marTop w:val="0"/>
          <w:marBottom w:val="0"/>
          <w:divBdr>
            <w:top w:val="none" w:sz="0" w:space="0" w:color="auto"/>
            <w:left w:val="none" w:sz="0" w:space="0" w:color="auto"/>
            <w:bottom w:val="none" w:sz="0" w:space="0" w:color="auto"/>
            <w:right w:val="none" w:sz="0" w:space="0" w:color="auto"/>
          </w:divBdr>
        </w:div>
        <w:div w:id="427694780">
          <w:marLeft w:val="0"/>
          <w:marRight w:val="0"/>
          <w:marTop w:val="0"/>
          <w:marBottom w:val="0"/>
          <w:divBdr>
            <w:top w:val="none" w:sz="0" w:space="0" w:color="auto"/>
            <w:left w:val="none" w:sz="0" w:space="0" w:color="auto"/>
            <w:bottom w:val="none" w:sz="0" w:space="0" w:color="auto"/>
            <w:right w:val="none" w:sz="0" w:space="0" w:color="auto"/>
          </w:divBdr>
        </w:div>
        <w:div w:id="702173003">
          <w:marLeft w:val="0"/>
          <w:marRight w:val="0"/>
          <w:marTop w:val="0"/>
          <w:marBottom w:val="0"/>
          <w:divBdr>
            <w:top w:val="none" w:sz="0" w:space="0" w:color="auto"/>
            <w:left w:val="none" w:sz="0" w:space="0" w:color="auto"/>
            <w:bottom w:val="none" w:sz="0" w:space="0" w:color="auto"/>
            <w:right w:val="none" w:sz="0" w:space="0" w:color="auto"/>
          </w:divBdr>
        </w:div>
        <w:div w:id="2030135164">
          <w:marLeft w:val="0"/>
          <w:marRight w:val="0"/>
          <w:marTop w:val="0"/>
          <w:marBottom w:val="0"/>
          <w:divBdr>
            <w:top w:val="none" w:sz="0" w:space="0" w:color="auto"/>
            <w:left w:val="none" w:sz="0" w:space="0" w:color="auto"/>
            <w:bottom w:val="none" w:sz="0" w:space="0" w:color="auto"/>
            <w:right w:val="none" w:sz="0" w:space="0" w:color="auto"/>
          </w:divBdr>
        </w:div>
      </w:divsChild>
    </w:div>
    <w:div w:id="399406007">
      <w:bodyDiv w:val="1"/>
      <w:marLeft w:val="0"/>
      <w:marRight w:val="0"/>
      <w:marTop w:val="0"/>
      <w:marBottom w:val="0"/>
      <w:divBdr>
        <w:top w:val="none" w:sz="0" w:space="0" w:color="auto"/>
        <w:left w:val="none" w:sz="0" w:space="0" w:color="auto"/>
        <w:bottom w:val="none" w:sz="0" w:space="0" w:color="auto"/>
        <w:right w:val="none" w:sz="0" w:space="0" w:color="auto"/>
      </w:divBdr>
    </w:div>
    <w:div w:id="405685315">
      <w:bodyDiv w:val="1"/>
      <w:marLeft w:val="0"/>
      <w:marRight w:val="0"/>
      <w:marTop w:val="0"/>
      <w:marBottom w:val="0"/>
      <w:divBdr>
        <w:top w:val="none" w:sz="0" w:space="0" w:color="auto"/>
        <w:left w:val="none" w:sz="0" w:space="0" w:color="auto"/>
        <w:bottom w:val="none" w:sz="0" w:space="0" w:color="auto"/>
        <w:right w:val="none" w:sz="0" w:space="0" w:color="auto"/>
      </w:divBdr>
      <w:divsChild>
        <w:div w:id="1114909535">
          <w:marLeft w:val="0"/>
          <w:marRight w:val="0"/>
          <w:marTop w:val="0"/>
          <w:marBottom w:val="0"/>
          <w:divBdr>
            <w:top w:val="none" w:sz="0" w:space="0" w:color="auto"/>
            <w:left w:val="none" w:sz="0" w:space="0" w:color="auto"/>
            <w:bottom w:val="none" w:sz="0" w:space="0" w:color="auto"/>
            <w:right w:val="none" w:sz="0" w:space="0" w:color="auto"/>
          </w:divBdr>
        </w:div>
        <w:div w:id="2012291543">
          <w:marLeft w:val="0"/>
          <w:marRight w:val="0"/>
          <w:marTop w:val="0"/>
          <w:marBottom w:val="0"/>
          <w:divBdr>
            <w:top w:val="none" w:sz="0" w:space="0" w:color="auto"/>
            <w:left w:val="none" w:sz="0" w:space="0" w:color="auto"/>
            <w:bottom w:val="none" w:sz="0" w:space="0" w:color="auto"/>
            <w:right w:val="none" w:sz="0" w:space="0" w:color="auto"/>
          </w:divBdr>
        </w:div>
        <w:div w:id="946548411">
          <w:marLeft w:val="0"/>
          <w:marRight w:val="0"/>
          <w:marTop w:val="0"/>
          <w:marBottom w:val="0"/>
          <w:divBdr>
            <w:top w:val="none" w:sz="0" w:space="0" w:color="auto"/>
            <w:left w:val="none" w:sz="0" w:space="0" w:color="auto"/>
            <w:bottom w:val="none" w:sz="0" w:space="0" w:color="auto"/>
            <w:right w:val="none" w:sz="0" w:space="0" w:color="auto"/>
          </w:divBdr>
        </w:div>
        <w:div w:id="1427458572">
          <w:marLeft w:val="0"/>
          <w:marRight w:val="0"/>
          <w:marTop w:val="0"/>
          <w:marBottom w:val="0"/>
          <w:divBdr>
            <w:top w:val="none" w:sz="0" w:space="0" w:color="auto"/>
            <w:left w:val="none" w:sz="0" w:space="0" w:color="auto"/>
            <w:bottom w:val="none" w:sz="0" w:space="0" w:color="auto"/>
            <w:right w:val="none" w:sz="0" w:space="0" w:color="auto"/>
          </w:divBdr>
        </w:div>
        <w:div w:id="1139221778">
          <w:marLeft w:val="0"/>
          <w:marRight w:val="0"/>
          <w:marTop w:val="0"/>
          <w:marBottom w:val="0"/>
          <w:divBdr>
            <w:top w:val="none" w:sz="0" w:space="0" w:color="auto"/>
            <w:left w:val="none" w:sz="0" w:space="0" w:color="auto"/>
            <w:bottom w:val="none" w:sz="0" w:space="0" w:color="auto"/>
            <w:right w:val="none" w:sz="0" w:space="0" w:color="auto"/>
          </w:divBdr>
        </w:div>
        <w:div w:id="771390091">
          <w:marLeft w:val="0"/>
          <w:marRight w:val="0"/>
          <w:marTop w:val="0"/>
          <w:marBottom w:val="0"/>
          <w:divBdr>
            <w:top w:val="none" w:sz="0" w:space="0" w:color="auto"/>
            <w:left w:val="none" w:sz="0" w:space="0" w:color="auto"/>
            <w:bottom w:val="none" w:sz="0" w:space="0" w:color="auto"/>
            <w:right w:val="none" w:sz="0" w:space="0" w:color="auto"/>
          </w:divBdr>
        </w:div>
        <w:div w:id="1463771928">
          <w:marLeft w:val="0"/>
          <w:marRight w:val="0"/>
          <w:marTop w:val="0"/>
          <w:marBottom w:val="0"/>
          <w:divBdr>
            <w:top w:val="none" w:sz="0" w:space="0" w:color="auto"/>
            <w:left w:val="none" w:sz="0" w:space="0" w:color="auto"/>
            <w:bottom w:val="none" w:sz="0" w:space="0" w:color="auto"/>
            <w:right w:val="none" w:sz="0" w:space="0" w:color="auto"/>
          </w:divBdr>
        </w:div>
        <w:div w:id="1201865392">
          <w:marLeft w:val="0"/>
          <w:marRight w:val="0"/>
          <w:marTop w:val="0"/>
          <w:marBottom w:val="0"/>
          <w:divBdr>
            <w:top w:val="none" w:sz="0" w:space="0" w:color="auto"/>
            <w:left w:val="none" w:sz="0" w:space="0" w:color="auto"/>
            <w:bottom w:val="none" w:sz="0" w:space="0" w:color="auto"/>
            <w:right w:val="none" w:sz="0" w:space="0" w:color="auto"/>
          </w:divBdr>
        </w:div>
      </w:divsChild>
    </w:div>
    <w:div w:id="460728199">
      <w:bodyDiv w:val="1"/>
      <w:marLeft w:val="0"/>
      <w:marRight w:val="0"/>
      <w:marTop w:val="0"/>
      <w:marBottom w:val="0"/>
      <w:divBdr>
        <w:top w:val="none" w:sz="0" w:space="0" w:color="auto"/>
        <w:left w:val="none" w:sz="0" w:space="0" w:color="auto"/>
        <w:bottom w:val="none" w:sz="0" w:space="0" w:color="auto"/>
        <w:right w:val="none" w:sz="0" w:space="0" w:color="auto"/>
      </w:divBdr>
    </w:div>
    <w:div w:id="461771863">
      <w:bodyDiv w:val="1"/>
      <w:marLeft w:val="0"/>
      <w:marRight w:val="0"/>
      <w:marTop w:val="0"/>
      <w:marBottom w:val="0"/>
      <w:divBdr>
        <w:top w:val="none" w:sz="0" w:space="0" w:color="auto"/>
        <w:left w:val="none" w:sz="0" w:space="0" w:color="auto"/>
        <w:bottom w:val="none" w:sz="0" w:space="0" w:color="auto"/>
        <w:right w:val="none" w:sz="0" w:space="0" w:color="auto"/>
      </w:divBdr>
      <w:divsChild>
        <w:div w:id="17121802">
          <w:marLeft w:val="0"/>
          <w:marRight w:val="0"/>
          <w:marTop w:val="0"/>
          <w:marBottom w:val="0"/>
          <w:divBdr>
            <w:top w:val="none" w:sz="0" w:space="0" w:color="auto"/>
            <w:left w:val="none" w:sz="0" w:space="0" w:color="auto"/>
            <w:bottom w:val="none" w:sz="0" w:space="0" w:color="auto"/>
            <w:right w:val="none" w:sz="0" w:space="0" w:color="auto"/>
          </w:divBdr>
        </w:div>
        <w:div w:id="843281873">
          <w:marLeft w:val="0"/>
          <w:marRight w:val="0"/>
          <w:marTop w:val="0"/>
          <w:marBottom w:val="0"/>
          <w:divBdr>
            <w:top w:val="none" w:sz="0" w:space="0" w:color="auto"/>
            <w:left w:val="none" w:sz="0" w:space="0" w:color="auto"/>
            <w:bottom w:val="none" w:sz="0" w:space="0" w:color="auto"/>
            <w:right w:val="none" w:sz="0" w:space="0" w:color="auto"/>
          </w:divBdr>
        </w:div>
      </w:divsChild>
    </w:div>
    <w:div w:id="467361707">
      <w:bodyDiv w:val="1"/>
      <w:marLeft w:val="0"/>
      <w:marRight w:val="0"/>
      <w:marTop w:val="0"/>
      <w:marBottom w:val="0"/>
      <w:divBdr>
        <w:top w:val="none" w:sz="0" w:space="0" w:color="auto"/>
        <w:left w:val="none" w:sz="0" w:space="0" w:color="auto"/>
        <w:bottom w:val="none" w:sz="0" w:space="0" w:color="auto"/>
        <w:right w:val="none" w:sz="0" w:space="0" w:color="auto"/>
      </w:divBdr>
    </w:div>
    <w:div w:id="587930506">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sChild>
        <w:div w:id="26413848">
          <w:marLeft w:val="0"/>
          <w:marRight w:val="0"/>
          <w:marTop w:val="0"/>
          <w:marBottom w:val="0"/>
          <w:divBdr>
            <w:top w:val="none" w:sz="0" w:space="0" w:color="auto"/>
            <w:left w:val="none" w:sz="0" w:space="0" w:color="auto"/>
            <w:bottom w:val="none" w:sz="0" w:space="0" w:color="auto"/>
            <w:right w:val="none" w:sz="0" w:space="0" w:color="auto"/>
          </w:divBdr>
          <w:divsChild>
            <w:div w:id="466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5334">
      <w:bodyDiv w:val="1"/>
      <w:marLeft w:val="0"/>
      <w:marRight w:val="0"/>
      <w:marTop w:val="0"/>
      <w:marBottom w:val="0"/>
      <w:divBdr>
        <w:top w:val="none" w:sz="0" w:space="0" w:color="auto"/>
        <w:left w:val="none" w:sz="0" w:space="0" w:color="auto"/>
        <w:bottom w:val="none" w:sz="0" w:space="0" w:color="auto"/>
        <w:right w:val="none" w:sz="0" w:space="0" w:color="auto"/>
      </w:divBdr>
      <w:divsChild>
        <w:div w:id="1177423237">
          <w:marLeft w:val="0"/>
          <w:marRight w:val="0"/>
          <w:marTop w:val="0"/>
          <w:marBottom w:val="0"/>
          <w:divBdr>
            <w:top w:val="none" w:sz="0" w:space="0" w:color="auto"/>
            <w:left w:val="none" w:sz="0" w:space="0" w:color="auto"/>
            <w:bottom w:val="none" w:sz="0" w:space="0" w:color="auto"/>
            <w:right w:val="none" w:sz="0" w:space="0" w:color="auto"/>
          </w:divBdr>
        </w:div>
        <w:div w:id="859851418">
          <w:marLeft w:val="0"/>
          <w:marRight w:val="0"/>
          <w:marTop w:val="0"/>
          <w:marBottom w:val="0"/>
          <w:divBdr>
            <w:top w:val="none" w:sz="0" w:space="0" w:color="auto"/>
            <w:left w:val="none" w:sz="0" w:space="0" w:color="auto"/>
            <w:bottom w:val="none" w:sz="0" w:space="0" w:color="auto"/>
            <w:right w:val="none" w:sz="0" w:space="0" w:color="auto"/>
          </w:divBdr>
        </w:div>
      </w:divsChild>
    </w:div>
    <w:div w:id="724254084">
      <w:bodyDiv w:val="1"/>
      <w:marLeft w:val="0"/>
      <w:marRight w:val="0"/>
      <w:marTop w:val="0"/>
      <w:marBottom w:val="0"/>
      <w:divBdr>
        <w:top w:val="none" w:sz="0" w:space="0" w:color="auto"/>
        <w:left w:val="none" w:sz="0" w:space="0" w:color="auto"/>
        <w:bottom w:val="none" w:sz="0" w:space="0" w:color="auto"/>
        <w:right w:val="none" w:sz="0" w:space="0" w:color="auto"/>
      </w:divBdr>
      <w:divsChild>
        <w:div w:id="77332945">
          <w:marLeft w:val="0"/>
          <w:marRight w:val="0"/>
          <w:marTop w:val="0"/>
          <w:marBottom w:val="0"/>
          <w:divBdr>
            <w:top w:val="none" w:sz="0" w:space="0" w:color="auto"/>
            <w:left w:val="none" w:sz="0" w:space="0" w:color="auto"/>
            <w:bottom w:val="none" w:sz="0" w:space="0" w:color="auto"/>
            <w:right w:val="none" w:sz="0" w:space="0" w:color="auto"/>
          </w:divBdr>
        </w:div>
        <w:div w:id="893277686">
          <w:marLeft w:val="0"/>
          <w:marRight w:val="0"/>
          <w:marTop w:val="0"/>
          <w:marBottom w:val="0"/>
          <w:divBdr>
            <w:top w:val="none" w:sz="0" w:space="0" w:color="auto"/>
            <w:left w:val="none" w:sz="0" w:space="0" w:color="auto"/>
            <w:bottom w:val="none" w:sz="0" w:space="0" w:color="auto"/>
            <w:right w:val="none" w:sz="0" w:space="0" w:color="auto"/>
          </w:divBdr>
        </w:div>
      </w:divsChild>
    </w:div>
    <w:div w:id="749276787">
      <w:bodyDiv w:val="1"/>
      <w:marLeft w:val="0"/>
      <w:marRight w:val="0"/>
      <w:marTop w:val="0"/>
      <w:marBottom w:val="0"/>
      <w:divBdr>
        <w:top w:val="none" w:sz="0" w:space="0" w:color="auto"/>
        <w:left w:val="none" w:sz="0" w:space="0" w:color="auto"/>
        <w:bottom w:val="none" w:sz="0" w:space="0" w:color="auto"/>
        <w:right w:val="none" w:sz="0" w:space="0" w:color="auto"/>
      </w:divBdr>
    </w:div>
    <w:div w:id="756557405">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sChild>
        <w:div w:id="1497769958">
          <w:marLeft w:val="0"/>
          <w:marRight w:val="0"/>
          <w:marTop w:val="0"/>
          <w:marBottom w:val="0"/>
          <w:divBdr>
            <w:top w:val="none" w:sz="0" w:space="0" w:color="auto"/>
            <w:left w:val="none" w:sz="0" w:space="0" w:color="auto"/>
            <w:bottom w:val="none" w:sz="0" w:space="0" w:color="auto"/>
            <w:right w:val="none" w:sz="0" w:space="0" w:color="auto"/>
          </w:divBdr>
          <w:divsChild>
            <w:div w:id="909193732">
              <w:marLeft w:val="0"/>
              <w:marRight w:val="0"/>
              <w:marTop w:val="0"/>
              <w:marBottom w:val="150"/>
              <w:divBdr>
                <w:top w:val="none" w:sz="0" w:space="0" w:color="auto"/>
                <w:left w:val="none" w:sz="0" w:space="0" w:color="auto"/>
                <w:bottom w:val="none" w:sz="0" w:space="0" w:color="auto"/>
                <w:right w:val="none" w:sz="0" w:space="0" w:color="auto"/>
              </w:divBdr>
              <w:divsChild>
                <w:div w:id="795561127">
                  <w:marLeft w:val="0"/>
                  <w:marRight w:val="0"/>
                  <w:marTop w:val="0"/>
                  <w:marBottom w:val="0"/>
                  <w:divBdr>
                    <w:top w:val="none" w:sz="0" w:space="0" w:color="auto"/>
                    <w:left w:val="none" w:sz="0" w:space="0" w:color="auto"/>
                    <w:bottom w:val="none" w:sz="0" w:space="0" w:color="auto"/>
                    <w:right w:val="none" w:sz="0" w:space="0" w:color="auto"/>
                  </w:divBdr>
                  <w:divsChild>
                    <w:div w:id="1475876303">
                      <w:marLeft w:val="0"/>
                      <w:marRight w:val="0"/>
                      <w:marTop w:val="0"/>
                      <w:marBottom w:val="0"/>
                      <w:divBdr>
                        <w:top w:val="none" w:sz="0" w:space="0" w:color="auto"/>
                        <w:left w:val="none" w:sz="0" w:space="0" w:color="auto"/>
                        <w:bottom w:val="none" w:sz="0" w:space="0" w:color="auto"/>
                        <w:right w:val="none" w:sz="0" w:space="0" w:color="auto"/>
                      </w:divBdr>
                      <w:divsChild>
                        <w:div w:id="2020039158">
                          <w:marLeft w:val="0"/>
                          <w:marRight w:val="0"/>
                          <w:marTop w:val="0"/>
                          <w:marBottom w:val="0"/>
                          <w:divBdr>
                            <w:top w:val="none" w:sz="0" w:space="0" w:color="auto"/>
                            <w:left w:val="none" w:sz="0" w:space="0" w:color="auto"/>
                            <w:bottom w:val="none" w:sz="0" w:space="0" w:color="auto"/>
                            <w:right w:val="none" w:sz="0" w:space="0" w:color="auto"/>
                          </w:divBdr>
                          <w:divsChild>
                            <w:div w:id="1574390686">
                              <w:marLeft w:val="0"/>
                              <w:marRight w:val="0"/>
                              <w:marTop w:val="0"/>
                              <w:marBottom w:val="0"/>
                              <w:divBdr>
                                <w:top w:val="none" w:sz="0" w:space="0" w:color="auto"/>
                                <w:left w:val="none" w:sz="0" w:space="0" w:color="auto"/>
                                <w:bottom w:val="none" w:sz="0" w:space="0" w:color="auto"/>
                                <w:right w:val="none" w:sz="0" w:space="0" w:color="auto"/>
                              </w:divBdr>
                              <w:divsChild>
                                <w:div w:id="150564153">
                                  <w:marLeft w:val="0"/>
                                  <w:marRight w:val="-3600"/>
                                  <w:marTop w:val="150"/>
                                  <w:marBottom w:val="0"/>
                                  <w:divBdr>
                                    <w:top w:val="none" w:sz="0" w:space="0" w:color="auto"/>
                                    <w:left w:val="none" w:sz="0" w:space="0" w:color="auto"/>
                                    <w:bottom w:val="none" w:sz="0" w:space="0" w:color="auto"/>
                                    <w:right w:val="none" w:sz="0" w:space="0" w:color="auto"/>
                                  </w:divBdr>
                                  <w:divsChild>
                                    <w:div w:id="1616252572">
                                      <w:marLeft w:val="0"/>
                                      <w:marRight w:val="3600"/>
                                      <w:marTop w:val="0"/>
                                      <w:marBottom w:val="0"/>
                                      <w:divBdr>
                                        <w:top w:val="none" w:sz="0" w:space="0" w:color="auto"/>
                                        <w:left w:val="none" w:sz="0" w:space="0" w:color="auto"/>
                                        <w:bottom w:val="none" w:sz="0" w:space="0" w:color="auto"/>
                                        <w:right w:val="none" w:sz="0" w:space="0" w:color="auto"/>
                                      </w:divBdr>
                                      <w:divsChild>
                                        <w:div w:id="1214151117">
                                          <w:marLeft w:val="0"/>
                                          <w:marRight w:val="0"/>
                                          <w:marTop w:val="0"/>
                                          <w:marBottom w:val="0"/>
                                          <w:divBdr>
                                            <w:top w:val="none" w:sz="0" w:space="0" w:color="auto"/>
                                            <w:left w:val="none" w:sz="0" w:space="0" w:color="auto"/>
                                            <w:bottom w:val="none" w:sz="0" w:space="0" w:color="auto"/>
                                            <w:right w:val="none" w:sz="0" w:space="0" w:color="auto"/>
                                          </w:divBdr>
                                          <w:divsChild>
                                            <w:div w:id="882254435">
                                              <w:marLeft w:val="0"/>
                                              <w:marRight w:val="0"/>
                                              <w:marTop w:val="0"/>
                                              <w:marBottom w:val="0"/>
                                              <w:divBdr>
                                                <w:top w:val="none" w:sz="0" w:space="0" w:color="auto"/>
                                                <w:left w:val="none" w:sz="0" w:space="0" w:color="auto"/>
                                                <w:bottom w:val="none" w:sz="0" w:space="0" w:color="auto"/>
                                                <w:right w:val="none" w:sz="0" w:space="0" w:color="auto"/>
                                              </w:divBdr>
                                              <w:divsChild>
                                                <w:div w:id="1982465406">
                                                  <w:marLeft w:val="0"/>
                                                  <w:marRight w:val="0"/>
                                                  <w:marTop w:val="0"/>
                                                  <w:marBottom w:val="0"/>
                                                  <w:divBdr>
                                                    <w:top w:val="none" w:sz="0" w:space="0" w:color="auto"/>
                                                    <w:left w:val="none" w:sz="0" w:space="0" w:color="auto"/>
                                                    <w:bottom w:val="none" w:sz="0" w:space="0" w:color="auto"/>
                                                    <w:right w:val="none" w:sz="0" w:space="0" w:color="auto"/>
                                                  </w:divBdr>
                                                  <w:divsChild>
                                                    <w:div w:id="72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800719">
      <w:bodyDiv w:val="1"/>
      <w:marLeft w:val="0"/>
      <w:marRight w:val="0"/>
      <w:marTop w:val="0"/>
      <w:marBottom w:val="0"/>
      <w:divBdr>
        <w:top w:val="none" w:sz="0" w:space="0" w:color="auto"/>
        <w:left w:val="none" w:sz="0" w:space="0" w:color="auto"/>
        <w:bottom w:val="none" w:sz="0" w:space="0" w:color="auto"/>
        <w:right w:val="none" w:sz="0" w:space="0" w:color="auto"/>
      </w:divBdr>
    </w:div>
    <w:div w:id="805464211">
      <w:bodyDiv w:val="1"/>
      <w:marLeft w:val="0"/>
      <w:marRight w:val="0"/>
      <w:marTop w:val="0"/>
      <w:marBottom w:val="0"/>
      <w:divBdr>
        <w:top w:val="none" w:sz="0" w:space="0" w:color="auto"/>
        <w:left w:val="none" w:sz="0" w:space="0" w:color="auto"/>
        <w:bottom w:val="none" w:sz="0" w:space="0" w:color="auto"/>
        <w:right w:val="none" w:sz="0" w:space="0" w:color="auto"/>
      </w:divBdr>
      <w:divsChild>
        <w:div w:id="859509659">
          <w:marLeft w:val="0"/>
          <w:marRight w:val="0"/>
          <w:marTop w:val="0"/>
          <w:marBottom w:val="0"/>
          <w:divBdr>
            <w:top w:val="none" w:sz="0" w:space="0" w:color="auto"/>
            <w:left w:val="none" w:sz="0" w:space="0" w:color="auto"/>
            <w:bottom w:val="none" w:sz="0" w:space="0" w:color="auto"/>
            <w:right w:val="none" w:sz="0" w:space="0" w:color="auto"/>
          </w:divBdr>
        </w:div>
        <w:div w:id="1133595661">
          <w:marLeft w:val="0"/>
          <w:marRight w:val="0"/>
          <w:marTop w:val="0"/>
          <w:marBottom w:val="0"/>
          <w:divBdr>
            <w:top w:val="none" w:sz="0" w:space="0" w:color="auto"/>
            <w:left w:val="none" w:sz="0" w:space="0" w:color="auto"/>
            <w:bottom w:val="none" w:sz="0" w:space="0" w:color="auto"/>
            <w:right w:val="none" w:sz="0" w:space="0" w:color="auto"/>
          </w:divBdr>
        </w:div>
      </w:divsChild>
    </w:div>
    <w:div w:id="839857019">
      <w:bodyDiv w:val="1"/>
      <w:marLeft w:val="0"/>
      <w:marRight w:val="0"/>
      <w:marTop w:val="0"/>
      <w:marBottom w:val="0"/>
      <w:divBdr>
        <w:top w:val="none" w:sz="0" w:space="0" w:color="auto"/>
        <w:left w:val="none" w:sz="0" w:space="0" w:color="auto"/>
        <w:bottom w:val="none" w:sz="0" w:space="0" w:color="auto"/>
        <w:right w:val="none" w:sz="0" w:space="0" w:color="auto"/>
      </w:divBdr>
    </w:div>
    <w:div w:id="863438673">
      <w:bodyDiv w:val="1"/>
      <w:marLeft w:val="0"/>
      <w:marRight w:val="0"/>
      <w:marTop w:val="0"/>
      <w:marBottom w:val="0"/>
      <w:divBdr>
        <w:top w:val="none" w:sz="0" w:space="0" w:color="auto"/>
        <w:left w:val="none" w:sz="0" w:space="0" w:color="auto"/>
        <w:bottom w:val="none" w:sz="0" w:space="0" w:color="auto"/>
        <w:right w:val="none" w:sz="0" w:space="0" w:color="auto"/>
      </w:divBdr>
      <w:divsChild>
        <w:div w:id="1164468629">
          <w:marLeft w:val="0"/>
          <w:marRight w:val="0"/>
          <w:marTop w:val="0"/>
          <w:marBottom w:val="0"/>
          <w:divBdr>
            <w:top w:val="none" w:sz="0" w:space="0" w:color="auto"/>
            <w:left w:val="none" w:sz="0" w:space="0" w:color="auto"/>
            <w:bottom w:val="none" w:sz="0" w:space="0" w:color="auto"/>
            <w:right w:val="none" w:sz="0" w:space="0" w:color="auto"/>
          </w:divBdr>
        </w:div>
        <w:div w:id="1155415645">
          <w:marLeft w:val="0"/>
          <w:marRight w:val="0"/>
          <w:marTop w:val="0"/>
          <w:marBottom w:val="0"/>
          <w:divBdr>
            <w:top w:val="none" w:sz="0" w:space="0" w:color="auto"/>
            <w:left w:val="none" w:sz="0" w:space="0" w:color="auto"/>
            <w:bottom w:val="none" w:sz="0" w:space="0" w:color="auto"/>
            <w:right w:val="none" w:sz="0" w:space="0" w:color="auto"/>
          </w:divBdr>
        </w:div>
        <w:div w:id="2126148777">
          <w:marLeft w:val="0"/>
          <w:marRight w:val="0"/>
          <w:marTop w:val="0"/>
          <w:marBottom w:val="0"/>
          <w:divBdr>
            <w:top w:val="none" w:sz="0" w:space="0" w:color="auto"/>
            <w:left w:val="none" w:sz="0" w:space="0" w:color="auto"/>
            <w:bottom w:val="none" w:sz="0" w:space="0" w:color="auto"/>
            <w:right w:val="none" w:sz="0" w:space="0" w:color="auto"/>
          </w:divBdr>
        </w:div>
      </w:divsChild>
    </w:div>
    <w:div w:id="867794782">
      <w:bodyDiv w:val="1"/>
      <w:marLeft w:val="0"/>
      <w:marRight w:val="0"/>
      <w:marTop w:val="0"/>
      <w:marBottom w:val="0"/>
      <w:divBdr>
        <w:top w:val="none" w:sz="0" w:space="0" w:color="auto"/>
        <w:left w:val="none" w:sz="0" w:space="0" w:color="auto"/>
        <w:bottom w:val="none" w:sz="0" w:space="0" w:color="auto"/>
        <w:right w:val="none" w:sz="0" w:space="0" w:color="auto"/>
      </w:divBdr>
    </w:div>
    <w:div w:id="885068968">
      <w:bodyDiv w:val="1"/>
      <w:marLeft w:val="0"/>
      <w:marRight w:val="0"/>
      <w:marTop w:val="0"/>
      <w:marBottom w:val="0"/>
      <w:divBdr>
        <w:top w:val="none" w:sz="0" w:space="0" w:color="auto"/>
        <w:left w:val="none" w:sz="0" w:space="0" w:color="auto"/>
        <w:bottom w:val="none" w:sz="0" w:space="0" w:color="auto"/>
        <w:right w:val="none" w:sz="0" w:space="0" w:color="auto"/>
      </w:divBdr>
      <w:divsChild>
        <w:div w:id="413279342">
          <w:marLeft w:val="0"/>
          <w:marRight w:val="0"/>
          <w:marTop w:val="0"/>
          <w:marBottom w:val="0"/>
          <w:divBdr>
            <w:top w:val="none" w:sz="0" w:space="0" w:color="auto"/>
            <w:left w:val="none" w:sz="0" w:space="0" w:color="auto"/>
            <w:bottom w:val="none" w:sz="0" w:space="0" w:color="auto"/>
            <w:right w:val="none" w:sz="0" w:space="0" w:color="auto"/>
          </w:divBdr>
        </w:div>
        <w:div w:id="766734264">
          <w:marLeft w:val="0"/>
          <w:marRight w:val="0"/>
          <w:marTop w:val="0"/>
          <w:marBottom w:val="0"/>
          <w:divBdr>
            <w:top w:val="none" w:sz="0" w:space="0" w:color="auto"/>
            <w:left w:val="none" w:sz="0" w:space="0" w:color="auto"/>
            <w:bottom w:val="none" w:sz="0" w:space="0" w:color="auto"/>
            <w:right w:val="none" w:sz="0" w:space="0" w:color="auto"/>
          </w:divBdr>
        </w:div>
        <w:div w:id="368721349">
          <w:marLeft w:val="0"/>
          <w:marRight w:val="0"/>
          <w:marTop w:val="0"/>
          <w:marBottom w:val="0"/>
          <w:divBdr>
            <w:top w:val="none" w:sz="0" w:space="0" w:color="auto"/>
            <w:left w:val="none" w:sz="0" w:space="0" w:color="auto"/>
            <w:bottom w:val="none" w:sz="0" w:space="0" w:color="auto"/>
            <w:right w:val="none" w:sz="0" w:space="0" w:color="auto"/>
          </w:divBdr>
        </w:div>
        <w:div w:id="1187519764">
          <w:marLeft w:val="0"/>
          <w:marRight w:val="0"/>
          <w:marTop w:val="0"/>
          <w:marBottom w:val="0"/>
          <w:divBdr>
            <w:top w:val="none" w:sz="0" w:space="0" w:color="auto"/>
            <w:left w:val="none" w:sz="0" w:space="0" w:color="auto"/>
            <w:bottom w:val="none" w:sz="0" w:space="0" w:color="auto"/>
            <w:right w:val="none" w:sz="0" w:space="0" w:color="auto"/>
          </w:divBdr>
        </w:div>
        <w:div w:id="321587301">
          <w:marLeft w:val="0"/>
          <w:marRight w:val="0"/>
          <w:marTop w:val="0"/>
          <w:marBottom w:val="0"/>
          <w:divBdr>
            <w:top w:val="none" w:sz="0" w:space="0" w:color="auto"/>
            <w:left w:val="none" w:sz="0" w:space="0" w:color="auto"/>
            <w:bottom w:val="none" w:sz="0" w:space="0" w:color="auto"/>
            <w:right w:val="none" w:sz="0" w:space="0" w:color="auto"/>
          </w:divBdr>
        </w:div>
        <w:div w:id="517501796">
          <w:marLeft w:val="0"/>
          <w:marRight w:val="0"/>
          <w:marTop w:val="0"/>
          <w:marBottom w:val="0"/>
          <w:divBdr>
            <w:top w:val="none" w:sz="0" w:space="0" w:color="auto"/>
            <w:left w:val="none" w:sz="0" w:space="0" w:color="auto"/>
            <w:bottom w:val="none" w:sz="0" w:space="0" w:color="auto"/>
            <w:right w:val="none" w:sz="0" w:space="0" w:color="auto"/>
          </w:divBdr>
        </w:div>
        <w:div w:id="1873957418">
          <w:marLeft w:val="0"/>
          <w:marRight w:val="0"/>
          <w:marTop w:val="0"/>
          <w:marBottom w:val="0"/>
          <w:divBdr>
            <w:top w:val="none" w:sz="0" w:space="0" w:color="auto"/>
            <w:left w:val="none" w:sz="0" w:space="0" w:color="auto"/>
            <w:bottom w:val="none" w:sz="0" w:space="0" w:color="auto"/>
            <w:right w:val="none" w:sz="0" w:space="0" w:color="auto"/>
          </w:divBdr>
        </w:div>
        <w:div w:id="910777599">
          <w:marLeft w:val="0"/>
          <w:marRight w:val="0"/>
          <w:marTop w:val="0"/>
          <w:marBottom w:val="0"/>
          <w:divBdr>
            <w:top w:val="none" w:sz="0" w:space="0" w:color="auto"/>
            <w:left w:val="none" w:sz="0" w:space="0" w:color="auto"/>
            <w:bottom w:val="none" w:sz="0" w:space="0" w:color="auto"/>
            <w:right w:val="none" w:sz="0" w:space="0" w:color="auto"/>
          </w:divBdr>
        </w:div>
        <w:div w:id="1373581438">
          <w:marLeft w:val="0"/>
          <w:marRight w:val="0"/>
          <w:marTop w:val="0"/>
          <w:marBottom w:val="0"/>
          <w:divBdr>
            <w:top w:val="none" w:sz="0" w:space="0" w:color="auto"/>
            <w:left w:val="none" w:sz="0" w:space="0" w:color="auto"/>
            <w:bottom w:val="none" w:sz="0" w:space="0" w:color="auto"/>
            <w:right w:val="none" w:sz="0" w:space="0" w:color="auto"/>
          </w:divBdr>
        </w:div>
        <w:div w:id="1427576528">
          <w:marLeft w:val="0"/>
          <w:marRight w:val="0"/>
          <w:marTop w:val="0"/>
          <w:marBottom w:val="0"/>
          <w:divBdr>
            <w:top w:val="none" w:sz="0" w:space="0" w:color="auto"/>
            <w:left w:val="none" w:sz="0" w:space="0" w:color="auto"/>
            <w:bottom w:val="none" w:sz="0" w:space="0" w:color="auto"/>
            <w:right w:val="none" w:sz="0" w:space="0" w:color="auto"/>
          </w:divBdr>
        </w:div>
        <w:div w:id="792331687">
          <w:marLeft w:val="0"/>
          <w:marRight w:val="0"/>
          <w:marTop w:val="0"/>
          <w:marBottom w:val="0"/>
          <w:divBdr>
            <w:top w:val="none" w:sz="0" w:space="0" w:color="auto"/>
            <w:left w:val="none" w:sz="0" w:space="0" w:color="auto"/>
            <w:bottom w:val="none" w:sz="0" w:space="0" w:color="auto"/>
            <w:right w:val="none" w:sz="0" w:space="0" w:color="auto"/>
          </w:divBdr>
        </w:div>
        <w:div w:id="1894807047">
          <w:marLeft w:val="0"/>
          <w:marRight w:val="0"/>
          <w:marTop w:val="0"/>
          <w:marBottom w:val="0"/>
          <w:divBdr>
            <w:top w:val="none" w:sz="0" w:space="0" w:color="auto"/>
            <w:left w:val="none" w:sz="0" w:space="0" w:color="auto"/>
            <w:bottom w:val="none" w:sz="0" w:space="0" w:color="auto"/>
            <w:right w:val="none" w:sz="0" w:space="0" w:color="auto"/>
          </w:divBdr>
        </w:div>
        <w:div w:id="310521872">
          <w:marLeft w:val="0"/>
          <w:marRight w:val="0"/>
          <w:marTop w:val="0"/>
          <w:marBottom w:val="0"/>
          <w:divBdr>
            <w:top w:val="none" w:sz="0" w:space="0" w:color="auto"/>
            <w:left w:val="none" w:sz="0" w:space="0" w:color="auto"/>
            <w:bottom w:val="none" w:sz="0" w:space="0" w:color="auto"/>
            <w:right w:val="none" w:sz="0" w:space="0" w:color="auto"/>
          </w:divBdr>
        </w:div>
        <w:div w:id="2062362458">
          <w:marLeft w:val="0"/>
          <w:marRight w:val="0"/>
          <w:marTop w:val="0"/>
          <w:marBottom w:val="0"/>
          <w:divBdr>
            <w:top w:val="none" w:sz="0" w:space="0" w:color="auto"/>
            <w:left w:val="none" w:sz="0" w:space="0" w:color="auto"/>
            <w:bottom w:val="none" w:sz="0" w:space="0" w:color="auto"/>
            <w:right w:val="none" w:sz="0" w:space="0" w:color="auto"/>
          </w:divBdr>
        </w:div>
      </w:divsChild>
    </w:div>
    <w:div w:id="890310913">
      <w:bodyDiv w:val="1"/>
      <w:marLeft w:val="0"/>
      <w:marRight w:val="0"/>
      <w:marTop w:val="0"/>
      <w:marBottom w:val="0"/>
      <w:divBdr>
        <w:top w:val="none" w:sz="0" w:space="0" w:color="auto"/>
        <w:left w:val="none" w:sz="0" w:space="0" w:color="auto"/>
        <w:bottom w:val="none" w:sz="0" w:space="0" w:color="auto"/>
        <w:right w:val="none" w:sz="0" w:space="0" w:color="auto"/>
      </w:divBdr>
    </w:div>
    <w:div w:id="900333845">
      <w:bodyDiv w:val="1"/>
      <w:marLeft w:val="0"/>
      <w:marRight w:val="0"/>
      <w:marTop w:val="0"/>
      <w:marBottom w:val="0"/>
      <w:divBdr>
        <w:top w:val="none" w:sz="0" w:space="0" w:color="auto"/>
        <w:left w:val="none" w:sz="0" w:space="0" w:color="auto"/>
        <w:bottom w:val="none" w:sz="0" w:space="0" w:color="auto"/>
        <w:right w:val="none" w:sz="0" w:space="0" w:color="auto"/>
      </w:divBdr>
    </w:div>
    <w:div w:id="912664466">
      <w:bodyDiv w:val="1"/>
      <w:marLeft w:val="0"/>
      <w:marRight w:val="0"/>
      <w:marTop w:val="0"/>
      <w:marBottom w:val="0"/>
      <w:divBdr>
        <w:top w:val="none" w:sz="0" w:space="0" w:color="auto"/>
        <w:left w:val="none" w:sz="0" w:space="0" w:color="auto"/>
        <w:bottom w:val="none" w:sz="0" w:space="0" w:color="auto"/>
        <w:right w:val="none" w:sz="0" w:space="0" w:color="auto"/>
      </w:divBdr>
      <w:divsChild>
        <w:div w:id="100564530">
          <w:marLeft w:val="0"/>
          <w:marRight w:val="0"/>
          <w:marTop w:val="0"/>
          <w:marBottom w:val="0"/>
          <w:divBdr>
            <w:top w:val="none" w:sz="0" w:space="0" w:color="auto"/>
            <w:left w:val="none" w:sz="0" w:space="0" w:color="auto"/>
            <w:bottom w:val="none" w:sz="0" w:space="0" w:color="auto"/>
            <w:right w:val="none" w:sz="0" w:space="0" w:color="auto"/>
          </w:divBdr>
        </w:div>
        <w:div w:id="1597592413">
          <w:marLeft w:val="0"/>
          <w:marRight w:val="0"/>
          <w:marTop w:val="0"/>
          <w:marBottom w:val="0"/>
          <w:divBdr>
            <w:top w:val="none" w:sz="0" w:space="0" w:color="auto"/>
            <w:left w:val="none" w:sz="0" w:space="0" w:color="auto"/>
            <w:bottom w:val="none" w:sz="0" w:space="0" w:color="auto"/>
            <w:right w:val="none" w:sz="0" w:space="0" w:color="auto"/>
          </w:divBdr>
        </w:div>
      </w:divsChild>
    </w:div>
    <w:div w:id="931813096">
      <w:bodyDiv w:val="1"/>
      <w:marLeft w:val="0"/>
      <w:marRight w:val="0"/>
      <w:marTop w:val="0"/>
      <w:marBottom w:val="0"/>
      <w:divBdr>
        <w:top w:val="none" w:sz="0" w:space="0" w:color="auto"/>
        <w:left w:val="none" w:sz="0" w:space="0" w:color="auto"/>
        <w:bottom w:val="none" w:sz="0" w:space="0" w:color="auto"/>
        <w:right w:val="none" w:sz="0" w:space="0" w:color="auto"/>
      </w:divBdr>
    </w:div>
    <w:div w:id="938484481">
      <w:bodyDiv w:val="1"/>
      <w:marLeft w:val="0"/>
      <w:marRight w:val="0"/>
      <w:marTop w:val="0"/>
      <w:marBottom w:val="0"/>
      <w:divBdr>
        <w:top w:val="none" w:sz="0" w:space="0" w:color="auto"/>
        <w:left w:val="none" w:sz="0" w:space="0" w:color="auto"/>
        <w:bottom w:val="none" w:sz="0" w:space="0" w:color="auto"/>
        <w:right w:val="none" w:sz="0" w:space="0" w:color="auto"/>
      </w:divBdr>
    </w:div>
    <w:div w:id="956375490">
      <w:bodyDiv w:val="1"/>
      <w:marLeft w:val="0"/>
      <w:marRight w:val="0"/>
      <w:marTop w:val="0"/>
      <w:marBottom w:val="0"/>
      <w:divBdr>
        <w:top w:val="none" w:sz="0" w:space="0" w:color="auto"/>
        <w:left w:val="none" w:sz="0" w:space="0" w:color="auto"/>
        <w:bottom w:val="none" w:sz="0" w:space="0" w:color="auto"/>
        <w:right w:val="none" w:sz="0" w:space="0" w:color="auto"/>
      </w:divBdr>
      <w:divsChild>
        <w:div w:id="50354217">
          <w:marLeft w:val="0"/>
          <w:marRight w:val="0"/>
          <w:marTop w:val="0"/>
          <w:marBottom w:val="0"/>
          <w:divBdr>
            <w:top w:val="none" w:sz="0" w:space="0" w:color="auto"/>
            <w:left w:val="none" w:sz="0" w:space="0" w:color="auto"/>
            <w:bottom w:val="none" w:sz="0" w:space="0" w:color="auto"/>
            <w:right w:val="none" w:sz="0" w:space="0" w:color="auto"/>
          </w:divBdr>
        </w:div>
        <w:div w:id="1161769997">
          <w:marLeft w:val="0"/>
          <w:marRight w:val="0"/>
          <w:marTop w:val="0"/>
          <w:marBottom w:val="0"/>
          <w:divBdr>
            <w:top w:val="none" w:sz="0" w:space="0" w:color="auto"/>
            <w:left w:val="none" w:sz="0" w:space="0" w:color="auto"/>
            <w:bottom w:val="none" w:sz="0" w:space="0" w:color="auto"/>
            <w:right w:val="none" w:sz="0" w:space="0" w:color="auto"/>
          </w:divBdr>
        </w:div>
        <w:div w:id="1930430891">
          <w:marLeft w:val="0"/>
          <w:marRight w:val="0"/>
          <w:marTop w:val="0"/>
          <w:marBottom w:val="0"/>
          <w:divBdr>
            <w:top w:val="none" w:sz="0" w:space="0" w:color="auto"/>
            <w:left w:val="none" w:sz="0" w:space="0" w:color="auto"/>
            <w:bottom w:val="none" w:sz="0" w:space="0" w:color="auto"/>
            <w:right w:val="none" w:sz="0" w:space="0" w:color="auto"/>
          </w:divBdr>
        </w:div>
        <w:div w:id="2036926483">
          <w:marLeft w:val="0"/>
          <w:marRight w:val="0"/>
          <w:marTop w:val="0"/>
          <w:marBottom w:val="0"/>
          <w:divBdr>
            <w:top w:val="none" w:sz="0" w:space="0" w:color="auto"/>
            <w:left w:val="none" w:sz="0" w:space="0" w:color="auto"/>
            <w:bottom w:val="none" w:sz="0" w:space="0" w:color="auto"/>
            <w:right w:val="none" w:sz="0" w:space="0" w:color="auto"/>
          </w:divBdr>
        </w:div>
      </w:divsChild>
    </w:div>
    <w:div w:id="964772456">
      <w:bodyDiv w:val="1"/>
      <w:marLeft w:val="0"/>
      <w:marRight w:val="0"/>
      <w:marTop w:val="0"/>
      <w:marBottom w:val="0"/>
      <w:divBdr>
        <w:top w:val="none" w:sz="0" w:space="0" w:color="auto"/>
        <w:left w:val="none" w:sz="0" w:space="0" w:color="auto"/>
        <w:bottom w:val="none" w:sz="0" w:space="0" w:color="auto"/>
        <w:right w:val="none" w:sz="0" w:space="0" w:color="auto"/>
      </w:divBdr>
      <w:divsChild>
        <w:div w:id="2126346751">
          <w:marLeft w:val="0"/>
          <w:marRight w:val="0"/>
          <w:marTop w:val="0"/>
          <w:marBottom w:val="0"/>
          <w:divBdr>
            <w:top w:val="none" w:sz="0" w:space="0" w:color="auto"/>
            <w:left w:val="none" w:sz="0" w:space="0" w:color="auto"/>
            <w:bottom w:val="none" w:sz="0" w:space="0" w:color="auto"/>
            <w:right w:val="none" w:sz="0" w:space="0" w:color="auto"/>
          </w:divBdr>
          <w:divsChild>
            <w:div w:id="19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2515212">
      <w:bodyDiv w:val="1"/>
      <w:marLeft w:val="0"/>
      <w:marRight w:val="0"/>
      <w:marTop w:val="0"/>
      <w:marBottom w:val="0"/>
      <w:divBdr>
        <w:top w:val="none" w:sz="0" w:space="0" w:color="auto"/>
        <w:left w:val="none" w:sz="0" w:space="0" w:color="auto"/>
        <w:bottom w:val="none" w:sz="0" w:space="0" w:color="auto"/>
        <w:right w:val="none" w:sz="0" w:space="0" w:color="auto"/>
      </w:divBdr>
    </w:div>
    <w:div w:id="1029645232">
      <w:bodyDiv w:val="1"/>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 w:id="1365908382">
          <w:marLeft w:val="0"/>
          <w:marRight w:val="0"/>
          <w:marTop w:val="0"/>
          <w:marBottom w:val="0"/>
          <w:divBdr>
            <w:top w:val="none" w:sz="0" w:space="0" w:color="auto"/>
            <w:left w:val="none" w:sz="0" w:space="0" w:color="auto"/>
            <w:bottom w:val="none" w:sz="0" w:space="0" w:color="auto"/>
            <w:right w:val="none" w:sz="0" w:space="0" w:color="auto"/>
          </w:divBdr>
        </w:div>
        <w:div w:id="1577013166">
          <w:marLeft w:val="0"/>
          <w:marRight w:val="0"/>
          <w:marTop w:val="0"/>
          <w:marBottom w:val="0"/>
          <w:divBdr>
            <w:top w:val="none" w:sz="0" w:space="0" w:color="auto"/>
            <w:left w:val="none" w:sz="0" w:space="0" w:color="auto"/>
            <w:bottom w:val="none" w:sz="0" w:space="0" w:color="auto"/>
            <w:right w:val="none" w:sz="0" w:space="0" w:color="auto"/>
          </w:divBdr>
        </w:div>
        <w:div w:id="1765764583">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1962026905">
          <w:marLeft w:val="0"/>
          <w:marRight w:val="0"/>
          <w:marTop w:val="0"/>
          <w:marBottom w:val="0"/>
          <w:divBdr>
            <w:top w:val="none" w:sz="0" w:space="0" w:color="auto"/>
            <w:left w:val="none" w:sz="0" w:space="0" w:color="auto"/>
            <w:bottom w:val="none" w:sz="0" w:space="0" w:color="auto"/>
            <w:right w:val="none" w:sz="0" w:space="0" w:color="auto"/>
          </w:divBdr>
        </w:div>
        <w:div w:id="2136681170">
          <w:marLeft w:val="0"/>
          <w:marRight w:val="0"/>
          <w:marTop w:val="0"/>
          <w:marBottom w:val="0"/>
          <w:divBdr>
            <w:top w:val="none" w:sz="0" w:space="0" w:color="auto"/>
            <w:left w:val="none" w:sz="0" w:space="0" w:color="auto"/>
            <w:bottom w:val="none" w:sz="0" w:space="0" w:color="auto"/>
            <w:right w:val="none" w:sz="0" w:space="0" w:color="auto"/>
          </w:divBdr>
        </w:div>
      </w:divsChild>
    </w:div>
    <w:div w:id="1097019990">
      <w:bodyDiv w:val="1"/>
      <w:marLeft w:val="0"/>
      <w:marRight w:val="0"/>
      <w:marTop w:val="0"/>
      <w:marBottom w:val="0"/>
      <w:divBdr>
        <w:top w:val="none" w:sz="0" w:space="0" w:color="auto"/>
        <w:left w:val="none" w:sz="0" w:space="0" w:color="auto"/>
        <w:bottom w:val="none" w:sz="0" w:space="0" w:color="auto"/>
        <w:right w:val="none" w:sz="0" w:space="0" w:color="auto"/>
      </w:divBdr>
      <w:divsChild>
        <w:div w:id="871498661">
          <w:marLeft w:val="0"/>
          <w:marRight w:val="0"/>
          <w:marTop w:val="0"/>
          <w:marBottom w:val="0"/>
          <w:divBdr>
            <w:top w:val="none" w:sz="0" w:space="0" w:color="auto"/>
            <w:left w:val="none" w:sz="0" w:space="0" w:color="auto"/>
            <w:bottom w:val="none" w:sz="0" w:space="0" w:color="auto"/>
            <w:right w:val="none" w:sz="0" w:space="0" w:color="auto"/>
          </w:divBdr>
          <w:divsChild>
            <w:div w:id="2044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699">
      <w:bodyDiv w:val="1"/>
      <w:marLeft w:val="0"/>
      <w:marRight w:val="0"/>
      <w:marTop w:val="0"/>
      <w:marBottom w:val="0"/>
      <w:divBdr>
        <w:top w:val="none" w:sz="0" w:space="0" w:color="auto"/>
        <w:left w:val="none" w:sz="0" w:space="0" w:color="auto"/>
        <w:bottom w:val="none" w:sz="0" w:space="0" w:color="auto"/>
        <w:right w:val="none" w:sz="0" w:space="0" w:color="auto"/>
      </w:divBdr>
    </w:div>
    <w:div w:id="1119879745">
      <w:bodyDiv w:val="1"/>
      <w:marLeft w:val="0"/>
      <w:marRight w:val="0"/>
      <w:marTop w:val="0"/>
      <w:marBottom w:val="0"/>
      <w:divBdr>
        <w:top w:val="none" w:sz="0" w:space="0" w:color="auto"/>
        <w:left w:val="none" w:sz="0" w:space="0" w:color="auto"/>
        <w:bottom w:val="none" w:sz="0" w:space="0" w:color="auto"/>
        <w:right w:val="none" w:sz="0" w:space="0" w:color="auto"/>
      </w:divBdr>
      <w:divsChild>
        <w:div w:id="1564293786">
          <w:marLeft w:val="0"/>
          <w:marRight w:val="0"/>
          <w:marTop w:val="0"/>
          <w:marBottom w:val="0"/>
          <w:divBdr>
            <w:top w:val="none" w:sz="0" w:space="0" w:color="auto"/>
            <w:left w:val="none" w:sz="0" w:space="0" w:color="auto"/>
            <w:bottom w:val="none" w:sz="0" w:space="0" w:color="auto"/>
            <w:right w:val="none" w:sz="0" w:space="0" w:color="auto"/>
          </w:divBdr>
          <w:divsChild>
            <w:div w:id="220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478">
      <w:bodyDiv w:val="1"/>
      <w:marLeft w:val="0"/>
      <w:marRight w:val="0"/>
      <w:marTop w:val="0"/>
      <w:marBottom w:val="0"/>
      <w:divBdr>
        <w:top w:val="none" w:sz="0" w:space="0" w:color="auto"/>
        <w:left w:val="none" w:sz="0" w:space="0" w:color="auto"/>
        <w:bottom w:val="none" w:sz="0" w:space="0" w:color="auto"/>
        <w:right w:val="none" w:sz="0" w:space="0" w:color="auto"/>
      </w:divBdr>
    </w:div>
    <w:div w:id="1161039233">
      <w:bodyDiv w:val="1"/>
      <w:marLeft w:val="0"/>
      <w:marRight w:val="0"/>
      <w:marTop w:val="0"/>
      <w:marBottom w:val="0"/>
      <w:divBdr>
        <w:top w:val="none" w:sz="0" w:space="0" w:color="auto"/>
        <w:left w:val="none" w:sz="0" w:space="0" w:color="auto"/>
        <w:bottom w:val="none" w:sz="0" w:space="0" w:color="auto"/>
        <w:right w:val="none" w:sz="0" w:space="0" w:color="auto"/>
      </w:divBdr>
    </w:div>
    <w:div w:id="1170486343">
      <w:bodyDiv w:val="1"/>
      <w:marLeft w:val="0"/>
      <w:marRight w:val="0"/>
      <w:marTop w:val="0"/>
      <w:marBottom w:val="0"/>
      <w:divBdr>
        <w:top w:val="none" w:sz="0" w:space="0" w:color="auto"/>
        <w:left w:val="none" w:sz="0" w:space="0" w:color="auto"/>
        <w:bottom w:val="none" w:sz="0" w:space="0" w:color="auto"/>
        <w:right w:val="none" w:sz="0" w:space="0" w:color="auto"/>
      </w:divBdr>
    </w:div>
    <w:div w:id="1173034377">
      <w:bodyDiv w:val="1"/>
      <w:marLeft w:val="0"/>
      <w:marRight w:val="0"/>
      <w:marTop w:val="0"/>
      <w:marBottom w:val="0"/>
      <w:divBdr>
        <w:top w:val="none" w:sz="0" w:space="0" w:color="auto"/>
        <w:left w:val="none" w:sz="0" w:space="0" w:color="auto"/>
        <w:bottom w:val="none" w:sz="0" w:space="0" w:color="auto"/>
        <w:right w:val="none" w:sz="0" w:space="0" w:color="auto"/>
      </w:divBdr>
      <w:divsChild>
        <w:div w:id="114103291">
          <w:marLeft w:val="0"/>
          <w:marRight w:val="0"/>
          <w:marTop w:val="0"/>
          <w:marBottom w:val="0"/>
          <w:divBdr>
            <w:top w:val="none" w:sz="0" w:space="0" w:color="auto"/>
            <w:left w:val="none" w:sz="0" w:space="0" w:color="auto"/>
            <w:bottom w:val="none" w:sz="0" w:space="0" w:color="auto"/>
            <w:right w:val="none" w:sz="0" w:space="0" w:color="auto"/>
          </w:divBdr>
        </w:div>
        <w:div w:id="143551514">
          <w:marLeft w:val="0"/>
          <w:marRight w:val="0"/>
          <w:marTop w:val="0"/>
          <w:marBottom w:val="0"/>
          <w:divBdr>
            <w:top w:val="none" w:sz="0" w:space="0" w:color="auto"/>
            <w:left w:val="none" w:sz="0" w:space="0" w:color="auto"/>
            <w:bottom w:val="none" w:sz="0" w:space="0" w:color="auto"/>
            <w:right w:val="none" w:sz="0" w:space="0" w:color="auto"/>
          </w:divBdr>
        </w:div>
        <w:div w:id="172570802">
          <w:marLeft w:val="0"/>
          <w:marRight w:val="0"/>
          <w:marTop w:val="0"/>
          <w:marBottom w:val="0"/>
          <w:divBdr>
            <w:top w:val="none" w:sz="0" w:space="0" w:color="auto"/>
            <w:left w:val="none" w:sz="0" w:space="0" w:color="auto"/>
            <w:bottom w:val="none" w:sz="0" w:space="0" w:color="auto"/>
            <w:right w:val="none" w:sz="0" w:space="0" w:color="auto"/>
          </w:divBdr>
        </w:div>
        <w:div w:id="380053554">
          <w:marLeft w:val="0"/>
          <w:marRight w:val="0"/>
          <w:marTop w:val="0"/>
          <w:marBottom w:val="0"/>
          <w:divBdr>
            <w:top w:val="none" w:sz="0" w:space="0" w:color="auto"/>
            <w:left w:val="none" w:sz="0" w:space="0" w:color="auto"/>
            <w:bottom w:val="none" w:sz="0" w:space="0" w:color="auto"/>
            <w:right w:val="none" w:sz="0" w:space="0" w:color="auto"/>
          </w:divBdr>
        </w:div>
        <w:div w:id="383793369">
          <w:marLeft w:val="0"/>
          <w:marRight w:val="0"/>
          <w:marTop w:val="0"/>
          <w:marBottom w:val="0"/>
          <w:divBdr>
            <w:top w:val="none" w:sz="0" w:space="0" w:color="auto"/>
            <w:left w:val="none" w:sz="0" w:space="0" w:color="auto"/>
            <w:bottom w:val="none" w:sz="0" w:space="0" w:color="auto"/>
            <w:right w:val="none" w:sz="0" w:space="0" w:color="auto"/>
          </w:divBdr>
        </w:div>
        <w:div w:id="473916689">
          <w:marLeft w:val="0"/>
          <w:marRight w:val="0"/>
          <w:marTop w:val="0"/>
          <w:marBottom w:val="0"/>
          <w:divBdr>
            <w:top w:val="none" w:sz="0" w:space="0" w:color="auto"/>
            <w:left w:val="none" w:sz="0" w:space="0" w:color="auto"/>
            <w:bottom w:val="none" w:sz="0" w:space="0" w:color="auto"/>
            <w:right w:val="none" w:sz="0" w:space="0" w:color="auto"/>
          </w:divBdr>
        </w:div>
        <w:div w:id="597833987">
          <w:marLeft w:val="0"/>
          <w:marRight w:val="0"/>
          <w:marTop w:val="0"/>
          <w:marBottom w:val="0"/>
          <w:divBdr>
            <w:top w:val="none" w:sz="0" w:space="0" w:color="auto"/>
            <w:left w:val="none" w:sz="0" w:space="0" w:color="auto"/>
            <w:bottom w:val="none" w:sz="0" w:space="0" w:color="auto"/>
            <w:right w:val="none" w:sz="0" w:space="0" w:color="auto"/>
          </w:divBdr>
        </w:div>
        <w:div w:id="752899331">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1314068232">
          <w:marLeft w:val="0"/>
          <w:marRight w:val="0"/>
          <w:marTop w:val="0"/>
          <w:marBottom w:val="0"/>
          <w:divBdr>
            <w:top w:val="none" w:sz="0" w:space="0" w:color="auto"/>
            <w:left w:val="none" w:sz="0" w:space="0" w:color="auto"/>
            <w:bottom w:val="none" w:sz="0" w:space="0" w:color="auto"/>
            <w:right w:val="none" w:sz="0" w:space="0" w:color="auto"/>
          </w:divBdr>
        </w:div>
        <w:div w:id="1453017157">
          <w:marLeft w:val="0"/>
          <w:marRight w:val="0"/>
          <w:marTop w:val="0"/>
          <w:marBottom w:val="0"/>
          <w:divBdr>
            <w:top w:val="none" w:sz="0" w:space="0" w:color="auto"/>
            <w:left w:val="none" w:sz="0" w:space="0" w:color="auto"/>
            <w:bottom w:val="none" w:sz="0" w:space="0" w:color="auto"/>
            <w:right w:val="none" w:sz="0" w:space="0" w:color="auto"/>
          </w:divBdr>
        </w:div>
        <w:div w:id="1551111975">
          <w:marLeft w:val="0"/>
          <w:marRight w:val="0"/>
          <w:marTop w:val="0"/>
          <w:marBottom w:val="0"/>
          <w:divBdr>
            <w:top w:val="none" w:sz="0" w:space="0" w:color="auto"/>
            <w:left w:val="none" w:sz="0" w:space="0" w:color="auto"/>
            <w:bottom w:val="none" w:sz="0" w:space="0" w:color="auto"/>
            <w:right w:val="none" w:sz="0" w:space="0" w:color="auto"/>
          </w:divBdr>
        </w:div>
        <w:div w:id="1700079742">
          <w:marLeft w:val="0"/>
          <w:marRight w:val="0"/>
          <w:marTop w:val="0"/>
          <w:marBottom w:val="0"/>
          <w:divBdr>
            <w:top w:val="none" w:sz="0" w:space="0" w:color="auto"/>
            <w:left w:val="none" w:sz="0" w:space="0" w:color="auto"/>
            <w:bottom w:val="none" w:sz="0" w:space="0" w:color="auto"/>
            <w:right w:val="none" w:sz="0" w:space="0" w:color="auto"/>
          </w:divBdr>
        </w:div>
        <w:div w:id="1752695655">
          <w:marLeft w:val="0"/>
          <w:marRight w:val="0"/>
          <w:marTop w:val="0"/>
          <w:marBottom w:val="0"/>
          <w:divBdr>
            <w:top w:val="none" w:sz="0" w:space="0" w:color="auto"/>
            <w:left w:val="none" w:sz="0" w:space="0" w:color="auto"/>
            <w:bottom w:val="none" w:sz="0" w:space="0" w:color="auto"/>
            <w:right w:val="none" w:sz="0" w:space="0" w:color="auto"/>
          </w:divBdr>
        </w:div>
        <w:div w:id="1790510596">
          <w:marLeft w:val="0"/>
          <w:marRight w:val="0"/>
          <w:marTop w:val="0"/>
          <w:marBottom w:val="0"/>
          <w:divBdr>
            <w:top w:val="none" w:sz="0" w:space="0" w:color="auto"/>
            <w:left w:val="none" w:sz="0" w:space="0" w:color="auto"/>
            <w:bottom w:val="none" w:sz="0" w:space="0" w:color="auto"/>
            <w:right w:val="none" w:sz="0" w:space="0" w:color="auto"/>
          </w:divBdr>
        </w:div>
        <w:div w:id="1866098182">
          <w:marLeft w:val="0"/>
          <w:marRight w:val="0"/>
          <w:marTop w:val="0"/>
          <w:marBottom w:val="0"/>
          <w:divBdr>
            <w:top w:val="none" w:sz="0" w:space="0" w:color="auto"/>
            <w:left w:val="none" w:sz="0" w:space="0" w:color="auto"/>
            <w:bottom w:val="none" w:sz="0" w:space="0" w:color="auto"/>
            <w:right w:val="none" w:sz="0" w:space="0" w:color="auto"/>
          </w:divBdr>
        </w:div>
      </w:divsChild>
    </w:div>
    <w:div w:id="1176581350">
      <w:bodyDiv w:val="1"/>
      <w:marLeft w:val="0"/>
      <w:marRight w:val="0"/>
      <w:marTop w:val="0"/>
      <w:marBottom w:val="0"/>
      <w:divBdr>
        <w:top w:val="none" w:sz="0" w:space="0" w:color="auto"/>
        <w:left w:val="none" w:sz="0" w:space="0" w:color="auto"/>
        <w:bottom w:val="none" w:sz="0" w:space="0" w:color="auto"/>
        <w:right w:val="none" w:sz="0" w:space="0" w:color="auto"/>
      </w:divBdr>
      <w:divsChild>
        <w:div w:id="154881355">
          <w:marLeft w:val="0"/>
          <w:marRight w:val="0"/>
          <w:marTop w:val="0"/>
          <w:marBottom w:val="0"/>
          <w:divBdr>
            <w:top w:val="none" w:sz="0" w:space="0" w:color="auto"/>
            <w:left w:val="none" w:sz="0" w:space="0" w:color="auto"/>
            <w:bottom w:val="none" w:sz="0" w:space="0" w:color="auto"/>
            <w:right w:val="none" w:sz="0" w:space="0" w:color="auto"/>
          </w:divBdr>
        </w:div>
        <w:div w:id="1248030523">
          <w:marLeft w:val="0"/>
          <w:marRight w:val="0"/>
          <w:marTop w:val="0"/>
          <w:marBottom w:val="0"/>
          <w:divBdr>
            <w:top w:val="none" w:sz="0" w:space="0" w:color="auto"/>
            <w:left w:val="none" w:sz="0" w:space="0" w:color="auto"/>
            <w:bottom w:val="none" w:sz="0" w:space="0" w:color="auto"/>
            <w:right w:val="none" w:sz="0" w:space="0" w:color="auto"/>
          </w:divBdr>
        </w:div>
        <w:div w:id="1493176691">
          <w:marLeft w:val="0"/>
          <w:marRight w:val="0"/>
          <w:marTop w:val="0"/>
          <w:marBottom w:val="0"/>
          <w:divBdr>
            <w:top w:val="none" w:sz="0" w:space="0" w:color="auto"/>
            <w:left w:val="none" w:sz="0" w:space="0" w:color="auto"/>
            <w:bottom w:val="none" w:sz="0" w:space="0" w:color="auto"/>
            <w:right w:val="none" w:sz="0" w:space="0" w:color="auto"/>
          </w:divBdr>
        </w:div>
        <w:div w:id="1994528716">
          <w:marLeft w:val="0"/>
          <w:marRight w:val="0"/>
          <w:marTop w:val="0"/>
          <w:marBottom w:val="0"/>
          <w:divBdr>
            <w:top w:val="none" w:sz="0" w:space="0" w:color="auto"/>
            <w:left w:val="none" w:sz="0" w:space="0" w:color="auto"/>
            <w:bottom w:val="none" w:sz="0" w:space="0" w:color="auto"/>
            <w:right w:val="none" w:sz="0" w:space="0" w:color="auto"/>
          </w:divBdr>
        </w:div>
      </w:divsChild>
    </w:div>
    <w:div w:id="1183859108">
      <w:bodyDiv w:val="1"/>
      <w:marLeft w:val="0"/>
      <w:marRight w:val="0"/>
      <w:marTop w:val="0"/>
      <w:marBottom w:val="0"/>
      <w:divBdr>
        <w:top w:val="none" w:sz="0" w:space="0" w:color="auto"/>
        <w:left w:val="none" w:sz="0" w:space="0" w:color="auto"/>
        <w:bottom w:val="none" w:sz="0" w:space="0" w:color="auto"/>
        <w:right w:val="none" w:sz="0" w:space="0" w:color="auto"/>
      </w:divBdr>
      <w:divsChild>
        <w:div w:id="68963580">
          <w:marLeft w:val="0"/>
          <w:marRight w:val="0"/>
          <w:marTop w:val="0"/>
          <w:marBottom w:val="0"/>
          <w:divBdr>
            <w:top w:val="none" w:sz="0" w:space="0" w:color="auto"/>
            <w:left w:val="none" w:sz="0" w:space="0" w:color="auto"/>
            <w:bottom w:val="none" w:sz="0" w:space="0" w:color="auto"/>
            <w:right w:val="none" w:sz="0" w:space="0" w:color="auto"/>
          </w:divBdr>
          <w:divsChild>
            <w:div w:id="5313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0607">
      <w:bodyDiv w:val="1"/>
      <w:marLeft w:val="0"/>
      <w:marRight w:val="0"/>
      <w:marTop w:val="0"/>
      <w:marBottom w:val="0"/>
      <w:divBdr>
        <w:top w:val="none" w:sz="0" w:space="0" w:color="auto"/>
        <w:left w:val="none" w:sz="0" w:space="0" w:color="auto"/>
        <w:bottom w:val="none" w:sz="0" w:space="0" w:color="auto"/>
        <w:right w:val="none" w:sz="0" w:space="0" w:color="auto"/>
      </w:divBdr>
    </w:div>
    <w:div w:id="1259363160">
      <w:bodyDiv w:val="1"/>
      <w:marLeft w:val="0"/>
      <w:marRight w:val="0"/>
      <w:marTop w:val="0"/>
      <w:marBottom w:val="0"/>
      <w:divBdr>
        <w:top w:val="none" w:sz="0" w:space="0" w:color="auto"/>
        <w:left w:val="none" w:sz="0" w:space="0" w:color="auto"/>
        <w:bottom w:val="none" w:sz="0" w:space="0" w:color="auto"/>
        <w:right w:val="none" w:sz="0" w:space="0" w:color="auto"/>
      </w:divBdr>
    </w:div>
    <w:div w:id="1295065650">
      <w:bodyDiv w:val="1"/>
      <w:marLeft w:val="0"/>
      <w:marRight w:val="0"/>
      <w:marTop w:val="0"/>
      <w:marBottom w:val="0"/>
      <w:divBdr>
        <w:top w:val="none" w:sz="0" w:space="0" w:color="auto"/>
        <w:left w:val="none" w:sz="0" w:space="0" w:color="auto"/>
        <w:bottom w:val="none" w:sz="0" w:space="0" w:color="auto"/>
        <w:right w:val="none" w:sz="0" w:space="0" w:color="auto"/>
      </w:divBdr>
      <w:divsChild>
        <w:div w:id="260384024">
          <w:marLeft w:val="0"/>
          <w:marRight w:val="0"/>
          <w:marTop w:val="0"/>
          <w:marBottom w:val="0"/>
          <w:divBdr>
            <w:top w:val="none" w:sz="0" w:space="0" w:color="auto"/>
            <w:left w:val="none" w:sz="0" w:space="0" w:color="auto"/>
            <w:bottom w:val="none" w:sz="0" w:space="0" w:color="auto"/>
            <w:right w:val="none" w:sz="0" w:space="0" w:color="auto"/>
          </w:divBdr>
        </w:div>
        <w:div w:id="513374641">
          <w:marLeft w:val="0"/>
          <w:marRight w:val="0"/>
          <w:marTop w:val="0"/>
          <w:marBottom w:val="0"/>
          <w:divBdr>
            <w:top w:val="none" w:sz="0" w:space="0" w:color="auto"/>
            <w:left w:val="none" w:sz="0" w:space="0" w:color="auto"/>
            <w:bottom w:val="none" w:sz="0" w:space="0" w:color="auto"/>
            <w:right w:val="none" w:sz="0" w:space="0" w:color="auto"/>
          </w:divBdr>
        </w:div>
        <w:div w:id="978536065">
          <w:marLeft w:val="0"/>
          <w:marRight w:val="0"/>
          <w:marTop w:val="0"/>
          <w:marBottom w:val="0"/>
          <w:divBdr>
            <w:top w:val="none" w:sz="0" w:space="0" w:color="auto"/>
            <w:left w:val="none" w:sz="0" w:space="0" w:color="auto"/>
            <w:bottom w:val="none" w:sz="0" w:space="0" w:color="auto"/>
            <w:right w:val="none" w:sz="0" w:space="0" w:color="auto"/>
          </w:divBdr>
        </w:div>
      </w:divsChild>
    </w:div>
    <w:div w:id="1332292347">
      <w:bodyDiv w:val="1"/>
      <w:marLeft w:val="0"/>
      <w:marRight w:val="0"/>
      <w:marTop w:val="0"/>
      <w:marBottom w:val="0"/>
      <w:divBdr>
        <w:top w:val="none" w:sz="0" w:space="0" w:color="auto"/>
        <w:left w:val="none" w:sz="0" w:space="0" w:color="auto"/>
        <w:bottom w:val="none" w:sz="0" w:space="0" w:color="auto"/>
        <w:right w:val="none" w:sz="0" w:space="0" w:color="auto"/>
      </w:divBdr>
      <w:divsChild>
        <w:div w:id="286282722">
          <w:marLeft w:val="0"/>
          <w:marRight w:val="0"/>
          <w:marTop w:val="0"/>
          <w:marBottom w:val="0"/>
          <w:divBdr>
            <w:top w:val="none" w:sz="0" w:space="0" w:color="auto"/>
            <w:left w:val="none" w:sz="0" w:space="0" w:color="auto"/>
            <w:bottom w:val="none" w:sz="0" w:space="0" w:color="auto"/>
            <w:right w:val="none" w:sz="0" w:space="0" w:color="auto"/>
          </w:divBdr>
        </w:div>
        <w:div w:id="946546782">
          <w:marLeft w:val="0"/>
          <w:marRight w:val="0"/>
          <w:marTop w:val="0"/>
          <w:marBottom w:val="0"/>
          <w:divBdr>
            <w:top w:val="none" w:sz="0" w:space="0" w:color="auto"/>
            <w:left w:val="none" w:sz="0" w:space="0" w:color="auto"/>
            <w:bottom w:val="none" w:sz="0" w:space="0" w:color="auto"/>
            <w:right w:val="none" w:sz="0" w:space="0" w:color="auto"/>
          </w:divBdr>
        </w:div>
        <w:div w:id="1027440014">
          <w:marLeft w:val="0"/>
          <w:marRight w:val="0"/>
          <w:marTop w:val="0"/>
          <w:marBottom w:val="0"/>
          <w:divBdr>
            <w:top w:val="none" w:sz="0" w:space="0" w:color="auto"/>
            <w:left w:val="none" w:sz="0" w:space="0" w:color="auto"/>
            <w:bottom w:val="none" w:sz="0" w:space="0" w:color="auto"/>
            <w:right w:val="none" w:sz="0" w:space="0" w:color="auto"/>
          </w:divBdr>
        </w:div>
      </w:divsChild>
    </w:div>
    <w:div w:id="1357002264">
      <w:bodyDiv w:val="1"/>
      <w:marLeft w:val="0"/>
      <w:marRight w:val="0"/>
      <w:marTop w:val="0"/>
      <w:marBottom w:val="0"/>
      <w:divBdr>
        <w:top w:val="none" w:sz="0" w:space="0" w:color="auto"/>
        <w:left w:val="none" w:sz="0" w:space="0" w:color="auto"/>
        <w:bottom w:val="none" w:sz="0" w:space="0" w:color="auto"/>
        <w:right w:val="none" w:sz="0" w:space="0" w:color="auto"/>
      </w:divBdr>
      <w:divsChild>
        <w:div w:id="1814954395">
          <w:marLeft w:val="0"/>
          <w:marRight w:val="0"/>
          <w:marTop w:val="0"/>
          <w:marBottom w:val="0"/>
          <w:divBdr>
            <w:top w:val="none" w:sz="0" w:space="0" w:color="auto"/>
            <w:left w:val="none" w:sz="0" w:space="0" w:color="auto"/>
            <w:bottom w:val="none" w:sz="0" w:space="0" w:color="auto"/>
            <w:right w:val="none" w:sz="0" w:space="0" w:color="auto"/>
          </w:divBdr>
          <w:divsChild>
            <w:div w:id="1446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5133">
      <w:bodyDiv w:val="1"/>
      <w:marLeft w:val="0"/>
      <w:marRight w:val="0"/>
      <w:marTop w:val="0"/>
      <w:marBottom w:val="0"/>
      <w:divBdr>
        <w:top w:val="none" w:sz="0" w:space="0" w:color="auto"/>
        <w:left w:val="none" w:sz="0" w:space="0" w:color="auto"/>
        <w:bottom w:val="none" w:sz="0" w:space="0" w:color="auto"/>
        <w:right w:val="none" w:sz="0" w:space="0" w:color="auto"/>
      </w:divBdr>
      <w:divsChild>
        <w:div w:id="31464544">
          <w:marLeft w:val="0"/>
          <w:marRight w:val="0"/>
          <w:marTop w:val="0"/>
          <w:marBottom w:val="0"/>
          <w:divBdr>
            <w:top w:val="none" w:sz="0" w:space="0" w:color="auto"/>
            <w:left w:val="none" w:sz="0" w:space="0" w:color="auto"/>
            <w:bottom w:val="none" w:sz="0" w:space="0" w:color="auto"/>
            <w:right w:val="none" w:sz="0" w:space="0" w:color="auto"/>
          </w:divBdr>
          <w:divsChild>
            <w:div w:id="136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7">
          <w:marLeft w:val="0"/>
          <w:marRight w:val="0"/>
          <w:marTop w:val="0"/>
          <w:marBottom w:val="0"/>
          <w:divBdr>
            <w:top w:val="none" w:sz="0" w:space="0" w:color="auto"/>
            <w:left w:val="none" w:sz="0" w:space="0" w:color="auto"/>
            <w:bottom w:val="none" w:sz="0" w:space="0" w:color="auto"/>
            <w:right w:val="none" w:sz="0" w:space="0" w:color="auto"/>
          </w:divBdr>
          <w:divsChild>
            <w:div w:id="1099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769">
      <w:bodyDiv w:val="1"/>
      <w:marLeft w:val="0"/>
      <w:marRight w:val="0"/>
      <w:marTop w:val="0"/>
      <w:marBottom w:val="0"/>
      <w:divBdr>
        <w:top w:val="none" w:sz="0" w:space="0" w:color="auto"/>
        <w:left w:val="none" w:sz="0" w:space="0" w:color="auto"/>
        <w:bottom w:val="none" w:sz="0" w:space="0" w:color="auto"/>
        <w:right w:val="none" w:sz="0" w:space="0" w:color="auto"/>
      </w:divBdr>
      <w:divsChild>
        <w:div w:id="889196701">
          <w:marLeft w:val="0"/>
          <w:marRight w:val="0"/>
          <w:marTop w:val="0"/>
          <w:marBottom w:val="0"/>
          <w:divBdr>
            <w:top w:val="none" w:sz="0" w:space="0" w:color="auto"/>
            <w:left w:val="none" w:sz="0" w:space="0" w:color="auto"/>
            <w:bottom w:val="none" w:sz="0" w:space="0" w:color="auto"/>
            <w:right w:val="none" w:sz="0" w:space="0" w:color="auto"/>
          </w:divBdr>
        </w:div>
        <w:div w:id="1891917486">
          <w:marLeft w:val="0"/>
          <w:marRight w:val="0"/>
          <w:marTop w:val="0"/>
          <w:marBottom w:val="0"/>
          <w:divBdr>
            <w:top w:val="none" w:sz="0" w:space="0" w:color="auto"/>
            <w:left w:val="none" w:sz="0" w:space="0" w:color="auto"/>
            <w:bottom w:val="none" w:sz="0" w:space="0" w:color="auto"/>
            <w:right w:val="none" w:sz="0" w:space="0" w:color="auto"/>
          </w:divBdr>
        </w:div>
      </w:divsChild>
    </w:div>
    <w:div w:id="1557202931">
      <w:bodyDiv w:val="1"/>
      <w:marLeft w:val="0"/>
      <w:marRight w:val="0"/>
      <w:marTop w:val="0"/>
      <w:marBottom w:val="0"/>
      <w:divBdr>
        <w:top w:val="none" w:sz="0" w:space="0" w:color="auto"/>
        <w:left w:val="none" w:sz="0" w:space="0" w:color="auto"/>
        <w:bottom w:val="none" w:sz="0" w:space="0" w:color="auto"/>
        <w:right w:val="none" w:sz="0" w:space="0" w:color="auto"/>
      </w:divBdr>
    </w:div>
    <w:div w:id="1583875205">
      <w:bodyDiv w:val="1"/>
      <w:marLeft w:val="0"/>
      <w:marRight w:val="0"/>
      <w:marTop w:val="0"/>
      <w:marBottom w:val="0"/>
      <w:divBdr>
        <w:top w:val="none" w:sz="0" w:space="0" w:color="auto"/>
        <w:left w:val="none" w:sz="0" w:space="0" w:color="auto"/>
        <w:bottom w:val="none" w:sz="0" w:space="0" w:color="auto"/>
        <w:right w:val="none" w:sz="0" w:space="0" w:color="auto"/>
      </w:divBdr>
      <w:divsChild>
        <w:div w:id="1118137491">
          <w:marLeft w:val="0"/>
          <w:marRight w:val="0"/>
          <w:marTop w:val="0"/>
          <w:marBottom w:val="0"/>
          <w:divBdr>
            <w:top w:val="none" w:sz="0" w:space="0" w:color="auto"/>
            <w:left w:val="none" w:sz="0" w:space="0" w:color="auto"/>
            <w:bottom w:val="none" w:sz="0" w:space="0" w:color="auto"/>
            <w:right w:val="none" w:sz="0" w:space="0" w:color="auto"/>
          </w:divBdr>
        </w:div>
        <w:div w:id="1976064946">
          <w:marLeft w:val="0"/>
          <w:marRight w:val="0"/>
          <w:marTop w:val="0"/>
          <w:marBottom w:val="0"/>
          <w:divBdr>
            <w:top w:val="none" w:sz="0" w:space="0" w:color="auto"/>
            <w:left w:val="none" w:sz="0" w:space="0" w:color="auto"/>
            <w:bottom w:val="none" w:sz="0" w:space="0" w:color="auto"/>
            <w:right w:val="none" w:sz="0" w:space="0" w:color="auto"/>
          </w:divBdr>
        </w:div>
        <w:div w:id="1873104264">
          <w:marLeft w:val="0"/>
          <w:marRight w:val="0"/>
          <w:marTop w:val="0"/>
          <w:marBottom w:val="0"/>
          <w:divBdr>
            <w:top w:val="none" w:sz="0" w:space="0" w:color="auto"/>
            <w:left w:val="none" w:sz="0" w:space="0" w:color="auto"/>
            <w:bottom w:val="none" w:sz="0" w:space="0" w:color="auto"/>
            <w:right w:val="none" w:sz="0" w:space="0" w:color="auto"/>
          </w:divBdr>
        </w:div>
        <w:div w:id="2048948838">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 w:id="931545050">
          <w:marLeft w:val="0"/>
          <w:marRight w:val="0"/>
          <w:marTop w:val="0"/>
          <w:marBottom w:val="0"/>
          <w:divBdr>
            <w:top w:val="none" w:sz="0" w:space="0" w:color="auto"/>
            <w:left w:val="none" w:sz="0" w:space="0" w:color="auto"/>
            <w:bottom w:val="none" w:sz="0" w:space="0" w:color="auto"/>
            <w:right w:val="none" w:sz="0" w:space="0" w:color="auto"/>
          </w:divBdr>
        </w:div>
        <w:div w:id="955409661">
          <w:marLeft w:val="0"/>
          <w:marRight w:val="0"/>
          <w:marTop w:val="0"/>
          <w:marBottom w:val="0"/>
          <w:divBdr>
            <w:top w:val="none" w:sz="0" w:space="0" w:color="auto"/>
            <w:left w:val="none" w:sz="0" w:space="0" w:color="auto"/>
            <w:bottom w:val="none" w:sz="0" w:space="0" w:color="auto"/>
            <w:right w:val="none" w:sz="0" w:space="0" w:color="auto"/>
          </w:divBdr>
        </w:div>
      </w:divsChild>
    </w:div>
    <w:div w:id="159134802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15">
          <w:marLeft w:val="1166"/>
          <w:marRight w:val="0"/>
          <w:marTop w:val="77"/>
          <w:marBottom w:val="0"/>
          <w:divBdr>
            <w:top w:val="none" w:sz="0" w:space="0" w:color="auto"/>
            <w:left w:val="none" w:sz="0" w:space="0" w:color="auto"/>
            <w:bottom w:val="none" w:sz="0" w:space="0" w:color="auto"/>
            <w:right w:val="none" w:sz="0" w:space="0" w:color="auto"/>
          </w:divBdr>
        </w:div>
      </w:divsChild>
    </w:div>
    <w:div w:id="1603805449">
      <w:bodyDiv w:val="1"/>
      <w:marLeft w:val="0"/>
      <w:marRight w:val="0"/>
      <w:marTop w:val="0"/>
      <w:marBottom w:val="0"/>
      <w:divBdr>
        <w:top w:val="none" w:sz="0" w:space="0" w:color="auto"/>
        <w:left w:val="none" w:sz="0" w:space="0" w:color="auto"/>
        <w:bottom w:val="none" w:sz="0" w:space="0" w:color="auto"/>
        <w:right w:val="none" w:sz="0" w:space="0" w:color="auto"/>
      </w:divBdr>
    </w:div>
    <w:div w:id="1618105236">
      <w:bodyDiv w:val="1"/>
      <w:marLeft w:val="0"/>
      <w:marRight w:val="0"/>
      <w:marTop w:val="0"/>
      <w:marBottom w:val="0"/>
      <w:divBdr>
        <w:top w:val="none" w:sz="0" w:space="0" w:color="auto"/>
        <w:left w:val="none" w:sz="0" w:space="0" w:color="auto"/>
        <w:bottom w:val="none" w:sz="0" w:space="0" w:color="auto"/>
        <w:right w:val="none" w:sz="0" w:space="0" w:color="auto"/>
      </w:divBdr>
      <w:divsChild>
        <w:div w:id="2121682198">
          <w:marLeft w:val="0"/>
          <w:marRight w:val="0"/>
          <w:marTop w:val="0"/>
          <w:marBottom w:val="0"/>
          <w:divBdr>
            <w:top w:val="none" w:sz="0" w:space="0" w:color="auto"/>
            <w:left w:val="none" w:sz="0" w:space="0" w:color="auto"/>
            <w:bottom w:val="none" w:sz="0" w:space="0" w:color="auto"/>
            <w:right w:val="none" w:sz="0" w:space="0" w:color="auto"/>
          </w:divBdr>
        </w:div>
        <w:div w:id="1714429106">
          <w:marLeft w:val="0"/>
          <w:marRight w:val="0"/>
          <w:marTop w:val="0"/>
          <w:marBottom w:val="0"/>
          <w:divBdr>
            <w:top w:val="none" w:sz="0" w:space="0" w:color="auto"/>
            <w:left w:val="none" w:sz="0" w:space="0" w:color="auto"/>
            <w:bottom w:val="none" w:sz="0" w:space="0" w:color="auto"/>
            <w:right w:val="none" w:sz="0" w:space="0" w:color="auto"/>
          </w:divBdr>
        </w:div>
        <w:div w:id="1872768089">
          <w:marLeft w:val="0"/>
          <w:marRight w:val="0"/>
          <w:marTop w:val="0"/>
          <w:marBottom w:val="0"/>
          <w:divBdr>
            <w:top w:val="none" w:sz="0" w:space="0" w:color="auto"/>
            <w:left w:val="none" w:sz="0" w:space="0" w:color="auto"/>
            <w:bottom w:val="none" w:sz="0" w:space="0" w:color="auto"/>
            <w:right w:val="none" w:sz="0" w:space="0" w:color="auto"/>
          </w:divBdr>
        </w:div>
      </w:divsChild>
    </w:div>
    <w:div w:id="1618759222">
      <w:bodyDiv w:val="1"/>
      <w:marLeft w:val="0"/>
      <w:marRight w:val="0"/>
      <w:marTop w:val="0"/>
      <w:marBottom w:val="0"/>
      <w:divBdr>
        <w:top w:val="none" w:sz="0" w:space="0" w:color="auto"/>
        <w:left w:val="none" w:sz="0" w:space="0" w:color="auto"/>
        <w:bottom w:val="none" w:sz="0" w:space="0" w:color="auto"/>
        <w:right w:val="none" w:sz="0" w:space="0" w:color="auto"/>
      </w:divBdr>
      <w:divsChild>
        <w:div w:id="1172255203">
          <w:marLeft w:val="0"/>
          <w:marRight w:val="0"/>
          <w:marTop w:val="0"/>
          <w:marBottom w:val="0"/>
          <w:divBdr>
            <w:top w:val="none" w:sz="0" w:space="0" w:color="auto"/>
            <w:left w:val="none" w:sz="0" w:space="0" w:color="auto"/>
            <w:bottom w:val="none" w:sz="0" w:space="0" w:color="auto"/>
            <w:right w:val="none" w:sz="0" w:space="0" w:color="auto"/>
          </w:divBdr>
        </w:div>
        <w:div w:id="1496918488">
          <w:marLeft w:val="0"/>
          <w:marRight w:val="0"/>
          <w:marTop w:val="0"/>
          <w:marBottom w:val="0"/>
          <w:divBdr>
            <w:top w:val="none" w:sz="0" w:space="0" w:color="auto"/>
            <w:left w:val="none" w:sz="0" w:space="0" w:color="auto"/>
            <w:bottom w:val="none" w:sz="0" w:space="0" w:color="auto"/>
            <w:right w:val="none" w:sz="0" w:space="0" w:color="auto"/>
          </w:divBdr>
        </w:div>
        <w:div w:id="1832408276">
          <w:marLeft w:val="0"/>
          <w:marRight w:val="0"/>
          <w:marTop w:val="0"/>
          <w:marBottom w:val="0"/>
          <w:divBdr>
            <w:top w:val="none" w:sz="0" w:space="0" w:color="auto"/>
            <w:left w:val="none" w:sz="0" w:space="0" w:color="auto"/>
            <w:bottom w:val="none" w:sz="0" w:space="0" w:color="auto"/>
            <w:right w:val="none" w:sz="0" w:space="0" w:color="auto"/>
          </w:divBdr>
        </w:div>
      </w:divsChild>
    </w:div>
    <w:div w:id="1642148108">
      <w:bodyDiv w:val="1"/>
      <w:marLeft w:val="0"/>
      <w:marRight w:val="0"/>
      <w:marTop w:val="0"/>
      <w:marBottom w:val="0"/>
      <w:divBdr>
        <w:top w:val="none" w:sz="0" w:space="0" w:color="auto"/>
        <w:left w:val="none" w:sz="0" w:space="0" w:color="auto"/>
        <w:bottom w:val="none" w:sz="0" w:space="0" w:color="auto"/>
        <w:right w:val="none" w:sz="0" w:space="0" w:color="auto"/>
      </w:divBdr>
      <w:divsChild>
        <w:div w:id="257639578">
          <w:marLeft w:val="0"/>
          <w:marRight w:val="0"/>
          <w:marTop w:val="0"/>
          <w:marBottom w:val="0"/>
          <w:divBdr>
            <w:top w:val="none" w:sz="0" w:space="0" w:color="auto"/>
            <w:left w:val="none" w:sz="0" w:space="0" w:color="auto"/>
            <w:bottom w:val="none" w:sz="0" w:space="0" w:color="auto"/>
            <w:right w:val="none" w:sz="0" w:space="0" w:color="auto"/>
          </w:divBdr>
          <w:divsChild>
            <w:div w:id="993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740">
      <w:bodyDiv w:val="1"/>
      <w:marLeft w:val="0"/>
      <w:marRight w:val="0"/>
      <w:marTop w:val="0"/>
      <w:marBottom w:val="0"/>
      <w:divBdr>
        <w:top w:val="none" w:sz="0" w:space="0" w:color="auto"/>
        <w:left w:val="none" w:sz="0" w:space="0" w:color="auto"/>
        <w:bottom w:val="none" w:sz="0" w:space="0" w:color="auto"/>
        <w:right w:val="none" w:sz="0" w:space="0" w:color="auto"/>
      </w:divBdr>
    </w:div>
    <w:div w:id="1710373441">
      <w:bodyDiv w:val="1"/>
      <w:marLeft w:val="0"/>
      <w:marRight w:val="0"/>
      <w:marTop w:val="0"/>
      <w:marBottom w:val="0"/>
      <w:divBdr>
        <w:top w:val="none" w:sz="0" w:space="0" w:color="auto"/>
        <w:left w:val="none" w:sz="0" w:space="0" w:color="auto"/>
        <w:bottom w:val="none" w:sz="0" w:space="0" w:color="auto"/>
        <w:right w:val="none" w:sz="0" w:space="0" w:color="auto"/>
      </w:divBdr>
    </w:div>
    <w:div w:id="1750617813">
      <w:bodyDiv w:val="1"/>
      <w:marLeft w:val="0"/>
      <w:marRight w:val="0"/>
      <w:marTop w:val="0"/>
      <w:marBottom w:val="0"/>
      <w:divBdr>
        <w:top w:val="none" w:sz="0" w:space="0" w:color="auto"/>
        <w:left w:val="none" w:sz="0" w:space="0" w:color="auto"/>
        <w:bottom w:val="none" w:sz="0" w:space="0" w:color="auto"/>
        <w:right w:val="none" w:sz="0" w:space="0" w:color="auto"/>
      </w:divBdr>
    </w:div>
    <w:div w:id="1756434523">
      <w:bodyDiv w:val="1"/>
      <w:marLeft w:val="0"/>
      <w:marRight w:val="0"/>
      <w:marTop w:val="0"/>
      <w:marBottom w:val="0"/>
      <w:divBdr>
        <w:top w:val="none" w:sz="0" w:space="0" w:color="auto"/>
        <w:left w:val="none" w:sz="0" w:space="0" w:color="auto"/>
        <w:bottom w:val="none" w:sz="0" w:space="0" w:color="auto"/>
        <w:right w:val="none" w:sz="0" w:space="0" w:color="auto"/>
      </w:divBdr>
    </w:div>
    <w:div w:id="1783379101">
      <w:bodyDiv w:val="1"/>
      <w:marLeft w:val="0"/>
      <w:marRight w:val="0"/>
      <w:marTop w:val="0"/>
      <w:marBottom w:val="0"/>
      <w:divBdr>
        <w:top w:val="none" w:sz="0" w:space="0" w:color="auto"/>
        <w:left w:val="none" w:sz="0" w:space="0" w:color="auto"/>
        <w:bottom w:val="none" w:sz="0" w:space="0" w:color="auto"/>
        <w:right w:val="none" w:sz="0" w:space="0" w:color="auto"/>
      </w:divBdr>
    </w:div>
    <w:div w:id="1806004539">
      <w:bodyDiv w:val="1"/>
      <w:marLeft w:val="0"/>
      <w:marRight w:val="0"/>
      <w:marTop w:val="0"/>
      <w:marBottom w:val="0"/>
      <w:divBdr>
        <w:top w:val="none" w:sz="0" w:space="0" w:color="auto"/>
        <w:left w:val="none" w:sz="0" w:space="0" w:color="auto"/>
        <w:bottom w:val="none" w:sz="0" w:space="0" w:color="auto"/>
        <w:right w:val="none" w:sz="0" w:space="0" w:color="auto"/>
      </w:divBdr>
      <w:divsChild>
        <w:div w:id="2120759339">
          <w:marLeft w:val="0"/>
          <w:marRight w:val="0"/>
          <w:marTop w:val="0"/>
          <w:marBottom w:val="0"/>
          <w:divBdr>
            <w:top w:val="none" w:sz="0" w:space="0" w:color="auto"/>
            <w:left w:val="none" w:sz="0" w:space="0" w:color="auto"/>
            <w:bottom w:val="none" w:sz="0" w:space="0" w:color="auto"/>
            <w:right w:val="none" w:sz="0" w:space="0" w:color="auto"/>
          </w:divBdr>
          <w:divsChild>
            <w:div w:id="332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251">
      <w:bodyDiv w:val="1"/>
      <w:marLeft w:val="0"/>
      <w:marRight w:val="0"/>
      <w:marTop w:val="0"/>
      <w:marBottom w:val="0"/>
      <w:divBdr>
        <w:top w:val="none" w:sz="0" w:space="0" w:color="auto"/>
        <w:left w:val="none" w:sz="0" w:space="0" w:color="auto"/>
        <w:bottom w:val="none" w:sz="0" w:space="0" w:color="auto"/>
        <w:right w:val="none" w:sz="0" w:space="0" w:color="auto"/>
      </w:divBdr>
      <w:divsChild>
        <w:div w:id="1012682786">
          <w:marLeft w:val="0"/>
          <w:marRight w:val="0"/>
          <w:marTop w:val="0"/>
          <w:marBottom w:val="0"/>
          <w:divBdr>
            <w:top w:val="none" w:sz="0" w:space="0" w:color="auto"/>
            <w:left w:val="none" w:sz="0" w:space="0" w:color="auto"/>
            <w:bottom w:val="none" w:sz="0" w:space="0" w:color="auto"/>
            <w:right w:val="none" w:sz="0" w:space="0" w:color="auto"/>
          </w:divBdr>
        </w:div>
        <w:div w:id="1457724811">
          <w:marLeft w:val="0"/>
          <w:marRight w:val="0"/>
          <w:marTop w:val="0"/>
          <w:marBottom w:val="0"/>
          <w:divBdr>
            <w:top w:val="none" w:sz="0" w:space="0" w:color="auto"/>
            <w:left w:val="none" w:sz="0" w:space="0" w:color="auto"/>
            <w:bottom w:val="none" w:sz="0" w:space="0" w:color="auto"/>
            <w:right w:val="none" w:sz="0" w:space="0" w:color="auto"/>
          </w:divBdr>
        </w:div>
      </w:divsChild>
    </w:div>
    <w:div w:id="1893349730">
      <w:bodyDiv w:val="1"/>
      <w:marLeft w:val="0"/>
      <w:marRight w:val="0"/>
      <w:marTop w:val="0"/>
      <w:marBottom w:val="0"/>
      <w:divBdr>
        <w:top w:val="none" w:sz="0" w:space="0" w:color="auto"/>
        <w:left w:val="none" w:sz="0" w:space="0" w:color="auto"/>
        <w:bottom w:val="none" w:sz="0" w:space="0" w:color="auto"/>
        <w:right w:val="none" w:sz="0" w:space="0" w:color="auto"/>
      </w:divBdr>
    </w:div>
    <w:div w:id="1907908115">
      <w:bodyDiv w:val="1"/>
      <w:marLeft w:val="0"/>
      <w:marRight w:val="0"/>
      <w:marTop w:val="0"/>
      <w:marBottom w:val="0"/>
      <w:divBdr>
        <w:top w:val="none" w:sz="0" w:space="0" w:color="auto"/>
        <w:left w:val="none" w:sz="0" w:space="0" w:color="auto"/>
        <w:bottom w:val="none" w:sz="0" w:space="0" w:color="auto"/>
        <w:right w:val="none" w:sz="0" w:space="0" w:color="auto"/>
      </w:divBdr>
    </w:div>
    <w:div w:id="1934390852">
      <w:bodyDiv w:val="1"/>
      <w:marLeft w:val="0"/>
      <w:marRight w:val="0"/>
      <w:marTop w:val="0"/>
      <w:marBottom w:val="0"/>
      <w:divBdr>
        <w:top w:val="none" w:sz="0" w:space="0" w:color="auto"/>
        <w:left w:val="none" w:sz="0" w:space="0" w:color="auto"/>
        <w:bottom w:val="none" w:sz="0" w:space="0" w:color="auto"/>
        <w:right w:val="none" w:sz="0" w:space="0" w:color="auto"/>
      </w:divBdr>
      <w:divsChild>
        <w:div w:id="834566428">
          <w:marLeft w:val="0"/>
          <w:marRight w:val="0"/>
          <w:marTop w:val="0"/>
          <w:marBottom w:val="0"/>
          <w:divBdr>
            <w:top w:val="none" w:sz="0" w:space="0" w:color="auto"/>
            <w:left w:val="none" w:sz="0" w:space="0" w:color="auto"/>
            <w:bottom w:val="none" w:sz="0" w:space="0" w:color="auto"/>
            <w:right w:val="none" w:sz="0" w:space="0" w:color="auto"/>
          </w:divBdr>
        </w:div>
        <w:div w:id="1207916619">
          <w:marLeft w:val="0"/>
          <w:marRight w:val="0"/>
          <w:marTop w:val="0"/>
          <w:marBottom w:val="0"/>
          <w:divBdr>
            <w:top w:val="none" w:sz="0" w:space="0" w:color="auto"/>
            <w:left w:val="none" w:sz="0" w:space="0" w:color="auto"/>
            <w:bottom w:val="none" w:sz="0" w:space="0" w:color="auto"/>
            <w:right w:val="none" w:sz="0" w:space="0" w:color="auto"/>
          </w:divBdr>
        </w:div>
        <w:div w:id="1208835315">
          <w:marLeft w:val="0"/>
          <w:marRight w:val="0"/>
          <w:marTop w:val="0"/>
          <w:marBottom w:val="0"/>
          <w:divBdr>
            <w:top w:val="none" w:sz="0" w:space="0" w:color="auto"/>
            <w:left w:val="none" w:sz="0" w:space="0" w:color="auto"/>
            <w:bottom w:val="none" w:sz="0" w:space="0" w:color="auto"/>
            <w:right w:val="none" w:sz="0" w:space="0" w:color="auto"/>
          </w:divBdr>
        </w:div>
      </w:divsChild>
    </w:div>
    <w:div w:id="1978104852">
      <w:bodyDiv w:val="1"/>
      <w:marLeft w:val="0"/>
      <w:marRight w:val="0"/>
      <w:marTop w:val="0"/>
      <w:marBottom w:val="0"/>
      <w:divBdr>
        <w:top w:val="none" w:sz="0" w:space="0" w:color="auto"/>
        <w:left w:val="none" w:sz="0" w:space="0" w:color="auto"/>
        <w:bottom w:val="none" w:sz="0" w:space="0" w:color="auto"/>
        <w:right w:val="none" w:sz="0" w:space="0" w:color="auto"/>
      </w:divBdr>
    </w:div>
    <w:div w:id="202212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16905">
          <w:marLeft w:val="0"/>
          <w:marRight w:val="0"/>
          <w:marTop w:val="0"/>
          <w:marBottom w:val="0"/>
          <w:divBdr>
            <w:top w:val="none" w:sz="0" w:space="0" w:color="auto"/>
            <w:left w:val="none" w:sz="0" w:space="0" w:color="auto"/>
            <w:bottom w:val="none" w:sz="0" w:space="0" w:color="auto"/>
            <w:right w:val="none" w:sz="0" w:space="0" w:color="auto"/>
          </w:divBdr>
        </w:div>
        <w:div w:id="45686207">
          <w:marLeft w:val="0"/>
          <w:marRight w:val="0"/>
          <w:marTop w:val="0"/>
          <w:marBottom w:val="0"/>
          <w:divBdr>
            <w:top w:val="none" w:sz="0" w:space="0" w:color="auto"/>
            <w:left w:val="none" w:sz="0" w:space="0" w:color="auto"/>
            <w:bottom w:val="none" w:sz="0" w:space="0" w:color="auto"/>
            <w:right w:val="none" w:sz="0" w:space="0" w:color="auto"/>
          </w:divBdr>
        </w:div>
        <w:div w:id="1202278532">
          <w:marLeft w:val="0"/>
          <w:marRight w:val="0"/>
          <w:marTop w:val="0"/>
          <w:marBottom w:val="0"/>
          <w:divBdr>
            <w:top w:val="none" w:sz="0" w:space="0" w:color="auto"/>
            <w:left w:val="none" w:sz="0" w:space="0" w:color="auto"/>
            <w:bottom w:val="none" w:sz="0" w:space="0" w:color="auto"/>
            <w:right w:val="none" w:sz="0" w:space="0" w:color="auto"/>
          </w:divBdr>
        </w:div>
        <w:div w:id="2083064122">
          <w:marLeft w:val="0"/>
          <w:marRight w:val="0"/>
          <w:marTop w:val="0"/>
          <w:marBottom w:val="0"/>
          <w:divBdr>
            <w:top w:val="none" w:sz="0" w:space="0" w:color="auto"/>
            <w:left w:val="none" w:sz="0" w:space="0" w:color="auto"/>
            <w:bottom w:val="none" w:sz="0" w:space="0" w:color="auto"/>
            <w:right w:val="none" w:sz="0" w:space="0" w:color="auto"/>
          </w:divBdr>
        </w:div>
        <w:div w:id="2031057878">
          <w:marLeft w:val="0"/>
          <w:marRight w:val="0"/>
          <w:marTop w:val="0"/>
          <w:marBottom w:val="0"/>
          <w:divBdr>
            <w:top w:val="none" w:sz="0" w:space="0" w:color="auto"/>
            <w:left w:val="none" w:sz="0" w:space="0" w:color="auto"/>
            <w:bottom w:val="none" w:sz="0" w:space="0" w:color="auto"/>
            <w:right w:val="none" w:sz="0" w:space="0" w:color="auto"/>
          </w:divBdr>
        </w:div>
      </w:divsChild>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162380">
      <w:bodyDiv w:val="1"/>
      <w:marLeft w:val="0"/>
      <w:marRight w:val="0"/>
      <w:marTop w:val="0"/>
      <w:marBottom w:val="0"/>
      <w:divBdr>
        <w:top w:val="none" w:sz="0" w:space="0" w:color="auto"/>
        <w:left w:val="none" w:sz="0" w:space="0" w:color="auto"/>
        <w:bottom w:val="none" w:sz="0" w:space="0" w:color="auto"/>
        <w:right w:val="none" w:sz="0" w:space="0" w:color="auto"/>
      </w:divBdr>
      <w:divsChild>
        <w:div w:id="46803734">
          <w:marLeft w:val="0"/>
          <w:marRight w:val="0"/>
          <w:marTop w:val="0"/>
          <w:marBottom w:val="0"/>
          <w:divBdr>
            <w:top w:val="none" w:sz="0" w:space="0" w:color="auto"/>
            <w:left w:val="none" w:sz="0" w:space="0" w:color="auto"/>
            <w:bottom w:val="none" w:sz="0" w:space="0" w:color="auto"/>
            <w:right w:val="none" w:sz="0" w:space="0" w:color="auto"/>
          </w:divBdr>
        </w:div>
        <w:div w:id="1920166429">
          <w:marLeft w:val="0"/>
          <w:marRight w:val="0"/>
          <w:marTop w:val="0"/>
          <w:marBottom w:val="0"/>
          <w:divBdr>
            <w:top w:val="none" w:sz="0" w:space="0" w:color="auto"/>
            <w:left w:val="none" w:sz="0" w:space="0" w:color="auto"/>
            <w:bottom w:val="none" w:sz="0" w:space="0" w:color="auto"/>
            <w:right w:val="none" w:sz="0" w:space="0" w:color="auto"/>
          </w:divBdr>
        </w:div>
        <w:div w:id="187450406">
          <w:marLeft w:val="0"/>
          <w:marRight w:val="0"/>
          <w:marTop w:val="0"/>
          <w:marBottom w:val="0"/>
          <w:divBdr>
            <w:top w:val="none" w:sz="0" w:space="0" w:color="auto"/>
            <w:left w:val="none" w:sz="0" w:space="0" w:color="auto"/>
            <w:bottom w:val="none" w:sz="0" w:space="0" w:color="auto"/>
            <w:right w:val="none" w:sz="0" w:space="0" w:color="auto"/>
          </w:divBdr>
        </w:div>
      </w:divsChild>
    </w:div>
    <w:div w:id="2138597700">
      <w:bodyDiv w:val="1"/>
      <w:marLeft w:val="0"/>
      <w:marRight w:val="0"/>
      <w:marTop w:val="0"/>
      <w:marBottom w:val="0"/>
      <w:divBdr>
        <w:top w:val="none" w:sz="0" w:space="0" w:color="auto"/>
        <w:left w:val="none" w:sz="0" w:space="0" w:color="auto"/>
        <w:bottom w:val="none" w:sz="0" w:space="0" w:color="auto"/>
        <w:right w:val="none" w:sz="0" w:space="0" w:color="auto"/>
      </w:divBdr>
      <w:divsChild>
        <w:div w:id="2049452965">
          <w:marLeft w:val="0"/>
          <w:marRight w:val="0"/>
          <w:marTop w:val="0"/>
          <w:marBottom w:val="0"/>
          <w:divBdr>
            <w:top w:val="none" w:sz="0" w:space="0" w:color="auto"/>
            <w:left w:val="none" w:sz="0" w:space="0" w:color="auto"/>
            <w:bottom w:val="none" w:sz="0" w:space="0" w:color="auto"/>
            <w:right w:val="none" w:sz="0" w:space="0" w:color="auto"/>
          </w:divBdr>
        </w:div>
        <w:div w:id="1830637246">
          <w:marLeft w:val="0"/>
          <w:marRight w:val="0"/>
          <w:marTop w:val="0"/>
          <w:marBottom w:val="0"/>
          <w:divBdr>
            <w:top w:val="none" w:sz="0" w:space="0" w:color="auto"/>
            <w:left w:val="none" w:sz="0" w:space="0" w:color="auto"/>
            <w:bottom w:val="none" w:sz="0" w:space="0" w:color="auto"/>
            <w:right w:val="none" w:sz="0" w:space="0" w:color="auto"/>
          </w:divBdr>
        </w:div>
        <w:div w:id="1853032864">
          <w:marLeft w:val="0"/>
          <w:marRight w:val="0"/>
          <w:marTop w:val="0"/>
          <w:marBottom w:val="0"/>
          <w:divBdr>
            <w:top w:val="none" w:sz="0" w:space="0" w:color="auto"/>
            <w:left w:val="none" w:sz="0" w:space="0" w:color="auto"/>
            <w:bottom w:val="none" w:sz="0" w:space="0" w:color="auto"/>
            <w:right w:val="none" w:sz="0" w:space="0" w:color="auto"/>
          </w:divBdr>
        </w:div>
        <w:div w:id="10385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en/topics/topic/chemical-mixtures" TargetMode="External"/><Relationship Id="rId13" Type="http://schemas.openxmlformats.org/officeDocument/2006/relationships/hyperlink" Target="https://link.springer.com/article/10.1007/s00204-016-1866-9" TargetMode="External"/><Relationship Id="rId18" Type="http://schemas.openxmlformats.org/officeDocument/2006/relationships/hyperlink" Target="https://ec.europa.eu/jrc/en/science-update/vitro-methods-detection-thyroid-disruptors" TargetMode="External"/><Relationship Id="rId26" Type="http://schemas.openxmlformats.org/officeDocument/2006/relationships/hyperlink" Target="http://ec.europa.eu/growth/sectors/chemicals/ec-support_bg" TargetMode="External"/><Relationship Id="rId3" Type="http://schemas.openxmlformats.org/officeDocument/2006/relationships/hyperlink" Target="http://www.euro.who.int/__data/assets/pdf_file/0011/78608/E93618.pdf" TargetMode="External"/><Relationship Id="rId21" Type="http://schemas.openxmlformats.org/officeDocument/2006/relationships/hyperlink" Target="http://europa.eu/rapid/midday-express-11-07-2018.htm" TargetMode="External"/><Relationship Id="rId7" Type="http://schemas.openxmlformats.org/officeDocument/2006/relationships/hyperlink" Target="http://www.who.int/ceh/publications/endocrine/en/" TargetMode="External"/><Relationship Id="rId12" Type="http://schemas.openxmlformats.org/officeDocument/2006/relationships/hyperlink" Target="https://www.efsa.europa.eu/en/supporting/pub/en-1027" TargetMode="External"/><Relationship Id="rId17" Type="http://schemas.openxmlformats.org/officeDocument/2006/relationships/hyperlink" Target="https://publications.europa.eu/en/publication-detail/-/publication/6b464845-4833-11e8-be1d-01aa75ed71a1/language-en" TargetMode="External"/><Relationship Id="rId25" Type="http://schemas.openxmlformats.org/officeDocument/2006/relationships/hyperlink" Target="https://eur-lex.europa.eu/legal-content/BG/ALL/?uri=COM:2016:814:FIN" TargetMode="External"/><Relationship Id="rId2" Type="http://schemas.openxmlformats.org/officeDocument/2006/relationships/hyperlink" Target="http://www.un.org/ga/search/view_doc.asp?symbol=A/RES/70/1&amp;Lang=E" TargetMode="External"/><Relationship Id="rId16" Type="http://schemas.openxmlformats.org/officeDocument/2006/relationships/hyperlink" Target="http://www.oecd.org/officialdocuments/publicdisplaydocumentpdf/?cote=env/jm/mono(2012)22&amp;doclanguage=en" TargetMode="External"/><Relationship Id="rId20" Type="http://schemas.openxmlformats.org/officeDocument/2006/relationships/hyperlink" Target="https://echa.europa.eu/candidate-list-table" TargetMode="External"/><Relationship Id="rId29" Type="http://schemas.openxmlformats.org/officeDocument/2006/relationships/hyperlink" Target="http://ec.europa.eu/environment/water/fitness_check_of_the_eu_water_legislation/index_en.htm" TargetMode="External"/><Relationship Id="rId1" Type="http://schemas.openxmlformats.org/officeDocument/2006/relationships/hyperlink" Target="http://ec.europa.eu/environment/chemicals/endocrine/documents/reports_conclusions_en.htm" TargetMode="External"/><Relationship Id="rId6" Type="http://schemas.openxmlformats.org/officeDocument/2006/relationships/hyperlink" Target="http://www.who.int/ipcs/publications/new_issues/endocrine_disruptors/en/" TargetMode="External"/><Relationship Id="rId11" Type="http://schemas.openxmlformats.org/officeDocument/2006/relationships/hyperlink" Target="http://publications.jrc.ec.europa.eu/repository/bitstream/JRC83204/lb-na-26-068-en-n.pdf" TargetMode="External"/><Relationship Id="rId24" Type="http://schemas.openxmlformats.org/officeDocument/2006/relationships/hyperlink" Target="https://ec.europa.eu/growth/sectors/chemicals/reach/review_bg" TargetMode="External"/><Relationship Id="rId5" Type="http://schemas.openxmlformats.org/officeDocument/2006/relationships/hyperlink" Target="http://www.saicm.org/About/ICCM/tabid/5521/language/en-GB/Default.aspx" TargetMode="External"/><Relationship Id="rId15" Type="http://schemas.openxmlformats.org/officeDocument/2006/relationships/hyperlink" Target="http://www.efsa.europa.eu/en/efsajournal/doc/3132.pdf" TargetMode="External"/><Relationship Id="rId23" Type="http://schemas.openxmlformats.org/officeDocument/2006/relationships/hyperlink" Target="https://echa.europa.eu/documents/10162/13577/ref_4_report_en.pdf/b53f5cd9-64a4-c120-1953-e9e176b9c282" TargetMode="External"/><Relationship Id="rId28" Type="http://schemas.openxmlformats.org/officeDocument/2006/relationships/hyperlink" Target="http://ec.europa.eu/environment/action-programme/evaluation.htm" TargetMode="External"/><Relationship Id="rId10" Type="http://schemas.openxmlformats.org/officeDocument/2006/relationships/hyperlink" Target="http://publications.jrc.ec.europa.eu/repository/bitstream/JRC79981/lbna25919enn.pdf" TargetMode="External"/><Relationship Id="rId19" Type="http://schemas.openxmlformats.org/officeDocument/2006/relationships/hyperlink" Target="https://ec.europa.eu/consumers/consumers_safety/safety_products/rapex/alerts/repository/content/pages/rapex/index_en.htm" TargetMode="External"/><Relationship Id="rId31" Type="http://schemas.openxmlformats.org/officeDocument/2006/relationships/hyperlink" Target="https://ec.europa.eu/info/law/better-regulation/initiatives/ares-2018-3667279_bg" TargetMode="External"/><Relationship Id="rId4" Type="http://schemas.openxmlformats.org/officeDocument/2006/relationships/hyperlink" Target="http://www.euro.who.int/__data/assets/pdf_file/0007/341944/OstravaDeclaration_SIGNED.pdf?ua=1" TargetMode="External"/><Relationship Id="rId9" Type="http://schemas.openxmlformats.org/officeDocument/2006/relationships/hyperlink" Target="https://www.efsa.europa.eu/en/efsajournal/pub/3293" TargetMode="External"/><Relationship Id="rId14" Type="http://schemas.openxmlformats.org/officeDocument/2006/relationships/hyperlink" Target="http://www.oecd.org/chemicalsafety/testing/oecdworkrelatedtoendocrinedisrupters.htm" TargetMode="External"/><Relationship Id="rId22" Type="http://schemas.openxmlformats.org/officeDocument/2006/relationships/hyperlink" Target="https://echa.europa.eu/substance-information/-/substanceinfo/100.001.475" TargetMode="External"/><Relationship Id="rId27" Type="http://schemas.openxmlformats.org/officeDocument/2006/relationships/hyperlink" Target="https://ec.europa.eu/food/plant/pesticides/refit_en" TargetMode="External"/><Relationship Id="rId30" Type="http://schemas.openxmlformats.org/officeDocument/2006/relationships/hyperlink" Target="https://ec.europa.eu/food/safety/chemical_safety/food_contact_material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A1E3-681B-4DD2-BAEE-A9816C4E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4873</Words>
  <Characters>29678</Characters>
  <Application>Microsoft Office Word</Application>
  <DocSecurity>0</DocSecurity>
  <Lines>503</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41</cp:revision>
  <cp:lastPrinted>2018-10-16T16:23:00Z</cp:lastPrinted>
  <dcterms:created xsi:type="dcterms:W3CDTF">2018-10-31T11:36:00Z</dcterms:created>
  <dcterms:modified xsi:type="dcterms:W3CDTF">2018-11-14T14:52:00Z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