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92CB3E9-7672-4AC8-A7AE-C17A3832BCD7" style="width:451.25pt;height:319.8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360" w:after="120" w:line="240" w:lineRule="auto"/>
        <w:rPr>
          <w:rFonts w:cs="Times New Roman"/>
          <w:noProof/>
          <w:sz w:val="24"/>
          <w:szCs w:val="24"/>
        </w:rPr>
      </w:pPr>
      <w:bookmarkStart w:id="1" w:name="_GoBack"/>
      <w:bookmarkEnd w:id="1"/>
      <w:r>
        <w:rPr>
          <w:rFonts w:cs="Times New Roman"/>
          <w:noProof/>
          <w:sz w:val="24"/>
          <w:szCs w:val="24"/>
        </w:rPr>
        <w:lastRenderedPageBreak/>
        <w:t>INTRODUCTION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Endocrine disruptors are chemical substances that alter the functioning of the endocrine system and negatively affect the health of humans and animals. They may either be of synthetic or natural origin. Exposure to endocrine disruptors can occur from different sources, such as residues of pesticides or consumer products used or present in our daily life.</w:t>
      </w:r>
    </w:p>
    <w:p>
      <w:pPr>
        <w:pBdr>
          <w:top w:val="single" w:sz="4" w:space="1" w:color="auto"/>
          <w:left w:val="single" w:sz="4" w:space="4" w:color="auto"/>
          <w:bottom w:val="single" w:sz="4" w:space="1" w:color="auto"/>
          <w:right w:val="single" w:sz="4" w:space="4" w:color="auto"/>
        </w:pBdr>
        <w:spacing w:before="120" w:after="0" w:line="240" w:lineRule="auto"/>
        <w:jc w:val="center"/>
        <w:rPr>
          <w:rFonts w:ascii="Times New Roman" w:hAnsi="Times New Roman" w:cs="Times New Roman"/>
          <w:b/>
          <w:i/>
          <w:noProof/>
          <w:sz w:val="24"/>
          <w:szCs w:val="24"/>
        </w:rPr>
      </w:pPr>
      <w:r>
        <w:rPr>
          <w:rFonts w:ascii="Times New Roman" w:hAnsi="Times New Roman" w:cs="Times New Roman"/>
          <w:b/>
          <w:i/>
          <w:noProof/>
          <w:sz w:val="24"/>
          <w:szCs w:val="24"/>
        </w:rPr>
        <w:t>What is the endocrine system?</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endocrine system is a messenger system of the body. It uses hormones, signalling molecules which travel through the bloodstream, as a communication tool and to produce effects on distant cells, tissues and organs. Hormones are essential for controlling a large number of processes in the body, from early ones such as embryonic development and organ formation, to the control of tissue and organ functions in adulthood.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Concerns about endocrine disruptors have been growing since the 1990s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Following the adoption by the European Parliament of a Resolution on endocrine disruptors in 1998</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in December 1999 the Commission adopted the Community Strategy for endocrine disruptors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which has been taken forward since then through action in the fields of research, regulation and international cooperation.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Significant progress in understanding and regulating endocrine disruptors has been made, and the EU is today recognised as one of the global leaders in dealing with these chemicals. At the same time, societal concerns remain high.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always been and will remain committed to protect EU citizens and the environment from all hazardous chemicals. In this context, almost twenty years after the adoption of the Community Strategy of 1999, there is a need to update the EU approach on endocrine disruptors so that it remains state-of-the-art and continues to coherently address these substances across different areas, building on the increased knowledge, the achieved results and gained experience. To this end, the Commission is today outlining its strategic approach to endocrine disruptors for the years to come, with the ultimate overall goal to ensure a high level of protection of EU citizens and the environment and, at the same time, to preserve an internal market which delivers for consumers and where all EU business can thrive.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Communication addresses the requests of the European Parliament and the Council</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follows up from the 7</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Environment Action Programme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is framed by the international commitments to act on hazardous chemicals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Section 1 describes the scientific progress made on endocrine disruptors in the past twenty years. Section 2 summarizes the actions the EU has taken so far and section 3 outlines the Commission’s proposed approach to effectively take forward the EU's policy on endocrine disruptors in the future.</w:t>
      </w:r>
    </w:p>
    <w:p>
      <w:pPr>
        <w:pStyle w:val="Heading1"/>
        <w:spacing w:before="360" w:after="120" w:line="240" w:lineRule="auto"/>
        <w:rPr>
          <w:rFonts w:cs="Times New Roman"/>
          <w:noProof/>
          <w:sz w:val="24"/>
          <w:szCs w:val="24"/>
        </w:rPr>
      </w:pPr>
      <w:r>
        <w:rPr>
          <w:rFonts w:cs="Times New Roman"/>
          <w:noProof/>
          <w:sz w:val="24"/>
          <w:szCs w:val="24"/>
        </w:rPr>
        <w:t>1. THE SCIENCE OF ENDOCRINE DISRUPTORS</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past </w:t>
      </w:r>
      <w:r>
        <w:rPr>
          <w:rFonts w:ascii="Times New Roman" w:hAnsi="Times New Roman" w:cs="Times New Roman"/>
          <w:noProof/>
          <w:sz w:val="24"/>
          <w:szCs w:val="24"/>
        </w:rPr>
        <w:t>decades,</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science on endocrine disruption has advanced significantly. Many thousands of peer-reviewed scientific publications have become available since the adoption of the Community Strategy of 1999, investigating the nature of endocrine disruption, its causes and its consequences for human health and wildlife populations. Progress has also been reported in publications by the European Commission, EU agencies, or in the context of activities co-ordinated by the Commission.</w:t>
      </w:r>
    </w:p>
    <w:p>
      <w:pPr>
        <w:spacing w:after="120" w:line="240" w:lineRule="auto"/>
        <w:jc w:val="both"/>
        <w:rPr>
          <w:rFonts w:ascii="Times New Roman" w:eastAsia="Times New Roman" w:hAnsi="Times New Roman" w:cs="Times New Roman"/>
          <w:iCs/>
          <w:noProof/>
          <w:sz w:val="24"/>
          <w:szCs w:val="24"/>
          <w:lang w:eastAsia="fr-FR"/>
        </w:rPr>
      </w:pPr>
      <w:r>
        <w:rPr>
          <w:rFonts w:ascii="Times New Roman" w:eastAsia="Times New Roman" w:hAnsi="Times New Roman" w:cs="Times New Roman"/>
          <w:noProof/>
          <w:sz w:val="24"/>
          <w:szCs w:val="24"/>
        </w:rPr>
        <w:t xml:space="preserve">Since 1999, </w:t>
      </w:r>
      <w:r>
        <w:rPr>
          <w:rFonts w:ascii="Times New Roman" w:hAnsi="Times New Roman" w:cs="Times New Roman"/>
          <w:b/>
          <w:noProof/>
          <w:sz w:val="24"/>
          <w:szCs w:val="24"/>
        </w:rPr>
        <w:t>the scientific evidence linking exposure to endocrine disruptors with human diseases or negative impact on wildlife has become stronger</w:t>
      </w:r>
      <w:r>
        <w:rPr>
          <w:rFonts w:ascii="Times New Roman" w:eastAsia="Times New Roman" w:hAnsi="Times New Roman" w:cs="Times New Roman"/>
          <w:noProof/>
          <w:sz w:val="24"/>
          <w:szCs w:val="24"/>
        </w:rPr>
        <w:t>. Furthermore, scientific progress has brought agreement on a number of issues which are relevant to understand endocrine disruption. There is now broad consensus on the</w:t>
      </w:r>
      <w:r>
        <w:rPr>
          <w:rFonts w:ascii="Times New Roman" w:eastAsia="Times New Roman" w:hAnsi="Times New Roman" w:cs="Times New Roman"/>
          <w:b/>
          <w:noProof/>
          <w:sz w:val="24"/>
          <w:szCs w:val="24"/>
        </w:rPr>
        <w:t xml:space="preserve"> definition </w:t>
      </w:r>
      <w:r>
        <w:rPr>
          <w:rFonts w:ascii="Times New Roman" w:eastAsia="Times New Roman" w:hAnsi="Times New Roman" w:cs="Times New Roman"/>
          <w:noProof/>
          <w:sz w:val="24"/>
          <w:szCs w:val="24"/>
        </w:rPr>
        <w:t xml:space="preserve">provided in 2002 by </w:t>
      </w:r>
      <w:r>
        <w:rPr>
          <w:rFonts w:ascii="Times New Roman" w:eastAsia="Times New Roman" w:hAnsi="Times New Roman" w:cs="Times New Roman"/>
          <w:iCs/>
          <w:noProof/>
          <w:sz w:val="24"/>
          <w:szCs w:val="24"/>
          <w:lang w:eastAsia="fr-FR"/>
        </w:rPr>
        <w:t>the International Programme on Chemical Safety, a joint programme of various United Nations Agencies, including the World Health Organisation</w:t>
      </w:r>
      <w:r>
        <w:rPr>
          <w:rFonts w:ascii="Times New Roman" w:eastAsia="Times New Roman" w:hAnsi="Times New Roman" w:cs="Times New Roman"/>
          <w:noProof/>
          <w:sz w:val="24"/>
          <w:szCs w:val="24"/>
        </w:rPr>
        <w:t>, whereby an endocrine disruptor</w:t>
      </w:r>
      <w:r>
        <w:rPr>
          <w:rFonts w:ascii="Times New Roman" w:eastAsia="Times New Roman" w:hAnsi="Times New Roman" w:cs="Times New Roman"/>
          <w:iCs/>
          <w:noProof/>
          <w:sz w:val="24"/>
          <w:szCs w:val="24"/>
          <w:lang w:eastAsia="fr-FR"/>
        </w:rPr>
        <w:t xml:space="preserve"> is defined as "</w:t>
      </w:r>
      <w:r>
        <w:rPr>
          <w:rFonts w:ascii="Times New Roman" w:eastAsia="Times New Roman" w:hAnsi="Times New Roman" w:cs="Times New Roman"/>
          <w:i/>
          <w:iCs/>
          <w:noProof/>
          <w:sz w:val="24"/>
          <w:szCs w:val="24"/>
          <w:lang w:eastAsia="fr-FR"/>
        </w:rPr>
        <w:t>an exogenous substance or mixture that alters function(s) of the endocrine system and consequently causes adverse health effects in an intact organism, or its progeny, or (sub)populations</w:t>
      </w:r>
      <w:r>
        <w:rPr>
          <w:rFonts w:ascii="Times New Roman" w:eastAsia="Times New Roman" w:hAnsi="Times New Roman" w:cs="Times New Roman"/>
          <w:iCs/>
          <w:noProof/>
          <w:sz w:val="24"/>
          <w:szCs w:val="24"/>
          <w:lang w:eastAsia="fr-FR"/>
        </w:rPr>
        <w:t>"</w:t>
      </w:r>
      <w:r>
        <w:rPr>
          <w:rStyle w:val="FootnoteReference"/>
          <w:rFonts w:ascii="Times New Roman" w:eastAsia="Times New Roman" w:hAnsi="Times New Roman" w:cs="Times New Roman"/>
          <w:iCs/>
          <w:noProof/>
          <w:sz w:val="24"/>
          <w:szCs w:val="24"/>
          <w:lang w:eastAsia="fr-FR"/>
        </w:rPr>
        <w:footnoteReference w:id="8"/>
      </w:r>
      <w:r>
        <w:rPr>
          <w:rFonts w:ascii="Times New Roman" w:eastAsia="Times New Roman" w:hAnsi="Times New Roman" w:cs="Times New Roman"/>
          <w:iCs/>
          <w:noProof/>
          <w:sz w:val="24"/>
          <w:szCs w:val="24"/>
          <w:lang w:eastAsia="fr-FR"/>
        </w:rPr>
        <w:t>.</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iCs/>
          <w:noProof/>
          <w:sz w:val="24"/>
          <w:szCs w:val="24"/>
          <w:lang w:eastAsia="fr-FR"/>
        </w:rPr>
        <w:t xml:space="preserve">Consensus also exists that the </w:t>
      </w:r>
      <w:r>
        <w:rPr>
          <w:rFonts w:ascii="Times New Roman" w:hAnsi="Times New Roman" w:cs="Times New Roman"/>
          <w:b/>
          <w:noProof/>
          <w:sz w:val="24"/>
          <w:szCs w:val="24"/>
        </w:rPr>
        <w:t>most sensitive window of exposure</w:t>
      </w:r>
      <w:r>
        <w:rPr>
          <w:rFonts w:ascii="Times New Roman" w:eastAsia="Times New Roman" w:hAnsi="Times New Roman" w:cs="Times New Roman"/>
          <w:iCs/>
          <w:noProof/>
          <w:sz w:val="24"/>
          <w:szCs w:val="24"/>
          <w:lang w:eastAsia="fr-FR"/>
        </w:rPr>
        <w:t xml:space="preserve"> to endocrine disruptors is during important periods of development, such as foetal development and puberty</w:t>
      </w:r>
      <w:r>
        <w:rPr>
          <w:rStyle w:val="FootnoteReference"/>
          <w:rFonts w:ascii="Times New Roman" w:eastAsia="Times New Roman" w:hAnsi="Times New Roman" w:cs="Times New Roman"/>
          <w:iCs/>
          <w:noProof/>
          <w:sz w:val="24"/>
          <w:szCs w:val="24"/>
          <w:lang w:eastAsia="fr-FR"/>
        </w:rPr>
        <w:footnoteReference w:id="9"/>
      </w:r>
      <w:r>
        <w:rPr>
          <w:rFonts w:ascii="Times New Roman" w:eastAsia="Times New Roman" w:hAnsi="Times New Roman" w:cs="Times New Roman"/>
          <w:iCs/>
          <w:noProof/>
          <w:sz w:val="24"/>
          <w:szCs w:val="24"/>
          <w:lang w:eastAsia="fr-FR"/>
        </w:rPr>
        <w:t xml:space="preserve">. Exposure to endocrine disruptors during these periods may cause permanent effects and result in increased susceptibility to diseases later in life. It is also generally recognised that </w:t>
      </w:r>
      <w:r>
        <w:rPr>
          <w:rFonts w:ascii="Times New Roman" w:hAnsi="Times New Roman" w:cs="Times New Roman"/>
          <w:b/>
          <w:noProof/>
          <w:sz w:val="24"/>
          <w:szCs w:val="24"/>
        </w:rPr>
        <w:t xml:space="preserve">endocrine disruptors can </w:t>
      </w:r>
      <w:r>
        <w:rPr>
          <w:rFonts w:ascii="Times New Roman" w:eastAsia="Times New Roman" w:hAnsi="Times New Roman" w:cs="Times New Roman"/>
          <w:b/>
          <w:iCs/>
          <w:noProof/>
          <w:sz w:val="24"/>
          <w:szCs w:val="24"/>
          <w:lang w:eastAsia="fr-FR"/>
        </w:rPr>
        <w:t>interfere with</w:t>
      </w:r>
      <w:r>
        <w:rPr>
          <w:rFonts w:ascii="Times New Roman" w:hAnsi="Times New Roman" w:cs="Times New Roman"/>
          <w:b/>
          <w:noProof/>
          <w:sz w:val="24"/>
          <w:szCs w:val="24"/>
        </w:rPr>
        <w:t xml:space="preserve"> the endocrine system </w:t>
      </w:r>
      <w:r>
        <w:rPr>
          <w:rFonts w:ascii="Times New Roman" w:eastAsia="Times New Roman" w:hAnsi="Times New Roman" w:cs="Times New Roman"/>
          <w:b/>
          <w:iCs/>
          <w:noProof/>
          <w:sz w:val="24"/>
          <w:szCs w:val="24"/>
          <w:lang w:eastAsia="fr-FR"/>
        </w:rPr>
        <w:t>in different ways</w:t>
      </w:r>
      <w:r>
        <w:rPr>
          <w:rFonts w:ascii="Times New Roman" w:eastAsia="Times New Roman" w:hAnsi="Times New Roman" w:cs="Times New Roman"/>
          <w:iCs/>
          <w:noProof/>
          <w:sz w:val="24"/>
          <w:szCs w:val="24"/>
          <w:lang w:eastAsia="fr-FR"/>
        </w:rPr>
        <w:t>. So far, science has focused mainly on a limited number of endocrine modalities</w:t>
      </w:r>
      <w:r>
        <w:rPr>
          <w:rStyle w:val="FootnoteReference"/>
          <w:rFonts w:ascii="Times New Roman" w:eastAsia="Times New Roman" w:hAnsi="Times New Roman" w:cs="Times New Roman"/>
          <w:iCs/>
          <w:noProof/>
          <w:sz w:val="24"/>
          <w:szCs w:val="24"/>
          <w:lang w:eastAsia="fr-FR"/>
        </w:rPr>
        <w:footnoteReference w:id="10"/>
      </w:r>
      <w:r>
        <w:rPr>
          <w:rFonts w:ascii="Times New Roman" w:eastAsia="Times New Roman" w:hAnsi="Times New Roman" w:cs="Times New Roman"/>
          <w:iCs/>
          <w:noProof/>
          <w:sz w:val="24"/>
          <w:szCs w:val="24"/>
          <w:lang w:eastAsia="fr-FR"/>
        </w:rPr>
        <w:t>.</w:t>
      </w:r>
      <w:r>
        <w:rPr>
          <w:rFonts w:ascii="Times New Roman" w:hAnsi="Times New Roman" w:cs="Times New Roman"/>
          <w:noProof/>
          <w:sz w:val="24"/>
          <w:szCs w:val="24"/>
        </w:rPr>
        <w:t xml:space="preserve"> </w:t>
      </w:r>
      <w:r>
        <w:rPr>
          <w:rFonts w:ascii="Times New Roman" w:eastAsia="Times New Roman" w:hAnsi="Times New Roman" w:cs="Times New Roman"/>
          <w:iCs/>
          <w:noProof/>
          <w:sz w:val="24"/>
          <w:szCs w:val="24"/>
          <w:lang w:eastAsia="fr-FR"/>
        </w:rPr>
        <w:t xml:space="preserve">However, in recent years, it has been shown that other aspects of the endocrine system can be sensitive to endocrine disruptors as well. </w:t>
      </w:r>
      <w:r>
        <w:rPr>
          <w:rFonts w:ascii="Times New Roman" w:hAnsi="Times New Roman" w:cs="Times New Roman"/>
          <w:noProof/>
          <w:sz w:val="24"/>
          <w:szCs w:val="24"/>
        </w:rPr>
        <w:t>There is also increasing evidence showing that endocrine disruptors can work together to produce additive effects ("</w:t>
      </w:r>
      <w:r>
        <w:rPr>
          <w:rFonts w:ascii="Times New Roman" w:hAnsi="Times New Roman" w:cs="Times New Roman"/>
          <w:b/>
          <w:noProof/>
          <w:sz w:val="24"/>
          <w:szCs w:val="24"/>
        </w:rPr>
        <w:t>mixture effect</w:t>
      </w:r>
      <w:r>
        <w:rPr>
          <w:rFonts w:ascii="Times New Roman" w:hAnsi="Times New Roman" w:cs="Times New Roman"/>
          <w:noProof/>
          <w:sz w:val="24"/>
          <w:szCs w:val="24"/>
        </w:rPr>
        <w:t>", or "</w:t>
      </w:r>
      <w:r>
        <w:rPr>
          <w:rFonts w:ascii="Times New Roman" w:hAnsi="Times New Roman" w:cs="Times New Roman"/>
          <w:b/>
          <w:noProof/>
          <w:sz w:val="24"/>
          <w:szCs w:val="24"/>
        </w:rPr>
        <w:t>cocktail effect</w:t>
      </w:r>
      <w:r>
        <w:rPr>
          <w:rFonts w:ascii="Times New Roman" w:hAnsi="Times New Roman" w:cs="Times New Roman"/>
          <w:noProof/>
          <w:sz w:val="24"/>
          <w:szCs w:val="24"/>
        </w:rPr>
        <w:t>") so that exposure to a combination of endocrine disruptors may produce an adverse effect at concentrations at which individually no effect has been observed</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(even if this effect is not specific to endocrine disruptors)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w:t>
      </w:r>
      <w:r>
        <w:rPr>
          <w:rFonts w:ascii="Times New Roman" w:hAnsi="Times New Roman" w:cs="Times New Roman"/>
          <w:b/>
          <w:noProof/>
          <w:sz w:val="24"/>
          <w:szCs w:val="24"/>
        </w:rPr>
        <w:t>knowledge gaps still exist</w:t>
      </w:r>
      <w:r>
        <w:rPr>
          <w:rFonts w:ascii="Times New Roman" w:hAnsi="Times New Roman" w:cs="Times New Roman"/>
          <w:noProof/>
          <w:sz w:val="24"/>
          <w:szCs w:val="24"/>
        </w:rPr>
        <w:t>. These relate in particular to:</w:t>
      </w:r>
    </w:p>
    <w:p>
      <w:pPr>
        <w:pStyle w:val="ListParagraph"/>
        <w:numPr>
          <w:ilvl w:val="0"/>
          <w:numId w:val="35"/>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impact that </w:t>
      </w:r>
      <w:r>
        <w:rPr>
          <w:rFonts w:ascii="Times New Roman" w:hAnsi="Times New Roman" w:cs="Times New Roman"/>
          <w:b/>
          <w:noProof/>
          <w:sz w:val="24"/>
          <w:szCs w:val="24"/>
        </w:rPr>
        <w:t>exposure</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to</w:t>
      </w:r>
      <w:r>
        <w:rPr>
          <w:rFonts w:ascii="Times New Roman" w:eastAsia="Times New Roman" w:hAnsi="Times New Roman" w:cs="Times New Roman"/>
          <w:noProof/>
          <w:sz w:val="24"/>
          <w:szCs w:val="24"/>
        </w:rPr>
        <w:t xml:space="preserve"> </w:t>
      </w:r>
      <w:r>
        <w:rPr>
          <w:rFonts w:ascii="Times New Roman" w:hAnsi="Times New Roman" w:cs="Times New Roman"/>
          <w:b/>
          <w:noProof/>
          <w:sz w:val="24"/>
          <w:szCs w:val="24"/>
        </w:rPr>
        <w:t>endocrine disruptors has on the development of diseases and on wildlife</w:t>
      </w:r>
      <w:r>
        <w:rPr>
          <w:rFonts w:ascii="Times New Roman" w:hAnsi="Times New Roman" w:cs="Times New Roman"/>
          <w:noProof/>
          <w:sz w:val="24"/>
          <w:szCs w:val="24"/>
        </w:rPr>
        <w:t>. In this context, there is limited understanding of the specific contribution of chemical exposure and the way to separate it from other possible causes of the negative impacts being investigated. Other factors are indeed also at play in the development of such endocrine-related disorders (such as genetics, nutrition, lifestyle, or other environmental factors) or impacts on wildlife (e.g. overexploitation, climate change);</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existing controversy as to whether and how certain toxicological principles, such as the “safe threshold” principle – </w:t>
      </w:r>
      <w:r>
        <w:rPr>
          <w:rFonts w:ascii="Times New Roman" w:hAnsi="Times New Roman" w:cs="Times New Roman"/>
          <w:noProof/>
          <w:sz w:val="24"/>
          <w:szCs w:val="24"/>
        </w:rPr>
        <w:t>i.e. the dose below which no adverse effect is expected to occur</w:t>
      </w:r>
      <w:r>
        <w:rPr>
          <w:rFonts w:ascii="Times New Roman" w:hAnsi="Times New Roman" w:cs="Times New Roman"/>
          <w:b/>
          <w:noProof/>
          <w:sz w:val="24"/>
          <w:szCs w:val="24"/>
        </w:rPr>
        <w:t xml:space="preserve"> – are applicable to assess the safety of endocrine disruptors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 share of scientists is of the view that a safe threshold cannot be established for endocrine disruptors; </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rPr>
        <w:t>fully understanding combined exposure</w:t>
      </w:r>
      <w:r>
        <w:rPr>
          <w:rFonts w:ascii="Times New Roman" w:eastAsia="Times New Roman" w:hAnsi="Times New Roman" w:cs="Times New Roman"/>
          <w:noProof/>
          <w:sz w:val="24"/>
          <w:szCs w:val="24"/>
        </w:rPr>
        <w:t xml:space="preserve"> ("mixture/cocktail effect")</w:t>
      </w:r>
      <w:r>
        <w:rPr>
          <w:rFonts w:ascii="Times New Roman" w:hAnsi="Times New Roman" w:cs="Times New Roman"/>
          <w:noProof/>
          <w:sz w:val="24"/>
          <w:szCs w:val="24"/>
        </w:rPr>
        <w:t>;</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eastAsia="Times New Roman" w:hAnsi="Times New Roman" w:cs="Times New Roman"/>
          <w:b/>
          <w:noProof/>
          <w:sz w:val="24"/>
          <w:szCs w:val="24"/>
        </w:rPr>
        <w:t>development of safer alternatives</w:t>
      </w:r>
      <w:r>
        <w:rPr>
          <w:rFonts w:ascii="Times New Roman" w:eastAsia="Times New Roman" w:hAnsi="Times New Roman" w:cs="Times New Roman"/>
          <w:noProof/>
          <w:sz w:val="24"/>
          <w:szCs w:val="24"/>
        </w:rPr>
        <w:t xml:space="preserve"> (including non-chemical approaches) to substitute endocrine disruptors;</w:t>
      </w:r>
    </w:p>
    <w:p>
      <w:pPr>
        <w:pStyle w:val="ListParagraph"/>
        <w:numPr>
          <w:ilvl w:val="0"/>
          <w:numId w:val="35"/>
        </w:numPr>
        <w:spacing w:before="120" w:after="120" w:line="240" w:lineRule="auto"/>
        <w:ind w:left="714" w:hanging="357"/>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mechanism</w:t>
      </w:r>
      <w:r>
        <w:rPr>
          <w:rFonts w:ascii="Times New Roman" w:eastAsia="Times New Roman" w:hAnsi="Times New Roman" w:cs="Times New Roman"/>
          <w:noProof/>
          <w:sz w:val="24"/>
          <w:szCs w:val="24"/>
        </w:rPr>
        <w:t xml:space="preserve"> of endocrine disruption.</w:t>
      </w:r>
    </w:p>
    <w:p>
      <w:pPr>
        <w:pStyle w:val="Heading2"/>
        <w:spacing w:before="0" w:line="240" w:lineRule="auto"/>
        <w:rPr>
          <w:rFonts w:cs="Times New Roman"/>
          <w:noProof/>
          <w:szCs w:val="24"/>
        </w:rPr>
      </w:pPr>
      <w:r>
        <w:rPr>
          <w:rFonts w:cs="Times New Roman"/>
          <w:noProof/>
          <w:szCs w:val="24"/>
        </w:rPr>
        <w:t xml:space="preserve">Testing and the extent to which the science is able to inform regulators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Another area where science has significantly progressed but needs to advance further is that related to the </w:t>
      </w:r>
      <w:r>
        <w:rPr>
          <w:rFonts w:ascii="Times New Roman" w:eastAsia="Times New Roman" w:hAnsi="Times New Roman" w:cs="Times New Roman"/>
          <w:b/>
          <w:noProof/>
          <w:sz w:val="24"/>
          <w:szCs w:val="24"/>
        </w:rPr>
        <w:t>development and validation of tests methods</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Reliable testing is indeed necessary </w:t>
      </w:r>
      <w:r>
        <w:rPr>
          <w:rFonts w:ascii="Times New Roman" w:hAnsi="Times New Roman" w:cs="Times New Roman"/>
          <w:noProof/>
          <w:sz w:val="24"/>
          <w:szCs w:val="24"/>
        </w:rPr>
        <w:t xml:space="preserve">to identify endocrine disruptors, taking account of the different ways in which endocrine disruptors can interfere with the endocrine system, and manage them appropriately. </w:t>
      </w:r>
      <w:r>
        <w:rPr>
          <w:rFonts w:ascii="Times New Roman" w:eastAsia="Times New Roman" w:hAnsi="Times New Roman" w:cs="Times New Roman"/>
          <w:bCs/>
          <w:noProof/>
          <w:sz w:val="24"/>
          <w:szCs w:val="24"/>
        </w:rPr>
        <w:t xml:space="preserve">The </w:t>
      </w:r>
      <w:r>
        <w:rPr>
          <w:rFonts w:ascii="Times New Roman" w:hAnsi="Times New Roman" w:cs="Times New Roman"/>
          <w:noProof/>
          <w:sz w:val="24"/>
          <w:szCs w:val="24"/>
        </w:rPr>
        <w:t xml:space="preserve">Organisation for Economic Co-operation and Development </w:t>
      </w:r>
      <w:r>
        <w:rPr>
          <w:rFonts w:ascii="Times New Roman" w:eastAsia="Times New Roman" w:hAnsi="Times New Roman" w:cs="Times New Roman"/>
          <w:bCs/>
          <w:noProof/>
          <w:sz w:val="24"/>
          <w:szCs w:val="24"/>
        </w:rPr>
        <w:t>is the leading recognised body for developing internationally agreed test guidelines</w:t>
      </w:r>
      <w:r>
        <w:rPr>
          <w:rStyle w:val="FootnoteReference"/>
          <w:rFonts w:ascii="Times New Roman" w:hAnsi="Times New Roman" w:cs="Times New Roman"/>
          <w:noProof/>
          <w:sz w:val="24"/>
          <w:szCs w:val="24"/>
        </w:rPr>
        <w:footnoteReference w:id="14"/>
      </w:r>
      <w:r>
        <w:rPr>
          <w:rFonts w:ascii="Times New Roman" w:eastAsia="Times New Roman" w:hAnsi="Times New Roman" w:cs="Times New Roman"/>
          <w:bCs/>
          <w:noProof/>
          <w:sz w:val="24"/>
          <w:szCs w:val="24"/>
        </w:rPr>
        <w:t>, which are transposed into relevant EU legislation as appropriate.</w:t>
      </w:r>
      <w:r>
        <w:rPr>
          <w:rFonts w:ascii="Times New Roman" w:hAnsi="Times New Roman" w:cs="Times New Roman"/>
          <w:noProof/>
          <w:sz w:val="24"/>
          <w:szCs w:val="24"/>
        </w:rPr>
        <w:t xml:space="preserve"> The European Food Safety Authority looked into existing test guidelines for endocrine disruptors in 2013. It concluded</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that a variety of tests were (or would soon be) available for </w:t>
      </w:r>
      <w:r>
        <w:rPr>
          <w:rFonts w:ascii="Times New Roman" w:eastAsia="Times New Roman" w:hAnsi="Times New Roman" w:cs="Times New Roman"/>
          <w:iCs/>
          <w:noProof/>
          <w:sz w:val="24"/>
          <w:szCs w:val="24"/>
          <w:lang w:eastAsia="fr-FR"/>
        </w:rPr>
        <w:t xml:space="preserve">certain </w:t>
      </w:r>
      <w:r>
        <w:rPr>
          <w:rFonts w:ascii="Times New Roman" w:hAnsi="Times New Roman" w:cs="Times New Roman"/>
          <w:noProof/>
          <w:sz w:val="24"/>
          <w:szCs w:val="24"/>
        </w:rPr>
        <w:t>endocrine modalities that can be affected by endocrine disruptors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in mammals and fish, with fewer tests available for birds and amphibians. The Authority also found that: tests covering other aspects of the endocrine system or other animal groups still needed to be developed and/or validated; that there are no suitable predictive</w:t>
      </w:r>
      <w:r>
        <w:rPr>
          <w:rFonts w:ascii="Times New Roman" w:eastAsia="Times New Roman" w:hAnsi="Times New Roman" w:cs="Times New Roman"/>
          <w:noProof/>
          <w:sz w:val="24"/>
          <w:szCs w:val="24"/>
        </w:rPr>
        <w:t xml:space="preserve"> models for some endocrine-related diseases such as certain hormonal cancers, or metabolic disorders/obesity and that </w:t>
      </w:r>
      <w:r>
        <w:rPr>
          <w:rFonts w:ascii="Times New Roman" w:hAnsi="Times New Roman" w:cs="Times New Roman"/>
          <w:noProof/>
          <w:sz w:val="24"/>
          <w:szCs w:val="24"/>
        </w:rPr>
        <w:t>no single study existed to assess the effects of exposure of mammals through the complete life cycle</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Furthermore, as in other fields of scientific research, also for endocrine disruptors there is the need to progress in the development of alternatives to animal testing: this would imply better reliance on existing data (and further using extrapolation techniques</w:t>
      </w:r>
      <w:r>
        <w:rPr>
          <w:rStyle w:val="FootnoteReference"/>
          <w:rFonts w:ascii="Times New Roman" w:eastAsia="Times New Roman" w:hAnsi="Times New Roman" w:cs="Times New Roman"/>
          <w:noProof/>
          <w:sz w:val="24"/>
          <w:szCs w:val="24"/>
        </w:rPr>
        <w:footnoteReference w:id="18"/>
      </w:r>
      <w:r>
        <w:rPr>
          <w:rFonts w:ascii="Times New Roman" w:eastAsia="Times New Roman" w:hAnsi="Times New Roman" w:cs="Times New Roman"/>
          <w:noProof/>
          <w:sz w:val="24"/>
          <w:szCs w:val="24"/>
        </w:rPr>
        <w:t xml:space="preserve">) and giving more weight to mathematical modelling and new </w:t>
      </w:r>
      <w:r>
        <w:rPr>
          <w:rFonts w:ascii="Times New Roman" w:eastAsia="Times New Roman" w:hAnsi="Times New Roman" w:cs="Times New Roman"/>
          <w:i/>
          <w:noProof/>
          <w:sz w:val="24"/>
          <w:szCs w:val="24"/>
        </w:rPr>
        <w:t>in vitro</w:t>
      </w:r>
      <w:r>
        <w:rPr>
          <w:rFonts w:ascii="Times New Roman" w:eastAsia="Times New Roman" w:hAnsi="Times New Roman" w:cs="Times New Roman"/>
          <w:noProof/>
          <w:sz w:val="24"/>
          <w:szCs w:val="24"/>
        </w:rPr>
        <w:t xml:space="preserve"> methods.</w:t>
      </w:r>
    </w:p>
    <w:p>
      <w:pPr>
        <w:pStyle w:val="Heading1"/>
        <w:spacing w:before="360" w:after="120" w:line="240" w:lineRule="auto"/>
        <w:rPr>
          <w:rFonts w:cs="Times New Roman"/>
          <w:caps/>
          <w:noProof/>
          <w:sz w:val="24"/>
          <w:szCs w:val="24"/>
        </w:rPr>
      </w:pPr>
      <w:r>
        <w:rPr>
          <w:rFonts w:cs="Times New Roman"/>
          <w:caps/>
          <w:noProof/>
          <w:sz w:val="24"/>
          <w:szCs w:val="24"/>
        </w:rPr>
        <w:t>2. EU policy and REGULATION OF endocrine disruptors SO FAR</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Following the Community Strategy of 1999, the EU has developed a policy response to endocrine disruptors that is focused on </w:t>
      </w:r>
      <w:r>
        <w:rPr>
          <w:rFonts w:ascii="Times New Roman" w:hAnsi="Times New Roman" w:cs="Times New Roman"/>
          <w:b/>
          <w:noProof/>
          <w:sz w:val="24"/>
          <w:szCs w:val="24"/>
        </w:rPr>
        <w:t>promoting scientific research</w:t>
      </w:r>
      <w:r>
        <w:rPr>
          <w:rFonts w:ascii="Times New Roman" w:hAnsi="Times New Roman" w:cs="Times New Roman"/>
          <w:noProof/>
          <w:sz w:val="24"/>
          <w:szCs w:val="24"/>
        </w:rPr>
        <w:t xml:space="preserve">, effectively </w:t>
      </w:r>
      <w:r>
        <w:rPr>
          <w:rFonts w:ascii="Times New Roman" w:hAnsi="Times New Roman" w:cs="Times New Roman"/>
          <w:b/>
          <w:noProof/>
          <w:sz w:val="24"/>
          <w:szCs w:val="24"/>
        </w:rPr>
        <w:t xml:space="preserve">regulating endocrine disruptors </w:t>
      </w:r>
      <w:r>
        <w:rPr>
          <w:rFonts w:ascii="Times New Roman" w:hAnsi="Times New Roman" w:cs="Times New Roman"/>
          <w:noProof/>
          <w:sz w:val="24"/>
          <w:szCs w:val="24"/>
        </w:rPr>
        <w:t xml:space="preserve">and developing </w:t>
      </w:r>
      <w:r>
        <w:rPr>
          <w:rFonts w:ascii="Times New Roman" w:hAnsi="Times New Roman" w:cs="Times New Roman"/>
          <w:b/>
          <w:noProof/>
          <w:sz w:val="24"/>
          <w:szCs w:val="24"/>
        </w:rPr>
        <w:t>international cooperation</w:t>
      </w:r>
      <w:r>
        <w:rPr>
          <w:rFonts w:ascii="Times New Roman" w:hAnsi="Times New Roman" w:cs="Times New Roman"/>
          <w:noProof/>
          <w:sz w:val="24"/>
          <w:szCs w:val="24"/>
        </w:rPr>
        <w:t xml:space="preserve"> in the field.</w:t>
      </w:r>
    </w:p>
    <w:p>
      <w:pPr>
        <w:pStyle w:val="Heading2"/>
        <w:spacing w:before="0" w:after="120" w:line="240" w:lineRule="auto"/>
        <w:rPr>
          <w:rFonts w:cs="Times New Roman"/>
          <w:noProof/>
          <w:szCs w:val="24"/>
        </w:rPr>
      </w:pPr>
      <w:r>
        <w:rPr>
          <w:rFonts w:cs="Times New Roman"/>
          <w:noProof/>
          <w:szCs w:val="24"/>
        </w:rPr>
        <w:t>EU research and development of test guidelines on endocrine disruptors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1999, the European Union's Framework Programmes for </w:t>
      </w:r>
      <w:r>
        <w:rPr>
          <w:rFonts w:ascii="Times New Roman" w:eastAsia="Times New Roman" w:hAnsi="Times New Roman" w:cs="Times New Roman"/>
          <w:noProof/>
          <w:sz w:val="24"/>
          <w:szCs w:val="24"/>
        </w:rPr>
        <w:t>Research and Technological Development</w:t>
      </w:r>
      <w:r>
        <w:rPr>
          <w:rFonts w:ascii="Times New Roman" w:hAnsi="Times New Roman" w:cs="Times New Roman"/>
          <w:noProof/>
          <w:sz w:val="24"/>
          <w:szCs w:val="24"/>
        </w:rPr>
        <w:t xml:space="preserve"> have been key instruments for supporting scientific progress in the field of endocrine disruptors. Over 50 multinational collaborative projects have been funded, receiving over €150 million from the EU. These projects aim to improve understanding of the endocrine mechanism of action, to identify adverse effects on human health and wildlife from exposure to endocrine disruptors, and to develop tools for identification of endocrine disruptors and exposure assessment. A further €52 million has been allocated</w:t>
      </w:r>
      <w:r>
        <w:rPr>
          <w:rFonts w:ascii="Times New Roman" w:hAnsi="Times New Roman" w:cs="Times New Roman"/>
          <w:b/>
          <w:noProof/>
          <w:sz w:val="24"/>
          <w:szCs w:val="24"/>
        </w:rPr>
        <w:t xml:space="preserve"> </w:t>
      </w:r>
      <w:r>
        <w:rPr>
          <w:rFonts w:ascii="Times New Roman" w:hAnsi="Times New Roman" w:cs="Times New Roman"/>
          <w:noProof/>
          <w:sz w:val="24"/>
          <w:szCs w:val="24"/>
        </w:rPr>
        <w:t>under Horizon 2020 for projects on new testing methods for endocrine disruptors, to be attributed by the end of the year.</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research funded under Horizon 2020, a special effort was made in recent years to further improve the availability of test guidelines for identification of endocrine disruptors and address the testing weaknesses identified at EU and international level, under the auspices of the Organisation for Economic Co-operation and Development. More authoritative testing is an important way to improve the effectiveness of control. The European Commission has funded several activities focusing on identifying gaps in test guidelines, on identifying possible ways to fill in these gaps, on setting priorities for further development of test guidelines, and on enhancing existing test guidelines or designing new ones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w:t>
      </w:r>
    </w:p>
    <w:p>
      <w:pPr>
        <w:pStyle w:val="Heading2"/>
        <w:spacing w:before="0" w:after="120" w:line="240" w:lineRule="auto"/>
        <w:rPr>
          <w:rFonts w:cs="Times New Roman"/>
          <w:noProof/>
          <w:szCs w:val="24"/>
        </w:rPr>
      </w:pPr>
      <w:r>
        <w:rPr>
          <w:rFonts w:cs="Times New Roman"/>
          <w:noProof/>
          <w:szCs w:val="24"/>
        </w:rPr>
        <w:t xml:space="preserve">How EU legislation addresses endocrine disruptors </w:t>
      </w:r>
    </w:p>
    <w:p>
      <w:pPr>
        <w:spacing w:after="120" w:line="240" w:lineRule="auto"/>
        <w:jc w:val="both"/>
        <w:rPr>
          <w:rFonts w:ascii="Times New Roman" w:eastAsia="Times New Roman" w:hAnsi="Times New Roman" w:cs="Times New Roman"/>
          <w:iCs/>
          <w:noProof/>
          <w:sz w:val="24"/>
          <w:szCs w:val="24"/>
          <w:lang w:eastAsia="fr-FR"/>
        </w:rPr>
      </w:pPr>
      <w:r>
        <w:rPr>
          <w:rFonts w:ascii="Times New Roman" w:eastAsia="Times New Roman" w:hAnsi="Times New Roman" w:cs="Times New Roman"/>
          <w:iCs/>
          <w:noProof/>
          <w:sz w:val="24"/>
          <w:szCs w:val="24"/>
          <w:lang w:eastAsia="fr-FR"/>
        </w:rPr>
        <w:t xml:space="preserve">In parallel with scientific progress, in the past decades the EU has progressively updated its body of laws regulating chemicals, with the aim of ensuring a high level of protection of </w:t>
      </w:r>
      <w:r>
        <w:rPr>
          <w:rFonts w:ascii="Times New Roman" w:hAnsi="Times New Roman" w:cs="Times New Roman"/>
          <w:noProof/>
          <w:sz w:val="24"/>
          <w:szCs w:val="24"/>
        </w:rPr>
        <w:t xml:space="preserve"> </w:t>
      </w:r>
      <w:r>
        <w:rPr>
          <w:rFonts w:ascii="Times New Roman" w:eastAsia="Times New Roman" w:hAnsi="Times New Roman" w:cs="Times New Roman"/>
          <w:iCs/>
          <w:noProof/>
          <w:sz w:val="24"/>
          <w:szCs w:val="24"/>
          <w:lang w:eastAsia="fr-FR"/>
        </w:rPr>
        <w:t>human health, animal health and the environment, while ensuring the smooth functioning of the internal market. EU legislation is today recognised as among the most protective in the world and applies to all chemical substances, including those with endocrine disrupting properties.</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iCs/>
          <w:noProof/>
          <w:sz w:val="24"/>
          <w:szCs w:val="24"/>
          <w:lang w:eastAsia="fr-FR"/>
        </w:rPr>
        <w:t xml:space="preserve">The EU approach is based on high-level scientific advice </w:t>
      </w:r>
      <w:r>
        <w:rPr>
          <w:rFonts w:ascii="Times New Roman" w:hAnsi="Times New Roman" w:cs="Times New Roman"/>
          <w:noProof/>
          <w:sz w:val="24"/>
          <w:szCs w:val="24"/>
        </w:rPr>
        <w:t xml:space="preserve">from the relevant EU risk assessment bodies, such as the European Chemicals Agency, the European Food Safety Authority or the Scientific Committee on Consumer Safety, and risk management decisions taken by the Commission, in agreement with Member States. When scientific evaluation cannot conclude with sufficient certainty, the Commission is guided by the so-called </w:t>
      </w:r>
      <w:r>
        <w:rPr>
          <w:rFonts w:ascii="Times New Roman" w:hAnsi="Times New Roman" w:cs="Times New Roman"/>
          <w:i/>
          <w:noProof/>
          <w:sz w:val="24"/>
          <w:szCs w:val="24"/>
        </w:rPr>
        <w:t>precautionary principle</w:t>
      </w:r>
      <w:r>
        <w:rPr>
          <w:rFonts w:ascii="Times New Roman" w:hAnsi="Times New Roman" w:cs="Times New Roman"/>
          <w:noProof/>
          <w:sz w:val="24"/>
          <w:szCs w:val="24"/>
        </w:rPr>
        <w:t xml:space="preserve"> to take protective measures for its citizens and the environment. Enforcement of legislation is carried out by the Member States, and the Commission facilitates exchange of information between national competent authorities to improve their enforcement activities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59776" behindDoc="1" locked="0" layoutInCell="1" allowOverlap="1">
                <wp:simplePos x="0" y="0"/>
                <wp:positionH relativeFrom="column">
                  <wp:posOffset>-147320</wp:posOffset>
                </wp:positionH>
                <wp:positionV relativeFrom="paragraph">
                  <wp:posOffset>1616710</wp:posOffset>
                </wp:positionV>
                <wp:extent cx="6029325" cy="23145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29325" cy="23145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D5E67D" id="Rectangle 2" o:spid="_x0000_s1026" style="position:absolute;margin-left:-11.6pt;margin-top:127.3pt;width:474.75pt;height:18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" fillcolor="white [3212]" strokecolor="black [3213]" strokeweight="1pt"/>
            </w:pict>
          </mc:Fallback>
        </mc:AlternateContent>
      </w:r>
      <w:r>
        <w:rPr>
          <w:rFonts w:ascii="Times New Roman" w:hAnsi="Times New Roman" w:cs="Times New Roman"/>
          <w:noProof/>
          <w:sz w:val="24"/>
          <w:szCs w:val="24"/>
        </w:rPr>
        <w:t>Over recent years, the Commission has taken action against endocrine disruptors in line with the different requirements laid down in the relevant legislation. Specific provisions on how to address endocrine disruptors are now included in the legislation on pesticides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and biocides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chemicals in general ("REACH Regulation")</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medical devices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and water</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These requirements vary depending on the specific legislation. Other legislation, such as that on food contact materials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cosmetics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toys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or protecting workers at the workplace</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does not contain specific provisions for endocrine disruptors. However, substances with endocrine disrupting properties are subject to case-by-case regulatory action on the basis of the general requirements of the legislation.   </w:t>
      </w:r>
    </w:p>
    <w:p>
      <w:pPr>
        <w:spacing w:before="120" w:after="120" w:line="240" w:lineRule="auto"/>
        <w:jc w:val="center"/>
        <w:rPr>
          <w:rFonts w:ascii="Times New Roman" w:hAnsi="Times New Roman" w:cs="Times New Roman"/>
          <w:b/>
          <w:i/>
          <w:noProof/>
          <w:sz w:val="24"/>
          <w:szCs w:val="24"/>
        </w:rPr>
      </w:pPr>
      <w:r>
        <w:rPr>
          <w:rFonts w:ascii="Times New Roman" w:hAnsi="Times New Roman" w:cs="Times New Roman"/>
          <w:b/>
          <w:i/>
          <w:noProof/>
          <w:sz w:val="24"/>
          <w:szCs w:val="24"/>
        </w:rPr>
        <w:t>Regulating endocrine disruptors: a few examples</w:t>
      </w:r>
    </w:p>
    <w:p>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recently established </w:t>
      </w:r>
      <w:r>
        <w:rPr>
          <w:rFonts w:ascii="Times New Roman" w:hAnsi="Times New Roman" w:cs="Times New Roman"/>
          <w:b/>
          <w:noProof/>
          <w:sz w:val="24"/>
          <w:szCs w:val="24"/>
        </w:rPr>
        <w:t>criteria for identifying endocrine disruptors under the legislation on pesticides and biocides</w:t>
      </w:r>
      <w:r>
        <w:rPr>
          <w:rFonts w:ascii="Times New Roman" w:hAnsi="Times New Roman" w:cs="Times New Roman"/>
          <w:noProof/>
          <w:sz w:val="24"/>
          <w:szCs w:val="24"/>
        </w:rPr>
        <w:t>, based on the definition of the World Health Organisation</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This development constitutes a milestone, as criteria to identify endocrine disruptors had never been set before in a regulatory context. In principle, no identified endocrine disruptor will be allowed to be used in these product categories in the future, except when very limited derogation possibilities apply.</w:t>
      </w:r>
    </w:p>
    <w:p>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w:t>
      </w:r>
      <w:r>
        <w:rPr>
          <w:rFonts w:ascii="Times New Roman" w:hAnsi="Times New Roman" w:cs="Times New Roman"/>
          <w:b/>
          <w:noProof/>
          <w:sz w:val="24"/>
          <w:szCs w:val="24"/>
        </w:rPr>
        <w:t>REACH</w:t>
      </w:r>
      <w:r>
        <w:rPr>
          <w:rFonts w:ascii="Times New Roman" w:hAnsi="Times New Roman" w:cs="Times New Roman"/>
          <w:noProof/>
          <w:sz w:val="24"/>
          <w:szCs w:val="24"/>
        </w:rPr>
        <w:t xml:space="preserve">, </w:t>
      </w:r>
      <w:r>
        <w:rPr>
          <w:rFonts w:ascii="Times New Roman" w:hAnsi="Times New Roman" w:cs="Times New Roman"/>
          <w:noProof/>
          <w:color w:val="000000" w:themeColor="text1"/>
          <w:sz w:val="24"/>
          <w:szCs w:val="24"/>
        </w:rPr>
        <w:t>two endocrine disruptors have been placed in the list of substances requiring a specific authorisation to be placed on the market</w:t>
      </w:r>
      <w:r>
        <w:rPr>
          <w:rStyle w:val="FootnoteReference"/>
          <w:rFonts w:ascii="Times New Roman" w:hAnsi="Times New Roman" w:cs="Times New Roman"/>
          <w:noProof/>
          <w:sz w:val="24"/>
          <w:szCs w:val="24"/>
        </w:rPr>
        <w:footnoteReference w:id="31"/>
      </w:r>
      <w:r>
        <w:rPr>
          <w:rFonts w:ascii="Times New Roman" w:hAnsi="Times New Roman" w:cs="Times New Roman"/>
          <w:noProof/>
          <w:color w:val="000000" w:themeColor="text1"/>
          <w:sz w:val="24"/>
          <w:szCs w:val="24"/>
        </w:rPr>
        <w:t xml:space="preserve">. Another 13 substances have been identified as endocrine disruptors and are included in the </w:t>
      </w:r>
      <w:r>
        <w:rPr>
          <w:rFonts w:ascii="Times New Roman" w:hAnsi="Times New Roman" w:cs="Times New Roman"/>
          <w:i/>
          <w:noProof/>
          <w:color w:val="000000" w:themeColor="text1"/>
          <w:sz w:val="24"/>
          <w:szCs w:val="24"/>
        </w:rPr>
        <w:t>Candidate list</w:t>
      </w:r>
      <w:r>
        <w:rPr>
          <w:rFonts w:ascii="Times New Roman" w:hAnsi="Times New Roman" w:cs="Times New Roman"/>
          <w:noProof/>
          <w:color w:val="000000" w:themeColor="text1"/>
          <w:sz w:val="24"/>
          <w:szCs w:val="24"/>
        </w:rPr>
        <w:t xml:space="preserve"> of substances for possible inclusion in the authorisation list in the future</w:t>
      </w:r>
      <w:r>
        <w:rPr>
          <w:rStyle w:val="FootnoteReference"/>
          <w:rFonts w:ascii="Times New Roman" w:hAnsi="Times New Roman" w:cs="Times New Roman"/>
          <w:noProof/>
          <w:color w:val="000000" w:themeColor="text1"/>
          <w:sz w:val="24"/>
          <w:szCs w:val="24"/>
        </w:rPr>
        <w:footnoteReference w:id="32"/>
      </w:r>
      <w:r>
        <w:rPr>
          <w:rFonts w:ascii="Times New Roman" w:hAnsi="Times New Roman" w:cs="Times New Roman"/>
          <w:noProof/>
          <w:color w:val="000000" w:themeColor="text1"/>
          <w:sz w:val="24"/>
          <w:szCs w:val="24"/>
        </w:rPr>
        <w:t xml:space="preserve">. Substances </w:t>
      </w:r>
      <w:r>
        <w:rPr>
          <w:rFonts w:ascii="Times New Roman" w:hAnsi="Times New Roman" w:cs="Times New Roman"/>
          <w:noProof/>
          <w:sz w:val="24"/>
          <w:szCs w:val="24"/>
          <w:lang w:eastAsia="en-GB"/>
        </w:rPr>
        <mc:AlternateContent>
          <mc:Choice Requires="wps">
            <w:drawing>
              <wp:anchor distT="0" distB="0" distL="114300" distR="114300" simplePos="0" relativeHeight="251655680" behindDoc="1" locked="0" layoutInCell="1" allowOverlap="1">
                <wp:simplePos x="0" y="0"/>
                <wp:positionH relativeFrom="column">
                  <wp:posOffset>-118745</wp:posOffset>
                </wp:positionH>
                <wp:positionV relativeFrom="paragraph">
                  <wp:posOffset>-4445</wp:posOffset>
                </wp:positionV>
                <wp:extent cx="6010275" cy="3905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010275" cy="39052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C526645" id="Rectangle 5" o:spid="_x0000_s1026" style="position:absolute;margin-left:-9.35pt;margin-top:-.35pt;width:473.2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" fillcolor="white [3212]" strokecolor="black [3213]" strokeweight="1pt"/>
            </w:pict>
          </mc:Fallback>
        </mc:AlternateContent>
      </w:r>
      <w:r>
        <w:rPr>
          <w:rFonts w:ascii="Times New Roman" w:hAnsi="Times New Roman" w:cs="Times New Roman"/>
          <w:noProof/>
          <w:color w:val="000000" w:themeColor="text1"/>
          <w:sz w:val="24"/>
          <w:szCs w:val="24"/>
        </w:rPr>
        <w:t xml:space="preserve">with </w:t>
      </w:r>
      <w:r>
        <w:rPr>
          <w:rFonts w:ascii="Times New Roman" w:hAnsi="Times New Roman" w:cs="Times New Roman"/>
          <w:noProof/>
          <w:sz w:val="24"/>
          <w:szCs w:val="24"/>
        </w:rPr>
        <w:t>endocrine disrupting properties are also subject to restrictions</w:t>
      </w:r>
      <w:r>
        <w:rPr>
          <w:rStyle w:val="FootnoteReference"/>
          <w:rFonts w:ascii="Times New Roman" w:hAnsi="Times New Roman" w:cs="Times New Roman"/>
          <w:noProof/>
          <w:color w:val="000000" w:themeColor="text1"/>
          <w:sz w:val="24"/>
          <w:szCs w:val="24"/>
        </w:rPr>
        <w:footnoteReference w:id="33"/>
      </w:r>
      <w:r>
        <w:rPr>
          <w:rFonts w:ascii="Times New Roman" w:hAnsi="Times New Roman" w:cs="Times New Roman"/>
          <w:noProof/>
          <w:color w:val="000000" w:themeColor="text1"/>
          <w:sz w:val="24"/>
          <w:szCs w:val="24"/>
        </w:rPr>
        <w:t xml:space="preserve">. For example, </w:t>
      </w:r>
      <w:r>
        <w:rPr>
          <w:rFonts w:ascii="Times New Roman" w:hAnsi="Times New Roman" w:cs="Times New Roman"/>
          <w:noProof/>
          <w:sz w:val="24"/>
          <w:szCs w:val="24"/>
        </w:rPr>
        <w:t>the Commission has recently obtained Member States' support</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on a proposal to </w:t>
      </w:r>
      <w:r>
        <w:rPr>
          <w:rFonts w:ascii="Times New Roman" w:hAnsi="Times New Roman" w:cs="Times New Roman"/>
          <w:b/>
          <w:noProof/>
          <w:sz w:val="24"/>
          <w:szCs w:val="24"/>
        </w:rPr>
        <w:t>forbid the presence of four phthalates</w:t>
      </w:r>
      <w:r>
        <w:rPr>
          <w:rFonts w:ascii="Times New Roman" w:hAnsi="Times New Roman" w:cs="Times New Roman"/>
          <w:noProof/>
          <w:sz w:val="24"/>
          <w:szCs w:val="24"/>
        </w:rPr>
        <w:t xml:space="preserve"> – </w:t>
      </w:r>
      <w:r>
        <w:rPr>
          <w:rFonts w:ascii="Times New Roman" w:hAnsi="Times New Roman" w:cs="Times New Roman"/>
          <w:noProof/>
          <w:color w:val="000000" w:themeColor="text1"/>
          <w:sz w:val="24"/>
          <w:szCs w:val="24"/>
        </w:rPr>
        <w:t>chemicals broadly used to make plastics softer</w:t>
      </w:r>
      <w:r>
        <w:rPr>
          <w:rStyle w:val="FootnoteReference"/>
          <w:rFonts w:ascii="Times New Roman" w:hAnsi="Times New Roman" w:cs="Times New Roman"/>
          <w:noProof/>
          <w:color w:val="000000" w:themeColor="text1"/>
          <w:sz w:val="24"/>
          <w:szCs w:val="24"/>
        </w:rPr>
        <w:footnoteReference w:id="35"/>
      </w:r>
      <w:r>
        <w:rPr>
          <w:rFonts w:ascii="Times New Roman" w:hAnsi="Times New Roman" w:cs="Times New Roman"/>
          <w:noProof/>
          <w:sz w:val="24"/>
          <w:szCs w:val="24"/>
        </w:rPr>
        <w:t>-</w:t>
      </w:r>
      <w:r>
        <w:rPr>
          <w:rFonts w:ascii="Times New Roman" w:hAnsi="Times New Roman" w:cs="Times New Roman"/>
          <w:noProof/>
          <w:color w:val="000000" w:themeColor="text1"/>
          <w:sz w:val="24"/>
          <w:szCs w:val="24"/>
        </w:rPr>
        <w:t xml:space="preserve"> in a variety of everyday products at levels of 0.1% or higher. Furthermore, </w:t>
      </w:r>
      <w:r>
        <w:rPr>
          <w:rFonts w:ascii="Times New Roman" w:hAnsi="Times New Roman" w:cs="Times New Roman"/>
          <w:noProof/>
          <w:sz w:val="24"/>
          <w:szCs w:val="24"/>
        </w:rPr>
        <w:t>more than 80 chemical substances are currently being evaluated due to concerns on their potential endocrine disrupting properties.</w:t>
      </w:r>
    </w:p>
    <w:p>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iCs/>
          <w:noProof/>
          <w:sz w:val="24"/>
          <w:szCs w:val="24"/>
          <w:lang w:eastAsia="fr-FR"/>
        </w:rPr>
        <w:t xml:space="preserve">Under the legislation on </w:t>
      </w:r>
      <w:r>
        <w:rPr>
          <w:rFonts w:ascii="Times New Roman" w:eastAsia="Times New Roman" w:hAnsi="Times New Roman" w:cs="Times New Roman"/>
          <w:b/>
          <w:iCs/>
          <w:noProof/>
          <w:sz w:val="24"/>
          <w:szCs w:val="24"/>
          <w:lang w:eastAsia="fr-FR"/>
        </w:rPr>
        <w:t>water</w:t>
      </w:r>
      <w:r>
        <w:rPr>
          <w:rFonts w:ascii="Times New Roman" w:eastAsia="Times New Roman" w:hAnsi="Times New Roman" w:cs="Times New Roman"/>
          <w:iCs/>
          <w:noProof/>
          <w:sz w:val="24"/>
          <w:szCs w:val="24"/>
          <w:lang w:eastAsia="fr-FR"/>
        </w:rPr>
        <w:t xml:space="preserve">, the Commission has </w:t>
      </w:r>
      <w:r>
        <w:rPr>
          <w:rFonts w:ascii="Times New Roman" w:eastAsia="Times New Roman" w:hAnsi="Times New Roman" w:cs="Times New Roman"/>
          <w:b/>
          <w:iCs/>
          <w:noProof/>
          <w:sz w:val="24"/>
          <w:szCs w:val="24"/>
          <w:lang w:eastAsia="fr-FR"/>
        </w:rPr>
        <w:t>included several endocrine disruptors</w:t>
      </w:r>
      <w:r>
        <w:rPr>
          <w:rStyle w:val="FootnoteReference"/>
          <w:rFonts w:ascii="Times New Roman" w:hAnsi="Times New Roman" w:cs="Times New Roman"/>
          <w:b/>
          <w:noProof/>
          <w:sz w:val="24"/>
          <w:szCs w:val="24"/>
        </w:rPr>
        <w:footnoteReference w:id="36"/>
      </w:r>
      <w:r>
        <w:rPr>
          <w:rFonts w:ascii="Times New Roman" w:eastAsia="Times New Roman" w:hAnsi="Times New Roman" w:cs="Times New Roman"/>
          <w:b/>
          <w:iCs/>
          <w:noProof/>
          <w:sz w:val="24"/>
          <w:szCs w:val="24"/>
          <w:lang w:eastAsia="fr-FR"/>
        </w:rPr>
        <w:t xml:space="preserve"> in the list of “priority </w:t>
      </w:r>
      <w:r>
        <w:rPr>
          <w:rFonts w:ascii="Times New Roman" w:hAnsi="Times New Roman" w:cs="Times New Roman"/>
          <w:b/>
          <w:noProof/>
          <w:sz w:val="24"/>
          <w:szCs w:val="24"/>
        </w:rPr>
        <w:t>substances” of particular concern</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for which environmental quality standards and emission controls apply. Furthermore, the Commission has included three endocrine disruptors in the "watch list" of substances for which Union-wide monitoring data should be gathered</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w:t>
      </w:r>
    </w:p>
    <w:p>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Due to concerns of endocrine disruption, the chemical </w:t>
      </w:r>
      <w:r>
        <w:rPr>
          <w:rFonts w:ascii="Times New Roman" w:hAnsi="Times New Roman" w:cs="Times New Roman"/>
          <w:b/>
          <w:noProof/>
          <w:sz w:val="24"/>
          <w:szCs w:val="24"/>
        </w:rPr>
        <w:t>bisphenol A is banned from use in baby bottles and other containers for foods for infants and young children</w:t>
      </w:r>
      <w:r>
        <w:rPr>
          <w:rFonts w:ascii="Times New Roman" w:hAnsi="Times New Roman" w:cs="Times New Roman"/>
          <w:noProof/>
          <w:sz w:val="24"/>
          <w:szCs w:val="24"/>
        </w:rPr>
        <w:t>, and very low migration limits are set for other food contact materials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Bisphenol A is also </w:t>
      </w:r>
      <w:r>
        <w:rPr>
          <w:rFonts w:ascii="Times New Roman" w:hAnsi="Times New Roman" w:cs="Times New Roman"/>
          <w:b/>
          <w:noProof/>
          <w:sz w:val="24"/>
          <w:szCs w:val="24"/>
        </w:rPr>
        <w:t>subject to limit values in toys</w:t>
      </w:r>
      <w:r>
        <w:rPr>
          <w:rFonts w:ascii="Times New Roman" w:hAnsi="Times New Roman" w:cs="Times New Roman"/>
          <w:noProof/>
          <w:sz w:val="24"/>
          <w:szCs w:val="24"/>
        </w:rPr>
        <w:t xml:space="preserve"> for young children under 36 months or intended to be placed in the mouth</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and </w:t>
      </w:r>
      <w:r>
        <w:rPr>
          <w:rFonts w:ascii="Times New Roman" w:hAnsi="Times New Roman" w:cs="Times New Roman"/>
          <w:b/>
          <w:noProof/>
          <w:sz w:val="24"/>
          <w:szCs w:val="24"/>
        </w:rPr>
        <w:t>paper</w:t>
      </w:r>
      <w:r>
        <w:rPr>
          <w:rFonts w:ascii="Times New Roman" w:hAnsi="Times New Roman" w:cs="Times New Roman"/>
          <w:noProof/>
          <w:sz w:val="24"/>
          <w:szCs w:val="24"/>
        </w:rPr>
        <w:t xml:space="preserve"> used in receipts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w:t>
      </w:r>
      <w:r>
        <w:rPr>
          <w:rFonts w:ascii="Times New Roman" w:eastAsia="Times New Roman" w:hAnsi="Times New Roman" w:cs="Times New Roman"/>
          <w:noProof/>
          <w:color w:val="000000"/>
          <w:sz w:val="24"/>
          <w:szCs w:val="24"/>
          <w:lang w:eastAsia="en-GB"/>
        </w:rPr>
        <w:t xml:space="preserve"> Very low </w:t>
      </w:r>
      <w:r>
        <w:rPr>
          <w:rFonts w:ascii="Times New Roman" w:hAnsi="Times New Roman" w:cs="Times New Roman"/>
          <w:noProof/>
          <w:sz w:val="24"/>
          <w:szCs w:val="24"/>
        </w:rPr>
        <w:t xml:space="preserve">limits for bisphenol A have also been set to </w:t>
      </w:r>
      <w:r>
        <w:rPr>
          <w:rFonts w:ascii="Times New Roman" w:hAnsi="Times New Roman" w:cs="Times New Roman"/>
          <w:b/>
          <w:noProof/>
          <w:sz w:val="24"/>
          <w:szCs w:val="24"/>
        </w:rPr>
        <w:t>protect workers from exposure</w:t>
      </w:r>
      <w:r>
        <w:rPr>
          <w:rFonts w:ascii="Times New Roman" w:hAnsi="Times New Roman" w:cs="Times New Roman"/>
          <w:noProof/>
          <w:sz w:val="24"/>
          <w:szCs w:val="24"/>
        </w:rPr>
        <w:t xml:space="preserve"> through inhalable dust</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t>
      </w:r>
    </w:p>
    <w:p>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the legislation on </w:t>
      </w:r>
      <w:r>
        <w:rPr>
          <w:rFonts w:ascii="Times New Roman" w:hAnsi="Times New Roman" w:cs="Times New Roman"/>
          <w:b/>
          <w:noProof/>
          <w:sz w:val="24"/>
          <w:szCs w:val="24"/>
        </w:rPr>
        <w:t>cosmetics,</w:t>
      </w:r>
      <w:r>
        <w:rPr>
          <w:rFonts w:ascii="Times New Roman" w:hAnsi="Times New Roman" w:cs="Times New Roman"/>
          <w:noProof/>
          <w:sz w:val="24"/>
          <w:szCs w:val="24"/>
        </w:rPr>
        <w:t xml:space="preserve"> specific restrictions or bans have been set on a number of preservatives with endocrine disrupting properties, in particular to protect infants and young children</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In addition, a substance used in sunscreens as a </w:t>
      </w:r>
      <w:r>
        <w:rPr>
          <w:rFonts w:ascii="Times New Roman" w:hAnsi="Times New Roman" w:cs="Times New Roman"/>
          <w:b/>
          <w:noProof/>
          <w:sz w:val="24"/>
          <w:szCs w:val="24"/>
        </w:rPr>
        <w:t>filter for ultraviolet radiation</w:t>
      </w:r>
      <w:r>
        <w:rPr>
          <w:rFonts w:ascii="Times New Roman" w:hAnsi="Times New Roman" w:cs="Times New Roman"/>
          <w:noProof/>
          <w:sz w:val="24"/>
          <w:szCs w:val="24"/>
        </w:rPr>
        <w:t xml:space="preserve"> </w:t>
      </w:r>
      <w:r>
        <w:rPr>
          <w:rFonts w:ascii="Times New Roman" w:hAnsi="Times New Roman" w:cs="Times New Roman"/>
          <w:b/>
          <w:noProof/>
          <w:sz w:val="24"/>
          <w:szCs w:val="24"/>
        </w:rPr>
        <w:t>has also been banned</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taking into account in particular its potential endocrine disrupting properties.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realise the full potential of EU legislation that is relevant for endocrine disruptors, the Commission is currently working on actions in a number of areas. These include:</w:t>
      </w:r>
    </w:p>
    <w:p>
      <w:pPr>
        <w:pStyle w:val="ListParagraph"/>
        <w:numPr>
          <w:ilvl w:val="0"/>
          <w:numId w:val="47"/>
        </w:numPr>
        <w:spacing w:after="120" w:line="240" w:lineRule="auto"/>
        <w:ind w:left="714" w:hanging="357"/>
        <w:jc w:val="both"/>
        <w:rPr>
          <w:rFonts w:ascii="Times New Roman" w:eastAsiaTheme="majorEastAsia" w:hAnsi="Times New Roman" w:cs="Times New Roman"/>
          <w:b/>
          <w:bCs/>
          <w:noProof/>
          <w:sz w:val="24"/>
          <w:szCs w:val="24"/>
          <w:u w:val="single"/>
        </w:rPr>
      </w:pPr>
      <w:r>
        <w:rPr>
          <w:rFonts w:ascii="Times New Roman" w:hAnsi="Times New Roman" w:cs="Times New Roman"/>
          <w:noProof/>
          <w:sz w:val="24"/>
          <w:szCs w:val="24"/>
        </w:rPr>
        <w:t xml:space="preserve">aiming to develop a horizontal approach for the identification of endocrine disruptors across EU legislation building on the criteria developed for pesticides and biocides; </w:t>
      </w:r>
    </w:p>
    <w:p>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cs="Times New Roman"/>
          <w:noProof/>
          <w:sz w:val="24"/>
          <w:szCs w:val="24"/>
        </w:rPr>
        <w:t xml:space="preserve">updating data requirements in the different legislative frameworks to improve identification of </w:t>
      </w:r>
      <w:r>
        <w:rPr>
          <w:rFonts w:ascii="Times New Roman" w:hAnsi="Times New Roman" w:cs="Times New Roman"/>
          <w:bCs/>
          <w:noProof/>
          <w:sz w:val="24"/>
          <w:szCs w:val="24"/>
        </w:rPr>
        <w:t>endocrine disruptors</w:t>
      </w:r>
      <w:r>
        <w:rPr>
          <w:rFonts w:ascii="Times New Roman" w:hAnsi="Times New Roman" w:cs="Times New Roman"/>
          <w:noProof/>
          <w:sz w:val="24"/>
          <w:szCs w:val="24"/>
        </w:rPr>
        <w:t xml:space="preserve">;  </w:t>
      </w:r>
    </w:p>
    <w:p>
      <w:pPr>
        <w:pStyle w:val="ListParagraph"/>
        <w:numPr>
          <w:ilvl w:val="0"/>
          <w:numId w:val="47"/>
        </w:numPr>
        <w:spacing w:after="120" w:line="240" w:lineRule="auto"/>
        <w:jc w:val="both"/>
        <w:rPr>
          <w:rFonts w:ascii="Times New Roman" w:eastAsiaTheme="majorEastAsia" w:hAnsi="Times New Roman" w:cs="Times New Roman"/>
          <w:bCs/>
          <w:noProof/>
          <w:sz w:val="24"/>
          <w:szCs w:val="24"/>
        </w:rPr>
      </w:pPr>
      <w:r>
        <w:rPr>
          <w:rFonts w:ascii="Times New Roman" w:eastAsiaTheme="majorEastAsia" w:hAnsi="Times New Roman" w:cs="Times New Roman"/>
          <w:bCs/>
          <w:noProof/>
          <w:sz w:val="24"/>
          <w:szCs w:val="24"/>
        </w:rPr>
        <w:t>assessing how to improve the communication through the supply chain for endocrine disruptors under REACH in the context of the work on Safety Data Sheets</w:t>
      </w:r>
      <w:r>
        <w:rPr>
          <w:rStyle w:val="FootnoteReference"/>
          <w:rFonts w:ascii="Times New Roman" w:eastAsiaTheme="majorEastAsia" w:hAnsi="Times New Roman" w:cs="Times New Roman"/>
          <w:bCs/>
          <w:noProof/>
          <w:sz w:val="24"/>
          <w:szCs w:val="24"/>
        </w:rPr>
        <w:footnoteReference w:id="45"/>
      </w:r>
      <w:r>
        <w:rPr>
          <w:rFonts w:ascii="Times New Roman" w:eastAsiaTheme="majorEastAsia" w:hAnsi="Times New Roman" w:cs="Times New Roman"/>
          <w:bCs/>
          <w:noProof/>
          <w:sz w:val="24"/>
          <w:szCs w:val="24"/>
        </w:rPr>
        <w:t xml:space="preserve">;  </w:t>
      </w:r>
    </w:p>
    <w:p>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cs="Times New Roman"/>
          <w:noProof/>
          <w:sz w:val="24"/>
          <w:szCs w:val="24"/>
        </w:rPr>
        <w:t xml:space="preserve">taking forward the scientific assessment of endocrine disruptors in order to take further regulatory action; </w:t>
      </w:r>
    </w:p>
    <w:p>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cs="Times New Roman"/>
          <w:noProof/>
          <w:sz w:val="24"/>
          <w:szCs w:val="24"/>
        </w:rPr>
        <w:t xml:space="preserve">supporting data sharing and monitoring activities; </w:t>
      </w:r>
    </w:p>
    <w:p>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cs="Times New Roman"/>
          <w:noProof/>
          <w:sz w:val="24"/>
          <w:szCs w:val="24"/>
        </w:rPr>
        <w:t xml:space="preserve">preparing guidance documents and reports; </w:t>
      </w:r>
    </w:p>
    <w:p>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cs="Times New Roman"/>
          <w:noProof/>
          <w:sz w:val="24"/>
          <w:szCs w:val="24"/>
        </w:rPr>
        <w:t xml:space="preserve">and organising training for risk assessors and risk managers. </w:t>
      </w:r>
    </w:p>
    <w:p>
      <w:pPr>
        <w:spacing w:before="120" w:after="120" w:line="240" w:lineRule="auto"/>
        <w:jc w:val="both"/>
        <w:rPr>
          <w:rFonts w:ascii="Times New Roman" w:eastAsia="Times New Roman" w:hAnsi="Times New Roman" w:cs="Times New Roman"/>
          <w:iCs/>
          <w:noProof/>
          <w:sz w:val="24"/>
          <w:szCs w:val="24"/>
          <w:lang w:eastAsia="fr-FR"/>
        </w:rPr>
      </w:pPr>
      <w:r>
        <w:rPr>
          <w:rFonts w:ascii="Times New Roman" w:eastAsia="Times New Roman" w:hAnsi="Times New Roman" w:cs="Times New Roman"/>
          <w:iCs/>
          <w:noProof/>
          <w:sz w:val="24"/>
          <w:szCs w:val="24"/>
          <w:lang w:eastAsia="fr-FR"/>
        </w:rPr>
        <w:t xml:space="preserve">Furthermore, a number of ongoing Commission initiatives currently being considered by the European Parliament and Council, or in the process of being implemented, will provide additional tools to deal with endocrine disruptors once fully in place. These include: </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proposal for a Regulation on </w:t>
      </w:r>
      <w:r>
        <w:rPr>
          <w:rFonts w:ascii="Times New Roman" w:hAnsi="Times New Roman" w:cs="Times New Roman"/>
          <w:b/>
          <w:noProof/>
          <w:sz w:val="24"/>
          <w:szCs w:val="24"/>
        </w:rPr>
        <w:t>transparency and sustainability of risk assessment</w:t>
      </w:r>
      <w:r>
        <w:rPr>
          <w:rFonts w:ascii="Times New Roman" w:hAnsi="Times New Roman" w:cs="Times New Roman"/>
          <w:noProof/>
          <w:sz w:val="24"/>
          <w:szCs w:val="24"/>
        </w:rPr>
        <w:t xml:space="preserve"> under EU food law</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which aims at increasing trust in the regulatory process, including for the assessment of substances suspected to be endocrine disruptors; </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European Plastics Strategy</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which aims to accelerate the substitution of substances of concern, including endocrine disruptors, in order to promote recycling;</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proposal to revise the</w:t>
      </w:r>
      <w:r>
        <w:rPr>
          <w:rFonts w:ascii="Times New Roman" w:hAnsi="Times New Roman" w:cs="Times New Roman"/>
          <w:b/>
          <w:noProof/>
          <w:sz w:val="24"/>
          <w:szCs w:val="24"/>
        </w:rPr>
        <w:t xml:space="preserve"> Drinking Water Directive</w:t>
      </w:r>
      <w:r>
        <w:rPr>
          <w:rStyle w:val="FootnoteReference"/>
          <w:rFonts w:ascii="Times New Roman" w:hAnsi="Times New Roman" w:cs="Times New Roman"/>
          <w:noProof/>
          <w:sz w:val="24"/>
          <w:szCs w:val="24"/>
        </w:rPr>
        <w:footnoteReference w:id="48"/>
      </w:r>
      <w:r>
        <w:rPr>
          <w:rFonts w:ascii="Times New Roman" w:hAnsi="Times New Roman" w:cs="Times New Roman"/>
          <w:b/>
          <w:noProof/>
          <w:sz w:val="24"/>
          <w:szCs w:val="24"/>
        </w:rPr>
        <w:t xml:space="preserve">, </w:t>
      </w:r>
      <w:r>
        <w:rPr>
          <w:rFonts w:ascii="Times New Roman" w:hAnsi="Times New Roman" w:cs="Times New Roman"/>
          <w:noProof/>
          <w:sz w:val="24"/>
          <w:szCs w:val="24"/>
        </w:rPr>
        <w:t>which adds three endocrine disruptors</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to the list of parameters for determining the safety of drinking water;</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New Deal for Consumers</w:t>
      </w:r>
      <w:r>
        <w:rPr>
          <w:rStyle w:val="FootnoteReference"/>
          <w:rFonts w:ascii="Times New Roman" w:hAnsi="Times New Roman" w:cs="Times New Roman"/>
          <w:b/>
          <w:noProof/>
          <w:sz w:val="24"/>
          <w:szCs w:val="24"/>
        </w:rPr>
        <w:footnoteReference w:id="50"/>
      </w:r>
      <w:r>
        <w:rPr>
          <w:rFonts w:ascii="Times New Roman" w:hAnsi="Times New Roman" w:cs="Times New Roman"/>
          <w:noProof/>
          <w:sz w:val="24"/>
          <w:szCs w:val="24"/>
        </w:rPr>
        <w:t xml:space="preserve"> and the </w:t>
      </w:r>
      <w:r>
        <w:rPr>
          <w:rFonts w:ascii="Times New Roman" w:hAnsi="Times New Roman" w:cs="Times New Roman"/>
          <w:b/>
          <w:noProof/>
          <w:sz w:val="24"/>
          <w:szCs w:val="24"/>
        </w:rPr>
        <w:t>Goods package</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which will improve enforcement of product safety requirements and will address the illegal presence of endocrine disruptors in a variety of products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and the update of the existing legal framework on </w:t>
      </w:r>
      <w:r>
        <w:rPr>
          <w:rFonts w:ascii="Times New Roman" w:hAnsi="Times New Roman" w:cs="Times New Roman"/>
          <w:b/>
          <w:noProof/>
          <w:sz w:val="24"/>
          <w:szCs w:val="24"/>
        </w:rPr>
        <w:t>Occupational Safety and Health</w:t>
      </w:r>
      <w:r>
        <w:rPr>
          <w:rFonts w:ascii="Times New Roman" w:hAnsi="Times New Roman" w:cs="Times New Roman"/>
          <w:noProof/>
          <w:sz w:val="24"/>
          <w:szCs w:val="24"/>
        </w:rPr>
        <w:t xml:space="preserve"> on the basis of robust scientific advice to protect workers exposed to hazardous chemicals, some of which have endocrine disrupting properties.</w:t>
      </w:r>
    </w:p>
    <w:p>
      <w:pPr>
        <w:keepNext/>
        <w:autoSpaceDE w:val="0"/>
        <w:autoSpaceDN w:val="0"/>
        <w:adjustRightInd w:val="0"/>
        <w:spacing w:after="120" w:line="240" w:lineRule="auto"/>
        <w:jc w:val="both"/>
        <w:rPr>
          <w:rFonts w:ascii="Times New Roman" w:eastAsiaTheme="majorEastAsia" w:hAnsi="Times New Roman" w:cs="Times New Roman"/>
          <w:b/>
          <w:bCs/>
          <w:noProof/>
          <w:sz w:val="24"/>
          <w:szCs w:val="24"/>
          <w:u w:val="single"/>
        </w:rPr>
      </w:pPr>
      <w:r>
        <w:rPr>
          <w:rFonts w:ascii="Times New Roman" w:eastAsiaTheme="majorEastAsia" w:hAnsi="Times New Roman" w:cs="Times New Roman"/>
          <w:b/>
          <w:bCs/>
          <w:noProof/>
          <w:sz w:val="24"/>
          <w:szCs w:val="24"/>
          <w:u w:val="single"/>
        </w:rPr>
        <w:t>International cooperation on endocrine disruptors</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The Commission and Member States actively participate to the work of the </w:t>
      </w:r>
      <w:r>
        <w:rPr>
          <w:rFonts w:ascii="Times New Roman" w:hAnsi="Times New Roman" w:cs="Times New Roman"/>
          <w:noProof/>
          <w:sz w:val="24"/>
          <w:szCs w:val="24"/>
        </w:rPr>
        <w:t xml:space="preserve">Organisation for Economic Co-operation and Development, thus contributing to the Organisation’s efforts in developing internationally agreed test guidelines </w:t>
      </w:r>
      <w:r>
        <w:rPr>
          <w:rFonts w:ascii="Times New Roman" w:eastAsia="Times New Roman" w:hAnsi="Times New Roman" w:cs="Times New Roman"/>
          <w:noProof/>
          <w:sz w:val="24"/>
          <w:szCs w:val="24"/>
        </w:rPr>
        <w:t>on endocrine disruptors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and improving coordination on the international scene.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The Commission and Member States support the work of the World Health Organisation</w:t>
      </w:r>
      <w:r>
        <w:rPr>
          <w:rStyle w:val="FootnoteReference"/>
          <w:rFonts w:ascii="Times New Roman" w:eastAsia="Times New Roman" w:hAnsi="Times New Roman" w:cs="Times New Roman"/>
          <w:noProof/>
          <w:sz w:val="24"/>
          <w:szCs w:val="24"/>
        </w:rPr>
        <w:footnoteReference w:id="53"/>
      </w:r>
      <w:r>
        <w:rPr>
          <w:rFonts w:ascii="Times New Roman" w:eastAsia="Times New Roman" w:hAnsi="Times New Roman" w:cs="Times New Roman"/>
          <w:noProof/>
          <w:sz w:val="24"/>
          <w:szCs w:val="24"/>
        </w:rPr>
        <w:t xml:space="preserve">, the Strategic Approach to International Chemicals Management and the </w:t>
      </w:r>
      <w:r>
        <w:rPr>
          <w:rFonts w:ascii="Times New Roman" w:hAnsi="Times New Roman" w:cs="Times New Roman"/>
          <w:noProof/>
          <w:sz w:val="24"/>
          <w:szCs w:val="24"/>
        </w:rPr>
        <w:t>United Nations Environment Programme.</w:t>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 xml:space="preserve">The Commission and Member States also cooperate and exchange information with international partners </w:t>
      </w:r>
      <w:r>
        <w:rPr>
          <w:rFonts w:ascii="Times New Roman" w:eastAsia="Times New Roman" w:hAnsi="Times New Roman" w:cs="Times New Roman"/>
          <w:noProof/>
          <w:sz w:val="24"/>
          <w:szCs w:val="24"/>
        </w:rPr>
        <w:t>under the auspices of the World Trade Organisation as regards EU regulatory developments which might affect trade</w:t>
      </w:r>
      <w:r>
        <w:rPr>
          <w:rStyle w:val="FootnoteReference"/>
          <w:rFonts w:ascii="Times New Roman" w:eastAsia="Times New Roman" w:hAnsi="Times New Roman" w:cs="Times New Roman"/>
          <w:noProof/>
          <w:sz w:val="24"/>
          <w:szCs w:val="24"/>
        </w:rPr>
        <w:footnoteReference w:id="54"/>
      </w:r>
      <w:r>
        <w:rPr>
          <w:rFonts w:ascii="Times New Roman" w:eastAsia="Times New Roman" w:hAnsi="Times New Roman" w:cs="Times New Roman"/>
          <w:noProof/>
          <w:sz w:val="24"/>
          <w:szCs w:val="24"/>
        </w:rPr>
        <w:t xml:space="preserve">. In addition, on a bilateral basis, information exchanges have taken place with </w:t>
      </w:r>
      <w:r>
        <w:rPr>
          <w:rFonts w:ascii="Times New Roman" w:hAnsi="Times New Roman" w:cs="Times New Roman"/>
          <w:noProof/>
          <w:sz w:val="24"/>
          <w:szCs w:val="24"/>
        </w:rPr>
        <w:t>international partners, in particular the United States, Canada, Japan and recently also China. While having different approaches on how to deal with endocrine disruptors, all partners agree on the importance of addressing the matter as a priority</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B</w:t>
      </w:r>
      <w:r>
        <w:rPr>
          <w:rFonts w:ascii="Times New Roman" w:eastAsia="Times New Roman" w:hAnsi="Times New Roman" w:cs="Times New Roman"/>
          <w:noProof/>
          <w:sz w:val="24"/>
          <w:szCs w:val="24"/>
        </w:rPr>
        <w:t>ilateral co-operation agreements with trade partners have also included setting up discussions on matters related to endocrine disruptors.</w:t>
      </w:r>
      <w:r>
        <w:rPr>
          <w:rFonts w:ascii="Times New Roman" w:hAnsi="Times New Roman" w:cs="Times New Roman"/>
          <w:noProof/>
          <w:sz w:val="24"/>
          <w:szCs w:val="24"/>
        </w:rPr>
        <w:t xml:space="preserve"> </w:t>
      </w:r>
    </w:p>
    <w:p>
      <w:pPr>
        <w:pStyle w:val="Heading1"/>
        <w:spacing w:before="360" w:after="120" w:line="240" w:lineRule="auto"/>
        <w:rPr>
          <w:rFonts w:cs="Times New Roman"/>
          <w:caps/>
          <w:noProof/>
          <w:sz w:val="24"/>
          <w:szCs w:val="24"/>
        </w:rPr>
      </w:pPr>
      <w:r>
        <w:rPr>
          <w:rFonts w:cs="Times New Roman"/>
          <w:caps/>
          <w:noProof/>
          <w:sz w:val="24"/>
          <w:szCs w:val="24"/>
        </w:rPr>
        <w:t>3. Taking forward the EU's policy on endocrine disruptors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always been and will remain committed to ensuring a high level of protection of EU citizens and the environment from endocrine disruptors and, at the same time, to preserve an internal market which delivers for consumers and where all EU business can thrive.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implementation of the Community Strategy of 1999 has put the EU at the forefront in understanding and regulating these hazardous chemicals. But in order to further progress and maintain the expected high level of protection, it is important to ensure that the EU framework continues to coherently address endocrine disruptors across different areas.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strategic approach on endocrine disruptors for the years to come should be based on the application of the precautionary principle and aim at:</w:t>
      </w:r>
    </w:p>
    <w:p>
      <w:pPr>
        <w:pStyle w:val="ListParagraph"/>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minimising overall exposure</w:t>
      </w:r>
      <w:r>
        <w:rPr>
          <w:rFonts w:ascii="Times New Roman" w:hAnsi="Times New Roman" w:cs="Times New Roman"/>
          <w:noProof/>
          <w:sz w:val="24"/>
          <w:szCs w:val="24"/>
        </w:rPr>
        <w:t xml:space="preserve"> of humans and the environment to endocrine disruptors, paying particular attention to exposures during important periods of development of an organism, such as foetal development and puberty;  </w:t>
      </w:r>
    </w:p>
    <w:p>
      <w:pPr>
        <w:pStyle w:val="ListParagraph"/>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accelerating the development of a thorough research basis</w:t>
      </w:r>
      <w:r>
        <w:rPr>
          <w:rFonts w:ascii="Times New Roman" w:hAnsi="Times New Roman" w:cs="Times New Roman"/>
          <w:noProof/>
          <w:sz w:val="24"/>
          <w:szCs w:val="24"/>
        </w:rPr>
        <w:t xml:space="preserve"> for effective and forward-looking decision-making;</w:t>
      </w:r>
    </w:p>
    <w:p>
      <w:pPr>
        <w:pStyle w:val="ListParagraph"/>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and</w:t>
      </w:r>
      <w:r>
        <w:rPr>
          <w:rFonts w:ascii="Times New Roman" w:hAnsi="Times New Roman" w:cs="Times New Roman"/>
          <w:b/>
          <w:noProof/>
          <w:sz w:val="24"/>
          <w:szCs w:val="24"/>
        </w:rPr>
        <w:t xml:space="preserve"> promoting an active dialogue </w:t>
      </w:r>
      <w:r>
        <w:rPr>
          <w:rFonts w:ascii="Times New Roman" w:hAnsi="Times New Roman" w:cs="Times New Roman"/>
          <w:noProof/>
          <w:sz w:val="24"/>
          <w:szCs w:val="24"/>
        </w:rPr>
        <w:t>allowing all stakeholders to be heard and to work together.</w:t>
      </w:r>
    </w:p>
    <w:p>
      <w:pPr>
        <w:pStyle w:val="Heading2"/>
        <w:spacing w:before="0" w:after="120" w:line="240" w:lineRule="auto"/>
        <w:rPr>
          <w:rFonts w:cs="Times New Roman"/>
          <w:noProof/>
          <w:szCs w:val="24"/>
        </w:rPr>
      </w:pPr>
      <w:r>
        <w:rPr>
          <w:rFonts w:cs="Times New Roman"/>
          <w:noProof/>
          <w:szCs w:val="24"/>
        </w:rPr>
        <w:t>An approach that is coherent in regulating endocrine disruptors</w:t>
      </w:r>
    </w:p>
    <w:p>
      <w:pPr>
        <w:pStyle w:val="NormalWeb"/>
        <w:spacing w:before="0" w:beforeAutospacing="0" w:after="120" w:afterAutospacing="0"/>
        <w:jc w:val="both"/>
        <w:rPr>
          <w:noProof/>
        </w:rPr>
      </w:pPr>
      <w:r>
        <w:rPr>
          <w:noProof/>
        </w:rPr>
        <w:t>The legislative measures constituting the EU legal framework regulating chemicals have been developed at different points in time and have, in certain cases, different objectives. This has resulted in different approaches to endocrine disruptors, depending on the sector being regulated, and has raised questions as to whether the EU legal framework regulating endocrine disruptors is sufficiently coherent. Two points in particular deserve special attention:</w:t>
      </w:r>
    </w:p>
    <w:p>
      <w:pPr>
        <w:pStyle w:val="NormalWeb"/>
        <w:spacing w:before="120" w:beforeAutospacing="0" w:after="120" w:afterAutospacing="0"/>
        <w:jc w:val="both"/>
        <w:rPr>
          <w:noProof/>
        </w:rPr>
      </w:pPr>
      <w:r>
        <w:rPr>
          <w:b/>
          <w:noProof/>
        </w:rPr>
        <w:t>Horizontal approach to the identification of endocrine disruptors</w:t>
      </w:r>
      <w:r>
        <w:rPr>
          <w:noProof/>
        </w:rPr>
        <w:t>:</w:t>
      </w:r>
      <w:r>
        <w:rPr>
          <w:b/>
          <w:noProof/>
        </w:rPr>
        <w:t xml:space="preserve"> </w:t>
      </w:r>
      <w:r>
        <w:rPr>
          <w:noProof/>
        </w:rPr>
        <w:t xml:space="preserve">the Commission considers that there should be a coherent approach to the identification of endocrine disruptors across all relevant Union legislation, based on the broadly accepted definition of the World Health Organisation. </w:t>
      </w:r>
    </w:p>
    <w:p>
      <w:pPr>
        <w:pStyle w:val="NormalWeb"/>
        <w:spacing w:before="120" w:beforeAutospacing="0" w:after="120" w:afterAutospacing="0"/>
        <w:jc w:val="both"/>
        <w:rPr>
          <w:noProof/>
        </w:rPr>
      </w:pPr>
      <w:r>
        <w:rPr>
          <w:noProof/>
        </w:rPr>
        <w:t>The recently established criteria for pesticides and biocides constitute a first step in that direction but EU legislation in other fields does not contain such criteria.</w:t>
      </w:r>
    </w:p>
    <w:p>
      <w:pPr>
        <w:pStyle w:val="NormalWeb"/>
        <w:spacing w:before="120" w:beforeAutospacing="0" w:after="120" w:afterAutospacing="0"/>
        <w:jc w:val="both"/>
        <w:rPr>
          <w:noProof/>
        </w:rPr>
      </w:pPr>
    </w:p>
    <w:p>
      <w:pPr>
        <w:pStyle w:val="NormalWeb"/>
        <w:spacing w:before="120" w:beforeAutospacing="0" w:after="120" w:afterAutospacing="0"/>
        <w:jc w:val="both"/>
        <w:rPr>
          <w:noProof/>
        </w:rPr>
      </w:pPr>
      <w:r>
        <w:rPr>
          <w:noProof/>
        </w:rPr>
        <w:t xml:space="preserve">It has been argued that horizontal criteria for the identification of endocrine disruptors should be laid down in the legislation, for reasons of legal certainty and to avoid the potential risk that a substance is identified as endocrine disruptor under one piece of legislation and not under another one. This matter should be further considered. </w:t>
      </w:r>
    </w:p>
    <w:p>
      <w:pPr>
        <w:pStyle w:val="NormalWeb"/>
        <w:spacing w:before="120" w:beforeAutospacing="0" w:after="120" w:afterAutospacing="0"/>
        <w:jc w:val="both"/>
        <w:rPr>
          <w:noProof/>
        </w:rPr>
      </w:pPr>
      <w:r>
        <w:rPr>
          <w:b/>
          <w:noProof/>
        </w:rPr>
        <w:t xml:space="preserve">Regulatory consequences for endocrine disruptors: </w:t>
      </w:r>
      <w:r>
        <w:rPr>
          <w:noProof/>
        </w:rPr>
        <w:t xml:space="preserve">different regulatory approaches exist in different pieces of legislation for substances identified as endocrine disruptors. </w:t>
      </w:r>
    </w:p>
    <w:p>
      <w:pPr>
        <w:pStyle w:val="NormalWeb"/>
        <w:spacing w:before="120" w:beforeAutospacing="0" w:after="120" w:afterAutospacing="0"/>
        <w:jc w:val="both"/>
        <w:rPr>
          <w:noProof/>
        </w:rPr>
      </w:pPr>
      <w:r>
        <w:rPr>
          <w:noProof/>
        </w:rPr>
        <w:t>For pesticides and biocides, the co-legislators adopted specific provisions “</w:t>
      </w:r>
      <w:r>
        <w:rPr>
          <w:i/>
          <w:noProof/>
        </w:rPr>
        <w:t>underpinned by the precautionary principle</w:t>
      </w:r>
      <w:r>
        <w:rPr>
          <w:noProof/>
        </w:rPr>
        <w:t>”</w:t>
      </w:r>
      <w:r>
        <w:rPr>
          <w:rStyle w:val="FootnoteReference"/>
          <w:noProof/>
        </w:rPr>
        <w:footnoteReference w:id="56"/>
      </w:r>
      <w:r>
        <w:rPr>
          <w:noProof/>
        </w:rPr>
        <w:t xml:space="preserve"> and based on a number of considerations. Taking for example into account the specific nature of the products in question, that endocrine disruptors are substances of particular concern, and that scientific uncertainty remains regarding their assessment (for example as regards the existence of a safe limit of exposure), they decided that once it is proven that a substance is an endocrine disruptor, the substance in principle cannot be authorised for use. There are very limited derogation possibilities. </w:t>
      </w:r>
    </w:p>
    <w:p>
      <w:pPr>
        <w:pStyle w:val="NormalWeb"/>
        <w:spacing w:before="120" w:beforeAutospacing="0" w:after="120" w:afterAutospacing="0"/>
        <w:jc w:val="both"/>
        <w:rPr>
          <w:noProof/>
        </w:rPr>
      </w:pPr>
      <w:r>
        <w:rPr>
          <w:noProof/>
        </w:rPr>
        <w:t xml:space="preserve">Under REACH, endocrine disruptors are specifically mentioned as substances that can be identified as Substances of Very High Concern and, if prioritised, are subject to authorisation requirements. Restrictions can also apply to endocrine disruptors.  </w:t>
      </w:r>
    </w:p>
    <w:p>
      <w:pPr>
        <w:pStyle w:val="NormalWeb"/>
        <w:spacing w:before="120" w:beforeAutospacing="0" w:after="120" w:afterAutospacing="0"/>
        <w:jc w:val="both"/>
        <w:rPr>
          <w:noProof/>
        </w:rPr>
      </w:pPr>
      <w:r>
        <w:rPr>
          <w:noProof/>
        </w:rPr>
        <w:t>Other legislative instruments, such as for example the Regulation on cosmetics, although they do not mention endocrine disruptors specifically, consider them like other substances that can negatively affect human health.</w:t>
      </w:r>
    </w:p>
    <w:p>
      <w:pPr>
        <w:pStyle w:val="NormalWeb"/>
        <w:spacing w:before="120" w:beforeAutospacing="0" w:after="120" w:afterAutospacing="0"/>
        <w:jc w:val="both"/>
        <w:rPr>
          <w:b/>
          <w:noProof/>
        </w:rPr>
      </w:pPr>
      <w:r>
        <w:rPr>
          <w:noProof/>
        </w:rPr>
        <w:t>Some stakeholders have argued that, in some areas, EU legislation does not provide adequate regulatory approaches to address endocrine disruptors effectively. This matter deserves further examination.</w:t>
      </w:r>
    </w:p>
    <w:p>
      <w:pPr>
        <w:pStyle w:val="NormalWeb"/>
        <w:spacing w:before="0" w:beforeAutospacing="0" w:after="120" w:afterAutospacing="0"/>
        <w:jc w:val="both"/>
        <w:rPr>
          <w:noProof/>
        </w:rPr>
      </w:pPr>
      <w:r>
        <w:rPr>
          <w:noProof/>
        </w:rPr>
        <w:t>In line with the Commission's Better Regulation agenda and the commitment to ensure that EU laws remain fit for purpose, different evaluations have been carried out or are under way which are relevant, to different extents, for the topic of endocrine disruptors</w:t>
      </w:r>
      <w:r>
        <w:rPr>
          <w:rStyle w:val="FootnoteReference"/>
          <w:noProof/>
        </w:rPr>
        <w:footnoteReference w:id="57"/>
      </w:r>
      <w:r>
        <w:rPr>
          <w:noProof/>
        </w:rPr>
        <w:t xml:space="preserve">. However, no single evaluation has so far covered all the different vertical and horizontal aspects of endocrine disruptors. </w:t>
      </w:r>
    </w:p>
    <w:p>
      <w:pPr>
        <w:pStyle w:val="NormalWeb"/>
        <w:keepLines/>
        <w:pBdr>
          <w:top w:val="single" w:sz="4" w:space="1" w:color="auto"/>
          <w:left w:val="single" w:sz="4" w:space="4" w:color="auto"/>
          <w:bottom w:val="single" w:sz="4" w:space="1" w:color="auto"/>
          <w:right w:val="single" w:sz="4" w:space="4" w:color="auto"/>
        </w:pBdr>
        <w:spacing w:before="120" w:beforeAutospacing="0" w:after="120" w:afterAutospacing="0"/>
        <w:jc w:val="both"/>
        <w:rPr>
          <w:b/>
          <w:noProof/>
        </w:rPr>
      </w:pPr>
      <w:r>
        <w:rPr>
          <w:noProof/>
        </w:rPr>
        <w:sym w:font="Wingdings" w:char="F0E8"/>
      </w:r>
      <w:r>
        <w:rPr>
          <w:noProof/>
        </w:rPr>
        <w:t xml:space="preserve"> The Commission will</w:t>
      </w:r>
      <w:r>
        <w:rPr>
          <w:b/>
          <w:noProof/>
        </w:rPr>
        <w:t xml:space="preserve"> launch a Fitness Check </w:t>
      </w:r>
      <w:r>
        <w:rPr>
          <w:noProof/>
        </w:rPr>
        <w:t>to</w:t>
      </w:r>
      <w:r>
        <w:rPr>
          <w:b/>
          <w:noProof/>
        </w:rPr>
        <w:t xml:space="preserve"> </w:t>
      </w:r>
      <w:r>
        <w:rPr>
          <w:noProof/>
        </w:rPr>
        <w:t>assess whether relevant EU legislation on endocrine disruptors</w:t>
      </w:r>
      <w:r>
        <w:rPr>
          <w:b/>
          <w:noProof/>
        </w:rPr>
        <w:t xml:space="preserve"> </w:t>
      </w:r>
      <w:r>
        <w:rPr>
          <w:noProof/>
        </w:rPr>
        <w:t>delivers its overall objective to protect human health and the environment by minimising exposure to these substances.</w:t>
      </w:r>
      <w:r>
        <w:rPr>
          <w:b/>
          <w:noProof/>
        </w:rPr>
        <w:t xml:space="preserve"> </w:t>
      </w:r>
    </w:p>
    <w:p>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noProof/>
        </w:rPr>
      </w:pPr>
      <w:r>
        <w:rPr>
          <w:noProof/>
        </w:rPr>
        <w:t xml:space="preserve">The Fitness Check will for the first time take a </w:t>
      </w:r>
      <w:r>
        <w:rPr>
          <w:b/>
          <w:noProof/>
        </w:rPr>
        <w:t>cross-cutting look at endocrine disruptors</w:t>
      </w:r>
      <w:r>
        <w:rPr>
          <w:noProof/>
        </w:rPr>
        <w:t xml:space="preserve">, building on scientific evidence and the significant amount of data already collected and analysed in the context of finalised and on-going evaluations. It will allow an analysis of how the different provisions/approaches on endocrine disruptors interact, identify any possible gaps, inconsistencies or synergies, and assess their collective impact in terms of costs and benefits for human health and the environment, the competitiveness of EU farmers and industry, and international trade. It will pay particular attention to those areas where legislation does not contain specific provisions for endocrine disruptors, such as toys, cosmetics and food contact materials. </w:t>
      </w:r>
    </w:p>
    <w:p>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b/>
          <w:noProof/>
        </w:rPr>
      </w:pPr>
      <w:r>
        <w:rPr>
          <w:noProof/>
        </w:rPr>
        <w:t xml:space="preserve">Particular </w:t>
      </w:r>
      <w:r>
        <w:rPr>
          <w:b/>
          <w:noProof/>
        </w:rPr>
        <w:t>attention will be paid to the consistency and intensity of actions</w:t>
      </w:r>
      <w:r>
        <w:rPr>
          <w:noProof/>
        </w:rPr>
        <w:t xml:space="preserve"> to protect vulnerable population groups </w:t>
      </w:r>
      <w:r>
        <w:rPr>
          <w:iCs/>
          <w:noProof/>
          <w:lang w:eastAsia="fr-FR"/>
        </w:rPr>
        <w:t xml:space="preserve">that are particularly </w:t>
      </w:r>
      <w:r>
        <w:rPr>
          <w:noProof/>
        </w:rPr>
        <w:t>sensitive</w:t>
      </w:r>
      <w:r>
        <w:rPr>
          <w:b/>
          <w:noProof/>
        </w:rPr>
        <w:t xml:space="preserve"> </w:t>
      </w:r>
      <w:r>
        <w:rPr>
          <w:iCs/>
          <w:noProof/>
          <w:lang w:eastAsia="fr-FR"/>
        </w:rPr>
        <w:t>to endocrine disruptors, such as the foetus or adolescents.</w:t>
      </w:r>
      <w:r>
        <w:rPr>
          <w:noProof/>
        </w:rPr>
        <w:t xml:space="preserve"> The Fitness Check will allow for a comprehensive consultation of EU citizens and stakeholders, including through a public consultation. Overall, it will help assess whether legislation is fit for purpose in line with Better Regulation requirements and feed into the reflection on whether legislative changes are necessary.</w:t>
      </w:r>
    </w:p>
    <w:p>
      <w:pPr>
        <w:pStyle w:val="Heading2"/>
        <w:keepLines w:val="0"/>
        <w:spacing w:before="240" w:after="120" w:line="240" w:lineRule="auto"/>
        <w:rPr>
          <w:rFonts w:cs="Times New Roman"/>
          <w:b w:val="0"/>
          <w:noProof/>
          <w:szCs w:val="24"/>
        </w:rPr>
      </w:pPr>
      <w:r>
        <w:rPr>
          <w:rFonts w:cs="Times New Roman"/>
          <w:noProof/>
          <w:szCs w:val="24"/>
        </w:rPr>
        <w:t>An approach based on the most up-to-date scientific evidence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 decision-making is evidence-based. Continued support to research is therefore essential if the EU wants to further deepen understanding of endocrine disruptors and constitute a strong basis for effective policy-making. </w:t>
      </w:r>
    </w:p>
    <w:p>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sym w:font="Wingdings" w:char="F0E8"/>
      </w:r>
      <w:r>
        <w:rPr>
          <w:rFonts w:ascii="Times New Roman" w:eastAsia="Times New Roman" w:hAnsi="Times New Roman" w:cs="Times New Roman"/>
          <w:noProof/>
          <w:sz w:val="24"/>
          <w:szCs w:val="24"/>
        </w:rPr>
        <w:t xml:space="preserve">  In its future framework programme for research and innovation, Horizon Europe</w:t>
      </w:r>
      <w:r>
        <w:rPr>
          <w:rStyle w:val="FootnoteReference"/>
          <w:rFonts w:ascii="Times New Roman" w:eastAsia="Times New Roman" w:hAnsi="Times New Roman" w:cs="Times New Roman"/>
          <w:noProof/>
          <w:sz w:val="24"/>
          <w:szCs w:val="24"/>
        </w:rPr>
        <w:footnoteReference w:id="58"/>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the Commission will continue to ensure the necessary</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support to research on protecting citizens and environment from exposure to harmful chemicals, including endocrine disruptors</w:t>
      </w:r>
      <w:r>
        <w:rPr>
          <w:rFonts w:ascii="Times New Roman" w:eastAsia="Times New Roman" w:hAnsi="Times New Roman" w:cs="Times New Roman"/>
          <w:noProof/>
          <w:sz w:val="24"/>
          <w:szCs w:val="24"/>
        </w:rPr>
        <w:t xml:space="preserve">, building on the work under the current framework programme, Horizon 2020. </w:t>
      </w:r>
    </w:p>
    <w:p>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Particular attention should be paid to areas where knowledge gaps on endocrine disruptors still exist, as identified in Section 1, and where more scientific evidence can best support improved policies. </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Several proposed research strands across Horizon Europe are very relevant to endocrine disruptors. These include: </w:t>
      </w:r>
    </w:p>
    <w:p>
      <w:pPr>
        <w:pStyle w:val="ListParagraph"/>
        <w:numPr>
          <w:ilvl w:val="0"/>
          <w:numId w:val="38"/>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research for the further development of hazard assessment, risk assessment and management of chemicals, including for cocktail effects, and for the collection, sharing and combination of required data; </w:t>
      </w:r>
    </w:p>
    <w:p>
      <w:pPr>
        <w:pStyle w:val="ListParagraph"/>
        <w:numPr>
          <w:ilvl w:val="0"/>
          <w:numId w:val="36"/>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research on elimination of substances of concern in the production and end-of-life phases; support to the development of safe substitutes, and safe and cost-efficient production technologies;</w:t>
      </w:r>
    </w:p>
    <w:p>
      <w:pPr>
        <w:pStyle w:val="ListParagraph"/>
        <w:numPr>
          <w:ilvl w:val="0"/>
          <w:numId w:val="36"/>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research on eco-innovation for prevention and remediation of environmental pollution from hazardous substances and chemicals of emerging concern; looking also at the interface between chemicals, products and waste.</w:t>
      </w:r>
    </w:p>
    <w:p>
      <w:pPr>
        <w:pStyle w:val="Heading2"/>
        <w:spacing w:before="120" w:after="120" w:line="240" w:lineRule="auto"/>
        <w:rPr>
          <w:rFonts w:cs="Times New Roman"/>
          <w:noProof/>
          <w:szCs w:val="24"/>
        </w:rPr>
      </w:pPr>
      <w:r>
        <w:rPr>
          <w:rFonts w:cs="Times New Roman"/>
          <w:noProof/>
          <w:szCs w:val="24"/>
        </w:rPr>
        <w:t xml:space="preserve">An inclusive approach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be able to progress in effectively addressing endocrine disruptors, the Commission will follow an inclusive approach that is open, transparent and brings together all interested parties. The Commission stands ready to listen thorougly, dialogue cooperatively and communicate proactively.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is also relevant for international cooperation with partners outside the EU, in order to keep abreast of research results, ensure efficient use of resources worldwide, guarantee regulatory consistency reducing barriers to trade and ensure continued global leadership of the EU.</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sym w:font="Wingdings" w:char="F0E8"/>
      </w:r>
      <w:r>
        <w:rPr>
          <w:rFonts w:ascii="Times New Roman" w:hAnsi="Times New Roman" w:cs="Times New Roman"/>
          <w:noProof/>
          <w:sz w:val="24"/>
          <w:szCs w:val="24"/>
        </w:rPr>
        <w:t xml:space="preserve"> The Commission will organise a</w:t>
      </w:r>
      <w:r>
        <w:rPr>
          <w:rFonts w:ascii="Times New Roman" w:hAnsi="Times New Roman" w:cs="Times New Roman"/>
          <w:b/>
          <w:noProof/>
          <w:sz w:val="24"/>
          <w:szCs w:val="24"/>
        </w:rPr>
        <w:t xml:space="preserve"> Forum on endocrine disruptors</w:t>
      </w:r>
      <w:r>
        <w:rPr>
          <w:rFonts w:ascii="Times New Roman" w:hAnsi="Times New Roman" w:cs="Times New Roman"/>
          <w:noProof/>
          <w:sz w:val="24"/>
          <w:szCs w:val="24"/>
        </w:rPr>
        <w:t xml:space="preserve"> on an annual basis. The Forum will allow scientists and public and private stakeholders with expertise on endocrine disruptors to come together to exchange information and best practices, identify challenges and build synergies, in order to inform the Commission's reflections.   </w:t>
      </w:r>
    </w:p>
    <w:p>
      <w:pPr>
        <w:pBdr>
          <w:top w:val="single" w:sz="4" w:space="1" w:color="auto"/>
          <w:left w:val="single" w:sz="4" w:space="4" w:color="auto"/>
          <w:bottom w:val="single" w:sz="4" w:space="1" w:color="auto"/>
          <w:right w:val="single" w:sz="4" w:space="4" w:color="auto"/>
          <w:bar w:val="single" w:sz="4" w:color="auto"/>
        </w:pBd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sym w:font="Wingdings" w:char="F0E8"/>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The Commission will</w:t>
      </w:r>
      <w:r>
        <w:rPr>
          <w:rFonts w:ascii="Times New Roman" w:hAnsi="Times New Roman" w:cs="Times New Roman"/>
          <w:b/>
          <w:noProof/>
          <w:sz w:val="24"/>
          <w:szCs w:val="24"/>
        </w:rPr>
        <w:t xml:space="preserve"> step up its</w:t>
      </w:r>
      <w:r>
        <w:rPr>
          <w:rFonts w:ascii="Times New Roman" w:hAnsi="Times New Roman" w:cs="Times New Roman"/>
          <w:noProof/>
          <w:sz w:val="24"/>
          <w:szCs w:val="24"/>
        </w:rPr>
        <w:t xml:space="preserve"> </w:t>
      </w:r>
      <w:r>
        <w:rPr>
          <w:rFonts w:ascii="Times New Roman" w:hAnsi="Times New Roman" w:cs="Times New Roman"/>
          <w:b/>
          <w:noProof/>
          <w:sz w:val="24"/>
          <w:szCs w:val="24"/>
        </w:rPr>
        <w:t>support to the work of relevant</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international organisations </w:t>
      </w:r>
      <w:r>
        <w:rPr>
          <w:rFonts w:ascii="Times New Roman" w:hAnsi="Times New Roman" w:cs="Times New Roman"/>
          <w:noProof/>
          <w:sz w:val="24"/>
          <w:szCs w:val="24"/>
        </w:rPr>
        <w:t xml:space="preserve">and encourages Member States to do the same. Of particular importance is the need to </w:t>
      </w:r>
      <w:r>
        <w:rPr>
          <w:rFonts w:ascii="Times New Roman" w:eastAsia="Times New Roman" w:hAnsi="Times New Roman" w:cs="Times New Roman"/>
          <w:noProof/>
          <w:sz w:val="24"/>
          <w:szCs w:val="24"/>
        </w:rPr>
        <w:t xml:space="preserve">provide the </w:t>
      </w:r>
      <w:r>
        <w:rPr>
          <w:rFonts w:ascii="Times New Roman" w:hAnsi="Times New Roman" w:cs="Times New Roman"/>
          <w:noProof/>
          <w:sz w:val="24"/>
          <w:szCs w:val="24"/>
        </w:rPr>
        <w:t>Organisation for Economic Co-operation and Development with the necessary support to progress in the development of internationally agreed test guidelines.</w:t>
      </w:r>
      <w:r>
        <w:rPr>
          <w:rFonts w:ascii="Times New Roman" w:eastAsia="Times New Roman" w:hAnsi="Times New Roman" w:cs="Times New Roman"/>
          <w:noProof/>
          <w:sz w:val="24"/>
          <w:szCs w:val="24"/>
        </w:rPr>
        <w:t xml:space="preserve"> </w:t>
      </w:r>
    </w:p>
    <w:p>
      <w:pPr>
        <w:pBdr>
          <w:top w:val="single" w:sz="4" w:space="1" w:color="auto"/>
          <w:left w:val="single" w:sz="4" w:space="4" w:color="auto"/>
          <w:bottom w:val="single" w:sz="4" w:space="1" w:color="auto"/>
          <w:right w:val="single" w:sz="4" w:space="4" w:color="auto"/>
          <w:bar w:val="single" w:sz="4" w:color="auto"/>
        </w:pBd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sym w:font="Wingdings" w:char="F0E8"/>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The Commission will also</w:t>
      </w:r>
      <w:r>
        <w:rPr>
          <w:rFonts w:ascii="Times New Roman" w:hAnsi="Times New Roman" w:cs="Times New Roman"/>
          <w:b/>
          <w:noProof/>
          <w:sz w:val="24"/>
          <w:szCs w:val="24"/>
        </w:rPr>
        <w:t xml:space="preserve"> </w:t>
      </w:r>
      <w:r>
        <w:rPr>
          <w:rFonts w:ascii="Times New Roman" w:hAnsi="Times New Roman" w:cs="Times New Roman"/>
          <w:noProof/>
          <w:sz w:val="24"/>
          <w:szCs w:val="24"/>
        </w:rPr>
        <w:t>explore possibilities for the inclusion of endocrine disruptors in the existing</w:t>
      </w:r>
      <w:r>
        <w:rPr>
          <w:rFonts w:ascii="Times New Roman" w:hAnsi="Times New Roman" w:cs="Times New Roman"/>
          <w:b/>
          <w:noProof/>
          <w:sz w:val="24"/>
          <w:szCs w:val="24"/>
        </w:rPr>
        <w:t xml:space="preserve"> international system for classification of chemicals</w:t>
      </w:r>
      <w:r>
        <w:rPr>
          <w:rFonts w:ascii="Times New Roman" w:hAnsi="Times New Roman" w:cs="Times New Roman"/>
          <w:noProof/>
          <w:sz w:val="24"/>
          <w:szCs w:val="24"/>
        </w:rPr>
        <w:t>. This would bring a global solution to the identification of endocrine disruptors (similar to what already exists for other hazard classes such as mutagens, carcinogens, and substances toxic for reproduction).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heme="majorEastAsia" w:hAnsi="Times New Roman" w:cs="Times New Roman"/>
          <w:b/>
          <w:bCs/>
          <w:noProof/>
          <w:sz w:val="24"/>
          <w:szCs w:val="24"/>
        </w:rPr>
      </w:pPr>
      <w:r>
        <w:rPr>
          <w:rFonts w:ascii="Times New Roman" w:hAnsi="Times New Roman" w:cs="Times New Roman"/>
          <w:noProof/>
          <w:sz w:val="24"/>
          <w:szCs w:val="24"/>
        </w:rPr>
        <w:sym w:font="Wingdings" w:char="F0E8"/>
      </w:r>
      <w:r>
        <w:rPr>
          <w:rFonts w:ascii="Times New Roman" w:hAnsi="Times New Roman" w:cs="Times New Roman"/>
          <w:b/>
          <w:noProof/>
          <w:sz w:val="24"/>
          <w:szCs w:val="24"/>
        </w:rPr>
        <w:t xml:space="preserve"> </w:t>
      </w:r>
      <w:r>
        <w:rPr>
          <w:rFonts w:ascii="Times New Roman" w:hAnsi="Times New Roman" w:cs="Times New Roman"/>
          <w:noProof/>
          <w:sz w:val="24"/>
          <w:szCs w:val="24"/>
        </w:rPr>
        <w:t>In order to provide EU citizens with clear and comprehensive information they can rely on, the Commission will</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launch </w:t>
      </w:r>
      <w:r>
        <w:rPr>
          <w:rFonts w:ascii="Times New Roman" w:hAnsi="Times New Roman" w:cs="Times New Roman"/>
          <w:b/>
          <w:noProof/>
          <w:sz w:val="24"/>
          <w:szCs w:val="24"/>
        </w:rPr>
        <w:t>a one-stop shop web portal on endocrine disruptors</w:t>
      </w:r>
      <w:r>
        <w:rPr>
          <w:rFonts w:ascii="Times New Roman" w:hAnsi="Times New Roman" w:cs="Times New Roman"/>
          <w:noProof/>
          <w:sz w:val="24"/>
          <w:szCs w:val="24"/>
        </w:rPr>
        <w:t xml:space="preserve">. The portal will consolidate and streamline all the information on endocrine disruptors currently present in different websites managed by the Commission and EU agencies. It will therefore constitute a single access point to information on endocrine disruptors, and will make it easier and more transparent for citizens and stakeholders to remain updated on the subject. In line with subsidiarity considerations, </w:t>
      </w:r>
      <w:r>
        <w:rPr>
          <w:rFonts w:ascii="Times New Roman" w:hAnsi="Times New Roman" w:cs="Times New Roman"/>
          <w:b/>
          <w:noProof/>
          <w:sz w:val="24"/>
          <w:szCs w:val="24"/>
        </w:rPr>
        <w:t>the Commission</w:t>
      </w:r>
      <w:r>
        <w:rPr>
          <w:rFonts w:ascii="Times New Roman" w:hAnsi="Times New Roman" w:cs="Times New Roman"/>
          <w:noProof/>
          <w:sz w:val="24"/>
          <w:szCs w:val="24"/>
        </w:rPr>
        <w:t xml:space="preserve"> will </w:t>
      </w:r>
      <w:r>
        <w:rPr>
          <w:rFonts w:ascii="Times New Roman" w:hAnsi="Times New Roman" w:cs="Times New Roman"/>
          <w:b/>
          <w:noProof/>
          <w:sz w:val="24"/>
          <w:szCs w:val="24"/>
        </w:rPr>
        <w:t xml:space="preserve">encourage Member States which deem it necessary to develop specific information and educational campaigns </w:t>
      </w:r>
      <w:r>
        <w:rPr>
          <w:rFonts w:ascii="Times New Roman" w:hAnsi="Times New Roman" w:cs="Times New Roman"/>
          <w:noProof/>
          <w:sz w:val="24"/>
          <w:szCs w:val="24"/>
        </w:rPr>
        <w:t>on endocrine disruptors for t</w:t>
      </w:r>
      <w:r>
        <w:rPr>
          <w:rFonts w:ascii="Times New Roman" w:eastAsia="Times New Roman" w:hAnsi="Times New Roman" w:cs="Times New Roman"/>
          <w:noProof/>
          <w:sz w:val="24"/>
          <w:szCs w:val="24"/>
        </w:rPr>
        <w:t xml:space="preserve">he general public and vulnerable groups. </w:t>
      </w:r>
    </w:p>
    <w:p>
      <w:pPr>
        <w:pStyle w:val="Heading1"/>
        <w:spacing w:before="360" w:after="120" w:line="240" w:lineRule="auto"/>
        <w:rPr>
          <w:rFonts w:cs="Times New Roman"/>
          <w:noProof/>
          <w:sz w:val="24"/>
          <w:szCs w:val="24"/>
        </w:rPr>
      </w:pPr>
      <w:r>
        <w:rPr>
          <w:rFonts w:cs="Times New Roman"/>
          <w:noProof/>
          <w:sz w:val="24"/>
          <w:szCs w:val="24"/>
        </w:rPr>
        <w:t>4. CONCLUSION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Almost twenty years after the Community Strategy for endocrine disruptors of 1999, endocrine disruption remains a global challenge and a source of concern for many EU citizens. While significant progress has been achieved over the past two decades to better understand and manage endocrine disruptors, it is important to step up the EU's efforts.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remains committed to protecting EU citizens and the environment from endocrine disruptors. To this end, the strategic approach outlined above aims to ensure a high level of protection of EU citizens and the environment and, at the same time, to preserve an internal market which delivers for consumers and where businesses can thrive.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the Commission's Better Regulation agenda and the commitment to ensure that EU laws remain fit for purpose, the Commission is </w:t>
      </w:r>
      <w:r>
        <w:rPr>
          <w:rFonts w:ascii="Times New Roman" w:hAnsi="Times New Roman" w:cs="Times New Roman"/>
          <w:b/>
          <w:noProof/>
          <w:sz w:val="24"/>
          <w:szCs w:val="24"/>
        </w:rPr>
        <w:t>launching a comprehensive screening of the existing legislative framework on endocrine disruptors</w:t>
      </w:r>
      <w:r>
        <w:rPr>
          <w:rFonts w:ascii="Times New Roman" w:hAnsi="Times New Roman" w:cs="Times New Roman"/>
          <w:noProof/>
          <w:sz w:val="24"/>
          <w:szCs w:val="24"/>
        </w:rPr>
        <w:t>. This reflection exercise will allow an assessment of whether EU legislation on endocrine disruptors delivers on its overall objectives to protect human health and the environment. It will ensure citizens' involvement and stakeholders' participation, including through a public consultation, and will support the Commission in bringing the debate forward and deciding whether changes to the legislative framework are necessary.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initiatives announced in this Communication will </w:t>
      </w:r>
      <w:r>
        <w:rPr>
          <w:rFonts w:ascii="Times New Roman" w:hAnsi="Times New Roman" w:cs="Times New Roman"/>
          <w:b/>
          <w:noProof/>
          <w:sz w:val="24"/>
          <w:szCs w:val="24"/>
        </w:rPr>
        <w:t>support the continuous progress of relevant scientific research</w:t>
      </w:r>
      <w:r>
        <w:rPr>
          <w:rFonts w:ascii="Times New Roman" w:hAnsi="Times New Roman" w:cs="Times New Roman"/>
          <w:noProof/>
          <w:sz w:val="24"/>
          <w:szCs w:val="24"/>
        </w:rPr>
        <w:t xml:space="preserve">, </w:t>
      </w:r>
      <w:r>
        <w:rPr>
          <w:rFonts w:ascii="Times New Roman" w:hAnsi="Times New Roman" w:cs="Times New Roman"/>
          <w:b/>
          <w:noProof/>
          <w:sz w:val="24"/>
          <w:szCs w:val="24"/>
        </w:rPr>
        <w:t>foster inclusive dialogue</w:t>
      </w:r>
      <w:r>
        <w:rPr>
          <w:rFonts w:ascii="Times New Roman" w:hAnsi="Times New Roman" w:cs="Times New Roman"/>
          <w:noProof/>
          <w:sz w:val="24"/>
          <w:szCs w:val="24"/>
        </w:rPr>
        <w:t xml:space="preserve"> and cooperation with all interested parties and allow the </w:t>
      </w:r>
      <w:r>
        <w:rPr>
          <w:rFonts w:ascii="Times New Roman" w:hAnsi="Times New Roman" w:cs="Times New Roman"/>
          <w:b/>
          <w:noProof/>
          <w:sz w:val="24"/>
          <w:szCs w:val="24"/>
        </w:rPr>
        <w:t>stepping up of the implementation of existing policies</w:t>
      </w:r>
      <w:r>
        <w:rPr>
          <w:rFonts w:ascii="Times New Roman" w:hAnsi="Times New Roman" w:cs="Times New Roman"/>
          <w:noProof/>
          <w:sz w:val="24"/>
          <w:szCs w:val="24"/>
        </w:rPr>
        <w:t xml:space="preserve"> on endocrine disruptors.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invites the Parliament and the Council to support the initiatives outlined in this Communication and bring their own contribution to the debate, and similarly invites input from the European Economic and Social Committee and the Committee of the Regions.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193091"/>
      <w:docPartObj>
        <w:docPartGallery w:val="Page Numbers (Bottom of Page)"/>
        <w:docPartUnique/>
      </w:docPartObj>
    </w:sdtPr>
    <w:sdtEndPr>
      <w:rPr>
        <w:rFonts w:ascii="Times New Roman" w:hAnsi="Times New Roman" w:cs="Times New Roman"/>
        <w:noProof/>
        <w:sz w:val="24"/>
      </w:rPr>
    </w:sdtEndPr>
    <w:sdtContent>
      <w:p>
        <w:pPr>
          <w:pStyle w:val="Footer"/>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2</w:t>
        </w:r>
        <w:r>
          <w:rPr>
            <w:rFonts w:ascii="Times New Roman" w:hAnsi="Times New Roman" w:cs="Times New Roman"/>
            <w:noProof/>
            <w:sz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example the workshop held in 1996, </w:t>
      </w:r>
      <w:hyperlink r:id="rId1" w:history="1">
        <w:r>
          <w:rPr>
            <w:rStyle w:val="Hyperlink"/>
            <w:rFonts w:ascii="Times New Roman" w:hAnsi="Times New Roman"/>
            <w:i/>
          </w:rPr>
          <w:t>The Impact of Endocrine Disruptors on Human Health and Wildlife</w:t>
        </w:r>
      </w:hyperlink>
      <w:r>
        <w:rPr>
          <w:rFonts w:ascii="Times New Roman" w:hAnsi="Times New Roman" w:cs="Times New Roman"/>
        </w:rPr>
        <w:t>, co-supported by the European Commission.</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OJ C 341, 9.11.1998, p. 37.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COM(1999) 706.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example the European Parliament's resolutions of 14 March 2013 (P7_TA(2013)0091) and 8 June 2016 (P8_TA(2016)0270) and the Council conclusions on the protection of human health and the environment through the sound management of chemicals (19.12.2016).</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Decision No 1386/2013/EU of the European Parliament and of the Council of 20 November 2013 on a General Union Environment Action Programme to 2020 (OJ L 354, 28.12.2013, p. 171).</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in particular: </w:t>
      </w:r>
      <w:hyperlink r:id="rId2" w:history="1">
        <w:r>
          <w:rPr>
            <w:rStyle w:val="Hyperlink"/>
            <w:rFonts w:ascii="Times New Roman" w:hAnsi="Times New Roman"/>
          </w:rPr>
          <w:t>the United Nations’ 2030 Agenda for Sustainable Development</w:t>
        </w:r>
      </w:hyperlink>
      <w:r>
        <w:rPr>
          <w:rFonts w:ascii="Times New Roman" w:hAnsi="Times New Roman" w:cs="Times New Roman"/>
        </w:rPr>
        <w:t xml:space="preserve"> (2015), the </w:t>
      </w:r>
      <w:hyperlink r:id="rId3" w:history="1">
        <w:r>
          <w:rPr>
            <w:rStyle w:val="Hyperlink"/>
            <w:rFonts w:ascii="Times New Roman" w:hAnsi="Times New Roman"/>
          </w:rPr>
          <w:t>Parma declaration</w:t>
        </w:r>
      </w:hyperlink>
      <w:r>
        <w:rPr>
          <w:rFonts w:ascii="Times New Roman" w:hAnsi="Times New Roman" w:cs="Times New Roman"/>
        </w:rPr>
        <w:t xml:space="preserve"> (2010) and the </w:t>
      </w:r>
      <w:hyperlink r:id="rId4" w:history="1">
        <w:r>
          <w:rPr>
            <w:rStyle w:val="Hyperlink"/>
            <w:rFonts w:ascii="Times New Roman" w:hAnsi="Times New Roman"/>
          </w:rPr>
          <w:t>Ostrava declaration</w:t>
        </w:r>
      </w:hyperlink>
      <w:r>
        <w:rPr>
          <w:rFonts w:ascii="Times New Roman" w:hAnsi="Times New Roman" w:cs="Times New Roman"/>
        </w:rPr>
        <w:t xml:space="preserve"> (2017) by countries in the European Region of the World Health Organisation (in particular, in the Parma declaration, endocrine disruptors were listed among the "</w:t>
      </w:r>
      <w:r>
        <w:rPr>
          <w:rFonts w:ascii="Times New Roman" w:hAnsi="Times New Roman" w:cs="Times New Roman"/>
          <w:i/>
        </w:rPr>
        <w:t>key environment and health challenges of our time</w:t>
      </w:r>
      <w:r>
        <w:rPr>
          <w:rFonts w:ascii="Times New Roman" w:hAnsi="Times New Roman" w:cs="Times New Roman"/>
        </w:rPr>
        <w:t xml:space="preserve">") and the conclusions of the third and fourth sessions of the </w:t>
      </w:r>
      <w:hyperlink r:id="rId5" w:history="1">
        <w:r>
          <w:rPr>
            <w:rStyle w:val="Hyperlink"/>
            <w:rFonts w:ascii="Times New Roman" w:hAnsi="Times New Roman"/>
          </w:rPr>
          <w:t>International Conference on Chemicals Management</w:t>
        </w:r>
      </w:hyperlink>
      <w:r>
        <w:rPr>
          <w:rFonts w:ascii="Times New Roman" w:hAnsi="Times New Roman" w:cs="Times New Roman"/>
        </w:rPr>
        <w:t>.</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International Programme on Chemical Safety (IPCS) (2002), </w:t>
      </w:r>
      <w:hyperlink r:id="rId6" w:history="1">
        <w:r>
          <w:rPr>
            <w:rStyle w:val="Hyperlink"/>
            <w:rFonts w:ascii="Times New Roman" w:hAnsi="Times New Roman"/>
            <w:i/>
          </w:rPr>
          <w:t>Global Assessment of the state-of-the-science of Endocrine Disruptors</w:t>
        </w:r>
      </w:hyperlink>
      <w:r>
        <w:rPr>
          <w:rFonts w:ascii="Times New Roman" w:hAnsi="Times New Roman" w:cs="Times New Roman"/>
        </w:rPr>
        <w:t>.</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United Nations Environment Programme (UNEP) / World Health Organization (WHO) (2012), </w:t>
      </w:r>
      <w:hyperlink r:id="rId7" w:history="1">
        <w:r>
          <w:rPr>
            <w:rStyle w:val="Hyperlink"/>
            <w:rFonts w:ascii="Times New Roman" w:hAnsi="Times New Roman"/>
            <w:i/>
          </w:rPr>
          <w:t>State of the science of endocrine disrupting chemicals</w:t>
        </w:r>
      </w:hyperlink>
      <w:r>
        <w:rPr>
          <w:rFonts w:ascii="Times New Roman" w:hAnsi="Times New Roman" w:cs="Times New Roman"/>
        </w:rPr>
        <w:t>.</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Oestrogen, androgen, thyroid hormone or steroidogenesis (EATS).</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UNEP / WHO (2012). See also for example Thrupp TJ et al. (2018), </w:t>
      </w:r>
      <w:r>
        <w:rPr>
          <w:rFonts w:ascii="Times New Roman" w:hAnsi="Times New Roman" w:cs="Times New Roman"/>
          <w:i/>
        </w:rPr>
        <w:t>The consequences of exposure to mixtures of chemicals: Something from ‘nothing’ and ‘a lot from a little’ when fish are exposed to steroid hormones,</w:t>
      </w:r>
      <w:r>
        <w:rPr>
          <w:rFonts w:ascii="Times New Roman" w:hAnsi="Times New Roman" w:cs="Times New Roman"/>
        </w:rPr>
        <w:t xml:space="preserve"> Science of the total environment, volumes 619–620, 1 April 2018, pages 1482-1492.</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Food Safety Authority is preparing </w:t>
      </w:r>
      <w:hyperlink r:id="rId8" w:history="1">
        <w:r>
          <w:rPr>
            <w:rStyle w:val="Hyperlink"/>
            <w:rFonts w:ascii="Times New Roman" w:hAnsi="Times New Roman"/>
          </w:rPr>
          <w:t>guidance</w:t>
        </w:r>
      </w:hyperlink>
      <w:r>
        <w:rPr>
          <w:rFonts w:ascii="Times New Roman" w:hAnsi="Times New Roman" w:cs="Times New Roman"/>
        </w:rPr>
        <w:t xml:space="preserve"> on harmonised risk assessment methodologies for human health, animal health and ecological risk assessment of combined exposure to multiple chemicals; European Food Safety Authority (EFSA) (2013), </w:t>
      </w:r>
      <w:hyperlink r:id="rId9" w:history="1">
        <w:r>
          <w:rPr>
            <w:rStyle w:val="Hyperlink"/>
            <w:rFonts w:ascii="Times New Roman" w:hAnsi="Times New Roman"/>
            <w:i/>
          </w:rPr>
          <w:t>Scientific Opinion on the identification of pesticides to be included in cumulative assessment groups on the basis of their toxicological profile</w:t>
        </w:r>
      </w:hyperlink>
      <w:r>
        <w:rPr>
          <w:rFonts w:ascii="Times New Roman" w:hAnsi="Times New Roman" w:cs="Times New Roman"/>
          <w:i/>
        </w:rPr>
        <w:t>.</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Another example is the dose-response relationship for endocrine disruptors. On all these aspects, see in particular: Joint Research Centre (JRC) (2013), </w:t>
      </w:r>
      <w:hyperlink r:id="rId10" w:history="1">
        <w:r>
          <w:rPr>
            <w:rStyle w:val="Hyperlink"/>
            <w:rFonts w:ascii="Times New Roman" w:hAnsi="Times New Roman"/>
            <w:i/>
          </w:rPr>
          <w:t>Key scientific issues relevant to the identification and characterisation of endocrine disrupting substances - Report of the Endocrine Disrupters Expert Advisory Group</w:t>
        </w:r>
      </w:hyperlink>
      <w:r>
        <w:rPr>
          <w:rStyle w:val="Hyperlink"/>
          <w:rFonts w:ascii="Times New Roman" w:hAnsi="Times New Roman"/>
          <w:i/>
        </w:rPr>
        <w:t xml:space="preserve">; </w:t>
      </w:r>
      <w:r>
        <w:rPr>
          <w:rFonts w:ascii="Times New Roman" w:hAnsi="Times New Roman" w:cs="Times New Roman"/>
        </w:rPr>
        <w:t xml:space="preserve">JRC (2013), </w:t>
      </w:r>
      <w:hyperlink r:id="rId11" w:history="1">
        <w:r>
          <w:rPr>
            <w:rStyle w:val="Hyperlink"/>
            <w:rFonts w:ascii="Times New Roman" w:hAnsi="Times New Roman"/>
            <w:i/>
          </w:rPr>
          <w:t>Thresholds for Endocrine Disrupters and Related Uncertainties - Report of the Endocrine Disrupters Expert Advisory Group</w:t>
        </w:r>
      </w:hyperlink>
      <w:r>
        <w:rPr>
          <w:rFonts w:ascii="Times New Roman" w:hAnsi="Times New Roman" w:cs="Times New Roman"/>
        </w:rPr>
        <w:t xml:space="preserve">; Beausoleil et al. (2016), </w:t>
      </w:r>
      <w:hyperlink r:id="rId12" w:history="1">
        <w:r>
          <w:rPr>
            <w:rStyle w:val="Hyperlink"/>
            <w:rFonts w:ascii="Times New Roman" w:hAnsi="Times New Roman"/>
            <w:i/>
          </w:rPr>
          <w:t>Review of non-monotonic dose-responses of substances for human risk assessment</w:t>
        </w:r>
      </w:hyperlink>
      <w:r>
        <w:rPr>
          <w:rStyle w:val="Hyperlink"/>
          <w:rFonts w:ascii="Times New Roman" w:hAnsi="Times New Roman"/>
          <w:color w:val="auto"/>
          <w:u w:val="none"/>
        </w:rPr>
        <w:t>;</w:t>
      </w:r>
      <w:r>
        <w:rPr>
          <w:rFonts w:ascii="Times New Roman" w:hAnsi="Times New Roman" w:cs="Times New Roman"/>
        </w:rPr>
        <w:t xml:space="preserve"> Solecki et al. (2017), </w:t>
      </w:r>
      <w:hyperlink r:id="rId13" w:history="1">
        <w:r>
          <w:rPr>
            <w:rStyle w:val="Hyperlink"/>
            <w:rFonts w:ascii="Times New Roman" w:hAnsi="Times New Roman"/>
            <w:i/>
          </w:rPr>
          <w:t>Scientific principles for the identification of endocrine-disrupting chemicals: a consensus statement</w:t>
        </w:r>
      </w:hyperlink>
      <w:r>
        <w:rPr>
          <w:rFonts w:ascii="Times New Roman" w:hAnsi="Times New Roman" w:cs="Times New Roman"/>
        </w:rPr>
        <w:t>.</w:t>
      </w:r>
      <w:r>
        <w:rPr>
          <w:rFonts w:ascii="Times New Roman" w:hAnsi="Times New Roman" w:cs="Times New Roman"/>
          <w:i/>
        </w:rPr>
        <w:t xml:space="preserve">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bCs/>
          <w:noProof/>
        </w:rPr>
        <w:t>Th</w:t>
      </w:r>
      <w:r>
        <w:rPr>
          <w:rFonts w:ascii="Times New Roman" w:hAnsi="Times New Roman" w:cs="Times New Roman"/>
          <w:noProof/>
        </w:rPr>
        <w:t xml:space="preserve">e test guidelines relevant to endocrine disruptors are listed in the </w:t>
      </w:r>
      <w:hyperlink r:id="rId14" w:history="1">
        <w:r>
          <w:rPr>
            <w:rStyle w:val="Hyperlink"/>
            <w:rFonts w:ascii="Times New Roman" w:hAnsi="Times New Roman"/>
          </w:rPr>
          <w:t>Conceptual Framework for Testing and Assessment of Endocrine Disrupters</w:t>
        </w:r>
      </w:hyperlink>
      <w:r>
        <w:rPr>
          <w:rStyle w:val="Hyperlink"/>
          <w:rFonts w:ascii="Times New Roman" w:hAnsi="Times New Roman"/>
        </w:rPr>
        <w:t>.</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EFSA (2013), </w:t>
      </w:r>
      <w:hyperlink r:id="rId15" w:history="1">
        <w:r>
          <w:rPr>
            <w:rStyle w:val="Hyperlink"/>
            <w:rFonts w:ascii="Times New Roman" w:hAnsi="Times New Roman"/>
            <w:i/>
          </w:rPr>
          <w:t>Scientific Opinion on the hazard assessment of endocrine disruptors: Scientific criteria for identification of endocrine disruptors and appropriateness of existing test methods for assessing effects mediated by these substances on human health and the environment</w:t>
        </w:r>
      </w:hyperlink>
      <w:r>
        <w:rPr>
          <w:rFonts w:ascii="Times New Roman" w:hAnsi="Times New Roman" w:cs="Times New Roman"/>
        </w:rPr>
        <w:t>.</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Oestrogen, androgen, thyroid hormone or steroidogenesis (EATS).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noProof/>
        </w:rPr>
        <w:t xml:space="preserve">Scientific guidance exists on how to interpret the results of individual tests and compile all the available evidence on a substance to evaluate it for endocrine disruption. At international level, the reference is the document from OECD (2012), </w:t>
      </w:r>
      <w:hyperlink r:id="rId16" w:history="1">
        <w:r>
          <w:rPr>
            <w:rStyle w:val="Hyperlink"/>
            <w:rFonts w:ascii="Times New Roman" w:hAnsi="Times New Roman"/>
            <w:i/>
          </w:rPr>
          <w:t>Guidance Document on Standardised Test Guidelines for Evaluating Chemicals for Endocrine Disruption</w:t>
        </w:r>
      </w:hyperlink>
      <w:r>
        <w:rPr>
          <w:rStyle w:val="Hyperlink"/>
          <w:rFonts w:ascii="Times New Roman" w:hAnsi="Times New Roman"/>
          <w:i/>
          <w:u w:val="none"/>
        </w:rPr>
        <w:t xml:space="preserve">. </w:t>
      </w:r>
      <w:r>
        <w:rPr>
          <w:rFonts w:ascii="Times New Roman" w:hAnsi="Times New Roman" w:cs="Times New Roman"/>
        </w:rPr>
        <w:t>At EU level, specific guidance exists in the context of the different legal frameworks.</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One example is "read-across", which allows to predict information for one substance by using data from another substance.</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Examples include: </w:t>
      </w:r>
      <w:hyperlink r:id="rId17" w:history="1">
        <w:r>
          <w:rPr>
            <w:rStyle w:val="Hyperlink"/>
            <w:rFonts w:ascii="Times New Roman" w:hAnsi="Times New Roman"/>
            <w:i/>
          </w:rPr>
          <w:t>Setting priorities for further development and validation of test methods and testing approaches for evaluating endocrine disruptors</w:t>
        </w:r>
        <w:r>
          <w:rPr>
            <w:rStyle w:val="Hyperlink"/>
            <w:rFonts w:ascii="Times New Roman" w:hAnsi="Times New Roman"/>
            <w:i/>
            <w:u w:val="none"/>
          </w:rPr>
          <w:t xml:space="preserve"> </w:t>
        </w:r>
        <w:r>
          <w:rPr>
            <w:rStyle w:val="Hyperlink"/>
            <w:rFonts w:ascii="Times New Roman" w:hAnsi="Times New Roman"/>
            <w:color w:val="auto"/>
            <w:u w:val="none"/>
          </w:rPr>
          <w:t>(2018)</w:t>
        </w:r>
      </w:hyperlink>
      <w:r>
        <w:rPr>
          <w:rFonts w:ascii="Times New Roman" w:hAnsi="Times New Roman" w:cs="Times New Roman"/>
        </w:rPr>
        <w:t xml:space="preserve">; </w:t>
      </w:r>
      <w:r>
        <w:rPr>
          <w:rFonts w:ascii="Times New Roman" w:hAnsi="Times New Roman" w:cs="Times New Roman"/>
          <w:i/>
        </w:rPr>
        <w:t>Development of a study protocol for thyroid disruptor testing in the mammalian system</w:t>
      </w:r>
      <w:r>
        <w:rPr>
          <w:rFonts w:ascii="Times New Roman" w:hAnsi="Times New Roman" w:cs="Times New Roman"/>
        </w:rPr>
        <w:t xml:space="preserve"> (to be finalised in 2019); </w:t>
      </w:r>
      <w:hyperlink r:id="rId18" w:history="1">
        <w:r>
          <w:rPr>
            <w:rStyle w:val="Hyperlink"/>
            <w:rFonts w:ascii="Times New Roman" w:hAnsi="Times New Roman"/>
            <w:i/>
          </w:rPr>
          <w:t>Validation study to assess in vitro methods for thyroid disruptors</w:t>
        </w:r>
      </w:hyperlink>
      <w:r>
        <w:rPr>
          <w:rFonts w:ascii="Times New Roman" w:hAnsi="Times New Roman" w:cs="Times New Roman"/>
        </w:rPr>
        <w:t xml:space="preserve"> (launched in 2017, ongoing).</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through the </w:t>
      </w:r>
      <w:hyperlink r:id="rId19" w:history="1">
        <w:r>
          <w:rPr>
            <w:rStyle w:val="Hyperlink"/>
            <w:rFonts w:ascii="Times New Roman" w:hAnsi="Times New Roman"/>
          </w:rPr>
          <w:t>Rapid Alert System for dangerous non-food products</w:t>
        </w:r>
      </w:hyperlink>
      <w:r>
        <w:rPr>
          <w:rFonts w:ascii="Times New Roman" w:hAnsi="Times New Roman" w:cs="Times New Roman"/>
        </w:rPr>
        <w:t>.</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(EC) No 1107/2009 of the European Parliament and of the Council of 21 October 2009 concerning the placing of plant protection products on the market (OJ L 309, 24.11.2009, p. 1).</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Biocides are used to control harmful organisms (examples are disinfectants) - Regulation (EU) No 528/2012 of the European Parliament and of the Council of 22 May 2012 concerning the making available on the market and use of biocidal products (OJ L 167, 27.6.2012, p. 1).</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(EC) No 1907/2006 of the European Parliament and of the Council of 18 December 2006 concerning the Registration, Evaluation, Authorisation and Restriction of Chemicals (REACH) (OJ L 396, 30.12.2006, p. 1).</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2017/745 of the European Parliament and of the Council of 5 April 2017 on medical devices (OJ L 117, 5.5.2017, p. 1).</w:t>
      </w:r>
    </w:p>
  </w:footnote>
  <w:footnote w:id="25">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Directive 2000/60/EC of the European Parliament and of the Council of 23 October 2000 establishing a framework for Community action in the field of water policy (OJ L 327, 22.12.2000, p.1).</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(EC) No 1935/2004 of the European Parliament and of the Council of 27 October 2004 on materials and articles intended to come into contact with food (OJ L 338, 13.11.2004, p. 4).</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(EC) No 1223/2009 of the European Parliament and of the Council of 30 November 2009 on cosmetic products (OJ L 342 22.12.2009, p. 59).</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2009/48/EC of the European Parliament and of the Council of 18 June 2009 on the safety of toys (OJ L 170, 30.6.2009, p.1).</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in particular Council Directive 98/24/EC of 7 April 1998 on the protection of the health and safety of workers from the risks related to chemical agents at work (OJ L 131, 5.5.1998, p. 11) and Directive 2004/37/EC of the European Parliament and of the Council of 29 April 2004 on the protection of workers from the risks related to exposure to carcinogens or mutagens at work (OJ L 158, 30.4.2004, p. 50).</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2017/2100 (OJ L 301, 17.11.17, p.1) and Commission Regulation (EU) 2018/605 (OJ L 101, 20.4.2018, p. 33).</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w:t>
      </w:r>
      <w:r>
        <w:rPr>
          <w:rFonts w:ascii="Times New Roman" w:hAnsi="Times New Roman" w:cs="Times New Roman"/>
          <w:i/>
        </w:rPr>
        <w:t>authorisation list</w:t>
      </w:r>
      <w:r>
        <w:rPr>
          <w:rFonts w:ascii="Times New Roman" w:hAnsi="Times New Roman" w:cs="Times New Roman"/>
        </w:rPr>
        <w:t xml:space="preserve"> of Annex XIV of REACH – substances concerned are for example certain phthalates, ethoxylates of nonylphenol and octylphenol.</w:t>
      </w:r>
    </w:p>
  </w:footnote>
  <w:footnote w:id="3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 information on the </w:t>
      </w:r>
      <w:r>
        <w:rPr>
          <w:rFonts w:ascii="Times New Roman" w:hAnsi="Times New Roman" w:cs="Times New Roman"/>
          <w:i/>
        </w:rPr>
        <w:t>Candidate list</w:t>
      </w:r>
      <w:r>
        <w:rPr>
          <w:rFonts w:ascii="Times New Roman" w:hAnsi="Times New Roman" w:cs="Times New Roman"/>
        </w:rPr>
        <w:t xml:space="preserve"> is available on the </w:t>
      </w:r>
      <w:hyperlink r:id="rId20" w:history="1">
        <w:r>
          <w:rPr>
            <w:rStyle w:val="Hyperlink"/>
            <w:rFonts w:ascii="Times New Roman" w:hAnsi="Times New Roman"/>
          </w:rPr>
          <w:t>website</w:t>
        </w:r>
      </w:hyperlink>
      <w:r>
        <w:rPr>
          <w:rFonts w:ascii="Times New Roman" w:hAnsi="Times New Roman" w:cs="Times New Roman"/>
        </w:rPr>
        <w:t xml:space="preserve"> of the European Chemicals Agency.</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Annex XVII of REACH.</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REACH Committee, composed of experts from all Member States, </w:t>
      </w:r>
      <w:hyperlink r:id="rId21" w:history="1">
        <w:r>
          <w:rPr>
            <w:rStyle w:val="Hyperlink"/>
            <w:rFonts w:ascii="Times New Roman" w:hAnsi="Times New Roman"/>
          </w:rPr>
          <w:t>supported</w:t>
        </w:r>
      </w:hyperlink>
      <w:r>
        <w:rPr>
          <w:rFonts w:ascii="Times New Roman" w:hAnsi="Times New Roman" w:cs="Times New Roman"/>
        </w:rPr>
        <w:t xml:space="preserve"> the proposed measure by unanimity on 11 July 2018.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Bis(2-ethylhexyl) phthalate, </w:t>
      </w:r>
      <w:hyperlink r:id="rId22" w:history="1">
        <w:r>
          <w:rPr>
            <w:rFonts w:ascii="Times New Roman" w:hAnsi="Times New Roman"/>
          </w:rPr>
          <w:t>Benzyl butyl phthalate</w:t>
        </w:r>
      </w:hyperlink>
      <w:r>
        <w:rPr>
          <w:rFonts w:ascii="Times New Roman" w:hAnsi="Times New Roman" w:cs="Times New Roman"/>
        </w:rPr>
        <w:t>, Di-n-butylphthalate, Di-iso-butylphthalate.</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Such as brominated diphenylether, bis-(2-ethylhexyl) phthalate and tributyltin compounds.</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Last updated by Directive 2013/39/EU of the European Parliament and of the Council of 12 August 2013 amending Directives 2000/60/EC and 2008/105/EC as regards priority substances in the field of water policy (OJ L 226, 24.8.2013, p. 1).</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Strong"/>
          <w:rFonts w:ascii="Times New Roman" w:hAnsi="Times New Roman" w:cs="Times New Roman"/>
          <w:b w:val="0"/>
        </w:rPr>
        <w:t xml:space="preserve">Commission Implementing Decision (EU) 2018/840 (OJ L 141, 7.6.2018, p.9). The substances are: </w:t>
      </w:r>
      <w:r>
        <w:rPr>
          <w:rFonts w:ascii="Times New Roman" w:hAnsi="Times New Roman" w:cs="Times New Roman"/>
        </w:rPr>
        <w:t>17-alpha-ethinylestradiol (EE2), 17-beta-estradiol (E2) and estrone (E1).</w:t>
      </w:r>
      <w:r>
        <w:rPr>
          <w:rStyle w:val="Strong"/>
          <w:rFonts w:ascii="Times New Roman" w:hAnsi="Times New Roman" w:cs="Times New Roman"/>
          <w:b w:val="0"/>
        </w:rPr>
        <w:t xml:space="preserve"> </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Regulation (EU) No 10/2011 (OJ L 12, 15.1.2011, p. 1) and Commission Regulation (EU) 2018/213 (OJ L 41, 14.2.2018, p. 6).</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Directive (EU) 2017/898 (OJ L 138, 25.5.2017, p. 128).</w:t>
      </w:r>
    </w:p>
  </w:footnote>
  <w:footnote w:id="41">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Commission Regulation (EU) 2016/2235 (OJ L 337, 13.12.2016, p. 3).</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fr-BE"/>
        </w:rPr>
        <w:t xml:space="preserve"> Commission Directives 2009/161/EU (OJ L 338, 19.12.2009, p. 87) and (EU) 2017/164 (OJ L 27, 1.2.2017, p. 115). </w:t>
      </w:r>
      <w:r>
        <w:rPr>
          <w:rFonts w:ascii="Times New Roman" w:hAnsi="Times New Roman" w:cs="Times New Roman"/>
        </w:rPr>
        <w:t>The latest review is based on the recommendation of 2014 of the Scientific Committee on Occupational Exposure Limits (SCOEL/SUM/113).</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Certain so-called "parabens", via Commission Regulation (EU) No 358/2014 (OJ L 107, 10.4.2014, p. 5) and Commission Regulation (EU) No 1004/2014 (OJ L 282, 26.9.2014, p. 5).</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3-Benzylidene Camphor - Commission Regulation (EU) 2015/1298 (OJ L 199, 29.7.2015, p. 22), following the opinion of the Scientific Committee on Consumer Safety SCCS/1513/13.</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Safety Data Sheets are documents provided to downstream users which include information about the properties of substances or mixtures. See the review of the REACH Regulation (COM(2018)116).</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 179. </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 28 and COM(2018) 32 – following up from the Circular Economy Action Plan COM(2015) 614.</w:t>
      </w:r>
    </w:p>
  </w:footnote>
  <w:footnote w:id="48">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COM(2017) 753. </w:t>
      </w:r>
    </w:p>
  </w:footnote>
  <w:footnote w:id="49">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Beta-estradiol; nonylphenol; bisphenol A.</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 183.</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particular the Commission’s proposal for a Regulation on compliance with and enforcement of legislation (COM(2017) 795).</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market surveillance exercise coordinated by the European Chemicals Agency's Enforcement Forum in 2018 (Forum REF-4 Project Report - </w:t>
      </w:r>
      <w:hyperlink r:id="rId23" w:history="1">
        <w:r>
          <w:rPr>
            <w:rStyle w:val="Hyperlink"/>
            <w:rFonts w:ascii="Times New Roman" w:hAnsi="Times New Roman"/>
          </w:rPr>
          <w:t>Harmonised Enforcement Project on Restrictions</w:t>
        </w:r>
      </w:hyperlink>
      <w:r>
        <w:rPr>
          <w:rFonts w:ascii="Times New Roman" w:hAnsi="Times New Roman" w:cs="Times New Roman"/>
        </w:rPr>
        <w:t xml:space="preserve">, ECHA-18-R-03-EN) revealed that 19.7% of the inspected toys and 3.6% of the inspected childcare articles contained levels of phthalates not complying with the legislation (mainly coming from outside the European Economic Area or of unknown origin). In 2017, more than 170 notifications relating to non-compliant products as regards phthalates were exchanged between Member States via the Rapid Alert System for dangerous non-food products. </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mentioned before, the criteria to identify endocrine disruptors under the legislation on pesticides and biocides are based on the definition of the World Health Organisation.</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was for example the case when criteria were developed to identify endocrine disruptors under the legislation on pesticides and biocides.</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U.S. Environmental Protection Agency operates the Endocrine Disruptor Screening Program. In Japan, the Ministry of Health, Labour and welfare established a Committee on Health Effects of Endocrine Disruptors.</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1(4) of Regulation (EC) No 1107/2009 and Article 1(1) of Regulation (EU) No 528/2012.</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Such as the </w:t>
      </w:r>
      <w:hyperlink r:id="rId24" w:history="1">
        <w:r>
          <w:rPr>
            <w:rStyle w:val="Hyperlink"/>
            <w:rFonts w:ascii="Times New Roman" w:hAnsi="Times New Roman"/>
          </w:rPr>
          <w:t>REACH REFIT evaluation</w:t>
        </w:r>
      </w:hyperlink>
      <w:r>
        <w:rPr>
          <w:rFonts w:ascii="Times New Roman" w:hAnsi="Times New Roman" w:cs="Times New Roman"/>
        </w:rPr>
        <w:t xml:space="preserve">, </w:t>
      </w:r>
      <w:hyperlink r:id="rId25" w:history="1">
        <w:r>
          <w:rPr>
            <w:rStyle w:val="Hyperlink"/>
            <w:rFonts w:ascii="Times New Roman" w:hAnsi="Times New Roman"/>
          </w:rPr>
          <w:t>the REACH Review on the authorisation route of substances with endocrine disrupting properties according to REACH Art. 138 (7),</w:t>
        </w:r>
      </w:hyperlink>
      <w:r>
        <w:rPr>
          <w:rFonts w:ascii="Times New Roman" w:hAnsi="Times New Roman" w:cs="Times New Roman"/>
        </w:rPr>
        <w:t xml:space="preserve"> the </w:t>
      </w:r>
      <w:hyperlink r:id="rId26" w:history="1">
        <w:r>
          <w:rPr>
            <w:rStyle w:val="Hyperlink"/>
            <w:rFonts w:ascii="Times New Roman" w:hAnsi="Times New Roman"/>
          </w:rPr>
          <w:t>Fitness Check of the chemicals legislation</w:t>
        </w:r>
      </w:hyperlink>
      <w:r>
        <w:rPr>
          <w:rFonts w:ascii="Times New Roman" w:hAnsi="Times New Roman" w:cs="Times New Roman"/>
        </w:rPr>
        <w:t xml:space="preserve">, the </w:t>
      </w:r>
      <w:hyperlink r:id="rId27" w:history="1">
        <w:r>
          <w:rPr>
            <w:rStyle w:val="Hyperlink"/>
            <w:rFonts w:ascii="Times New Roman" w:hAnsi="Times New Roman"/>
          </w:rPr>
          <w:t>evaluation of the legal framework on pesticides</w:t>
        </w:r>
      </w:hyperlink>
      <w:r>
        <w:rPr>
          <w:rFonts w:ascii="Times New Roman" w:hAnsi="Times New Roman" w:cs="Times New Roman"/>
        </w:rPr>
        <w:t xml:space="preserve">, the </w:t>
      </w:r>
      <w:hyperlink r:id="rId28" w:history="1">
        <w:r>
          <w:rPr>
            <w:rStyle w:val="Hyperlink"/>
            <w:rFonts w:ascii="Times New Roman" w:hAnsi="Times New Roman"/>
          </w:rPr>
          <w:t>evaluation of the 7th Environment Action Programme</w:t>
        </w:r>
      </w:hyperlink>
      <w:r>
        <w:rPr>
          <w:rStyle w:val="Hyperlink"/>
          <w:rFonts w:ascii="Times New Roman" w:hAnsi="Times New Roman"/>
        </w:rPr>
        <w:t xml:space="preserve">, </w:t>
      </w:r>
      <w:r>
        <w:rPr>
          <w:rStyle w:val="Hyperlink"/>
          <w:rFonts w:ascii="Times New Roman" w:hAnsi="Times New Roman"/>
          <w:color w:val="auto"/>
          <w:u w:val="none"/>
        </w:rPr>
        <w:t xml:space="preserve">the </w:t>
      </w:r>
      <w:hyperlink r:id="rId29" w:anchor="scope_of_the_fitness_check" w:history="1">
        <w:r>
          <w:rPr>
            <w:rStyle w:val="Hyperlink"/>
            <w:rFonts w:ascii="Times New Roman" w:hAnsi="Times New Roman"/>
          </w:rPr>
          <w:t>Fitness Check of the water legislation</w:t>
        </w:r>
      </w:hyperlink>
      <w:r>
        <w:rPr>
          <w:rFonts w:ascii="Times New Roman" w:hAnsi="Times New Roman" w:cs="Times New Roman"/>
        </w:rPr>
        <w:t xml:space="preserve">, </w:t>
      </w:r>
      <w:hyperlink r:id="rId30" w:history="1">
        <w:r>
          <w:rPr>
            <w:rStyle w:val="Hyperlink"/>
            <w:rFonts w:ascii="Times New Roman" w:hAnsi="Times New Roman"/>
          </w:rPr>
          <w:t>the evaluation of the legislation on food contact materials</w:t>
        </w:r>
      </w:hyperlink>
      <w:r>
        <w:rPr>
          <w:rStyle w:val="Hyperlink"/>
          <w:rFonts w:ascii="Times New Roman" w:hAnsi="Times New Roman"/>
          <w:u w:val="none"/>
        </w:rPr>
        <w:t xml:space="preserve"> </w:t>
      </w:r>
      <w:r>
        <w:rPr>
          <w:rFonts w:ascii="Times New Roman" w:hAnsi="Times New Roman" w:cs="Times New Roman"/>
        </w:rPr>
        <w:t>and the</w:t>
      </w:r>
      <w:r>
        <w:rPr>
          <w:rStyle w:val="Hyperlink"/>
          <w:rFonts w:ascii="Times New Roman" w:hAnsi="Times New Roman"/>
          <w:u w:val="none"/>
        </w:rPr>
        <w:t xml:space="preserve"> </w:t>
      </w:r>
      <w:hyperlink r:id="rId31" w:history="1">
        <w:r>
          <w:rPr>
            <w:rStyle w:val="Hyperlink"/>
            <w:rFonts w:ascii="Times New Roman" w:hAnsi="Times New Roman"/>
          </w:rPr>
          <w:t>evaluation of the legislation on toy safety</w:t>
        </w:r>
      </w:hyperlink>
      <w:r>
        <w:rPr>
          <w:rStyle w:val="Hyperlink"/>
          <w:rFonts w:ascii="Times New Roman" w:hAnsi="Times New Roman"/>
          <w:color w:val="auto"/>
          <w:u w:val="none"/>
        </w:rPr>
        <w:t>.</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 435 and COM(2018) 436 – see in particular, in the second pillar on Global Challenges and Industrial Competitiveness, the "Health" cluster (with a proposed budget of €</w:t>
      </w:r>
      <w:r>
        <w:rPr>
          <w:rFonts w:ascii="Times New Roman" w:eastAsia="Times New Roman" w:hAnsi="Times New Roman" w:cs="Times New Roman"/>
          <w:lang w:eastAsia="en-GB"/>
        </w:rPr>
        <w:t>7.7 billion) and the "Non-nuclear direct actions of the Joint Research Centre" cluster (with a proposed budget of  €2.2 billion).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EFB"/>
    <w:multiLevelType w:val="hybridMultilevel"/>
    <w:tmpl w:val="54DE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674308"/>
    <w:multiLevelType w:val="hybridMultilevel"/>
    <w:tmpl w:val="923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5AB0FCE"/>
    <w:multiLevelType w:val="hybridMultilevel"/>
    <w:tmpl w:val="2186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9D47D0"/>
    <w:multiLevelType w:val="hybridMultilevel"/>
    <w:tmpl w:val="9758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B453E2"/>
    <w:multiLevelType w:val="hybridMultilevel"/>
    <w:tmpl w:val="0FD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0E43A7"/>
    <w:multiLevelType w:val="hybridMultilevel"/>
    <w:tmpl w:val="34CE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284A8B"/>
    <w:multiLevelType w:val="hybridMultilevel"/>
    <w:tmpl w:val="D316A51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03053C"/>
    <w:multiLevelType w:val="hybridMultilevel"/>
    <w:tmpl w:val="DB96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6E1813"/>
    <w:multiLevelType w:val="hybridMultilevel"/>
    <w:tmpl w:val="9A02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1B398A"/>
    <w:multiLevelType w:val="hybridMultilevel"/>
    <w:tmpl w:val="45F4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192AD9"/>
    <w:multiLevelType w:val="hybridMultilevel"/>
    <w:tmpl w:val="E2E0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51032F"/>
    <w:multiLevelType w:val="hybridMultilevel"/>
    <w:tmpl w:val="ACAC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8F3ACB"/>
    <w:multiLevelType w:val="hybridMultilevel"/>
    <w:tmpl w:val="70527EBE"/>
    <w:lvl w:ilvl="0" w:tplc="AAA4D3A6">
      <w:start w:val="1"/>
      <w:numFmt w:val="bullet"/>
      <w:lvlText w:val=""/>
      <w:lvlJc w:val="left"/>
      <w:pPr>
        <w:tabs>
          <w:tab w:val="num" w:pos="720"/>
        </w:tabs>
        <w:ind w:left="720" w:hanging="360"/>
      </w:pPr>
      <w:rPr>
        <w:rFonts w:ascii="Wingdings" w:hAnsi="Wingdings" w:hint="default"/>
      </w:rPr>
    </w:lvl>
    <w:lvl w:ilvl="1" w:tplc="3462086C">
      <w:start w:val="1470"/>
      <w:numFmt w:val="bullet"/>
      <w:lvlText w:val=""/>
      <w:lvlJc w:val="left"/>
      <w:pPr>
        <w:tabs>
          <w:tab w:val="num" w:pos="1440"/>
        </w:tabs>
        <w:ind w:left="1440" w:hanging="360"/>
      </w:pPr>
      <w:rPr>
        <w:rFonts w:ascii="Wingdings" w:hAnsi="Wingdings" w:hint="default"/>
      </w:rPr>
    </w:lvl>
    <w:lvl w:ilvl="2" w:tplc="6B949A7A" w:tentative="1">
      <w:start w:val="1"/>
      <w:numFmt w:val="bullet"/>
      <w:lvlText w:val=""/>
      <w:lvlJc w:val="left"/>
      <w:pPr>
        <w:tabs>
          <w:tab w:val="num" w:pos="2160"/>
        </w:tabs>
        <w:ind w:left="2160" w:hanging="360"/>
      </w:pPr>
      <w:rPr>
        <w:rFonts w:ascii="Wingdings" w:hAnsi="Wingdings" w:hint="default"/>
      </w:rPr>
    </w:lvl>
    <w:lvl w:ilvl="3" w:tplc="DED2A64E" w:tentative="1">
      <w:start w:val="1"/>
      <w:numFmt w:val="bullet"/>
      <w:lvlText w:val=""/>
      <w:lvlJc w:val="left"/>
      <w:pPr>
        <w:tabs>
          <w:tab w:val="num" w:pos="2880"/>
        </w:tabs>
        <w:ind w:left="2880" w:hanging="360"/>
      </w:pPr>
      <w:rPr>
        <w:rFonts w:ascii="Wingdings" w:hAnsi="Wingdings" w:hint="default"/>
      </w:rPr>
    </w:lvl>
    <w:lvl w:ilvl="4" w:tplc="AF967F94" w:tentative="1">
      <w:start w:val="1"/>
      <w:numFmt w:val="bullet"/>
      <w:lvlText w:val=""/>
      <w:lvlJc w:val="left"/>
      <w:pPr>
        <w:tabs>
          <w:tab w:val="num" w:pos="3600"/>
        </w:tabs>
        <w:ind w:left="3600" w:hanging="360"/>
      </w:pPr>
      <w:rPr>
        <w:rFonts w:ascii="Wingdings" w:hAnsi="Wingdings" w:hint="default"/>
      </w:rPr>
    </w:lvl>
    <w:lvl w:ilvl="5" w:tplc="CBDAEC8A" w:tentative="1">
      <w:start w:val="1"/>
      <w:numFmt w:val="bullet"/>
      <w:lvlText w:val=""/>
      <w:lvlJc w:val="left"/>
      <w:pPr>
        <w:tabs>
          <w:tab w:val="num" w:pos="4320"/>
        </w:tabs>
        <w:ind w:left="4320" w:hanging="360"/>
      </w:pPr>
      <w:rPr>
        <w:rFonts w:ascii="Wingdings" w:hAnsi="Wingdings" w:hint="default"/>
      </w:rPr>
    </w:lvl>
    <w:lvl w:ilvl="6" w:tplc="1BAC0308" w:tentative="1">
      <w:start w:val="1"/>
      <w:numFmt w:val="bullet"/>
      <w:lvlText w:val=""/>
      <w:lvlJc w:val="left"/>
      <w:pPr>
        <w:tabs>
          <w:tab w:val="num" w:pos="5040"/>
        </w:tabs>
        <w:ind w:left="5040" w:hanging="360"/>
      </w:pPr>
      <w:rPr>
        <w:rFonts w:ascii="Wingdings" w:hAnsi="Wingdings" w:hint="default"/>
      </w:rPr>
    </w:lvl>
    <w:lvl w:ilvl="7" w:tplc="B1164B5E" w:tentative="1">
      <w:start w:val="1"/>
      <w:numFmt w:val="bullet"/>
      <w:lvlText w:val=""/>
      <w:lvlJc w:val="left"/>
      <w:pPr>
        <w:tabs>
          <w:tab w:val="num" w:pos="5760"/>
        </w:tabs>
        <w:ind w:left="5760" w:hanging="360"/>
      </w:pPr>
      <w:rPr>
        <w:rFonts w:ascii="Wingdings" w:hAnsi="Wingdings" w:hint="default"/>
      </w:rPr>
    </w:lvl>
    <w:lvl w:ilvl="8" w:tplc="EA58D078" w:tentative="1">
      <w:start w:val="1"/>
      <w:numFmt w:val="bullet"/>
      <w:lvlText w:val=""/>
      <w:lvlJc w:val="left"/>
      <w:pPr>
        <w:tabs>
          <w:tab w:val="num" w:pos="6480"/>
        </w:tabs>
        <w:ind w:left="6480" w:hanging="360"/>
      </w:pPr>
      <w:rPr>
        <w:rFonts w:ascii="Wingdings" w:hAnsi="Wingdings" w:hint="default"/>
      </w:rPr>
    </w:lvl>
  </w:abstractNum>
  <w:abstractNum w:abstractNumId="13">
    <w:nsid w:val="2B627953"/>
    <w:multiLevelType w:val="hybridMultilevel"/>
    <w:tmpl w:val="275A2A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0D47568"/>
    <w:multiLevelType w:val="hybridMultilevel"/>
    <w:tmpl w:val="F402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5252C2"/>
    <w:multiLevelType w:val="hybridMultilevel"/>
    <w:tmpl w:val="C314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1B03FF"/>
    <w:multiLevelType w:val="hybridMultilevel"/>
    <w:tmpl w:val="EEF4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A816BE"/>
    <w:multiLevelType w:val="hybridMultilevel"/>
    <w:tmpl w:val="3AD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670DED"/>
    <w:multiLevelType w:val="hybridMultilevel"/>
    <w:tmpl w:val="30DA8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397E6284"/>
    <w:multiLevelType w:val="hybridMultilevel"/>
    <w:tmpl w:val="62A851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40D15103"/>
    <w:multiLevelType w:val="hybridMultilevel"/>
    <w:tmpl w:val="71D0AF8C"/>
    <w:lvl w:ilvl="0" w:tplc="804EC7E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8D736E"/>
    <w:multiLevelType w:val="hybridMultilevel"/>
    <w:tmpl w:val="0DACD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2569CB"/>
    <w:multiLevelType w:val="hybridMultilevel"/>
    <w:tmpl w:val="E224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4E7F41"/>
    <w:multiLevelType w:val="hybridMultilevel"/>
    <w:tmpl w:val="4AA06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9D2DC0"/>
    <w:multiLevelType w:val="hybridMultilevel"/>
    <w:tmpl w:val="B200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EA1A03"/>
    <w:multiLevelType w:val="hybridMultilevel"/>
    <w:tmpl w:val="8084B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FE712C"/>
    <w:multiLevelType w:val="hybridMultilevel"/>
    <w:tmpl w:val="096A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184BAD"/>
    <w:multiLevelType w:val="hybridMultilevel"/>
    <w:tmpl w:val="E476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843070"/>
    <w:multiLevelType w:val="hybridMultilevel"/>
    <w:tmpl w:val="E042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2D74C5"/>
    <w:multiLevelType w:val="hybridMultilevel"/>
    <w:tmpl w:val="0ACC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66665F"/>
    <w:multiLevelType w:val="hybridMultilevel"/>
    <w:tmpl w:val="48F2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672B21"/>
    <w:multiLevelType w:val="hybridMultilevel"/>
    <w:tmpl w:val="74CE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D81625"/>
    <w:multiLevelType w:val="hybridMultilevel"/>
    <w:tmpl w:val="731C8FDC"/>
    <w:lvl w:ilvl="0" w:tplc="164810D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512D82"/>
    <w:multiLevelType w:val="multilevel"/>
    <w:tmpl w:val="E2602438"/>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F272443"/>
    <w:multiLevelType w:val="hybridMultilevel"/>
    <w:tmpl w:val="B8D2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C1398A"/>
    <w:multiLevelType w:val="hybridMultilevel"/>
    <w:tmpl w:val="3030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AA3151"/>
    <w:multiLevelType w:val="multilevel"/>
    <w:tmpl w:val="4A4A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7E00AB"/>
    <w:multiLevelType w:val="hybridMultilevel"/>
    <w:tmpl w:val="BD7E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965F2D"/>
    <w:multiLevelType w:val="hybridMultilevel"/>
    <w:tmpl w:val="0A38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D87945"/>
    <w:multiLevelType w:val="hybridMultilevel"/>
    <w:tmpl w:val="59A6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883456"/>
    <w:multiLevelType w:val="hybridMultilevel"/>
    <w:tmpl w:val="EAE4B724"/>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1">
    <w:nsid w:val="7042762F"/>
    <w:multiLevelType w:val="hybridMultilevel"/>
    <w:tmpl w:val="6C3CD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4A408AE"/>
    <w:multiLevelType w:val="hybridMultilevel"/>
    <w:tmpl w:val="44B8B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64B79B6"/>
    <w:multiLevelType w:val="hybridMultilevel"/>
    <w:tmpl w:val="2FE8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C332FF"/>
    <w:multiLevelType w:val="hybridMultilevel"/>
    <w:tmpl w:val="4640786A"/>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D4C2FBA"/>
    <w:multiLevelType w:val="hybridMultilevel"/>
    <w:tmpl w:val="F356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89447D"/>
    <w:multiLevelType w:val="hybridMultilevel"/>
    <w:tmpl w:val="9166A0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7DF60C94"/>
    <w:multiLevelType w:val="hybridMultilevel"/>
    <w:tmpl w:val="B7746B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F890063"/>
    <w:multiLevelType w:val="hybridMultilevel"/>
    <w:tmpl w:val="EE54B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41"/>
  </w:num>
  <w:num w:numId="3">
    <w:abstractNumId w:val="42"/>
  </w:num>
  <w:num w:numId="4">
    <w:abstractNumId w:val="5"/>
  </w:num>
  <w:num w:numId="5">
    <w:abstractNumId w:val="23"/>
  </w:num>
  <w:num w:numId="6">
    <w:abstractNumId w:val="38"/>
  </w:num>
  <w:num w:numId="7">
    <w:abstractNumId w:val="18"/>
  </w:num>
  <w:num w:numId="8">
    <w:abstractNumId w:val="46"/>
  </w:num>
  <w:num w:numId="9">
    <w:abstractNumId w:val="16"/>
  </w:num>
  <w:num w:numId="10">
    <w:abstractNumId w:val="4"/>
  </w:num>
  <w:num w:numId="11">
    <w:abstractNumId w:val="44"/>
  </w:num>
  <w:num w:numId="12">
    <w:abstractNumId w:val="29"/>
  </w:num>
  <w:num w:numId="13">
    <w:abstractNumId w:val="12"/>
  </w:num>
  <w:num w:numId="14">
    <w:abstractNumId w:val="39"/>
  </w:num>
  <w:num w:numId="15">
    <w:abstractNumId w:val="10"/>
  </w:num>
  <w:num w:numId="16">
    <w:abstractNumId w:val="17"/>
  </w:num>
  <w:num w:numId="17">
    <w:abstractNumId w:val="20"/>
  </w:num>
  <w:num w:numId="18">
    <w:abstractNumId w:val="45"/>
  </w:num>
  <w:num w:numId="19">
    <w:abstractNumId w:val="11"/>
  </w:num>
  <w:num w:numId="20">
    <w:abstractNumId w:val="1"/>
  </w:num>
  <w:num w:numId="21">
    <w:abstractNumId w:val="40"/>
  </w:num>
  <w:num w:numId="22">
    <w:abstractNumId w:val="6"/>
  </w:num>
  <w:num w:numId="23">
    <w:abstractNumId w:val="15"/>
  </w:num>
  <w:num w:numId="24">
    <w:abstractNumId w:val="34"/>
  </w:num>
  <w:num w:numId="25">
    <w:abstractNumId w:val="36"/>
  </w:num>
  <w:num w:numId="26">
    <w:abstractNumId w:val="48"/>
  </w:num>
  <w:num w:numId="27">
    <w:abstractNumId w:val="21"/>
  </w:num>
  <w:num w:numId="28">
    <w:abstractNumId w:val="30"/>
  </w:num>
  <w:num w:numId="29">
    <w:abstractNumId w:val="33"/>
  </w:num>
  <w:num w:numId="30">
    <w:abstractNumId w:val="9"/>
  </w:num>
  <w:num w:numId="31">
    <w:abstractNumId w:val="8"/>
  </w:num>
  <w:num w:numId="32">
    <w:abstractNumId w:val="22"/>
  </w:num>
  <w:num w:numId="33">
    <w:abstractNumId w:val="3"/>
  </w:num>
  <w:num w:numId="34">
    <w:abstractNumId w:val="14"/>
  </w:num>
  <w:num w:numId="35">
    <w:abstractNumId w:val="24"/>
  </w:num>
  <w:num w:numId="36">
    <w:abstractNumId w:val="37"/>
  </w:num>
  <w:num w:numId="37">
    <w:abstractNumId w:val="28"/>
  </w:num>
  <w:num w:numId="38">
    <w:abstractNumId w:val="43"/>
  </w:num>
  <w:num w:numId="39">
    <w:abstractNumId w:val="0"/>
  </w:num>
  <w:num w:numId="40">
    <w:abstractNumId w:val="35"/>
  </w:num>
  <w:num w:numId="41">
    <w:abstractNumId w:val="26"/>
  </w:num>
  <w:num w:numId="42">
    <w:abstractNumId w:val="31"/>
  </w:num>
  <w:num w:numId="43">
    <w:abstractNumId w:val="32"/>
  </w:num>
  <w:num w:numId="44">
    <w:abstractNumId w:val="13"/>
  </w:num>
  <w:num w:numId="45">
    <w:abstractNumId w:val="19"/>
  </w:num>
  <w:num w:numId="46">
    <w:abstractNumId w:val="2"/>
  </w:num>
  <w:num w:numId="47">
    <w:abstractNumId w:val="7"/>
  </w:num>
  <w:num w:numId="48">
    <w:abstractNumId w:val="47"/>
  </w:num>
  <w:num w:numId="4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UCCI Francesco Felice (SG)">
    <w15:presenceInfo w15:providerId="None" w15:userId="CARLUCCI Francesco Felice (SG)"/>
  </w15:person>
  <w15:person w15:author="HEILEMANN Stefanie (SG)">
    <w15:presenceInfo w15:providerId="None" w15:userId="HEILEMANN Stefan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92CB3E9-7672-4AC8-A7AE-C17A3832BCD7"/>
    <w:docVar w:name="LW_COVERPAGE_TYPE" w:val="1"/>
    <w:docVar w:name="LW_CROSSREFERENCE" w:val="&lt;UNUSED&gt;"/>
    <w:docVar w:name="LW_DocType" w:val="NORMAL"/>
    <w:docVar w:name="LW_EMISSION" w:val="7.11.2018"/>
    <w:docVar w:name="LW_EMISSION_ISODATE" w:val="2018-11-07"/>
    <w:docVar w:name="LW_EMISSION_LOCATION" w:val="BRX"/>
    <w:docVar w:name="LW_EMISSION_PREFIX" w:val="Brussels, "/>
    <w:docVar w:name="LW_EMISSION_SUFFIX" w:val="&lt;EMPTY&gt;"/>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owards a comprehensive European Union framework on endocrine disruptors"/>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u w:val="singl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unhideWhenUsed/>
    <w:qFormat/>
    <w:rPr>
      <w:vertAlign w:val="superscript"/>
    </w:rPr>
  </w:style>
  <w:style w:type="character" w:styleId="Hyperlink">
    <w:name w:val="Hyperlink"/>
    <w:uiPriority w:val="99"/>
    <w:rPr>
      <w:rFonts w:cs="Times New Roman"/>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u w:val="singl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unhideWhenUsed/>
    <w:qFormat/>
    <w:rPr>
      <w:vertAlign w:val="superscript"/>
    </w:rPr>
  </w:style>
  <w:style w:type="character" w:styleId="Hyperlink">
    <w:name w:val="Hyperlink"/>
    <w:uiPriority w:val="99"/>
    <w:rPr>
      <w:rFonts w:cs="Times New Roman"/>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309">
      <w:bodyDiv w:val="1"/>
      <w:marLeft w:val="0"/>
      <w:marRight w:val="0"/>
      <w:marTop w:val="0"/>
      <w:marBottom w:val="0"/>
      <w:divBdr>
        <w:top w:val="none" w:sz="0" w:space="0" w:color="auto"/>
        <w:left w:val="none" w:sz="0" w:space="0" w:color="auto"/>
        <w:bottom w:val="none" w:sz="0" w:space="0" w:color="auto"/>
        <w:right w:val="none" w:sz="0" w:space="0" w:color="auto"/>
      </w:divBdr>
      <w:divsChild>
        <w:div w:id="1101030620">
          <w:marLeft w:val="0"/>
          <w:marRight w:val="0"/>
          <w:marTop w:val="0"/>
          <w:marBottom w:val="0"/>
          <w:divBdr>
            <w:top w:val="none" w:sz="0" w:space="0" w:color="auto"/>
            <w:left w:val="none" w:sz="0" w:space="0" w:color="auto"/>
            <w:bottom w:val="none" w:sz="0" w:space="0" w:color="auto"/>
            <w:right w:val="none" w:sz="0" w:space="0" w:color="auto"/>
          </w:divBdr>
        </w:div>
        <w:div w:id="2082094174">
          <w:marLeft w:val="0"/>
          <w:marRight w:val="0"/>
          <w:marTop w:val="0"/>
          <w:marBottom w:val="0"/>
          <w:divBdr>
            <w:top w:val="none" w:sz="0" w:space="0" w:color="auto"/>
            <w:left w:val="none" w:sz="0" w:space="0" w:color="auto"/>
            <w:bottom w:val="none" w:sz="0" w:space="0" w:color="auto"/>
            <w:right w:val="none" w:sz="0" w:space="0" w:color="auto"/>
          </w:divBdr>
        </w:div>
        <w:div w:id="2132896917">
          <w:marLeft w:val="0"/>
          <w:marRight w:val="0"/>
          <w:marTop w:val="0"/>
          <w:marBottom w:val="0"/>
          <w:divBdr>
            <w:top w:val="none" w:sz="0" w:space="0" w:color="auto"/>
            <w:left w:val="none" w:sz="0" w:space="0" w:color="auto"/>
            <w:bottom w:val="none" w:sz="0" w:space="0" w:color="auto"/>
            <w:right w:val="none" w:sz="0" w:space="0" w:color="auto"/>
          </w:divBdr>
        </w:div>
        <w:div w:id="1044410135">
          <w:marLeft w:val="0"/>
          <w:marRight w:val="0"/>
          <w:marTop w:val="0"/>
          <w:marBottom w:val="0"/>
          <w:divBdr>
            <w:top w:val="none" w:sz="0" w:space="0" w:color="auto"/>
            <w:left w:val="none" w:sz="0" w:space="0" w:color="auto"/>
            <w:bottom w:val="none" w:sz="0" w:space="0" w:color="auto"/>
            <w:right w:val="none" w:sz="0" w:space="0" w:color="auto"/>
          </w:divBdr>
        </w:div>
      </w:divsChild>
    </w:div>
    <w:div w:id="49622753">
      <w:bodyDiv w:val="1"/>
      <w:marLeft w:val="0"/>
      <w:marRight w:val="0"/>
      <w:marTop w:val="0"/>
      <w:marBottom w:val="0"/>
      <w:divBdr>
        <w:top w:val="none" w:sz="0" w:space="0" w:color="auto"/>
        <w:left w:val="none" w:sz="0" w:space="0" w:color="auto"/>
        <w:bottom w:val="none" w:sz="0" w:space="0" w:color="auto"/>
        <w:right w:val="none" w:sz="0" w:space="0" w:color="auto"/>
      </w:divBdr>
      <w:divsChild>
        <w:div w:id="1171068604">
          <w:marLeft w:val="0"/>
          <w:marRight w:val="0"/>
          <w:marTop w:val="0"/>
          <w:marBottom w:val="0"/>
          <w:divBdr>
            <w:top w:val="none" w:sz="0" w:space="0" w:color="auto"/>
            <w:left w:val="none" w:sz="0" w:space="0" w:color="auto"/>
            <w:bottom w:val="none" w:sz="0" w:space="0" w:color="auto"/>
            <w:right w:val="none" w:sz="0" w:space="0" w:color="auto"/>
          </w:divBdr>
          <w:divsChild>
            <w:div w:id="6001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284">
      <w:bodyDiv w:val="1"/>
      <w:marLeft w:val="0"/>
      <w:marRight w:val="0"/>
      <w:marTop w:val="0"/>
      <w:marBottom w:val="0"/>
      <w:divBdr>
        <w:top w:val="none" w:sz="0" w:space="0" w:color="auto"/>
        <w:left w:val="none" w:sz="0" w:space="0" w:color="auto"/>
        <w:bottom w:val="none" w:sz="0" w:space="0" w:color="auto"/>
        <w:right w:val="none" w:sz="0" w:space="0" w:color="auto"/>
      </w:divBdr>
    </w:div>
    <w:div w:id="104035532">
      <w:bodyDiv w:val="1"/>
      <w:marLeft w:val="0"/>
      <w:marRight w:val="0"/>
      <w:marTop w:val="0"/>
      <w:marBottom w:val="0"/>
      <w:divBdr>
        <w:top w:val="none" w:sz="0" w:space="0" w:color="auto"/>
        <w:left w:val="none" w:sz="0" w:space="0" w:color="auto"/>
        <w:bottom w:val="none" w:sz="0" w:space="0" w:color="auto"/>
        <w:right w:val="none" w:sz="0" w:space="0" w:color="auto"/>
      </w:divBdr>
    </w:div>
    <w:div w:id="259799394">
      <w:bodyDiv w:val="1"/>
      <w:marLeft w:val="0"/>
      <w:marRight w:val="0"/>
      <w:marTop w:val="0"/>
      <w:marBottom w:val="0"/>
      <w:divBdr>
        <w:top w:val="none" w:sz="0" w:space="0" w:color="auto"/>
        <w:left w:val="none" w:sz="0" w:space="0" w:color="auto"/>
        <w:bottom w:val="none" w:sz="0" w:space="0" w:color="auto"/>
        <w:right w:val="none" w:sz="0" w:space="0" w:color="auto"/>
      </w:divBdr>
    </w:div>
    <w:div w:id="260535104">
      <w:bodyDiv w:val="1"/>
      <w:marLeft w:val="0"/>
      <w:marRight w:val="0"/>
      <w:marTop w:val="0"/>
      <w:marBottom w:val="0"/>
      <w:divBdr>
        <w:top w:val="none" w:sz="0" w:space="0" w:color="auto"/>
        <w:left w:val="none" w:sz="0" w:space="0" w:color="auto"/>
        <w:bottom w:val="none" w:sz="0" w:space="0" w:color="auto"/>
        <w:right w:val="none" w:sz="0" w:space="0" w:color="auto"/>
      </w:divBdr>
      <w:divsChild>
        <w:div w:id="1019552452">
          <w:marLeft w:val="0"/>
          <w:marRight w:val="0"/>
          <w:marTop w:val="0"/>
          <w:marBottom w:val="0"/>
          <w:divBdr>
            <w:top w:val="none" w:sz="0" w:space="0" w:color="auto"/>
            <w:left w:val="none" w:sz="0" w:space="0" w:color="auto"/>
            <w:bottom w:val="none" w:sz="0" w:space="0" w:color="auto"/>
            <w:right w:val="none" w:sz="0" w:space="0" w:color="auto"/>
          </w:divBdr>
        </w:div>
        <w:div w:id="1319069223">
          <w:marLeft w:val="0"/>
          <w:marRight w:val="0"/>
          <w:marTop w:val="0"/>
          <w:marBottom w:val="0"/>
          <w:divBdr>
            <w:top w:val="none" w:sz="0" w:space="0" w:color="auto"/>
            <w:left w:val="none" w:sz="0" w:space="0" w:color="auto"/>
            <w:bottom w:val="none" w:sz="0" w:space="0" w:color="auto"/>
            <w:right w:val="none" w:sz="0" w:space="0" w:color="auto"/>
          </w:divBdr>
        </w:div>
      </w:divsChild>
    </w:div>
    <w:div w:id="273292417">
      <w:bodyDiv w:val="1"/>
      <w:marLeft w:val="0"/>
      <w:marRight w:val="0"/>
      <w:marTop w:val="0"/>
      <w:marBottom w:val="0"/>
      <w:divBdr>
        <w:top w:val="none" w:sz="0" w:space="0" w:color="auto"/>
        <w:left w:val="none" w:sz="0" w:space="0" w:color="auto"/>
        <w:bottom w:val="none" w:sz="0" w:space="0" w:color="auto"/>
        <w:right w:val="none" w:sz="0" w:space="0" w:color="auto"/>
      </w:divBdr>
      <w:divsChild>
        <w:div w:id="61026827">
          <w:marLeft w:val="547"/>
          <w:marRight w:val="0"/>
          <w:marTop w:val="96"/>
          <w:marBottom w:val="0"/>
          <w:divBdr>
            <w:top w:val="none" w:sz="0" w:space="0" w:color="auto"/>
            <w:left w:val="none" w:sz="0" w:space="0" w:color="auto"/>
            <w:bottom w:val="none" w:sz="0" w:space="0" w:color="auto"/>
            <w:right w:val="none" w:sz="0" w:space="0" w:color="auto"/>
          </w:divBdr>
        </w:div>
        <w:div w:id="577442677">
          <w:marLeft w:val="1166"/>
          <w:marRight w:val="0"/>
          <w:marTop w:val="77"/>
          <w:marBottom w:val="0"/>
          <w:divBdr>
            <w:top w:val="none" w:sz="0" w:space="0" w:color="auto"/>
            <w:left w:val="none" w:sz="0" w:space="0" w:color="auto"/>
            <w:bottom w:val="none" w:sz="0" w:space="0" w:color="auto"/>
            <w:right w:val="none" w:sz="0" w:space="0" w:color="auto"/>
          </w:divBdr>
        </w:div>
        <w:div w:id="949971416">
          <w:marLeft w:val="1166"/>
          <w:marRight w:val="0"/>
          <w:marTop w:val="77"/>
          <w:marBottom w:val="0"/>
          <w:divBdr>
            <w:top w:val="none" w:sz="0" w:space="0" w:color="auto"/>
            <w:left w:val="none" w:sz="0" w:space="0" w:color="auto"/>
            <w:bottom w:val="none" w:sz="0" w:space="0" w:color="auto"/>
            <w:right w:val="none" w:sz="0" w:space="0" w:color="auto"/>
          </w:divBdr>
        </w:div>
        <w:div w:id="1182208790">
          <w:marLeft w:val="1166"/>
          <w:marRight w:val="0"/>
          <w:marTop w:val="77"/>
          <w:marBottom w:val="0"/>
          <w:divBdr>
            <w:top w:val="none" w:sz="0" w:space="0" w:color="auto"/>
            <w:left w:val="none" w:sz="0" w:space="0" w:color="auto"/>
            <w:bottom w:val="none" w:sz="0" w:space="0" w:color="auto"/>
            <w:right w:val="none" w:sz="0" w:space="0" w:color="auto"/>
          </w:divBdr>
        </w:div>
        <w:div w:id="1285042254">
          <w:marLeft w:val="1166"/>
          <w:marRight w:val="0"/>
          <w:marTop w:val="77"/>
          <w:marBottom w:val="0"/>
          <w:divBdr>
            <w:top w:val="none" w:sz="0" w:space="0" w:color="auto"/>
            <w:left w:val="none" w:sz="0" w:space="0" w:color="auto"/>
            <w:bottom w:val="none" w:sz="0" w:space="0" w:color="auto"/>
            <w:right w:val="none" w:sz="0" w:space="0" w:color="auto"/>
          </w:divBdr>
        </w:div>
        <w:div w:id="1475024716">
          <w:marLeft w:val="547"/>
          <w:marRight w:val="0"/>
          <w:marTop w:val="96"/>
          <w:marBottom w:val="0"/>
          <w:divBdr>
            <w:top w:val="none" w:sz="0" w:space="0" w:color="auto"/>
            <w:left w:val="none" w:sz="0" w:space="0" w:color="auto"/>
            <w:bottom w:val="none" w:sz="0" w:space="0" w:color="auto"/>
            <w:right w:val="none" w:sz="0" w:space="0" w:color="auto"/>
          </w:divBdr>
        </w:div>
        <w:div w:id="1712461244">
          <w:marLeft w:val="547"/>
          <w:marRight w:val="0"/>
          <w:marTop w:val="96"/>
          <w:marBottom w:val="0"/>
          <w:divBdr>
            <w:top w:val="none" w:sz="0" w:space="0" w:color="auto"/>
            <w:left w:val="none" w:sz="0" w:space="0" w:color="auto"/>
            <w:bottom w:val="none" w:sz="0" w:space="0" w:color="auto"/>
            <w:right w:val="none" w:sz="0" w:space="0" w:color="auto"/>
          </w:divBdr>
        </w:div>
        <w:div w:id="1799643144">
          <w:marLeft w:val="1166"/>
          <w:marRight w:val="0"/>
          <w:marTop w:val="77"/>
          <w:marBottom w:val="0"/>
          <w:divBdr>
            <w:top w:val="none" w:sz="0" w:space="0" w:color="auto"/>
            <w:left w:val="none" w:sz="0" w:space="0" w:color="auto"/>
            <w:bottom w:val="none" w:sz="0" w:space="0" w:color="auto"/>
            <w:right w:val="none" w:sz="0" w:space="0" w:color="auto"/>
          </w:divBdr>
        </w:div>
        <w:div w:id="1982804728">
          <w:marLeft w:val="547"/>
          <w:marRight w:val="0"/>
          <w:marTop w:val="96"/>
          <w:marBottom w:val="0"/>
          <w:divBdr>
            <w:top w:val="none" w:sz="0" w:space="0" w:color="auto"/>
            <w:left w:val="none" w:sz="0" w:space="0" w:color="auto"/>
            <w:bottom w:val="none" w:sz="0" w:space="0" w:color="auto"/>
            <w:right w:val="none" w:sz="0" w:space="0" w:color="auto"/>
          </w:divBdr>
        </w:div>
        <w:div w:id="1994554927">
          <w:marLeft w:val="547"/>
          <w:marRight w:val="0"/>
          <w:marTop w:val="96"/>
          <w:marBottom w:val="0"/>
          <w:divBdr>
            <w:top w:val="none" w:sz="0" w:space="0" w:color="auto"/>
            <w:left w:val="none" w:sz="0" w:space="0" w:color="auto"/>
            <w:bottom w:val="none" w:sz="0" w:space="0" w:color="auto"/>
            <w:right w:val="none" w:sz="0" w:space="0" w:color="auto"/>
          </w:divBdr>
        </w:div>
      </w:divsChild>
    </w:div>
    <w:div w:id="285739866">
      <w:bodyDiv w:val="1"/>
      <w:marLeft w:val="0"/>
      <w:marRight w:val="0"/>
      <w:marTop w:val="0"/>
      <w:marBottom w:val="0"/>
      <w:divBdr>
        <w:top w:val="none" w:sz="0" w:space="0" w:color="auto"/>
        <w:left w:val="none" w:sz="0" w:space="0" w:color="auto"/>
        <w:bottom w:val="none" w:sz="0" w:space="0" w:color="auto"/>
        <w:right w:val="none" w:sz="0" w:space="0" w:color="auto"/>
      </w:divBdr>
      <w:divsChild>
        <w:div w:id="1810051292">
          <w:marLeft w:val="0"/>
          <w:marRight w:val="0"/>
          <w:marTop w:val="0"/>
          <w:marBottom w:val="0"/>
          <w:divBdr>
            <w:top w:val="none" w:sz="0" w:space="0" w:color="auto"/>
            <w:left w:val="none" w:sz="0" w:space="0" w:color="auto"/>
            <w:bottom w:val="none" w:sz="0" w:space="0" w:color="auto"/>
            <w:right w:val="none" w:sz="0" w:space="0" w:color="auto"/>
          </w:divBdr>
        </w:div>
        <w:div w:id="2021615995">
          <w:marLeft w:val="0"/>
          <w:marRight w:val="0"/>
          <w:marTop w:val="0"/>
          <w:marBottom w:val="0"/>
          <w:divBdr>
            <w:top w:val="none" w:sz="0" w:space="0" w:color="auto"/>
            <w:left w:val="none" w:sz="0" w:space="0" w:color="auto"/>
            <w:bottom w:val="none" w:sz="0" w:space="0" w:color="auto"/>
            <w:right w:val="none" w:sz="0" w:space="0" w:color="auto"/>
          </w:divBdr>
        </w:div>
        <w:div w:id="719402742">
          <w:marLeft w:val="0"/>
          <w:marRight w:val="0"/>
          <w:marTop w:val="0"/>
          <w:marBottom w:val="0"/>
          <w:divBdr>
            <w:top w:val="none" w:sz="0" w:space="0" w:color="auto"/>
            <w:left w:val="none" w:sz="0" w:space="0" w:color="auto"/>
            <w:bottom w:val="none" w:sz="0" w:space="0" w:color="auto"/>
            <w:right w:val="none" w:sz="0" w:space="0" w:color="auto"/>
          </w:divBdr>
        </w:div>
        <w:div w:id="139813144">
          <w:marLeft w:val="0"/>
          <w:marRight w:val="0"/>
          <w:marTop w:val="0"/>
          <w:marBottom w:val="0"/>
          <w:divBdr>
            <w:top w:val="none" w:sz="0" w:space="0" w:color="auto"/>
            <w:left w:val="none" w:sz="0" w:space="0" w:color="auto"/>
            <w:bottom w:val="none" w:sz="0" w:space="0" w:color="auto"/>
            <w:right w:val="none" w:sz="0" w:space="0" w:color="auto"/>
          </w:divBdr>
        </w:div>
        <w:div w:id="1769545726">
          <w:marLeft w:val="0"/>
          <w:marRight w:val="0"/>
          <w:marTop w:val="0"/>
          <w:marBottom w:val="0"/>
          <w:divBdr>
            <w:top w:val="none" w:sz="0" w:space="0" w:color="auto"/>
            <w:left w:val="none" w:sz="0" w:space="0" w:color="auto"/>
            <w:bottom w:val="none" w:sz="0" w:space="0" w:color="auto"/>
            <w:right w:val="none" w:sz="0" w:space="0" w:color="auto"/>
          </w:divBdr>
        </w:div>
        <w:div w:id="1518427348">
          <w:marLeft w:val="0"/>
          <w:marRight w:val="0"/>
          <w:marTop w:val="0"/>
          <w:marBottom w:val="0"/>
          <w:divBdr>
            <w:top w:val="none" w:sz="0" w:space="0" w:color="auto"/>
            <w:left w:val="none" w:sz="0" w:space="0" w:color="auto"/>
            <w:bottom w:val="none" w:sz="0" w:space="0" w:color="auto"/>
            <w:right w:val="none" w:sz="0" w:space="0" w:color="auto"/>
          </w:divBdr>
        </w:div>
        <w:div w:id="1219825658">
          <w:marLeft w:val="0"/>
          <w:marRight w:val="0"/>
          <w:marTop w:val="0"/>
          <w:marBottom w:val="0"/>
          <w:divBdr>
            <w:top w:val="none" w:sz="0" w:space="0" w:color="auto"/>
            <w:left w:val="none" w:sz="0" w:space="0" w:color="auto"/>
            <w:bottom w:val="none" w:sz="0" w:space="0" w:color="auto"/>
            <w:right w:val="none" w:sz="0" w:space="0" w:color="auto"/>
          </w:divBdr>
        </w:div>
        <w:div w:id="40835928">
          <w:marLeft w:val="0"/>
          <w:marRight w:val="0"/>
          <w:marTop w:val="0"/>
          <w:marBottom w:val="0"/>
          <w:divBdr>
            <w:top w:val="none" w:sz="0" w:space="0" w:color="auto"/>
            <w:left w:val="none" w:sz="0" w:space="0" w:color="auto"/>
            <w:bottom w:val="none" w:sz="0" w:space="0" w:color="auto"/>
            <w:right w:val="none" w:sz="0" w:space="0" w:color="auto"/>
          </w:divBdr>
        </w:div>
      </w:divsChild>
    </w:div>
    <w:div w:id="296884119">
      <w:bodyDiv w:val="1"/>
      <w:marLeft w:val="0"/>
      <w:marRight w:val="0"/>
      <w:marTop w:val="0"/>
      <w:marBottom w:val="0"/>
      <w:divBdr>
        <w:top w:val="none" w:sz="0" w:space="0" w:color="auto"/>
        <w:left w:val="none" w:sz="0" w:space="0" w:color="auto"/>
        <w:bottom w:val="none" w:sz="0" w:space="0" w:color="auto"/>
        <w:right w:val="none" w:sz="0" w:space="0" w:color="auto"/>
      </w:divBdr>
      <w:divsChild>
        <w:div w:id="462817165">
          <w:marLeft w:val="0"/>
          <w:marRight w:val="0"/>
          <w:marTop w:val="0"/>
          <w:marBottom w:val="0"/>
          <w:divBdr>
            <w:top w:val="none" w:sz="0" w:space="0" w:color="auto"/>
            <w:left w:val="none" w:sz="0" w:space="0" w:color="auto"/>
            <w:bottom w:val="none" w:sz="0" w:space="0" w:color="auto"/>
            <w:right w:val="none" w:sz="0" w:space="0" w:color="auto"/>
          </w:divBdr>
        </w:div>
        <w:div w:id="825169465">
          <w:marLeft w:val="0"/>
          <w:marRight w:val="0"/>
          <w:marTop w:val="0"/>
          <w:marBottom w:val="0"/>
          <w:divBdr>
            <w:top w:val="none" w:sz="0" w:space="0" w:color="auto"/>
            <w:left w:val="none" w:sz="0" w:space="0" w:color="auto"/>
            <w:bottom w:val="none" w:sz="0" w:space="0" w:color="auto"/>
            <w:right w:val="none" w:sz="0" w:space="0" w:color="auto"/>
          </w:divBdr>
        </w:div>
        <w:div w:id="838619152">
          <w:marLeft w:val="0"/>
          <w:marRight w:val="0"/>
          <w:marTop w:val="0"/>
          <w:marBottom w:val="0"/>
          <w:divBdr>
            <w:top w:val="none" w:sz="0" w:space="0" w:color="auto"/>
            <w:left w:val="none" w:sz="0" w:space="0" w:color="auto"/>
            <w:bottom w:val="none" w:sz="0" w:space="0" w:color="auto"/>
            <w:right w:val="none" w:sz="0" w:space="0" w:color="auto"/>
          </w:divBdr>
        </w:div>
      </w:divsChild>
    </w:div>
    <w:div w:id="343173083">
      <w:bodyDiv w:val="1"/>
      <w:marLeft w:val="0"/>
      <w:marRight w:val="0"/>
      <w:marTop w:val="0"/>
      <w:marBottom w:val="0"/>
      <w:divBdr>
        <w:top w:val="none" w:sz="0" w:space="0" w:color="auto"/>
        <w:left w:val="none" w:sz="0" w:space="0" w:color="auto"/>
        <w:bottom w:val="none" w:sz="0" w:space="0" w:color="auto"/>
        <w:right w:val="none" w:sz="0" w:space="0" w:color="auto"/>
      </w:divBdr>
      <w:divsChild>
        <w:div w:id="658847829">
          <w:marLeft w:val="0"/>
          <w:marRight w:val="0"/>
          <w:marTop w:val="0"/>
          <w:marBottom w:val="0"/>
          <w:divBdr>
            <w:top w:val="none" w:sz="0" w:space="0" w:color="auto"/>
            <w:left w:val="none" w:sz="0" w:space="0" w:color="auto"/>
            <w:bottom w:val="none" w:sz="0" w:space="0" w:color="auto"/>
            <w:right w:val="none" w:sz="0" w:space="0" w:color="auto"/>
          </w:divBdr>
        </w:div>
        <w:div w:id="797334164">
          <w:marLeft w:val="0"/>
          <w:marRight w:val="0"/>
          <w:marTop w:val="0"/>
          <w:marBottom w:val="0"/>
          <w:divBdr>
            <w:top w:val="none" w:sz="0" w:space="0" w:color="auto"/>
            <w:left w:val="none" w:sz="0" w:space="0" w:color="auto"/>
            <w:bottom w:val="none" w:sz="0" w:space="0" w:color="auto"/>
            <w:right w:val="none" w:sz="0" w:space="0" w:color="auto"/>
          </w:divBdr>
        </w:div>
      </w:divsChild>
    </w:div>
    <w:div w:id="365177539">
      <w:bodyDiv w:val="1"/>
      <w:marLeft w:val="0"/>
      <w:marRight w:val="0"/>
      <w:marTop w:val="0"/>
      <w:marBottom w:val="0"/>
      <w:divBdr>
        <w:top w:val="none" w:sz="0" w:space="0" w:color="auto"/>
        <w:left w:val="none" w:sz="0" w:space="0" w:color="auto"/>
        <w:bottom w:val="none" w:sz="0" w:space="0" w:color="auto"/>
        <w:right w:val="none" w:sz="0" w:space="0" w:color="auto"/>
      </w:divBdr>
      <w:divsChild>
        <w:div w:id="1362583842">
          <w:marLeft w:val="0"/>
          <w:marRight w:val="0"/>
          <w:marTop w:val="0"/>
          <w:marBottom w:val="0"/>
          <w:divBdr>
            <w:top w:val="none" w:sz="0" w:space="0" w:color="auto"/>
            <w:left w:val="none" w:sz="0" w:space="0" w:color="auto"/>
            <w:bottom w:val="none" w:sz="0" w:space="0" w:color="auto"/>
            <w:right w:val="none" w:sz="0" w:space="0" w:color="auto"/>
          </w:divBdr>
        </w:div>
        <w:div w:id="136261778">
          <w:marLeft w:val="0"/>
          <w:marRight w:val="0"/>
          <w:marTop w:val="0"/>
          <w:marBottom w:val="0"/>
          <w:divBdr>
            <w:top w:val="none" w:sz="0" w:space="0" w:color="auto"/>
            <w:left w:val="none" w:sz="0" w:space="0" w:color="auto"/>
            <w:bottom w:val="none" w:sz="0" w:space="0" w:color="auto"/>
            <w:right w:val="none" w:sz="0" w:space="0" w:color="auto"/>
          </w:divBdr>
        </w:div>
        <w:div w:id="1651061049">
          <w:marLeft w:val="0"/>
          <w:marRight w:val="0"/>
          <w:marTop w:val="0"/>
          <w:marBottom w:val="0"/>
          <w:divBdr>
            <w:top w:val="none" w:sz="0" w:space="0" w:color="auto"/>
            <w:left w:val="none" w:sz="0" w:space="0" w:color="auto"/>
            <w:bottom w:val="none" w:sz="0" w:space="0" w:color="auto"/>
            <w:right w:val="none" w:sz="0" w:space="0" w:color="auto"/>
          </w:divBdr>
        </w:div>
        <w:div w:id="2085255226">
          <w:marLeft w:val="0"/>
          <w:marRight w:val="0"/>
          <w:marTop w:val="0"/>
          <w:marBottom w:val="0"/>
          <w:divBdr>
            <w:top w:val="none" w:sz="0" w:space="0" w:color="auto"/>
            <w:left w:val="none" w:sz="0" w:space="0" w:color="auto"/>
            <w:bottom w:val="none" w:sz="0" w:space="0" w:color="auto"/>
            <w:right w:val="none" w:sz="0" w:space="0" w:color="auto"/>
          </w:divBdr>
        </w:div>
        <w:div w:id="54620654">
          <w:marLeft w:val="0"/>
          <w:marRight w:val="0"/>
          <w:marTop w:val="0"/>
          <w:marBottom w:val="0"/>
          <w:divBdr>
            <w:top w:val="none" w:sz="0" w:space="0" w:color="auto"/>
            <w:left w:val="none" w:sz="0" w:space="0" w:color="auto"/>
            <w:bottom w:val="none" w:sz="0" w:space="0" w:color="auto"/>
            <w:right w:val="none" w:sz="0" w:space="0" w:color="auto"/>
          </w:divBdr>
        </w:div>
        <w:div w:id="1595672720">
          <w:marLeft w:val="0"/>
          <w:marRight w:val="0"/>
          <w:marTop w:val="0"/>
          <w:marBottom w:val="0"/>
          <w:divBdr>
            <w:top w:val="none" w:sz="0" w:space="0" w:color="auto"/>
            <w:left w:val="none" w:sz="0" w:space="0" w:color="auto"/>
            <w:bottom w:val="none" w:sz="0" w:space="0" w:color="auto"/>
            <w:right w:val="none" w:sz="0" w:space="0" w:color="auto"/>
          </w:divBdr>
        </w:div>
      </w:divsChild>
    </w:div>
    <w:div w:id="367535342">
      <w:bodyDiv w:val="1"/>
      <w:marLeft w:val="0"/>
      <w:marRight w:val="0"/>
      <w:marTop w:val="0"/>
      <w:marBottom w:val="0"/>
      <w:divBdr>
        <w:top w:val="none" w:sz="0" w:space="0" w:color="auto"/>
        <w:left w:val="none" w:sz="0" w:space="0" w:color="auto"/>
        <w:bottom w:val="none" w:sz="0" w:space="0" w:color="auto"/>
        <w:right w:val="none" w:sz="0" w:space="0" w:color="auto"/>
      </w:divBdr>
      <w:divsChild>
        <w:div w:id="1774931287">
          <w:marLeft w:val="0"/>
          <w:marRight w:val="0"/>
          <w:marTop w:val="0"/>
          <w:marBottom w:val="0"/>
          <w:divBdr>
            <w:top w:val="none" w:sz="0" w:space="0" w:color="auto"/>
            <w:left w:val="none" w:sz="0" w:space="0" w:color="auto"/>
            <w:bottom w:val="none" w:sz="0" w:space="0" w:color="auto"/>
            <w:right w:val="none" w:sz="0" w:space="0" w:color="auto"/>
          </w:divBdr>
        </w:div>
        <w:div w:id="355739742">
          <w:marLeft w:val="0"/>
          <w:marRight w:val="0"/>
          <w:marTop w:val="0"/>
          <w:marBottom w:val="0"/>
          <w:divBdr>
            <w:top w:val="none" w:sz="0" w:space="0" w:color="auto"/>
            <w:left w:val="none" w:sz="0" w:space="0" w:color="auto"/>
            <w:bottom w:val="none" w:sz="0" w:space="0" w:color="auto"/>
            <w:right w:val="none" w:sz="0" w:space="0" w:color="auto"/>
          </w:divBdr>
        </w:div>
        <w:div w:id="823155893">
          <w:marLeft w:val="0"/>
          <w:marRight w:val="0"/>
          <w:marTop w:val="0"/>
          <w:marBottom w:val="0"/>
          <w:divBdr>
            <w:top w:val="none" w:sz="0" w:space="0" w:color="auto"/>
            <w:left w:val="none" w:sz="0" w:space="0" w:color="auto"/>
            <w:bottom w:val="none" w:sz="0" w:space="0" w:color="auto"/>
            <w:right w:val="none" w:sz="0" w:space="0" w:color="auto"/>
          </w:divBdr>
        </w:div>
        <w:div w:id="1016662125">
          <w:marLeft w:val="0"/>
          <w:marRight w:val="0"/>
          <w:marTop w:val="0"/>
          <w:marBottom w:val="0"/>
          <w:divBdr>
            <w:top w:val="none" w:sz="0" w:space="0" w:color="auto"/>
            <w:left w:val="none" w:sz="0" w:space="0" w:color="auto"/>
            <w:bottom w:val="none" w:sz="0" w:space="0" w:color="auto"/>
            <w:right w:val="none" w:sz="0" w:space="0" w:color="auto"/>
          </w:divBdr>
        </w:div>
        <w:div w:id="895118110">
          <w:marLeft w:val="0"/>
          <w:marRight w:val="0"/>
          <w:marTop w:val="0"/>
          <w:marBottom w:val="0"/>
          <w:divBdr>
            <w:top w:val="none" w:sz="0" w:space="0" w:color="auto"/>
            <w:left w:val="none" w:sz="0" w:space="0" w:color="auto"/>
            <w:bottom w:val="none" w:sz="0" w:space="0" w:color="auto"/>
            <w:right w:val="none" w:sz="0" w:space="0" w:color="auto"/>
          </w:divBdr>
        </w:div>
      </w:divsChild>
    </w:div>
    <w:div w:id="375738526">
      <w:bodyDiv w:val="1"/>
      <w:marLeft w:val="0"/>
      <w:marRight w:val="0"/>
      <w:marTop w:val="0"/>
      <w:marBottom w:val="0"/>
      <w:divBdr>
        <w:top w:val="none" w:sz="0" w:space="0" w:color="auto"/>
        <w:left w:val="none" w:sz="0" w:space="0" w:color="auto"/>
        <w:bottom w:val="none" w:sz="0" w:space="0" w:color="auto"/>
        <w:right w:val="none" w:sz="0" w:space="0" w:color="auto"/>
      </w:divBdr>
      <w:divsChild>
        <w:div w:id="37945928">
          <w:marLeft w:val="0"/>
          <w:marRight w:val="0"/>
          <w:marTop w:val="0"/>
          <w:marBottom w:val="0"/>
          <w:divBdr>
            <w:top w:val="none" w:sz="0" w:space="0" w:color="auto"/>
            <w:left w:val="none" w:sz="0" w:space="0" w:color="auto"/>
            <w:bottom w:val="none" w:sz="0" w:space="0" w:color="auto"/>
            <w:right w:val="none" w:sz="0" w:space="0" w:color="auto"/>
          </w:divBdr>
        </w:div>
        <w:div w:id="427694780">
          <w:marLeft w:val="0"/>
          <w:marRight w:val="0"/>
          <w:marTop w:val="0"/>
          <w:marBottom w:val="0"/>
          <w:divBdr>
            <w:top w:val="none" w:sz="0" w:space="0" w:color="auto"/>
            <w:left w:val="none" w:sz="0" w:space="0" w:color="auto"/>
            <w:bottom w:val="none" w:sz="0" w:space="0" w:color="auto"/>
            <w:right w:val="none" w:sz="0" w:space="0" w:color="auto"/>
          </w:divBdr>
        </w:div>
        <w:div w:id="702173003">
          <w:marLeft w:val="0"/>
          <w:marRight w:val="0"/>
          <w:marTop w:val="0"/>
          <w:marBottom w:val="0"/>
          <w:divBdr>
            <w:top w:val="none" w:sz="0" w:space="0" w:color="auto"/>
            <w:left w:val="none" w:sz="0" w:space="0" w:color="auto"/>
            <w:bottom w:val="none" w:sz="0" w:space="0" w:color="auto"/>
            <w:right w:val="none" w:sz="0" w:space="0" w:color="auto"/>
          </w:divBdr>
        </w:div>
        <w:div w:id="2030135164">
          <w:marLeft w:val="0"/>
          <w:marRight w:val="0"/>
          <w:marTop w:val="0"/>
          <w:marBottom w:val="0"/>
          <w:divBdr>
            <w:top w:val="none" w:sz="0" w:space="0" w:color="auto"/>
            <w:left w:val="none" w:sz="0" w:space="0" w:color="auto"/>
            <w:bottom w:val="none" w:sz="0" w:space="0" w:color="auto"/>
            <w:right w:val="none" w:sz="0" w:space="0" w:color="auto"/>
          </w:divBdr>
        </w:div>
      </w:divsChild>
    </w:div>
    <w:div w:id="399406007">
      <w:bodyDiv w:val="1"/>
      <w:marLeft w:val="0"/>
      <w:marRight w:val="0"/>
      <w:marTop w:val="0"/>
      <w:marBottom w:val="0"/>
      <w:divBdr>
        <w:top w:val="none" w:sz="0" w:space="0" w:color="auto"/>
        <w:left w:val="none" w:sz="0" w:space="0" w:color="auto"/>
        <w:bottom w:val="none" w:sz="0" w:space="0" w:color="auto"/>
        <w:right w:val="none" w:sz="0" w:space="0" w:color="auto"/>
      </w:divBdr>
    </w:div>
    <w:div w:id="405685315">
      <w:bodyDiv w:val="1"/>
      <w:marLeft w:val="0"/>
      <w:marRight w:val="0"/>
      <w:marTop w:val="0"/>
      <w:marBottom w:val="0"/>
      <w:divBdr>
        <w:top w:val="none" w:sz="0" w:space="0" w:color="auto"/>
        <w:left w:val="none" w:sz="0" w:space="0" w:color="auto"/>
        <w:bottom w:val="none" w:sz="0" w:space="0" w:color="auto"/>
        <w:right w:val="none" w:sz="0" w:space="0" w:color="auto"/>
      </w:divBdr>
      <w:divsChild>
        <w:div w:id="1114909535">
          <w:marLeft w:val="0"/>
          <w:marRight w:val="0"/>
          <w:marTop w:val="0"/>
          <w:marBottom w:val="0"/>
          <w:divBdr>
            <w:top w:val="none" w:sz="0" w:space="0" w:color="auto"/>
            <w:left w:val="none" w:sz="0" w:space="0" w:color="auto"/>
            <w:bottom w:val="none" w:sz="0" w:space="0" w:color="auto"/>
            <w:right w:val="none" w:sz="0" w:space="0" w:color="auto"/>
          </w:divBdr>
        </w:div>
        <w:div w:id="2012291543">
          <w:marLeft w:val="0"/>
          <w:marRight w:val="0"/>
          <w:marTop w:val="0"/>
          <w:marBottom w:val="0"/>
          <w:divBdr>
            <w:top w:val="none" w:sz="0" w:space="0" w:color="auto"/>
            <w:left w:val="none" w:sz="0" w:space="0" w:color="auto"/>
            <w:bottom w:val="none" w:sz="0" w:space="0" w:color="auto"/>
            <w:right w:val="none" w:sz="0" w:space="0" w:color="auto"/>
          </w:divBdr>
        </w:div>
        <w:div w:id="946548411">
          <w:marLeft w:val="0"/>
          <w:marRight w:val="0"/>
          <w:marTop w:val="0"/>
          <w:marBottom w:val="0"/>
          <w:divBdr>
            <w:top w:val="none" w:sz="0" w:space="0" w:color="auto"/>
            <w:left w:val="none" w:sz="0" w:space="0" w:color="auto"/>
            <w:bottom w:val="none" w:sz="0" w:space="0" w:color="auto"/>
            <w:right w:val="none" w:sz="0" w:space="0" w:color="auto"/>
          </w:divBdr>
        </w:div>
        <w:div w:id="1427458572">
          <w:marLeft w:val="0"/>
          <w:marRight w:val="0"/>
          <w:marTop w:val="0"/>
          <w:marBottom w:val="0"/>
          <w:divBdr>
            <w:top w:val="none" w:sz="0" w:space="0" w:color="auto"/>
            <w:left w:val="none" w:sz="0" w:space="0" w:color="auto"/>
            <w:bottom w:val="none" w:sz="0" w:space="0" w:color="auto"/>
            <w:right w:val="none" w:sz="0" w:space="0" w:color="auto"/>
          </w:divBdr>
        </w:div>
        <w:div w:id="1139221778">
          <w:marLeft w:val="0"/>
          <w:marRight w:val="0"/>
          <w:marTop w:val="0"/>
          <w:marBottom w:val="0"/>
          <w:divBdr>
            <w:top w:val="none" w:sz="0" w:space="0" w:color="auto"/>
            <w:left w:val="none" w:sz="0" w:space="0" w:color="auto"/>
            <w:bottom w:val="none" w:sz="0" w:space="0" w:color="auto"/>
            <w:right w:val="none" w:sz="0" w:space="0" w:color="auto"/>
          </w:divBdr>
        </w:div>
        <w:div w:id="771390091">
          <w:marLeft w:val="0"/>
          <w:marRight w:val="0"/>
          <w:marTop w:val="0"/>
          <w:marBottom w:val="0"/>
          <w:divBdr>
            <w:top w:val="none" w:sz="0" w:space="0" w:color="auto"/>
            <w:left w:val="none" w:sz="0" w:space="0" w:color="auto"/>
            <w:bottom w:val="none" w:sz="0" w:space="0" w:color="auto"/>
            <w:right w:val="none" w:sz="0" w:space="0" w:color="auto"/>
          </w:divBdr>
        </w:div>
        <w:div w:id="1463771928">
          <w:marLeft w:val="0"/>
          <w:marRight w:val="0"/>
          <w:marTop w:val="0"/>
          <w:marBottom w:val="0"/>
          <w:divBdr>
            <w:top w:val="none" w:sz="0" w:space="0" w:color="auto"/>
            <w:left w:val="none" w:sz="0" w:space="0" w:color="auto"/>
            <w:bottom w:val="none" w:sz="0" w:space="0" w:color="auto"/>
            <w:right w:val="none" w:sz="0" w:space="0" w:color="auto"/>
          </w:divBdr>
        </w:div>
        <w:div w:id="1201865392">
          <w:marLeft w:val="0"/>
          <w:marRight w:val="0"/>
          <w:marTop w:val="0"/>
          <w:marBottom w:val="0"/>
          <w:divBdr>
            <w:top w:val="none" w:sz="0" w:space="0" w:color="auto"/>
            <w:left w:val="none" w:sz="0" w:space="0" w:color="auto"/>
            <w:bottom w:val="none" w:sz="0" w:space="0" w:color="auto"/>
            <w:right w:val="none" w:sz="0" w:space="0" w:color="auto"/>
          </w:divBdr>
        </w:div>
      </w:divsChild>
    </w:div>
    <w:div w:id="460728199">
      <w:bodyDiv w:val="1"/>
      <w:marLeft w:val="0"/>
      <w:marRight w:val="0"/>
      <w:marTop w:val="0"/>
      <w:marBottom w:val="0"/>
      <w:divBdr>
        <w:top w:val="none" w:sz="0" w:space="0" w:color="auto"/>
        <w:left w:val="none" w:sz="0" w:space="0" w:color="auto"/>
        <w:bottom w:val="none" w:sz="0" w:space="0" w:color="auto"/>
        <w:right w:val="none" w:sz="0" w:space="0" w:color="auto"/>
      </w:divBdr>
    </w:div>
    <w:div w:id="461771863">
      <w:bodyDiv w:val="1"/>
      <w:marLeft w:val="0"/>
      <w:marRight w:val="0"/>
      <w:marTop w:val="0"/>
      <w:marBottom w:val="0"/>
      <w:divBdr>
        <w:top w:val="none" w:sz="0" w:space="0" w:color="auto"/>
        <w:left w:val="none" w:sz="0" w:space="0" w:color="auto"/>
        <w:bottom w:val="none" w:sz="0" w:space="0" w:color="auto"/>
        <w:right w:val="none" w:sz="0" w:space="0" w:color="auto"/>
      </w:divBdr>
      <w:divsChild>
        <w:div w:id="17121802">
          <w:marLeft w:val="0"/>
          <w:marRight w:val="0"/>
          <w:marTop w:val="0"/>
          <w:marBottom w:val="0"/>
          <w:divBdr>
            <w:top w:val="none" w:sz="0" w:space="0" w:color="auto"/>
            <w:left w:val="none" w:sz="0" w:space="0" w:color="auto"/>
            <w:bottom w:val="none" w:sz="0" w:space="0" w:color="auto"/>
            <w:right w:val="none" w:sz="0" w:space="0" w:color="auto"/>
          </w:divBdr>
        </w:div>
        <w:div w:id="843281873">
          <w:marLeft w:val="0"/>
          <w:marRight w:val="0"/>
          <w:marTop w:val="0"/>
          <w:marBottom w:val="0"/>
          <w:divBdr>
            <w:top w:val="none" w:sz="0" w:space="0" w:color="auto"/>
            <w:left w:val="none" w:sz="0" w:space="0" w:color="auto"/>
            <w:bottom w:val="none" w:sz="0" w:space="0" w:color="auto"/>
            <w:right w:val="none" w:sz="0" w:space="0" w:color="auto"/>
          </w:divBdr>
        </w:div>
      </w:divsChild>
    </w:div>
    <w:div w:id="467361707">
      <w:bodyDiv w:val="1"/>
      <w:marLeft w:val="0"/>
      <w:marRight w:val="0"/>
      <w:marTop w:val="0"/>
      <w:marBottom w:val="0"/>
      <w:divBdr>
        <w:top w:val="none" w:sz="0" w:space="0" w:color="auto"/>
        <w:left w:val="none" w:sz="0" w:space="0" w:color="auto"/>
        <w:bottom w:val="none" w:sz="0" w:space="0" w:color="auto"/>
        <w:right w:val="none" w:sz="0" w:space="0" w:color="auto"/>
      </w:divBdr>
    </w:div>
    <w:div w:id="587930506">
      <w:bodyDiv w:val="1"/>
      <w:marLeft w:val="0"/>
      <w:marRight w:val="0"/>
      <w:marTop w:val="0"/>
      <w:marBottom w:val="0"/>
      <w:divBdr>
        <w:top w:val="none" w:sz="0" w:space="0" w:color="auto"/>
        <w:left w:val="none" w:sz="0" w:space="0" w:color="auto"/>
        <w:bottom w:val="none" w:sz="0" w:space="0" w:color="auto"/>
        <w:right w:val="none" w:sz="0" w:space="0" w:color="auto"/>
      </w:divBdr>
    </w:div>
    <w:div w:id="604506938">
      <w:bodyDiv w:val="1"/>
      <w:marLeft w:val="0"/>
      <w:marRight w:val="0"/>
      <w:marTop w:val="0"/>
      <w:marBottom w:val="0"/>
      <w:divBdr>
        <w:top w:val="none" w:sz="0" w:space="0" w:color="auto"/>
        <w:left w:val="none" w:sz="0" w:space="0" w:color="auto"/>
        <w:bottom w:val="none" w:sz="0" w:space="0" w:color="auto"/>
        <w:right w:val="none" w:sz="0" w:space="0" w:color="auto"/>
      </w:divBdr>
      <w:divsChild>
        <w:div w:id="26413848">
          <w:marLeft w:val="0"/>
          <w:marRight w:val="0"/>
          <w:marTop w:val="0"/>
          <w:marBottom w:val="0"/>
          <w:divBdr>
            <w:top w:val="none" w:sz="0" w:space="0" w:color="auto"/>
            <w:left w:val="none" w:sz="0" w:space="0" w:color="auto"/>
            <w:bottom w:val="none" w:sz="0" w:space="0" w:color="auto"/>
            <w:right w:val="none" w:sz="0" w:space="0" w:color="auto"/>
          </w:divBdr>
          <w:divsChild>
            <w:div w:id="4661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5334">
      <w:bodyDiv w:val="1"/>
      <w:marLeft w:val="0"/>
      <w:marRight w:val="0"/>
      <w:marTop w:val="0"/>
      <w:marBottom w:val="0"/>
      <w:divBdr>
        <w:top w:val="none" w:sz="0" w:space="0" w:color="auto"/>
        <w:left w:val="none" w:sz="0" w:space="0" w:color="auto"/>
        <w:bottom w:val="none" w:sz="0" w:space="0" w:color="auto"/>
        <w:right w:val="none" w:sz="0" w:space="0" w:color="auto"/>
      </w:divBdr>
      <w:divsChild>
        <w:div w:id="1177423237">
          <w:marLeft w:val="0"/>
          <w:marRight w:val="0"/>
          <w:marTop w:val="0"/>
          <w:marBottom w:val="0"/>
          <w:divBdr>
            <w:top w:val="none" w:sz="0" w:space="0" w:color="auto"/>
            <w:left w:val="none" w:sz="0" w:space="0" w:color="auto"/>
            <w:bottom w:val="none" w:sz="0" w:space="0" w:color="auto"/>
            <w:right w:val="none" w:sz="0" w:space="0" w:color="auto"/>
          </w:divBdr>
        </w:div>
        <w:div w:id="859851418">
          <w:marLeft w:val="0"/>
          <w:marRight w:val="0"/>
          <w:marTop w:val="0"/>
          <w:marBottom w:val="0"/>
          <w:divBdr>
            <w:top w:val="none" w:sz="0" w:space="0" w:color="auto"/>
            <w:left w:val="none" w:sz="0" w:space="0" w:color="auto"/>
            <w:bottom w:val="none" w:sz="0" w:space="0" w:color="auto"/>
            <w:right w:val="none" w:sz="0" w:space="0" w:color="auto"/>
          </w:divBdr>
        </w:div>
      </w:divsChild>
    </w:div>
    <w:div w:id="724254084">
      <w:bodyDiv w:val="1"/>
      <w:marLeft w:val="0"/>
      <w:marRight w:val="0"/>
      <w:marTop w:val="0"/>
      <w:marBottom w:val="0"/>
      <w:divBdr>
        <w:top w:val="none" w:sz="0" w:space="0" w:color="auto"/>
        <w:left w:val="none" w:sz="0" w:space="0" w:color="auto"/>
        <w:bottom w:val="none" w:sz="0" w:space="0" w:color="auto"/>
        <w:right w:val="none" w:sz="0" w:space="0" w:color="auto"/>
      </w:divBdr>
      <w:divsChild>
        <w:div w:id="77332945">
          <w:marLeft w:val="0"/>
          <w:marRight w:val="0"/>
          <w:marTop w:val="0"/>
          <w:marBottom w:val="0"/>
          <w:divBdr>
            <w:top w:val="none" w:sz="0" w:space="0" w:color="auto"/>
            <w:left w:val="none" w:sz="0" w:space="0" w:color="auto"/>
            <w:bottom w:val="none" w:sz="0" w:space="0" w:color="auto"/>
            <w:right w:val="none" w:sz="0" w:space="0" w:color="auto"/>
          </w:divBdr>
        </w:div>
        <w:div w:id="893277686">
          <w:marLeft w:val="0"/>
          <w:marRight w:val="0"/>
          <w:marTop w:val="0"/>
          <w:marBottom w:val="0"/>
          <w:divBdr>
            <w:top w:val="none" w:sz="0" w:space="0" w:color="auto"/>
            <w:left w:val="none" w:sz="0" w:space="0" w:color="auto"/>
            <w:bottom w:val="none" w:sz="0" w:space="0" w:color="auto"/>
            <w:right w:val="none" w:sz="0" w:space="0" w:color="auto"/>
          </w:divBdr>
        </w:div>
      </w:divsChild>
    </w:div>
    <w:div w:id="749276787">
      <w:bodyDiv w:val="1"/>
      <w:marLeft w:val="0"/>
      <w:marRight w:val="0"/>
      <w:marTop w:val="0"/>
      <w:marBottom w:val="0"/>
      <w:divBdr>
        <w:top w:val="none" w:sz="0" w:space="0" w:color="auto"/>
        <w:left w:val="none" w:sz="0" w:space="0" w:color="auto"/>
        <w:bottom w:val="none" w:sz="0" w:space="0" w:color="auto"/>
        <w:right w:val="none" w:sz="0" w:space="0" w:color="auto"/>
      </w:divBdr>
    </w:div>
    <w:div w:id="756557405">
      <w:bodyDiv w:val="1"/>
      <w:marLeft w:val="0"/>
      <w:marRight w:val="0"/>
      <w:marTop w:val="0"/>
      <w:marBottom w:val="0"/>
      <w:divBdr>
        <w:top w:val="none" w:sz="0" w:space="0" w:color="auto"/>
        <w:left w:val="none" w:sz="0" w:space="0" w:color="auto"/>
        <w:bottom w:val="none" w:sz="0" w:space="0" w:color="auto"/>
        <w:right w:val="none" w:sz="0" w:space="0" w:color="auto"/>
      </w:divBdr>
    </w:div>
    <w:div w:id="771171611">
      <w:bodyDiv w:val="1"/>
      <w:marLeft w:val="0"/>
      <w:marRight w:val="0"/>
      <w:marTop w:val="0"/>
      <w:marBottom w:val="0"/>
      <w:divBdr>
        <w:top w:val="none" w:sz="0" w:space="0" w:color="auto"/>
        <w:left w:val="none" w:sz="0" w:space="0" w:color="auto"/>
        <w:bottom w:val="none" w:sz="0" w:space="0" w:color="auto"/>
        <w:right w:val="none" w:sz="0" w:space="0" w:color="auto"/>
      </w:divBdr>
      <w:divsChild>
        <w:div w:id="1497769958">
          <w:marLeft w:val="0"/>
          <w:marRight w:val="0"/>
          <w:marTop w:val="0"/>
          <w:marBottom w:val="0"/>
          <w:divBdr>
            <w:top w:val="none" w:sz="0" w:space="0" w:color="auto"/>
            <w:left w:val="none" w:sz="0" w:space="0" w:color="auto"/>
            <w:bottom w:val="none" w:sz="0" w:space="0" w:color="auto"/>
            <w:right w:val="none" w:sz="0" w:space="0" w:color="auto"/>
          </w:divBdr>
          <w:divsChild>
            <w:div w:id="909193732">
              <w:marLeft w:val="0"/>
              <w:marRight w:val="0"/>
              <w:marTop w:val="0"/>
              <w:marBottom w:val="150"/>
              <w:divBdr>
                <w:top w:val="none" w:sz="0" w:space="0" w:color="auto"/>
                <w:left w:val="none" w:sz="0" w:space="0" w:color="auto"/>
                <w:bottom w:val="none" w:sz="0" w:space="0" w:color="auto"/>
                <w:right w:val="none" w:sz="0" w:space="0" w:color="auto"/>
              </w:divBdr>
              <w:divsChild>
                <w:div w:id="795561127">
                  <w:marLeft w:val="0"/>
                  <w:marRight w:val="0"/>
                  <w:marTop w:val="0"/>
                  <w:marBottom w:val="0"/>
                  <w:divBdr>
                    <w:top w:val="none" w:sz="0" w:space="0" w:color="auto"/>
                    <w:left w:val="none" w:sz="0" w:space="0" w:color="auto"/>
                    <w:bottom w:val="none" w:sz="0" w:space="0" w:color="auto"/>
                    <w:right w:val="none" w:sz="0" w:space="0" w:color="auto"/>
                  </w:divBdr>
                  <w:divsChild>
                    <w:div w:id="1475876303">
                      <w:marLeft w:val="0"/>
                      <w:marRight w:val="0"/>
                      <w:marTop w:val="0"/>
                      <w:marBottom w:val="0"/>
                      <w:divBdr>
                        <w:top w:val="none" w:sz="0" w:space="0" w:color="auto"/>
                        <w:left w:val="none" w:sz="0" w:space="0" w:color="auto"/>
                        <w:bottom w:val="none" w:sz="0" w:space="0" w:color="auto"/>
                        <w:right w:val="none" w:sz="0" w:space="0" w:color="auto"/>
                      </w:divBdr>
                      <w:divsChild>
                        <w:div w:id="2020039158">
                          <w:marLeft w:val="0"/>
                          <w:marRight w:val="0"/>
                          <w:marTop w:val="0"/>
                          <w:marBottom w:val="0"/>
                          <w:divBdr>
                            <w:top w:val="none" w:sz="0" w:space="0" w:color="auto"/>
                            <w:left w:val="none" w:sz="0" w:space="0" w:color="auto"/>
                            <w:bottom w:val="none" w:sz="0" w:space="0" w:color="auto"/>
                            <w:right w:val="none" w:sz="0" w:space="0" w:color="auto"/>
                          </w:divBdr>
                          <w:divsChild>
                            <w:div w:id="1574390686">
                              <w:marLeft w:val="0"/>
                              <w:marRight w:val="0"/>
                              <w:marTop w:val="0"/>
                              <w:marBottom w:val="0"/>
                              <w:divBdr>
                                <w:top w:val="none" w:sz="0" w:space="0" w:color="auto"/>
                                <w:left w:val="none" w:sz="0" w:space="0" w:color="auto"/>
                                <w:bottom w:val="none" w:sz="0" w:space="0" w:color="auto"/>
                                <w:right w:val="none" w:sz="0" w:space="0" w:color="auto"/>
                              </w:divBdr>
                              <w:divsChild>
                                <w:div w:id="150564153">
                                  <w:marLeft w:val="0"/>
                                  <w:marRight w:val="-3600"/>
                                  <w:marTop w:val="150"/>
                                  <w:marBottom w:val="0"/>
                                  <w:divBdr>
                                    <w:top w:val="none" w:sz="0" w:space="0" w:color="auto"/>
                                    <w:left w:val="none" w:sz="0" w:space="0" w:color="auto"/>
                                    <w:bottom w:val="none" w:sz="0" w:space="0" w:color="auto"/>
                                    <w:right w:val="none" w:sz="0" w:space="0" w:color="auto"/>
                                  </w:divBdr>
                                  <w:divsChild>
                                    <w:div w:id="1616252572">
                                      <w:marLeft w:val="0"/>
                                      <w:marRight w:val="3600"/>
                                      <w:marTop w:val="0"/>
                                      <w:marBottom w:val="0"/>
                                      <w:divBdr>
                                        <w:top w:val="none" w:sz="0" w:space="0" w:color="auto"/>
                                        <w:left w:val="none" w:sz="0" w:space="0" w:color="auto"/>
                                        <w:bottom w:val="none" w:sz="0" w:space="0" w:color="auto"/>
                                        <w:right w:val="none" w:sz="0" w:space="0" w:color="auto"/>
                                      </w:divBdr>
                                      <w:divsChild>
                                        <w:div w:id="1214151117">
                                          <w:marLeft w:val="0"/>
                                          <w:marRight w:val="0"/>
                                          <w:marTop w:val="0"/>
                                          <w:marBottom w:val="0"/>
                                          <w:divBdr>
                                            <w:top w:val="none" w:sz="0" w:space="0" w:color="auto"/>
                                            <w:left w:val="none" w:sz="0" w:space="0" w:color="auto"/>
                                            <w:bottom w:val="none" w:sz="0" w:space="0" w:color="auto"/>
                                            <w:right w:val="none" w:sz="0" w:space="0" w:color="auto"/>
                                          </w:divBdr>
                                          <w:divsChild>
                                            <w:div w:id="882254435">
                                              <w:marLeft w:val="0"/>
                                              <w:marRight w:val="0"/>
                                              <w:marTop w:val="0"/>
                                              <w:marBottom w:val="0"/>
                                              <w:divBdr>
                                                <w:top w:val="none" w:sz="0" w:space="0" w:color="auto"/>
                                                <w:left w:val="none" w:sz="0" w:space="0" w:color="auto"/>
                                                <w:bottom w:val="none" w:sz="0" w:space="0" w:color="auto"/>
                                                <w:right w:val="none" w:sz="0" w:space="0" w:color="auto"/>
                                              </w:divBdr>
                                              <w:divsChild>
                                                <w:div w:id="1982465406">
                                                  <w:marLeft w:val="0"/>
                                                  <w:marRight w:val="0"/>
                                                  <w:marTop w:val="0"/>
                                                  <w:marBottom w:val="0"/>
                                                  <w:divBdr>
                                                    <w:top w:val="none" w:sz="0" w:space="0" w:color="auto"/>
                                                    <w:left w:val="none" w:sz="0" w:space="0" w:color="auto"/>
                                                    <w:bottom w:val="none" w:sz="0" w:space="0" w:color="auto"/>
                                                    <w:right w:val="none" w:sz="0" w:space="0" w:color="auto"/>
                                                  </w:divBdr>
                                                  <w:divsChild>
                                                    <w:div w:id="7219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6800719">
      <w:bodyDiv w:val="1"/>
      <w:marLeft w:val="0"/>
      <w:marRight w:val="0"/>
      <w:marTop w:val="0"/>
      <w:marBottom w:val="0"/>
      <w:divBdr>
        <w:top w:val="none" w:sz="0" w:space="0" w:color="auto"/>
        <w:left w:val="none" w:sz="0" w:space="0" w:color="auto"/>
        <w:bottom w:val="none" w:sz="0" w:space="0" w:color="auto"/>
        <w:right w:val="none" w:sz="0" w:space="0" w:color="auto"/>
      </w:divBdr>
    </w:div>
    <w:div w:id="805464211">
      <w:bodyDiv w:val="1"/>
      <w:marLeft w:val="0"/>
      <w:marRight w:val="0"/>
      <w:marTop w:val="0"/>
      <w:marBottom w:val="0"/>
      <w:divBdr>
        <w:top w:val="none" w:sz="0" w:space="0" w:color="auto"/>
        <w:left w:val="none" w:sz="0" w:space="0" w:color="auto"/>
        <w:bottom w:val="none" w:sz="0" w:space="0" w:color="auto"/>
        <w:right w:val="none" w:sz="0" w:space="0" w:color="auto"/>
      </w:divBdr>
      <w:divsChild>
        <w:div w:id="859509659">
          <w:marLeft w:val="0"/>
          <w:marRight w:val="0"/>
          <w:marTop w:val="0"/>
          <w:marBottom w:val="0"/>
          <w:divBdr>
            <w:top w:val="none" w:sz="0" w:space="0" w:color="auto"/>
            <w:left w:val="none" w:sz="0" w:space="0" w:color="auto"/>
            <w:bottom w:val="none" w:sz="0" w:space="0" w:color="auto"/>
            <w:right w:val="none" w:sz="0" w:space="0" w:color="auto"/>
          </w:divBdr>
        </w:div>
        <w:div w:id="1133595661">
          <w:marLeft w:val="0"/>
          <w:marRight w:val="0"/>
          <w:marTop w:val="0"/>
          <w:marBottom w:val="0"/>
          <w:divBdr>
            <w:top w:val="none" w:sz="0" w:space="0" w:color="auto"/>
            <w:left w:val="none" w:sz="0" w:space="0" w:color="auto"/>
            <w:bottom w:val="none" w:sz="0" w:space="0" w:color="auto"/>
            <w:right w:val="none" w:sz="0" w:space="0" w:color="auto"/>
          </w:divBdr>
        </w:div>
      </w:divsChild>
    </w:div>
    <w:div w:id="839857019">
      <w:bodyDiv w:val="1"/>
      <w:marLeft w:val="0"/>
      <w:marRight w:val="0"/>
      <w:marTop w:val="0"/>
      <w:marBottom w:val="0"/>
      <w:divBdr>
        <w:top w:val="none" w:sz="0" w:space="0" w:color="auto"/>
        <w:left w:val="none" w:sz="0" w:space="0" w:color="auto"/>
        <w:bottom w:val="none" w:sz="0" w:space="0" w:color="auto"/>
        <w:right w:val="none" w:sz="0" w:space="0" w:color="auto"/>
      </w:divBdr>
    </w:div>
    <w:div w:id="863438673">
      <w:bodyDiv w:val="1"/>
      <w:marLeft w:val="0"/>
      <w:marRight w:val="0"/>
      <w:marTop w:val="0"/>
      <w:marBottom w:val="0"/>
      <w:divBdr>
        <w:top w:val="none" w:sz="0" w:space="0" w:color="auto"/>
        <w:left w:val="none" w:sz="0" w:space="0" w:color="auto"/>
        <w:bottom w:val="none" w:sz="0" w:space="0" w:color="auto"/>
        <w:right w:val="none" w:sz="0" w:space="0" w:color="auto"/>
      </w:divBdr>
      <w:divsChild>
        <w:div w:id="1164468629">
          <w:marLeft w:val="0"/>
          <w:marRight w:val="0"/>
          <w:marTop w:val="0"/>
          <w:marBottom w:val="0"/>
          <w:divBdr>
            <w:top w:val="none" w:sz="0" w:space="0" w:color="auto"/>
            <w:left w:val="none" w:sz="0" w:space="0" w:color="auto"/>
            <w:bottom w:val="none" w:sz="0" w:space="0" w:color="auto"/>
            <w:right w:val="none" w:sz="0" w:space="0" w:color="auto"/>
          </w:divBdr>
        </w:div>
        <w:div w:id="1155415645">
          <w:marLeft w:val="0"/>
          <w:marRight w:val="0"/>
          <w:marTop w:val="0"/>
          <w:marBottom w:val="0"/>
          <w:divBdr>
            <w:top w:val="none" w:sz="0" w:space="0" w:color="auto"/>
            <w:left w:val="none" w:sz="0" w:space="0" w:color="auto"/>
            <w:bottom w:val="none" w:sz="0" w:space="0" w:color="auto"/>
            <w:right w:val="none" w:sz="0" w:space="0" w:color="auto"/>
          </w:divBdr>
        </w:div>
        <w:div w:id="2126148777">
          <w:marLeft w:val="0"/>
          <w:marRight w:val="0"/>
          <w:marTop w:val="0"/>
          <w:marBottom w:val="0"/>
          <w:divBdr>
            <w:top w:val="none" w:sz="0" w:space="0" w:color="auto"/>
            <w:left w:val="none" w:sz="0" w:space="0" w:color="auto"/>
            <w:bottom w:val="none" w:sz="0" w:space="0" w:color="auto"/>
            <w:right w:val="none" w:sz="0" w:space="0" w:color="auto"/>
          </w:divBdr>
        </w:div>
      </w:divsChild>
    </w:div>
    <w:div w:id="867794782">
      <w:bodyDiv w:val="1"/>
      <w:marLeft w:val="0"/>
      <w:marRight w:val="0"/>
      <w:marTop w:val="0"/>
      <w:marBottom w:val="0"/>
      <w:divBdr>
        <w:top w:val="none" w:sz="0" w:space="0" w:color="auto"/>
        <w:left w:val="none" w:sz="0" w:space="0" w:color="auto"/>
        <w:bottom w:val="none" w:sz="0" w:space="0" w:color="auto"/>
        <w:right w:val="none" w:sz="0" w:space="0" w:color="auto"/>
      </w:divBdr>
    </w:div>
    <w:div w:id="885068968">
      <w:bodyDiv w:val="1"/>
      <w:marLeft w:val="0"/>
      <w:marRight w:val="0"/>
      <w:marTop w:val="0"/>
      <w:marBottom w:val="0"/>
      <w:divBdr>
        <w:top w:val="none" w:sz="0" w:space="0" w:color="auto"/>
        <w:left w:val="none" w:sz="0" w:space="0" w:color="auto"/>
        <w:bottom w:val="none" w:sz="0" w:space="0" w:color="auto"/>
        <w:right w:val="none" w:sz="0" w:space="0" w:color="auto"/>
      </w:divBdr>
      <w:divsChild>
        <w:div w:id="413279342">
          <w:marLeft w:val="0"/>
          <w:marRight w:val="0"/>
          <w:marTop w:val="0"/>
          <w:marBottom w:val="0"/>
          <w:divBdr>
            <w:top w:val="none" w:sz="0" w:space="0" w:color="auto"/>
            <w:left w:val="none" w:sz="0" w:space="0" w:color="auto"/>
            <w:bottom w:val="none" w:sz="0" w:space="0" w:color="auto"/>
            <w:right w:val="none" w:sz="0" w:space="0" w:color="auto"/>
          </w:divBdr>
        </w:div>
        <w:div w:id="766734264">
          <w:marLeft w:val="0"/>
          <w:marRight w:val="0"/>
          <w:marTop w:val="0"/>
          <w:marBottom w:val="0"/>
          <w:divBdr>
            <w:top w:val="none" w:sz="0" w:space="0" w:color="auto"/>
            <w:left w:val="none" w:sz="0" w:space="0" w:color="auto"/>
            <w:bottom w:val="none" w:sz="0" w:space="0" w:color="auto"/>
            <w:right w:val="none" w:sz="0" w:space="0" w:color="auto"/>
          </w:divBdr>
        </w:div>
        <w:div w:id="368721349">
          <w:marLeft w:val="0"/>
          <w:marRight w:val="0"/>
          <w:marTop w:val="0"/>
          <w:marBottom w:val="0"/>
          <w:divBdr>
            <w:top w:val="none" w:sz="0" w:space="0" w:color="auto"/>
            <w:left w:val="none" w:sz="0" w:space="0" w:color="auto"/>
            <w:bottom w:val="none" w:sz="0" w:space="0" w:color="auto"/>
            <w:right w:val="none" w:sz="0" w:space="0" w:color="auto"/>
          </w:divBdr>
        </w:div>
        <w:div w:id="1187519764">
          <w:marLeft w:val="0"/>
          <w:marRight w:val="0"/>
          <w:marTop w:val="0"/>
          <w:marBottom w:val="0"/>
          <w:divBdr>
            <w:top w:val="none" w:sz="0" w:space="0" w:color="auto"/>
            <w:left w:val="none" w:sz="0" w:space="0" w:color="auto"/>
            <w:bottom w:val="none" w:sz="0" w:space="0" w:color="auto"/>
            <w:right w:val="none" w:sz="0" w:space="0" w:color="auto"/>
          </w:divBdr>
        </w:div>
        <w:div w:id="321587301">
          <w:marLeft w:val="0"/>
          <w:marRight w:val="0"/>
          <w:marTop w:val="0"/>
          <w:marBottom w:val="0"/>
          <w:divBdr>
            <w:top w:val="none" w:sz="0" w:space="0" w:color="auto"/>
            <w:left w:val="none" w:sz="0" w:space="0" w:color="auto"/>
            <w:bottom w:val="none" w:sz="0" w:space="0" w:color="auto"/>
            <w:right w:val="none" w:sz="0" w:space="0" w:color="auto"/>
          </w:divBdr>
        </w:div>
        <w:div w:id="517501796">
          <w:marLeft w:val="0"/>
          <w:marRight w:val="0"/>
          <w:marTop w:val="0"/>
          <w:marBottom w:val="0"/>
          <w:divBdr>
            <w:top w:val="none" w:sz="0" w:space="0" w:color="auto"/>
            <w:left w:val="none" w:sz="0" w:space="0" w:color="auto"/>
            <w:bottom w:val="none" w:sz="0" w:space="0" w:color="auto"/>
            <w:right w:val="none" w:sz="0" w:space="0" w:color="auto"/>
          </w:divBdr>
        </w:div>
        <w:div w:id="1873957418">
          <w:marLeft w:val="0"/>
          <w:marRight w:val="0"/>
          <w:marTop w:val="0"/>
          <w:marBottom w:val="0"/>
          <w:divBdr>
            <w:top w:val="none" w:sz="0" w:space="0" w:color="auto"/>
            <w:left w:val="none" w:sz="0" w:space="0" w:color="auto"/>
            <w:bottom w:val="none" w:sz="0" w:space="0" w:color="auto"/>
            <w:right w:val="none" w:sz="0" w:space="0" w:color="auto"/>
          </w:divBdr>
        </w:div>
        <w:div w:id="910777599">
          <w:marLeft w:val="0"/>
          <w:marRight w:val="0"/>
          <w:marTop w:val="0"/>
          <w:marBottom w:val="0"/>
          <w:divBdr>
            <w:top w:val="none" w:sz="0" w:space="0" w:color="auto"/>
            <w:left w:val="none" w:sz="0" w:space="0" w:color="auto"/>
            <w:bottom w:val="none" w:sz="0" w:space="0" w:color="auto"/>
            <w:right w:val="none" w:sz="0" w:space="0" w:color="auto"/>
          </w:divBdr>
        </w:div>
        <w:div w:id="1373581438">
          <w:marLeft w:val="0"/>
          <w:marRight w:val="0"/>
          <w:marTop w:val="0"/>
          <w:marBottom w:val="0"/>
          <w:divBdr>
            <w:top w:val="none" w:sz="0" w:space="0" w:color="auto"/>
            <w:left w:val="none" w:sz="0" w:space="0" w:color="auto"/>
            <w:bottom w:val="none" w:sz="0" w:space="0" w:color="auto"/>
            <w:right w:val="none" w:sz="0" w:space="0" w:color="auto"/>
          </w:divBdr>
        </w:div>
        <w:div w:id="1427576528">
          <w:marLeft w:val="0"/>
          <w:marRight w:val="0"/>
          <w:marTop w:val="0"/>
          <w:marBottom w:val="0"/>
          <w:divBdr>
            <w:top w:val="none" w:sz="0" w:space="0" w:color="auto"/>
            <w:left w:val="none" w:sz="0" w:space="0" w:color="auto"/>
            <w:bottom w:val="none" w:sz="0" w:space="0" w:color="auto"/>
            <w:right w:val="none" w:sz="0" w:space="0" w:color="auto"/>
          </w:divBdr>
        </w:div>
        <w:div w:id="792331687">
          <w:marLeft w:val="0"/>
          <w:marRight w:val="0"/>
          <w:marTop w:val="0"/>
          <w:marBottom w:val="0"/>
          <w:divBdr>
            <w:top w:val="none" w:sz="0" w:space="0" w:color="auto"/>
            <w:left w:val="none" w:sz="0" w:space="0" w:color="auto"/>
            <w:bottom w:val="none" w:sz="0" w:space="0" w:color="auto"/>
            <w:right w:val="none" w:sz="0" w:space="0" w:color="auto"/>
          </w:divBdr>
        </w:div>
        <w:div w:id="1894807047">
          <w:marLeft w:val="0"/>
          <w:marRight w:val="0"/>
          <w:marTop w:val="0"/>
          <w:marBottom w:val="0"/>
          <w:divBdr>
            <w:top w:val="none" w:sz="0" w:space="0" w:color="auto"/>
            <w:left w:val="none" w:sz="0" w:space="0" w:color="auto"/>
            <w:bottom w:val="none" w:sz="0" w:space="0" w:color="auto"/>
            <w:right w:val="none" w:sz="0" w:space="0" w:color="auto"/>
          </w:divBdr>
        </w:div>
        <w:div w:id="310521872">
          <w:marLeft w:val="0"/>
          <w:marRight w:val="0"/>
          <w:marTop w:val="0"/>
          <w:marBottom w:val="0"/>
          <w:divBdr>
            <w:top w:val="none" w:sz="0" w:space="0" w:color="auto"/>
            <w:left w:val="none" w:sz="0" w:space="0" w:color="auto"/>
            <w:bottom w:val="none" w:sz="0" w:space="0" w:color="auto"/>
            <w:right w:val="none" w:sz="0" w:space="0" w:color="auto"/>
          </w:divBdr>
        </w:div>
        <w:div w:id="2062362458">
          <w:marLeft w:val="0"/>
          <w:marRight w:val="0"/>
          <w:marTop w:val="0"/>
          <w:marBottom w:val="0"/>
          <w:divBdr>
            <w:top w:val="none" w:sz="0" w:space="0" w:color="auto"/>
            <w:left w:val="none" w:sz="0" w:space="0" w:color="auto"/>
            <w:bottom w:val="none" w:sz="0" w:space="0" w:color="auto"/>
            <w:right w:val="none" w:sz="0" w:space="0" w:color="auto"/>
          </w:divBdr>
        </w:div>
      </w:divsChild>
    </w:div>
    <w:div w:id="890310913">
      <w:bodyDiv w:val="1"/>
      <w:marLeft w:val="0"/>
      <w:marRight w:val="0"/>
      <w:marTop w:val="0"/>
      <w:marBottom w:val="0"/>
      <w:divBdr>
        <w:top w:val="none" w:sz="0" w:space="0" w:color="auto"/>
        <w:left w:val="none" w:sz="0" w:space="0" w:color="auto"/>
        <w:bottom w:val="none" w:sz="0" w:space="0" w:color="auto"/>
        <w:right w:val="none" w:sz="0" w:space="0" w:color="auto"/>
      </w:divBdr>
    </w:div>
    <w:div w:id="900333845">
      <w:bodyDiv w:val="1"/>
      <w:marLeft w:val="0"/>
      <w:marRight w:val="0"/>
      <w:marTop w:val="0"/>
      <w:marBottom w:val="0"/>
      <w:divBdr>
        <w:top w:val="none" w:sz="0" w:space="0" w:color="auto"/>
        <w:left w:val="none" w:sz="0" w:space="0" w:color="auto"/>
        <w:bottom w:val="none" w:sz="0" w:space="0" w:color="auto"/>
        <w:right w:val="none" w:sz="0" w:space="0" w:color="auto"/>
      </w:divBdr>
    </w:div>
    <w:div w:id="912664466">
      <w:bodyDiv w:val="1"/>
      <w:marLeft w:val="0"/>
      <w:marRight w:val="0"/>
      <w:marTop w:val="0"/>
      <w:marBottom w:val="0"/>
      <w:divBdr>
        <w:top w:val="none" w:sz="0" w:space="0" w:color="auto"/>
        <w:left w:val="none" w:sz="0" w:space="0" w:color="auto"/>
        <w:bottom w:val="none" w:sz="0" w:space="0" w:color="auto"/>
        <w:right w:val="none" w:sz="0" w:space="0" w:color="auto"/>
      </w:divBdr>
      <w:divsChild>
        <w:div w:id="100564530">
          <w:marLeft w:val="0"/>
          <w:marRight w:val="0"/>
          <w:marTop w:val="0"/>
          <w:marBottom w:val="0"/>
          <w:divBdr>
            <w:top w:val="none" w:sz="0" w:space="0" w:color="auto"/>
            <w:left w:val="none" w:sz="0" w:space="0" w:color="auto"/>
            <w:bottom w:val="none" w:sz="0" w:space="0" w:color="auto"/>
            <w:right w:val="none" w:sz="0" w:space="0" w:color="auto"/>
          </w:divBdr>
        </w:div>
        <w:div w:id="1597592413">
          <w:marLeft w:val="0"/>
          <w:marRight w:val="0"/>
          <w:marTop w:val="0"/>
          <w:marBottom w:val="0"/>
          <w:divBdr>
            <w:top w:val="none" w:sz="0" w:space="0" w:color="auto"/>
            <w:left w:val="none" w:sz="0" w:space="0" w:color="auto"/>
            <w:bottom w:val="none" w:sz="0" w:space="0" w:color="auto"/>
            <w:right w:val="none" w:sz="0" w:space="0" w:color="auto"/>
          </w:divBdr>
        </w:div>
      </w:divsChild>
    </w:div>
    <w:div w:id="931813096">
      <w:bodyDiv w:val="1"/>
      <w:marLeft w:val="0"/>
      <w:marRight w:val="0"/>
      <w:marTop w:val="0"/>
      <w:marBottom w:val="0"/>
      <w:divBdr>
        <w:top w:val="none" w:sz="0" w:space="0" w:color="auto"/>
        <w:left w:val="none" w:sz="0" w:space="0" w:color="auto"/>
        <w:bottom w:val="none" w:sz="0" w:space="0" w:color="auto"/>
        <w:right w:val="none" w:sz="0" w:space="0" w:color="auto"/>
      </w:divBdr>
    </w:div>
    <w:div w:id="938484481">
      <w:bodyDiv w:val="1"/>
      <w:marLeft w:val="0"/>
      <w:marRight w:val="0"/>
      <w:marTop w:val="0"/>
      <w:marBottom w:val="0"/>
      <w:divBdr>
        <w:top w:val="none" w:sz="0" w:space="0" w:color="auto"/>
        <w:left w:val="none" w:sz="0" w:space="0" w:color="auto"/>
        <w:bottom w:val="none" w:sz="0" w:space="0" w:color="auto"/>
        <w:right w:val="none" w:sz="0" w:space="0" w:color="auto"/>
      </w:divBdr>
    </w:div>
    <w:div w:id="956375490">
      <w:bodyDiv w:val="1"/>
      <w:marLeft w:val="0"/>
      <w:marRight w:val="0"/>
      <w:marTop w:val="0"/>
      <w:marBottom w:val="0"/>
      <w:divBdr>
        <w:top w:val="none" w:sz="0" w:space="0" w:color="auto"/>
        <w:left w:val="none" w:sz="0" w:space="0" w:color="auto"/>
        <w:bottom w:val="none" w:sz="0" w:space="0" w:color="auto"/>
        <w:right w:val="none" w:sz="0" w:space="0" w:color="auto"/>
      </w:divBdr>
      <w:divsChild>
        <w:div w:id="50354217">
          <w:marLeft w:val="0"/>
          <w:marRight w:val="0"/>
          <w:marTop w:val="0"/>
          <w:marBottom w:val="0"/>
          <w:divBdr>
            <w:top w:val="none" w:sz="0" w:space="0" w:color="auto"/>
            <w:left w:val="none" w:sz="0" w:space="0" w:color="auto"/>
            <w:bottom w:val="none" w:sz="0" w:space="0" w:color="auto"/>
            <w:right w:val="none" w:sz="0" w:space="0" w:color="auto"/>
          </w:divBdr>
        </w:div>
        <w:div w:id="1161769997">
          <w:marLeft w:val="0"/>
          <w:marRight w:val="0"/>
          <w:marTop w:val="0"/>
          <w:marBottom w:val="0"/>
          <w:divBdr>
            <w:top w:val="none" w:sz="0" w:space="0" w:color="auto"/>
            <w:left w:val="none" w:sz="0" w:space="0" w:color="auto"/>
            <w:bottom w:val="none" w:sz="0" w:space="0" w:color="auto"/>
            <w:right w:val="none" w:sz="0" w:space="0" w:color="auto"/>
          </w:divBdr>
        </w:div>
        <w:div w:id="1930430891">
          <w:marLeft w:val="0"/>
          <w:marRight w:val="0"/>
          <w:marTop w:val="0"/>
          <w:marBottom w:val="0"/>
          <w:divBdr>
            <w:top w:val="none" w:sz="0" w:space="0" w:color="auto"/>
            <w:left w:val="none" w:sz="0" w:space="0" w:color="auto"/>
            <w:bottom w:val="none" w:sz="0" w:space="0" w:color="auto"/>
            <w:right w:val="none" w:sz="0" w:space="0" w:color="auto"/>
          </w:divBdr>
        </w:div>
        <w:div w:id="2036926483">
          <w:marLeft w:val="0"/>
          <w:marRight w:val="0"/>
          <w:marTop w:val="0"/>
          <w:marBottom w:val="0"/>
          <w:divBdr>
            <w:top w:val="none" w:sz="0" w:space="0" w:color="auto"/>
            <w:left w:val="none" w:sz="0" w:space="0" w:color="auto"/>
            <w:bottom w:val="none" w:sz="0" w:space="0" w:color="auto"/>
            <w:right w:val="none" w:sz="0" w:space="0" w:color="auto"/>
          </w:divBdr>
        </w:div>
      </w:divsChild>
    </w:div>
    <w:div w:id="964772456">
      <w:bodyDiv w:val="1"/>
      <w:marLeft w:val="0"/>
      <w:marRight w:val="0"/>
      <w:marTop w:val="0"/>
      <w:marBottom w:val="0"/>
      <w:divBdr>
        <w:top w:val="none" w:sz="0" w:space="0" w:color="auto"/>
        <w:left w:val="none" w:sz="0" w:space="0" w:color="auto"/>
        <w:bottom w:val="none" w:sz="0" w:space="0" w:color="auto"/>
        <w:right w:val="none" w:sz="0" w:space="0" w:color="auto"/>
      </w:divBdr>
      <w:divsChild>
        <w:div w:id="2126346751">
          <w:marLeft w:val="0"/>
          <w:marRight w:val="0"/>
          <w:marTop w:val="0"/>
          <w:marBottom w:val="0"/>
          <w:divBdr>
            <w:top w:val="none" w:sz="0" w:space="0" w:color="auto"/>
            <w:left w:val="none" w:sz="0" w:space="0" w:color="auto"/>
            <w:bottom w:val="none" w:sz="0" w:space="0" w:color="auto"/>
            <w:right w:val="none" w:sz="0" w:space="0" w:color="auto"/>
          </w:divBdr>
          <w:divsChild>
            <w:div w:id="19040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39238">
      <w:bodyDiv w:val="1"/>
      <w:marLeft w:val="0"/>
      <w:marRight w:val="0"/>
      <w:marTop w:val="0"/>
      <w:marBottom w:val="0"/>
      <w:divBdr>
        <w:top w:val="none" w:sz="0" w:space="0" w:color="auto"/>
        <w:left w:val="none" w:sz="0" w:space="0" w:color="auto"/>
        <w:bottom w:val="none" w:sz="0" w:space="0" w:color="auto"/>
        <w:right w:val="none" w:sz="0" w:space="0" w:color="auto"/>
      </w:divBdr>
    </w:div>
    <w:div w:id="1002515212">
      <w:bodyDiv w:val="1"/>
      <w:marLeft w:val="0"/>
      <w:marRight w:val="0"/>
      <w:marTop w:val="0"/>
      <w:marBottom w:val="0"/>
      <w:divBdr>
        <w:top w:val="none" w:sz="0" w:space="0" w:color="auto"/>
        <w:left w:val="none" w:sz="0" w:space="0" w:color="auto"/>
        <w:bottom w:val="none" w:sz="0" w:space="0" w:color="auto"/>
        <w:right w:val="none" w:sz="0" w:space="0" w:color="auto"/>
      </w:divBdr>
    </w:div>
    <w:div w:id="1029645232">
      <w:bodyDiv w:val="1"/>
      <w:marLeft w:val="0"/>
      <w:marRight w:val="0"/>
      <w:marTop w:val="0"/>
      <w:marBottom w:val="0"/>
      <w:divBdr>
        <w:top w:val="none" w:sz="0" w:space="0" w:color="auto"/>
        <w:left w:val="none" w:sz="0" w:space="0" w:color="auto"/>
        <w:bottom w:val="none" w:sz="0" w:space="0" w:color="auto"/>
        <w:right w:val="none" w:sz="0" w:space="0" w:color="auto"/>
      </w:divBdr>
      <w:divsChild>
        <w:div w:id="1342048115">
          <w:marLeft w:val="0"/>
          <w:marRight w:val="0"/>
          <w:marTop w:val="0"/>
          <w:marBottom w:val="0"/>
          <w:divBdr>
            <w:top w:val="none" w:sz="0" w:space="0" w:color="auto"/>
            <w:left w:val="none" w:sz="0" w:space="0" w:color="auto"/>
            <w:bottom w:val="none" w:sz="0" w:space="0" w:color="auto"/>
            <w:right w:val="none" w:sz="0" w:space="0" w:color="auto"/>
          </w:divBdr>
        </w:div>
        <w:div w:id="1365908382">
          <w:marLeft w:val="0"/>
          <w:marRight w:val="0"/>
          <w:marTop w:val="0"/>
          <w:marBottom w:val="0"/>
          <w:divBdr>
            <w:top w:val="none" w:sz="0" w:space="0" w:color="auto"/>
            <w:left w:val="none" w:sz="0" w:space="0" w:color="auto"/>
            <w:bottom w:val="none" w:sz="0" w:space="0" w:color="auto"/>
            <w:right w:val="none" w:sz="0" w:space="0" w:color="auto"/>
          </w:divBdr>
        </w:div>
        <w:div w:id="1577013166">
          <w:marLeft w:val="0"/>
          <w:marRight w:val="0"/>
          <w:marTop w:val="0"/>
          <w:marBottom w:val="0"/>
          <w:divBdr>
            <w:top w:val="none" w:sz="0" w:space="0" w:color="auto"/>
            <w:left w:val="none" w:sz="0" w:space="0" w:color="auto"/>
            <w:bottom w:val="none" w:sz="0" w:space="0" w:color="auto"/>
            <w:right w:val="none" w:sz="0" w:space="0" w:color="auto"/>
          </w:divBdr>
        </w:div>
        <w:div w:id="1765764583">
          <w:marLeft w:val="0"/>
          <w:marRight w:val="0"/>
          <w:marTop w:val="0"/>
          <w:marBottom w:val="0"/>
          <w:divBdr>
            <w:top w:val="none" w:sz="0" w:space="0" w:color="auto"/>
            <w:left w:val="none" w:sz="0" w:space="0" w:color="auto"/>
            <w:bottom w:val="none" w:sz="0" w:space="0" w:color="auto"/>
            <w:right w:val="none" w:sz="0" w:space="0" w:color="auto"/>
          </w:divBdr>
        </w:div>
        <w:div w:id="1908495155">
          <w:marLeft w:val="0"/>
          <w:marRight w:val="0"/>
          <w:marTop w:val="0"/>
          <w:marBottom w:val="0"/>
          <w:divBdr>
            <w:top w:val="none" w:sz="0" w:space="0" w:color="auto"/>
            <w:left w:val="none" w:sz="0" w:space="0" w:color="auto"/>
            <w:bottom w:val="none" w:sz="0" w:space="0" w:color="auto"/>
            <w:right w:val="none" w:sz="0" w:space="0" w:color="auto"/>
          </w:divBdr>
        </w:div>
        <w:div w:id="1962026905">
          <w:marLeft w:val="0"/>
          <w:marRight w:val="0"/>
          <w:marTop w:val="0"/>
          <w:marBottom w:val="0"/>
          <w:divBdr>
            <w:top w:val="none" w:sz="0" w:space="0" w:color="auto"/>
            <w:left w:val="none" w:sz="0" w:space="0" w:color="auto"/>
            <w:bottom w:val="none" w:sz="0" w:space="0" w:color="auto"/>
            <w:right w:val="none" w:sz="0" w:space="0" w:color="auto"/>
          </w:divBdr>
        </w:div>
        <w:div w:id="2136681170">
          <w:marLeft w:val="0"/>
          <w:marRight w:val="0"/>
          <w:marTop w:val="0"/>
          <w:marBottom w:val="0"/>
          <w:divBdr>
            <w:top w:val="none" w:sz="0" w:space="0" w:color="auto"/>
            <w:left w:val="none" w:sz="0" w:space="0" w:color="auto"/>
            <w:bottom w:val="none" w:sz="0" w:space="0" w:color="auto"/>
            <w:right w:val="none" w:sz="0" w:space="0" w:color="auto"/>
          </w:divBdr>
        </w:div>
      </w:divsChild>
    </w:div>
    <w:div w:id="1097019990">
      <w:bodyDiv w:val="1"/>
      <w:marLeft w:val="0"/>
      <w:marRight w:val="0"/>
      <w:marTop w:val="0"/>
      <w:marBottom w:val="0"/>
      <w:divBdr>
        <w:top w:val="none" w:sz="0" w:space="0" w:color="auto"/>
        <w:left w:val="none" w:sz="0" w:space="0" w:color="auto"/>
        <w:bottom w:val="none" w:sz="0" w:space="0" w:color="auto"/>
        <w:right w:val="none" w:sz="0" w:space="0" w:color="auto"/>
      </w:divBdr>
      <w:divsChild>
        <w:div w:id="871498661">
          <w:marLeft w:val="0"/>
          <w:marRight w:val="0"/>
          <w:marTop w:val="0"/>
          <w:marBottom w:val="0"/>
          <w:divBdr>
            <w:top w:val="none" w:sz="0" w:space="0" w:color="auto"/>
            <w:left w:val="none" w:sz="0" w:space="0" w:color="auto"/>
            <w:bottom w:val="none" w:sz="0" w:space="0" w:color="auto"/>
            <w:right w:val="none" w:sz="0" w:space="0" w:color="auto"/>
          </w:divBdr>
          <w:divsChild>
            <w:div w:id="20441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4699">
      <w:bodyDiv w:val="1"/>
      <w:marLeft w:val="0"/>
      <w:marRight w:val="0"/>
      <w:marTop w:val="0"/>
      <w:marBottom w:val="0"/>
      <w:divBdr>
        <w:top w:val="none" w:sz="0" w:space="0" w:color="auto"/>
        <w:left w:val="none" w:sz="0" w:space="0" w:color="auto"/>
        <w:bottom w:val="none" w:sz="0" w:space="0" w:color="auto"/>
        <w:right w:val="none" w:sz="0" w:space="0" w:color="auto"/>
      </w:divBdr>
    </w:div>
    <w:div w:id="1119879745">
      <w:bodyDiv w:val="1"/>
      <w:marLeft w:val="0"/>
      <w:marRight w:val="0"/>
      <w:marTop w:val="0"/>
      <w:marBottom w:val="0"/>
      <w:divBdr>
        <w:top w:val="none" w:sz="0" w:space="0" w:color="auto"/>
        <w:left w:val="none" w:sz="0" w:space="0" w:color="auto"/>
        <w:bottom w:val="none" w:sz="0" w:space="0" w:color="auto"/>
        <w:right w:val="none" w:sz="0" w:space="0" w:color="auto"/>
      </w:divBdr>
      <w:divsChild>
        <w:div w:id="1564293786">
          <w:marLeft w:val="0"/>
          <w:marRight w:val="0"/>
          <w:marTop w:val="0"/>
          <w:marBottom w:val="0"/>
          <w:divBdr>
            <w:top w:val="none" w:sz="0" w:space="0" w:color="auto"/>
            <w:left w:val="none" w:sz="0" w:space="0" w:color="auto"/>
            <w:bottom w:val="none" w:sz="0" w:space="0" w:color="auto"/>
            <w:right w:val="none" w:sz="0" w:space="0" w:color="auto"/>
          </w:divBdr>
          <w:divsChild>
            <w:div w:id="2206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0478">
      <w:bodyDiv w:val="1"/>
      <w:marLeft w:val="0"/>
      <w:marRight w:val="0"/>
      <w:marTop w:val="0"/>
      <w:marBottom w:val="0"/>
      <w:divBdr>
        <w:top w:val="none" w:sz="0" w:space="0" w:color="auto"/>
        <w:left w:val="none" w:sz="0" w:space="0" w:color="auto"/>
        <w:bottom w:val="none" w:sz="0" w:space="0" w:color="auto"/>
        <w:right w:val="none" w:sz="0" w:space="0" w:color="auto"/>
      </w:divBdr>
    </w:div>
    <w:div w:id="1161039233">
      <w:bodyDiv w:val="1"/>
      <w:marLeft w:val="0"/>
      <w:marRight w:val="0"/>
      <w:marTop w:val="0"/>
      <w:marBottom w:val="0"/>
      <w:divBdr>
        <w:top w:val="none" w:sz="0" w:space="0" w:color="auto"/>
        <w:left w:val="none" w:sz="0" w:space="0" w:color="auto"/>
        <w:bottom w:val="none" w:sz="0" w:space="0" w:color="auto"/>
        <w:right w:val="none" w:sz="0" w:space="0" w:color="auto"/>
      </w:divBdr>
    </w:div>
    <w:div w:id="1170486343">
      <w:bodyDiv w:val="1"/>
      <w:marLeft w:val="0"/>
      <w:marRight w:val="0"/>
      <w:marTop w:val="0"/>
      <w:marBottom w:val="0"/>
      <w:divBdr>
        <w:top w:val="none" w:sz="0" w:space="0" w:color="auto"/>
        <w:left w:val="none" w:sz="0" w:space="0" w:color="auto"/>
        <w:bottom w:val="none" w:sz="0" w:space="0" w:color="auto"/>
        <w:right w:val="none" w:sz="0" w:space="0" w:color="auto"/>
      </w:divBdr>
    </w:div>
    <w:div w:id="1173034377">
      <w:bodyDiv w:val="1"/>
      <w:marLeft w:val="0"/>
      <w:marRight w:val="0"/>
      <w:marTop w:val="0"/>
      <w:marBottom w:val="0"/>
      <w:divBdr>
        <w:top w:val="none" w:sz="0" w:space="0" w:color="auto"/>
        <w:left w:val="none" w:sz="0" w:space="0" w:color="auto"/>
        <w:bottom w:val="none" w:sz="0" w:space="0" w:color="auto"/>
        <w:right w:val="none" w:sz="0" w:space="0" w:color="auto"/>
      </w:divBdr>
      <w:divsChild>
        <w:div w:id="114103291">
          <w:marLeft w:val="0"/>
          <w:marRight w:val="0"/>
          <w:marTop w:val="0"/>
          <w:marBottom w:val="0"/>
          <w:divBdr>
            <w:top w:val="none" w:sz="0" w:space="0" w:color="auto"/>
            <w:left w:val="none" w:sz="0" w:space="0" w:color="auto"/>
            <w:bottom w:val="none" w:sz="0" w:space="0" w:color="auto"/>
            <w:right w:val="none" w:sz="0" w:space="0" w:color="auto"/>
          </w:divBdr>
        </w:div>
        <w:div w:id="143551514">
          <w:marLeft w:val="0"/>
          <w:marRight w:val="0"/>
          <w:marTop w:val="0"/>
          <w:marBottom w:val="0"/>
          <w:divBdr>
            <w:top w:val="none" w:sz="0" w:space="0" w:color="auto"/>
            <w:left w:val="none" w:sz="0" w:space="0" w:color="auto"/>
            <w:bottom w:val="none" w:sz="0" w:space="0" w:color="auto"/>
            <w:right w:val="none" w:sz="0" w:space="0" w:color="auto"/>
          </w:divBdr>
        </w:div>
        <w:div w:id="172570802">
          <w:marLeft w:val="0"/>
          <w:marRight w:val="0"/>
          <w:marTop w:val="0"/>
          <w:marBottom w:val="0"/>
          <w:divBdr>
            <w:top w:val="none" w:sz="0" w:space="0" w:color="auto"/>
            <w:left w:val="none" w:sz="0" w:space="0" w:color="auto"/>
            <w:bottom w:val="none" w:sz="0" w:space="0" w:color="auto"/>
            <w:right w:val="none" w:sz="0" w:space="0" w:color="auto"/>
          </w:divBdr>
        </w:div>
        <w:div w:id="380053554">
          <w:marLeft w:val="0"/>
          <w:marRight w:val="0"/>
          <w:marTop w:val="0"/>
          <w:marBottom w:val="0"/>
          <w:divBdr>
            <w:top w:val="none" w:sz="0" w:space="0" w:color="auto"/>
            <w:left w:val="none" w:sz="0" w:space="0" w:color="auto"/>
            <w:bottom w:val="none" w:sz="0" w:space="0" w:color="auto"/>
            <w:right w:val="none" w:sz="0" w:space="0" w:color="auto"/>
          </w:divBdr>
        </w:div>
        <w:div w:id="383793369">
          <w:marLeft w:val="0"/>
          <w:marRight w:val="0"/>
          <w:marTop w:val="0"/>
          <w:marBottom w:val="0"/>
          <w:divBdr>
            <w:top w:val="none" w:sz="0" w:space="0" w:color="auto"/>
            <w:left w:val="none" w:sz="0" w:space="0" w:color="auto"/>
            <w:bottom w:val="none" w:sz="0" w:space="0" w:color="auto"/>
            <w:right w:val="none" w:sz="0" w:space="0" w:color="auto"/>
          </w:divBdr>
        </w:div>
        <w:div w:id="473916689">
          <w:marLeft w:val="0"/>
          <w:marRight w:val="0"/>
          <w:marTop w:val="0"/>
          <w:marBottom w:val="0"/>
          <w:divBdr>
            <w:top w:val="none" w:sz="0" w:space="0" w:color="auto"/>
            <w:left w:val="none" w:sz="0" w:space="0" w:color="auto"/>
            <w:bottom w:val="none" w:sz="0" w:space="0" w:color="auto"/>
            <w:right w:val="none" w:sz="0" w:space="0" w:color="auto"/>
          </w:divBdr>
        </w:div>
        <w:div w:id="597833987">
          <w:marLeft w:val="0"/>
          <w:marRight w:val="0"/>
          <w:marTop w:val="0"/>
          <w:marBottom w:val="0"/>
          <w:divBdr>
            <w:top w:val="none" w:sz="0" w:space="0" w:color="auto"/>
            <w:left w:val="none" w:sz="0" w:space="0" w:color="auto"/>
            <w:bottom w:val="none" w:sz="0" w:space="0" w:color="auto"/>
            <w:right w:val="none" w:sz="0" w:space="0" w:color="auto"/>
          </w:divBdr>
        </w:div>
        <w:div w:id="752899331">
          <w:marLeft w:val="0"/>
          <w:marRight w:val="0"/>
          <w:marTop w:val="0"/>
          <w:marBottom w:val="0"/>
          <w:divBdr>
            <w:top w:val="none" w:sz="0" w:space="0" w:color="auto"/>
            <w:left w:val="none" w:sz="0" w:space="0" w:color="auto"/>
            <w:bottom w:val="none" w:sz="0" w:space="0" w:color="auto"/>
            <w:right w:val="none" w:sz="0" w:space="0" w:color="auto"/>
          </w:divBdr>
        </w:div>
        <w:div w:id="1265724584">
          <w:marLeft w:val="0"/>
          <w:marRight w:val="0"/>
          <w:marTop w:val="0"/>
          <w:marBottom w:val="0"/>
          <w:divBdr>
            <w:top w:val="none" w:sz="0" w:space="0" w:color="auto"/>
            <w:left w:val="none" w:sz="0" w:space="0" w:color="auto"/>
            <w:bottom w:val="none" w:sz="0" w:space="0" w:color="auto"/>
            <w:right w:val="none" w:sz="0" w:space="0" w:color="auto"/>
          </w:divBdr>
        </w:div>
        <w:div w:id="1314068232">
          <w:marLeft w:val="0"/>
          <w:marRight w:val="0"/>
          <w:marTop w:val="0"/>
          <w:marBottom w:val="0"/>
          <w:divBdr>
            <w:top w:val="none" w:sz="0" w:space="0" w:color="auto"/>
            <w:left w:val="none" w:sz="0" w:space="0" w:color="auto"/>
            <w:bottom w:val="none" w:sz="0" w:space="0" w:color="auto"/>
            <w:right w:val="none" w:sz="0" w:space="0" w:color="auto"/>
          </w:divBdr>
        </w:div>
        <w:div w:id="1453017157">
          <w:marLeft w:val="0"/>
          <w:marRight w:val="0"/>
          <w:marTop w:val="0"/>
          <w:marBottom w:val="0"/>
          <w:divBdr>
            <w:top w:val="none" w:sz="0" w:space="0" w:color="auto"/>
            <w:left w:val="none" w:sz="0" w:space="0" w:color="auto"/>
            <w:bottom w:val="none" w:sz="0" w:space="0" w:color="auto"/>
            <w:right w:val="none" w:sz="0" w:space="0" w:color="auto"/>
          </w:divBdr>
        </w:div>
        <w:div w:id="1551111975">
          <w:marLeft w:val="0"/>
          <w:marRight w:val="0"/>
          <w:marTop w:val="0"/>
          <w:marBottom w:val="0"/>
          <w:divBdr>
            <w:top w:val="none" w:sz="0" w:space="0" w:color="auto"/>
            <w:left w:val="none" w:sz="0" w:space="0" w:color="auto"/>
            <w:bottom w:val="none" w:sz="0" w:space="0" w:color="auto"/>
            <w:right w:val="none" w:sz="0" w:space="0" w:color="auto"/>
          </w:divBdr>
        </w:div>
        <w:div w:id="1700079742">
          <w:marLeft w:val="0"/>
          <w:marRight w:val="0"/>
          <w:marTop w:val="0"/>
          <w:marBottom w:val="0"/>
          <w:divBdr>
            <w:top w:val="none" w:sz="0" w:space="0" w:color="auto"/>
            <w:left w:val="none" w:sz="0" w:space="0" w:color="auto"/>
            <w:bottom w:val="none" w:sz="0" w:space="0" w:color="auto"/>
            <w:right w:val="none" w:sz="0" w:space="0" w:color="auto"/>
          </w:divBdr>
        </w:div>
        <w:div w:id="1752695655">
          <w:marLeft w:val="0"/>
          <w:marRight w:val="0"/>
          <w:marTop w:val="0"/>
          <w:marBottom w:val="0"/>
          <w:divBdr>
            <w:top w:val="none" w:sz="0" w:space="0" w:color="auto"/>
            <w:left w:val="none" w:sz="0" w:space="0" w:color="auto"/>
            <w:bottom w:val="none" w:sz="0" w:space="0" w:color="auto"/>
            <w:right w:val="none" w:sz="0" w:space="0" w:color="auto"/>
          </w:divBdr>
        </w:div>
        <w:div w:id="1790510596">
          <w:marLeft w:val="0"/>
          <w:marRight w:val="0"/>
          <w:marTop w:val="0"/>
          <w:marBottom w:val="0"/>
          <w:divBdr>
            <w:top w:val="none" w:sz="0" w:space="0" w:color="auto"/>
            <w:left w:val="none" w:sz="0" w:space="0" w:color="auto"/>
            <w:bottom w:val="none" w:sz="0" w:space="0" w:color="auto"/>
            <w:right w:val="none" w:sz="0" w:space="0" w:color="auto"/>
          </w:divBdr>
        </w:div>
        <w:div w:id="1866098182">
          <w:marLeft w:val="0"/>
          <w:marRight w:val="0"/>
          <w:marTop w:val="0"/>
          <w:marBottom w:val="0"/>
          <w:divBdr>
            <w:top w:val="none" w:sz="0" w:space="0" w:color="auto"/>
            <w:left w:val="none" w:sz="0" w:space="0" w:color="auto"/>
            <w:bottom w:val="none" w:sz="0" w:space="0" w:color="auto"/>
            <w:right w:val="none" w:sz="0" w:space="0" w:color="auto"/>
          </w:divBdr>
        </w:div>
      </w:divsChild>
    </w:div>
    <w:div w:id="1176581350">
      <w:bodyDiv w:val="1"/>
      <w:marLeft w:val="0"/>
      <w:marRight w:val="0"/>
      <w:marTop w:val="0"/>
      <w:marBottom w:val="0"/>
      <w:divBdr>
        <w:top w:val="none" w:sz="0" w:space="0" w:color="auto"/>
        <w:left w:val="none" w:sz="0" w:space="0" w:color="auto"/>
        <w:bottom w:val="none" w:sz="0" w:space="0" w:color="auto"/>
        <w:right w:val="none" w:sz="0" w:space="0" w:color="auto"/>
      </w:divBdr>
      <w:divsChild>
        <w:div w:id="154881355">
          <w:marLeft w:val="0"/>
          <w:marRight w:val="0"/>
          <w:marTop w:val="0"/>
          <w:marBottom w:val="0"/>
          <w:divBdr>
            <w:top w:val="none" w:sz="0" w:space="0" w:color="auto"/>
            <w:left w:val="none" w:sz="0" w:space="0" w:color="auto"/>
            <w:bottom w:val="none" w:sz="0" w:space="0" w:color="auto"/>
            <w:right w:val="none" w:sz="0" w:space="0" w:color="auto"/>
          </w:divBdr>
        </w:div>
        <w:div w:id="1248030523">
          <w:marLeft w:val="0"/>
          <w:marRight w:val="0"/>
          <w:marTop w:val="0"/>
          <w:marBottom w:val="0"/>
          <w:divBdr>
            <w:top w:val="none" w:sz="0" w:space="0" w:color="auto"/>
            <w:left w:val="none" w:sz="0" w:space="0" w:color="auto"/>
            <w:bottom w:val="none" w:sz="0" w:space="0" w:color="auto"/>
            <w:right w:val="none" w:sz="0" w:space="0" w:color="auto"/>
          </w:divBdr>
        </w:div>
        <w:div w:id="1493176691">
          <w:marLeft w:val="0"/>
          <w:marRight w:val="0"/>
          <w:marTop w:val="0"/>
          <w:marBottom w:val="0"/>
          <w:divBdr>
            <w:top w:val="none" w:sz="0" w:space="0" w:color="auto"/>
            <w:left w:val="none" w:sz="0" w:space="0" w:color="auto"/>
            <w:bottom w:val="none" w:sz="0" w:space="0" w:color="auto"/>
            <w:right w:val="none" w:sz="0" w:space="0" w:color="auto"/>
          </w:divBdr>
        </w:div>
        <w:div w:id="1994528716">
          <w:marLeft w:val="0"/>
          <w:marRight w:val="0"/>
          <w:marTop w:val="0"/>
          <w:marBottom w:val="0"/>
          <w:divBdr>
            <w:top w:val="none" w:sz="0" w:space="0" w:color="auto"/>
            <w:left w:val="none" w:sz="0" w:space="0" w:color="auto"/>
            <w:bottom w:val="none" w:sz="0" w:space="0" w:color="auto"/>
            <w:right w:val="none" w:sz="0" w:space="0" w:color="auto"/>
          </w:divBdr>
        </w:div>
      </w:divsChild>
    </w:div>
    <w:div w:id="1183859108">
      <w:bodyDiv w:val="1"/>
      <w:marLeft w:val="0"/>
      <w:marRight w:val="0"/>
      <w:marTop w:val="0"/>
      <w:marBottom w:val="0"/>
      <w:divBdr>
        <w:top w:val="none" w:sz="0" w:space="0" w:color="auto"/>
        <w:left w:val="none" w:sz="0" w:space="0" w:color="auto"/>
        <w:bottom w:val="none" w:sz="0" w:space="0" w:color="auto"/>
        <w:right w:val="none" w:sz="0" w:space="0" w:color="auto"/>
      </w:divBdr>
      <w:divsChild>
        <w:div w:id="68963580">
          <w:marLeft w:val="0"/>
          <w:marRight w:val="0"/>
          <w:marTop w:val="0"/>
          <w:marBottom w:val="0"/>
          <w:divBdr>
            <w:top w:val="none" w:sz="0" w:space="0" w:color="auto"/>
            <w:left w:val="none" w:sz="0" w:space="0" w:color="auto"/>
            <w:bottom w:val="none" w:sz="0" w:space="0" w:color="auto"/>
            <w:right w:val="none" w:sz="0" w:space="0" w:color="auto"/>
          </w:divBdr>
          <w:divsChild>
            <w:div w:id="5313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0607">
      <w:bodyDiv w:val="1"/>
      <w:marLeft w:val="0"/>
      <w:marRight w:val="0"/>
      <w:marTop w:val="0"/>
      <w:marBottom w:val="0"/>
      <w:divBdr>
        <w:top w:val="none" w:sz="0" w:space="0" w:color="auto"/>
        <w:left w:val="none" w:sz="0" w:space="0" w:color="auto"/>
        <w:bottom w:val="none" w:sz="0" w:space="0" w:color="auto"/>
        <w:right w:val="none" w:sz="0" w:space="0" w:color="auto"/>
      </w:divBdr>
    </w:div>
    <w:div w:id="1259363160">
      <w:bodyDiv w:val="1"/>
      <w:marLeft w:val="0"/>
      <w:marRight w:val="0"/>
      <w:marTop w:val="0"/>
      <w:marBottom w:val="0"/>
      <w:divBdr>
        <w:top w:val="none" w:sz="0" w:space="0" w:color="auto"/>
        <w:left w:val="none" w:sz="0" w:space="0" w:color="auto"/>
        <w:bottom w:val="none" w:sz="0" w:space="0" w:color="auto"/>
        <w:right w:val="none" w:sz="0" w:space="0" w:color="auto"/>
      </w:divBdr>
    </w:div>
    <w:div w:id="1295065650">
      <w:bodyDiv w:val="1"/>
      <w:marLeft w:val="0"/>
      <w:marRight w:val="0"/>
      <w:marTop w:val="0"/>
      <w:marBottom w:val="0"/>
      <w:divBdr>
        <w:top w:val="none" w:sz="0" w:space="0" w:color="auto"/>
        <w:left w:val="none" w:sz="0" w:space="0" w:color="auto"/>
        <w:bottom w:val="none" w:sz="0" w:space="0" w:color="auto"/>
        <w:right w:val="none" w:sz="0" w:space="0" w:color="auto"/>
      </w:divBdr>
      <w:divsChild>
        <w:div w:id="260384024">
          <w:marLeft w:val="0"/>
          <w:marRight w:val="0"/>
          <w:marTop w:val="0"/>
          <w:marBottom w:val="0"/>
          <w:divBdr>
            <w:top w:val="none" w:sz="0" w:space="0" w:color="auto"/>
            <w:left w:val="none" w:sz="0" w:space="0" w:color="auto"/>
            <w:bottom w:val="none" w:sz="0" w:space="0" w:color="auto"/>
            <w:right w:val="none" w:sz="0" w:space="0" w:color="auto"/>
          </w:divBdr>
        </w:div>
        <w:div w:id="513374641">
          <w:marLeft w:val="0"/>
          <w:marRight w:val="0"/>
          <w:marTop w:val="0"/>
          <w:marBottom w:val="0"/>
          <w:divBdr>
            <w:top w:val="none" w:sz="0" w:space="0" w:color="auto"/>
            <w:left w:val="none" w:sz="0" w:space="0" w:color="auto"/>
            <w:bottom w:val="none" w:sz="0" w:space="0" w:color="auto"/>
            <w:right w:val="none" w:sz="0" w:space="0" w:color="auto"/>
          </w:divBdr>
        </w:div>
        <w:div w:id="978536065">
          <w:marLeft w:val="0"/>
          <w:marRight w:val="0"/>
          <w:marTop w:val="0"/>
          <w:marBottom w:val="0"/>
          <w:divBdr>
            <w:top w:val="none" w:sz="0" w:space="0" w:color="auto"/>
            <w:left w:val="none" w:sz="0" w:space="0" w:color="auto"/>
            <w:bottom w:val="none" w:sz="0" w:space="0" w:color="auto"/>
            <w:right w:val="none" w:sz="0" w:space="0" w:color="auto"/>
          </w:divBdr>
        </w:div>
      </w:divsChild>
    </w:div>
    <w:div w:id="1332292347">
      <w:bodyDiv w:val="1"/>
      <w:marLeft w:val="0"/>
      <w:marRight w:val="0"/>
      <w:marTop w:val="0"/>
      <w:marBottom w:val="0"/>
      <w:divBdr>
        <w:top w:val="none" w:sz="0" w:space="0" w:color="auto"/>
        <w:left w:val="none" w:sz="0" w:space="0" w:color="auto"/>
        <w:bottom w:val="none" w:sz="0" w:space="0" w:color="auto"/>
        <w:right w:val="none" w:sz="0" w:space="0" w:color="auto"/>
      </w:divBdr>
      <w:divsChild>
        <w:div w:id="286282722">
          <w:marLeft w:val="0"/>
          <w:marRight w:val="0"/>
          <w:marTop w:val="0"/>
          <w:marBottom w:val="0"/>
          <w:divBdr>
            <w:top w:val="none" w:sz="0" w:space="0" w:color="auto"/>
            <w:left w:val="none" w:sz="0" w:space="0" w:color="auto"/>
            <w:bottom w:val="none" w:sz="0" w:space="0" w:color="auto"/>
            <w:right w:val="none" w:sz="0" w:space="0" w:color="auto"/>
          </w:divBdr>
        </w:div>
        <w:div w:id="946546782">
          <w:marLeft w:val="0"/>
          <w:marRight w:val="0"/>
          <w:marTop w:val="0"/>
          <w:marBottom w:val="0"/>
          <w:divBdr>
            <w:top w:val="none" w:sz="0" w:space="0" w:color="auto"/>
            <w:left w:val="none" w:sz="0" w:space="0" w:color="auto"/>
            <w:bottom w:val="none" w:sz="0" w:space="0" w:color="auto"/>
            <w:right w:val="none" w:sz="0" w:space="0" w:color="auto"/>
          </w:divBdr>
        </w:div>
        <w:div w:id="1027440014">
          <w:marLeft w:val="0"/>
          <w:marRight w:val="0"/>
          <w:marTop w:val="0"/>
          <w:marBottom w:val="0"/>
          <w:divBdr>
            <w:top w:val="none" w:sz="0" w:space="0" w:color="auto"/>
            <w:left w:val="none" w:sz="0" w:space="0" w:color="auto"/>
            <w:bottom w:val="none" w:sz="0" w:space="0" w:color="auto"/>
            <w:right w:val="none" w:sz="0" w:space="0" w:color="auto"/>
          </w:divBdr>
        </w:div>
      </w:divsChild>
    </w:div>
    <w:div w:id="1357002264">
      <w:bodyDiv w:val="1"/>
      <w:marLeft w:val="0"/>
      <w:marRight w:val="0"/>
      <w:marTop w:val="0"/>
      <w:marBottom w:val="0"/>
      <w:divBdr>
        <w:top w:val="none" w:sz="0" w:space="0" w:color="auto"/>
        <w:left w:val="none" w:sz="0" w:space="0" w:color="auto"/>
        <w:bottom w:val="none" w:sz="0" w:space="0" w:color="auto"/>
        <w:right w:val="none" w:sz="0" w:space="0" w:color="auto"/>
      </w:divBdr>
      <w:divsChild>
        <w:div w:id="1814954395">
          <w:marLeft w:val="0"/>
          <w:marRight w:val="0"/>
          <w:marTop w:val="0"/>
          <w:marBottom w:val="0"/>
          <w:divBdr>
            <w:top w:val="none" w:sz="0" w:space="0" w:color="auto"/>
            <w:left w:val="none" w:sz="0" w:space="0" w:color="auto"/>
            <w:bottom w:val="none" w:sz="0" w:space="0" w:color="auto"/>
            <w:right w:val="none" w:sz="0" w:space="0" w:color="auto"/>
          </w:divBdr>
          <w:divsChild>
            <w:div w:id="14460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5133">
      <w:bodyDiv w:val="1"/>
      <w:marLeft w:val="0"/>
      <w:marRight w:val="0"/>
      <w:marTop w:val="0"/>
      <w:marBottom w:val="0"/>
      <w:divBdr>
        <w:top w:val="none" w:sz="0" w:space="0" w:color="auto"/>
        <w:left w:val="none" w:sz="0" w:space="0" w:color="auto"/>
        <w:bottom w:val="none" w:sz="0" w:space="0" w:color="auto"/>
        <w:right w:val="none" w:sz="0" w:space="0" w:color="auto"/>
      </w:divBdr>
      <w:divsChild>
        <w:div w:id="31464544">
          <w:marLeft w:val="0"/>
          <w:marRight w:val="0"/>
          <w:marTop w:val="0"/>
          <w:marBottom w:val="0"/>
          <w:divBdr>
            <w:top w:val="none" w:sz="0" w:space="0" w:color="auto"/>
            <w:left w:val="none" w:sz="0" w:space="0" w:color="auto"/>
            <w:bottom w:val="none" w:sz="0" w:space="0" w:color="auto"/>
            <w:right w:val="none" w:sz="0" w:space="0" w:color="auto"/>
          </w:divBdr>
          <w:divsChild>
            <w:div w:id="1361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4764">
      <w:bodyDiv w:val="1"/>
      <w:marLeft w:val="0"/>
      <w:marRight w:val="0"/>
      <w:marTop w:val="0"/>
      <w:marBottom w:val="0"/>
      <w:divBdr>
        <w:top w:val="none" w:sz="0" w:space="0" w:color="auto"/>
        <w:left w:val="none" w:sz="0" w:space="0" w:color="auto"/>
        <w:bottom w:val="none" w:sz="0" w:space="0" w:color="auto"/>
        <w:right w:val="none" w:sz="0" w:space="0" w:color="auto"/>
      </w:divBdr>
      <w:divsChild>
        <w:div w:id="1603227077">
          <w:marLeft w:val="0"/>
          <w:marRight w:val="0"/>
          <w:marTop w:val="0"/>
          <w:marBottom w:val="0"/>
          <w:divBdr>
            <w:top w:val="none" w:sz="0" w:space="0" w:color="auto"/>
            <w:left w:val="none" w:sz="0" w:space="0" w:color="auto"/>
            <w:bottom w:val="none" w:sz="0" w:space="0" w:color="auto"/>
            <w:right w:val="none" w:sz="0" w:space="0" w:color="auto"/>
          </w:divBdr>
          <w:divsChild>
            <w:div w:id="10993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4769">
      <w:bodyDiv w:val="1"/>
      <w:marLeft w:val="0"/>
      <w:marRight w:val="0"/>
      <w:marTop w:val="0"/>
      <w:marBottom w:val="0"/>
      <w:divBdr>
        <w:top w:val="none" w:sz="0" w:space="0" w:color="auto"/>
        <w:left w:val="none" w:sz="0" w:space="0" w:color="auto"/>
        <w:bottom w:val="none" w:sz="0" w:space="0" w:color="auto"/>
        <w:right w:val="none" w:sz="0" w:space="0" w:color="auto"/>
      </w:divBdr>
      <w:divsChild>
        <w:div w:id="889196701">
          <w:marLeft w:val="0"/>
          <w:marRight w:val="0"/>
          <w:marTop w:val="0"/>
          <w:marBottom w:val="0"/>
          <w:divBdr>
            <w:top w:val="none" w:sz="0" w:space="0" w:color="auto"/>
            <w:left w:val="none" w:sz="0" w:space="0" w:color="auto"/>
            <w:bottom w:val="none" w:sz="0" w:space="0" w:color="auto"/>
            <w:right w:val="none" w:sz="0" w:space="0" w:color="auto"/>
          </w:divBdr>
        </w:div>
        <w:div w:id="1891917486">
          <w:marLeft w:val="0"/>
          <w:marRight w:val="0"/>
          <w:marTop w:val="0"/>
          <w:marBottom w:val="0"/>
          <w:divBdr>
            <w:top w:val="none" w:sz="0" w:space="0" w:color="auto"/>
            <w:left w:val="none" w:sz="0" w:space="0" w:color="auto"/>
            <w:bottom w:val="none" w:sz="0" w:space="0" w:color="auto"/>
            <w:right w:val="none" w:sz="0" w:space="0" w:color="auto"/>
          </w:divBdr>
        </w:div>
      </w:divsChild>
    </w:div>
    <w:div w:id="1557202931">
      <w:bodyDiv w:val="1"/>
      <w:marLeft w:val="0"/>
      <w:marRight w:val="0"/>
      <w:marTop w:val="0"/>
      <w:marBottom w:val="0"/>
      <w:divBdr>
        <w:top w:val="none" w:sz="0" w:space="0" w:color="auto"/>
        <w:left w:val="none" w:sz="0" w:space="0" w:color="auto"/>
        <w:bottom w:val="none" w:sz="0" w:space="0" w:color="auto"/>
        <w:right w:val="none" w:sz="0" w:space="0" w:color="auto"/>
      </w:divBdr>
    </w:div>
    <w:div w:id="1583875205">
      <w:bodyDiv w:val="1"/>
      <w:marLeft w:val="0"/>
      <w:marRight w:val="0"/>
      <w:marTop w:val="0"/>
      <w:marBottom w:val="0"/>
      <w:divBdr>
        <w:top w:val="none" w:sz="0" w:space="0" w:color="auto"/>
        <w:left w:val="none" w:sz="0" w:space="0" w:color="auto"/>
        <w:bottom w:val="none" w:sz="0" w:space="0" w:color="auto"/>
        <w:right w:val="none" w:sz="0" w:space="0" w:color="auto"/>
      </w:divBdr>
      <w:divsChild>
        <w:div w:id="1118137491">
          <w:marLeft w:val="0"/>
          <w:marRight w:val="0"/>
          <w:marTop w:val="0"/>
          <w:marBottom w:val="0"/>
          <w:divBdr>
            <w:top w:val="none" w:sz="0" w:space="0" w:color="auto"/>
            <w:left w:val="none" w:sz="0" w:space="0" w:color="auto"/>
            <w:bottom w:val="none" w:sz="0" w:space="0" w:color="auto"/>
            <w:right w:val="none" w:sz="0" w:space="0" w:color="auto"/>
          </w:divBdr>
        </w:div>
        <w:div w:id="1976064946">
          <w:marLeft w:val="0"/>
          <w:marRight w:val="0"/>
          <w:marTop w:val="0"/>
          <w:marBottom w:val="0"/>
          <w:divBdr>
            <w:top w:val="none" w:sz="0" w:space="0" w:color="auto"/>
            <w:left w:val="none" w:sz="0" w:space="0" w:color="auto"/>
            <w:bottom w:val="none" w:sz="0" w:space="0" w:color="auto"/>
            <w:right w:val="none" w:sz="0" w:space="0" w:color="auto"/>
          </w:divBdr>
        </w:div>
        <w:div w:id="1873104264">
          <w:marLeft w:val="0"/>
          <w:marRight w:val="0"/>
          <w:marTop w:val="0"/>
          <w:marBottom w:val="0"/>
          <w:divBdr>
            <w:top w:val="none" w:sz="0" w:space="0" w:color="auto"/>
            <w:left w:val="none" w:sz="0" w:space="0" w:color="auto"/>
            <w:bottom w:val="none" w:sz="0" w:space="0" w:color="auto"/>
            <w:right w:val="none" w:sz="0" w:space="0" w:color="auto"/>
          </w:divBdr>
        </w:div>
        <w:div w:id="2048948838">
          <w:marLeft w:val="0"/>
          <w:marRight w:val="0"/>
          <w:marTop w:val="0"/>
          <w:marBottom w:val="0"/>
          <w:divBdr>
            <w:top w:val="none" w:sz="0" w:space="0" w:color="auto"/>
            <w:left w:val="none" w:sz="0" w:space="0" w:color="auto"/>
            <w:bottom w:val="none" w:sz="0" w:space="0" w:color="auto"/>
            <w:right w:val="none" w:sz="0" w:space="0" w:color="auto"/>
          </w:divBdr>
        </w:div>
        <w:div w:id="966591867">
          <w:marLeft w:val="0"/>
          <w:marRight w:val="0"/>
          <w:marTop w:val="0"/>
          <w:marBottom w:val="0"/>
          <w:divBdr>
            <w:top w:val="none" w:sz="0" w:space="0" w:color="auto"/>
            <w:left w:val="none" w:sz="0" w:space="0" w:color="auto"/>
            <w:bottom w:val="none" w:sz="0" w:space="0" w:color="auto"/>
            <w:right w:val="none" w:sz="0" w:space="0" w:color="auto"/>
          </w:divBdr>
        </w:div>
        <w:div w:id="931545050">
          <w:marLeft w:val="0"/>
          <w:marRight w:val="0"/>
          <w:marTop w:val="0"/>
          <w:marBottom w:val="0"/>
          <w:divBdr>
            <w:top w:val="none" w:sz="0" w:space="0" w:color="auto"/>
            <w:left w:val="none" w:sz="0" w:space="0" w:color="auto"/>
            <w:bottom w:val="none" w:sz="0" w:space="0" w:color="auto"/>
            <w:right w:val="none" w:sz="0" w:space="0" w:color="auto"/>
          </w:divBdr>
        </w:div>
        <w:div w:id="955409661">
          <w:marLeft w:val="0"/>
          <w:marRight w:val="0"/>
          <w:marTop w:val="0"/>
          <w:marBottom w:val="0"/>
          <w:divBdr>
            <w:top w:val="none" w:sz="0" w:space="0" w:color="auto"/>
            <w:left w:val="none" w:sz="0" w:space="0" w:color="auto"/>
            <w:bottom w:val="none" w:sz="0" w:space="0" w:color="auto"/>
            <w:right w:val="none" w:sz="0" w:space="0" w:color="auto"/>
          </w:divBdr>
        </w:div>
      </w:divsChild>
    </w:div>
    <w:div w:id="1591348023">
      <w:bodyDiv w:val="1"/>
      <w:marLeft w:val="0"/>
      <w:marRight w:val="0"/>
      <w:marTop w:val="0"/>
      <w:marBottom w:val="0"/>
      <w:divBdr>
        <w:top w:val="none" w:sz="0" w:space="0" w:color="auto"/>
        <w:left w:val="none" w:sz="0" w:space="0" w:color="auto"/>
        <w:bottom w:val="none" w:sz="0" w:space="0" w:color="auto"/>
        <w:right w:val="none" w:sz="0" w:space="0" w:color="auto"/>
      </w:divBdr>
      <w:divsChild>
        <w:div w:id="1747074715">
          <w:marLeft w:val="1166"/>
          <w:marRight w:val="0"/>
          <w:marTop w:val="77"/>
          <w:marBottom w:val="0"/>
          <w:divBdr>
            <w:top w:val="none" w:sz="0" w:space="0" w:color="auto"/>
            <w:left w:val="none" w:sz="0" w:space="0" w:color="auto"/>
            <w:bottom w:val="none" w:sz="0" w:space="0" w:color="auto"/>
            <w:right w:val="none" w:sz="0" w:space="0" w:color="auto"/>
          </w:divBdr>
        </w:div>
      </w:divsChild>
    </w:div>
    <w:div w:id="1603805449">
      <w:bodyDiv w:val="1"/>
      <w:marLeft w:val="0"/>
      <w:marRight w:val="0"/>
      <w:marTop w:val="0"/>
      <w:marBottom w:val="0"/>
      <w:divBdr>
        <w:top w:val="none" w:sz="0" w:space="0" w:color="auto"/>
        <w:left w:val="none" w:sz="0" w:space="0" w:color="auto"/>
        <w:bottom w:val="none" w:sz="0" w:space="0" w:color="auto"/>
        <w:right w:val="none" w:sz="0" w:space="0" w:color="auto"/>
      </w:divBdr>
    </w:div>
    <w:div w:id="1618105236">
      <w:bodyDiv w:val="1"/>
      <w:marLeft w:val="0"/>
      <w:marRight w:val="0"/>
      <w:marTop w:val="0"/>
      <w:marBottom w:val="0"/>
      <w:divBdr>
        <w:top w:val="none" w:sz="0" w:space="0" w:color="auto"/>
        <w:left w:val="none" w:sz="0" w:space="0" w:color="auto"/>
        <w:bottom w:val="none" w:sz="0" w:space="0" w:color="auto"/>
        <w:right w:val="none" w:sz="0" w:space="0" w:color="auto"/>
      </w:divBdr>
      <w:divsChild>
        <w:div w:id="2121682198">
          <w:marLeft w:val="0"/>
          <w:marRight w:val="0"/>
          <w:marTop w:val="0"/>
          <w:marBottom w:val="0"/>
          <w:divBdr>
            <w:top w:val="none" w:sz="0" w:space="0" w:color="auto"/>
            <w:left w:val="none" w:sz="0" w:space="0" w:color="auto"/>
            <w:bottom w:val="none" w:sz="0" w:space="0" w:color="auto"/>
            <w:right w:val="none" w:sz="0" w:space="0" w:color="auto"/>
          </w:divBdr>
        </w:div>
        <w:div w:id="1714429106">
          <w:marLeft w:val="0"/>
          <w:marRight w:val="0"/>
          <w:marTop w:val="0"/>
          <w:marBottom w:val="0"/>
          <w:divBdr>
            <w:top w:val="none" w:sz="0" w:space="0" w:color="auto"/>
            <w:left w:val="none" w:sz="0" w:space="0" w:color="auto"/>
            <w:bottom w:val="none" w:sz="0" w:space="0" w:color="auto"/>
            <w:right w:val="none" w:sz="0" w:space="0" w:color="auto"/>
          </w:divBdr>
        </w:div>
        <w:div w:id="1872768089">
          <w:marLeft w:val="0"/>
          <w:marRight w:val="0"/>
          <w:marTop w:val="0"/>
          <w:marBottom w:val="0"/>
          <w:divBdr>
            <w:top w:val="none" w:sz="0" w:space="0" w:color="auto"/>
            <w:left w:val="none" w:sz="0" w:space="0" w:color="auto"/>
            <w:bottom w:val="none" w:sz="0" w:space="0" w:color="auto"/>
            <w:right w:val="none" w:sz="0" w:space="0" w:color="auto"/>
          </w:divBdr>
        </w:div>
      </w:divsChild>
    </w:div>
    <w:div w:id="1618759222">
      <w:bodyDiv w:val="1"/>
      <w:marLeft w:val="0"/>
      <w:marRight w:val="0"/>
      <w:marTop w:val="0"/>
      <w:marBottom w:val="0"/>
      <w:divBdr>
        <w:top w:val="none" w:sz="0" w:space="0" w:color="auto"/>
        <w:left w:val="none" w:sz="0" w:space="0" w:color="auto"/>
        <w:bottom w:val="none" w:sz="0" w:space="0" w:color="auto"/>
        <w:right w:val="none" w:sz="0" w:space="0" w:color="auto"/>
      </w:divBdr>
      <w:divsChild>
        <w:div w:id="1172255203">
          <w:marLeft w:val="0"/>
          <w:marRight w:val="0"/>
          <w:marTop w:val="0"/>
          <w:marBottom w:val="0"/>
          <w:divBdr>
            <w:top w:val="none" w:sz="0" w:space="0" w:color="auto"/>
            <w:left w:val="none" w:sz="0" w:space="0" w:color="auto"/>
            <w:bottom w:val="none" w:sz="0" w:space="0" w:color="auto"/>
            <w:right w:val="none" w:sz="0" w:space="0" w:color="auto"/>
          </w:divBdr>
        </w:div>
        <w:div w:id="1496918488">
          <w:marLeft w:val="0"/>
          <w:marRight w:val="0"/>
          <w:marTop w:val="0"/>
          <w:marBottom w:val="0"/>
          <w:divBdr>
            <w:top w:val="none" w:sz="0" w:space="0" w:color="auto"/>
            <w:left w:val="none" w:sz="0" w:space="0" w:color="auto"/>
            <w:bottom w:val="none" w:sz="0" w:space="0" w:color="auto"/>
            <w:right w:val="none" w:sz="0" w:space="0" w:color="auto"/>
          </w:divBdr>
        </w:div>
        <w:div w:id="1832408276">
          <w:marLeft w:val="0"/>
          <w:marRight w:val="0"/>
          <w:marTop w:val="0"/>
          <w:marBottom w:val="0"/>
          <w:divBdr>
            <w:top w:val="none" w:sz="0" w:space="0" w:color="auto"/>
            <w:left w:val="none" w:sz="0" w:space="0" w:color="auto"/>
            <w:bottom w:val="none" w:sz="0" w:space="0" w:color="auto"/>
            <w:right w:val="none" w:sz="0" w:space="0" w:color="auto"/>
          </w:divBdr>
        </w:div>
      </w:divsChild>
    </w:div>
    <w:div w:id="1642148108">
      <w:bodyDiv w:val="1"/>
      <w:marLeft w:val="0"/>
      <w:marRight w:val="0"/>
      <w:marTop w:val="0"/>
      <w:marBottom w:val="0"/>
      <w:divBdr>
        <w:top w:val="none" w:sz="0" w:space="0" w:color="auto"/>
        <w:left w:val="none" w:sz="0" w:space="0" w:color="auto"/>
        <w:bottom w:val="none" w:sz="0" w:space="0" w:color="auto"/>
        <w:right w:val="none" w:sz="0" w:space="0" w:color="auto"/>
      </w:divBdr>
      <w:divsChild>
        <w:div w:id="257639578">
          <w:marLeft w:val="0"/>
          <w:marRight w:val="0"/>
          <w:marTop w:val="0"/>
          <w:marBottom w:val="0"/>
          <w:divBdr>
            <w:top w:val="none" w:sz="0" w:space="0" w:color="auto"/>
            <w:left w:val="none" w:sz="0" w:space="0" w:color="auto"/>
            <w:bottom w:val="none" w:sz="0" w:space="0" w:color="auto"/>
            <w:right w:val="none" w:sz="0" w:space="0" w:color="auto"/>
          </w:divBdr>
          <w:divsChild>
            <w:div w:id="993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4740">
      <w:bodyDiv w:val="1"/>
      <w:marLeft w:val="0"/>
      <w:marRight w:val="0"/>
      <w:marTop w:val="0"/>
      <w:marBottom w:val="0"/>
      <w:divBdr>
        <w:top w:val="none" w:sz="0" w:space="0" w:color="auto"/>
        <w:left w:val="none" w:sz="0" w:space="0" w:color="auto"/>
        <w:bottom w:val="none" w:sz="0" w:space="0" w:color="auto"/>
        <w:right w:val="none" w:sz="0" w:space="0" w:color="auto"/>
      </w:divBdr>
    </w:div>
    <w:div w:id="1710373441">
      <w:bodyDiv w:val="1"/>
      <w:marLeft w:val="0"/>
      <w:marRight w:val="0"/>
      <w:marTop w:val="0"/>
      <w:marBottom w:val="0"/>
      <w:divBdr>
        <w:top w:val="none" w:sz="0" w:space="0" w:color="auto"/>
        <w:left w:val="none" w:sz="0" w:space="0" w:color="auto"/>
        <w:bottom w:val="none" w:sz="0" w:space="0" w:color="auto"/>
        <w:right w:val="none" w:sz="0" w:space="0" w:color="auto"/>
      </w:divBdr>
    </w:div>
    <w:div w:id="1750617813">
      <w:bodyDiv w:val="1"/>
      <w:marLeft w:val="0"/>
      <w:marRight w:val="0"/>
      <w:marTop w:val="0"/>
      <w:marBottom w:val="0"/>
      <w:divBdr>
        <w:top w:val="none" w:sz="0" w:space="0" w:color="auto"/>
        <w:left w:val="none" w:sz="0" w:space="0" w:color="auto"/>
        <w:bottom w:val="none" w:sz="0" w:space="0" w:color="auto"/>
        <w:right w:val="none" w:sz="0" w:space="0" w:color="auto"/>
      </w:divBdr>
    </w:div>
    <w:div w:id="1756434523">
      <w:bodyDiv w:val="1"/>
      <w:marLeft w:val="0"/>
      <w:marRight w:val="0"/>
      <w:marTop w:val="0"/>
      <w:marBottom w:val="0"/>
      <w:divBdr>
        <w:top w:val="none" w:sz="0" w:space="0" w:color="auto"/>
        <w:left w:val="none" w:sz="0" w:space="0" w:color="auto"/>
        <w:bottom w:val="none" w:sz="0" w:space="0" w:color="auto"/>
        <w:right w:val="none" w:sz="0" w:space="0" w:color="auto"/>
      </w:divBdr>
    </w:div>
    <w:div w:id="1783379101">
      <w:bodyDiv w:val="1"/>
      <w:marLeft w:val="0"/>
      <w:marRight w:val="0"/>
      <w:marTop w:val="0"/>
      <w:marBottom w:val="0"/>
      <w:divBdr>
        <w:top w:val="none" w:sz="0" w:space="0" w:color="auto"/>
        <w:left w:val="none" w:sz="0" w:space="0" w:color="auto"/>
        <w:bottom w:val="none" w:sz="0" w:space="0" w:color="auto"/>
        <w:right w:val="none" w:sz="0" w:space="0" w:color="auto"/>
      </w:divBdr>
    </w:div>
    <w:div w:id="1806004539">
      <w:bodyDiv w:val="1"/>
      <w:marLeft w:val="0"/>
      <w:marRight w:val="0"/>
      <w:marTop w:val="0"/>
      <w:marBottom w:val="0"/>
      <w:divBdr>
        <w:top w:val="none" w:sz="0" w:space="0" w:color="auto"/>
        <w:left w:val="none" w:sz="0" w:space="0" w:color="auto"/>
        <w:bottom w:val="none" w:sz="0" w:space="0" w:color="auto"/>
        <w:right w:val="none" w:sz="0" w:space="0" w:color="auto"/>
      </w:divBdr>
      <w:divsChild>
        <w:div w:id="2120759339">
          <w:marLeft w:val="0"/>
          <w:marRight w:val="0"/>
          <w:marTop w:val="0"/>
          <w:marBottom w:val="0"/>
          <w:divBdr>
            <w:top w:val="none" w:sz="0" w:space="0" w:color="auto"/>
            <w:left w:val="none" w:sz="0" w:space="0" w:color="auto"/>
            <w:bottom w:val="none" w:sz="0" w:space="0" w:color="auto"/>
            <w:right w:val="none" w:sz="0" w:space="0" w:color="auto"/>
          </w:divBdr>
          <w:divsChild>
            <w:div w:id="3326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4251">
      <w:bodyDiv w:val="1"/>
      <w:marLeft w:val="0"/>
      <w:marRight w:val="0"/>
      <w:marTop w:val="0"/>
      <w:marBottom w:val="0"/>
      <w:divBdr>
        <w:top w:val="none" w:sz="0" w:space="0" w:color="auto"/>
        <w:left w:val="none" w:sz="0" w:space="0" w:color="auto"/>
        <w:bottom w:val="none" w:sz="0" w:space="0" w:color="auto"/>
        <w:right w:val="none" w:sz="0" w:space="0" w:color="auto"/>
      </w:divBdr>
      <w:divsChild>
        <w:div w:id="1012682786">
          <w:marLeft w:val="0"/>
          <w:marRight w:val="0"/>
          <w:marTop w:val="0"/>
          <w:marBottom w:val="0"/>
          <w:divBdr>
            <w:top w:val="none" w:sz="0" w:space="0" w:color="auto"/>
            <w:left w:val="none" w:sz="0" w:space="0" w:color="auto"/>
            <w:bottom w:val="none" w:sz="0" w:space="0" w:color="auto"/>
            <w:right w:val="none" w:sz="0" w:space="0" w:color="auto"/>
          </w:divBdr>
        </w:div>
        <w:div w:id="1457724811">
          <w:marLeft w:val="0"/>
          <w:marRight w:val="0"/>
          <w:marTop w:val="0"/>
          <w:marBottom w:val="0"/>
          <w:divBdr>
            <w:top w:val="none" w:sz="0" w:space="0" w:color="auto"/>
            <w:left w:val="none" w:sz="0" w:space="0" w:color="auto"/>
            <w:bottom w:val="none" w:sz="0" w:space="0" w:color="auto"/>
            <w:right w:val="none" w:sz="0" w:space="0" w:color="auto"/>
          </w:divBdr>
        </w:div>
      </w:divsChild>
    </w:div>
    <w:div w:id="1893349730">
      <w:bodyDiv w:val="1"/>
      <w:marLeft w:val="0"/>
      <w:marRight w:val="0"/>
      <w:marTop w:val="0"/>
      <w:marBottom w:val="0"/>
      <w:divBdr>
        <w:top w:val="none" w:sz="0" w:space="0" w:color="auto"/>
        <w:left w:val="none" w:sz="0" w:space="0" w:color="auto"/>
        <w:bottom w:val="none" w:sz="0" w:space="0" w:color="auto"/>
        <w:right w:val="none" w:sz="0" w:space="0" w:color="auto"/>
      </w:divBdr>
    </w:div>
    <w:div w:id="1907908115">
      <w:bodyDiv w:val="1"/>
      <w:marLeft w:val="0"/>
      <w:marRight w:val="0"/>
      <w:marTop w:val="0"/>
      <w:marBottom w:val="0"/>
      <w:divBdr>
        <w:top w:val="none" w:sz="0" w:space="0" w:color="auto"/>
        <w:left w:val="none" w:sz="0" w:space="0" w:color="auto"/>
        <w:bottom w:val="none" w:sz="0" w:space="0" w:color="auto"/>
        <w:right w:val="none" w:sz="0" w:space="0" w:color="auto"/>
      </w:divBdr>
    </w:div>
    <w:div w:id="1934390852">
      <w:bodyDiv w:val="1"/>
      <w:marLeft w:val="0"/>
      <w:marRight w:val="0"/>
      <w:marTop w:val="0"/>
      <w:marBottom w:val="0"/>
      <w:divBdr>
        <w:top w:val="none" w:sz="0" w:space="0" w:color="auto"/>
        <w:left w:val="none" w:sz="0" w:space="0" w:color="auto"/>
        <w:bottom w:val="none" w:sz="0" w:space="0" w:color="auto"/>
        <w:right w:val="none" w:sz="0" w:space="0" w:color="auto"/>
      </w:divBdr>
      <w:divsChild>
        <w:div w:id="834566428">
          <w:marLeft w:val="0"/>
          <w:marRight w:val="0"/>
          <w:marTop w:val="0"/>
          <w:marBottom w:val="0"/>
          <w:divBdr>
            <w:top w:val="none" w:sz="0" w:space="0" w:color="auto"/>
            <w:left w:val="none" w:sz="0" w:space="0" w:color="auto"/>
            <w:bottom w:val="none" w:sz="0" w:space="0" w:color="auto"/>
            <w:right w:val="none" w:sz="0" w:space="0" w:color="auto"/>
          </w:divBdr>
        </w:div>
        <w:div w:id="1207916619">
          <w:marLeft w:val="0"/>
          <w:marRight w:val="0"/>
          <w:marTop w:val="0"/>
          <w:marBottom w:val="0"/>
          <w:divBdr>
            <w:top w:val="none" w:sz="0" w:space="0" w:color="auto"/>
            <w:left w:val="none" w:sz="0" w:space="0" w:color="auto"/>
            <w:bottom w:val="none" w:sz="0" w:space="0" w:color="auto"/>
            <w:right w:val="none" w:sz="0" w:space="0" w:color="auto"/>
          </w:divBdr>
        </w:div>
        <w:div w:id="1208835315">
          <w:marLeft w:val="0"/>
          <w:marRight w:val="0"/>
          <w:marTop w:val="0"/>
          <w:marBottom w:val="0"/>
          <w:divBdr>
            <w:top w:val="none" w:sz="0" w:space="0" w:color="auto"/>
            <w:left w:val="none" w:sz="0" w:space="0" w:color="auto"/>
            <w:bottom w:val="none" w:sz="0" w:space="0" w:color="auto"/>
            <w:right w:val="none" w:sz="0" w:space="0" w:color="auto"/>
          </w:divBdr>
        </w:div>
      </w:divsChild>
    </w:div>
    <w:div w:id="1978104852">
      <w:bodyDiv w:val="1"/>
      <w:marLeft w:val="0"/>
      <w:marRight w:val="0"/>
      <w:marTop w:val="0"/>
      <w:marBottom w:val="0"/>
      <w:divBdr>
        <w:top w:val="none" w:sz="0" w:space="0" w:color="auto"/>
        <w:left w:val="none" w:sz="0" w:space="0" w:color="auto"/>
        <w:bottom w:val="none" w:sz="0" w:space="0" w:color="auto"/>
        <w:right w:val="none" w:sz="0" w:space="0" w:color="auto"/>
      </w:divBdr>
    </w:div>
    <w:div w:id="2022127341">
      <w:bodyDiv w:val="1"/>
      <w:marLeft w:val="0"/>
      <w:marRight w:val="0"/>
      <w:marTop w:val="0"/>
      <w:marBottom w:val="0"/>
      <w:divBdr>
        <w:top w:val="none" w:sz="0" w:space="0" w:color="auto"/>
        <w:left w:val="none" w:sz="0" w:space="0" w:color="auto"/>
        <w:bottom w:val="none" w:sz="0" w:space="0" w:color="auto"/>
        <w:right w:val="none" w:sz="0" w:space="0" w:color="auto"/>
      </w:divBdr>
      <w:divsChild>
        <w:div w:id="1120416905">
          <w:marLeft w:val="0"/>
          <w:marRight w:val="0"/>
          <w:marTop w:val="0"/>
          <w:marBottom w:val="0"/>
          <w:divBdr>
            <w:top w:val="none" w:sz="0" w:space="0" w:color="auto"/>
            <w:left w:val="none" w:sz="0" w:space="0" w:color="auto"/>
            <w:bottom w:val="none" w:sz="0" w:space="0" w:color="auto"/>
            <w:right w:val="none" w:sz="0" w:space="0" w:color="auto"/>
          </w:divBdr>
        </w:div>
        <w:div w:id="45686207">
          <w:marLeft w:val="0"/>
          <w:marRight w:val="0"/>
          <w:marTop w:val="0"/>
          <w:marBottom w:val="0"/>
          <w:divBdr>
            <w:top w:val="none" w:sz="0" w:space="0" w:color="auto"/>
            <w:left w:val="none" w:sz="0" w:space="0" w:color="auto"/>
            <w:bottom w:val="none" w:sz="0" w:space="0" w:color="auto"/>
            <w:right w:val="none" w:sz="0" w:space="0" w:color="auto"/>
          </w:divBdr>
        </w:div>
        <w:div w:id="1202278532">
          <w:marLeft w:val="0"/>
          <w:marRight w:val="0"/>
          <w:marTop w:val="0"/>
          <w:marBottom w:val="0"/>
          <w:divBdr>
            <w:top w:val="none" w:sz="0" w:space="0" w:color="auto"/>
            <w:left w:val="none" w:sz="0" w:space="0" w:color="auto"/>
            <w:bottom w:val="none" w:sz="0" w:space="0" w:color="auto"/>
            <w:right w:val="none" w:sz="0" w:space="0" w:color="auto"/>
          </w:divBdr>
        </w:div>
        <w:div w:id="2083064122">
          <w:marLeft w:val="0"/>
          <w:marRight w:val="0"/>
          <w:marTop w:val="0"/>
          <w:marBottom w:val="0"/>
          <w:divBdr>
            <w:top w:val="none" w:sz="0" w:space="0" w:color="auto"/>
            <w:left w:val="none" w:sz="0" w:space="0" w:color="auto"/>
            <w:bottom w:val="none" w:sz="0" w:space="0" w:color="auto"/>
            <w:right w:val="none" w:sz="0" w:space="0" w:color="auto"/>
          </w:divBdr>
        </w:div>
        <w:div w:id="2031057878">
          <w:marLeft w:val="0"/>
          <w:marRight w:val="0"/>
          <w:marTop w:val="0"/>
          <w:marBottom w:val="0"/>
          <w:divBdr>
            <w:top w:val="none" w:sz="0" w:space="0" w:color="auto"/>
            <w:left w:val="none" w:sz="0" w:space="0" w:color="auto"/>
            <w:bottom w:val="none" w:sz="0" w:space="0" w:color="auto"/>
            <w:right w:val="none" w:sz="0" w:space="0" w:color="auto"/>
          </w:divBdr>
        </w:div>
      </w:divsChild>
    </w:div>
    <w:div w:id="2126657425">
      <w:bodyDiv w:val="1"/>
      <w:marLeft w:val="0"/>
      <w:marRight w:val="0"/>
      <w:marTop w:val="0"/>
      <w:marBottom w:val="0"/>
      <w:divBdr>
        <w:top w:val="none" w:sz="0" w:space="0" w:color="auto"/>
        <w:left w:val="none" w:sz="0" w:space="0" w:color="auto"/>
        <w:bottom w:val="none" w:sz="0" w:space="0" w:color="auto"/>
        <w:right w:val="none" w:sz="0" w:space="0" w:color="auto"/>
      </w:divBdr>
    </w:div>
    <w:div w:id="2128162380">
      <w:bodyDiv w:val="1"/>
      <w:marLeft w:val="0"/>
      <w:marRight w:val="0"/>
      <w:marTop w:val="0"/>
      <w:marBottom w:val="0"/>
      <w:divBdr>
        <w:top w:val="none" w:sz="0" w:space="0" w:color="auto"/>
        <w:left w:val="none" w:sz="0" w:space="0" w:color="auto"/>
        <w:bottom w:val="none" w:sz="0" w:space="0" w:color="auto"/>
        <w:right w:val="none" w:sz="0" w:space="0" w:color="auto"/>
      </w:divBdr>
      <w:divsChild>
        <w:div w:id="46803734">
          <w:marLeft w:val="0"/>
          <w:marRight w:val="0"/>
          <w:marTop w:val="0"/>
          <w:marBottom w:val="0"/>
          <w:divBdr>
            <w:top w:val="none" w:sz="0" w:space="0" w:color="auto"/>
            <w:left w:val="none" w:sz="0" w:space="0" w:color="auto"/>
            <w:bottom w:val="none" w:sz="0" w:space="0" w:color="auto"/>
            <w:right w:val="none" w:sz="0" w:space="0" w:color="auto"/>
          </w:divBdr>
        </w:div>
        <w:div w:id="1920166429">
          <w:marLeft w:val="0"/>
          <w:marRight w:val="0"/>
          <w:marTop w:val="0"/>
          <w:marBottom w:val="0"/>
          <w:divBdr>
            <w:top w:val="none" w:sz="0" w:space="0" w:color="auto"/>
            <w:left w:val="none" w:sz="0" w:space="0" w:color="auto"/>
            <w:bottom w:val="none" w:sz="0" w:space="0" w:color="auto"/>
            <w:right w:val="none" w:sz="0" w:space="0" w:color="auto"/>
          </w:divBdr>
        </w:div>
        <w:div w:id="187450406">
          <w:marLeft w:val="0"/>
          <w:marRight w:val="0"/>
          <w:marTop w:val="0"/>
          <w:marBottom w:val="0"/>
          <w:divBdr>
            <w:top w:val="none" w:sz="0" w:space="0" w:color="auto"/>
            <w:left w:val="none" w:sz="0" w:space="0" w:color="auto"/>
            <w:bottom w:val="none" w:sz="0" w:space="0" w:color="auto"/>
            <w:right w:val="none" w:sz="0" w:space="0" w:color="auto"/>
          </w:divBdr>
        </w:div>
      </w:divsChild>
    </w:div>
    <w:div w:id="2138597700">
      <w:bodyDiv w:val="1"/>
      <w:marLeft w:val="0"/>
      <w:marRight w:val="0"/>
      <w:marTop w:val="0"/>
      <w:marBottom w:val="0"/>
      <w:divBdr>
        <w:top w:val="none" w:sz="0" w:space="0" w:color="auto"/>
        <w:left w:val="none" w:sz="0" w:space="0" w:color="auto"/>
        <w:bottom w:val="none" w:sz="0" w:space="0" w:color="auto"/>
        <w:right w:val="none" w:sz="0" w:space="0" w:color="auto"/>
      </w:divBdr>
      <w:divsChild>
        <w:div w:id="2049452965">
          <w:marLeft w:val="0"/>
          <w:marRight w:val="0"/>
          <w:marTop w:val="0"/>
          <w:marBottom w:val="0"/>
          <w:divBdr>
            <w:top w:val="none" w:sz="0" w:space="0" w:color="auto"/>
            <w:left w:val="none" w:sz="0" w:space="0" w:color="auto"/>
            <w:bottom w:val="none" w:sz="0" w:space="0" w:color="auto"/>
            <w:right w:val="none" w:sz="0" w:space="0" w:color="auto"/>
          </w:divBdr>
        </w:div>
        <w:div w:id="1830637246">
          <w:marLeft w:val="0"/>
          <w:marRight w:val="0"/>
          <w:marTop w:val="0"/>
          <w:marBottom w:val="0"/>
          <w:divBdr>
            <w:top w:val="none" w:sz="0" w:space="0" w:color="auto"/>
            <w:left w:val="none" w:sz="0" w:space="0" w:color="auto"/>
            <w:bottom w:val="none" w:sz="0" w:space="0" w:color="auto"/>
            <w:right w:val="none" w:sz="0" w:space="0" w:color="auto"/>
          </w:divBdr>
        </w:div>
        <w:div w:id="1853032864">
          <w:marLeft w:val="0"/>
          <w:marRight w:val="0"/>
          <w:marTop w:val="0"/>
          <w:marBottom w:val="0"/>
          <w:divBdr>
            <w:top w:val="none" w:sz="0" w:space="0" w:color="auto"/>
            <w:left w:val="none" w:sz="0" w:space="0" w:color="auto"/>
            <w:bottom w:val="none" w:sz="0" w:space="0" w:color="auto"/>
            <w:right w:val="none" w:sz="0" w:space="0" w:color="auto"/>
          </w:divBdr>
        </w:div>
        <w:div w:id="103850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fsa.europa.eu/en/topics/topic/chemical-mixtures" TargetMode="External"/><Relationship Id="rId13" Type="http://schemas.openxmlformats.org/officeDocument/2006/relationships/hyperlink" Target="https://link.springer.com/article/10.1007/s00204-016-1866-9" TargetMode="External"/><Relationship Id="rId18" Type="http://schemas.openxmlformats.org/officeDocument/2006/relationships/hyperlink" Target="https://ec.europa.eu/jrc/en/science-update/vitro-methods-detection-thyroid-disruptors" TargetMode="External"/><Relationship Id="rId26" Type="http://schemas.openxmlformats.org/officeDocument/2006/relationships/hyperlink" Target="http://ec.europa.eu/growth/sectors/chemicals/ec-support_en" TargetMode="External"/><Relationship Id="rId3" Type="http://schemas.openxmlformats.org/officeDocument/2006/relationships/hyperlink" Target="http://www.euro.who.int/__data/assets/pdf_file/0011/78608/E93618.pdf" TargetMode="External"/><Relationship Id="rId21" Type="http://schemas.openxmlformats.org/officeDocument/2006/relationships/hyperlink" Target="http://europa.eu/rapid/midday-express-11-07-2018.htm" TargetMode="External"/><Relationship Id="rId7" Type="http://schemas.openxmlformats.org/officeDocument/2006/relationships/hyperlink" Target="http://www.who.int/ceh/publications/endocrine/en/" TargetMode="External"/><Relationship Id="rId12" Type="http://schemas.openxmlformats.org/officeDocument/2006/relationships/hyperlink" Target="https://www.efsa.europa.eu/en/supporting/pub/en-1027" TargetMode="External"/><Relationship Id="rId17" Type="http://schemas.openxmlformats.org/officeDocument/2006/relationships/hyperlink" Target="https://publications.europa.eu/en/publication-detail/-/publication/6b464845-4833-11e8-be1d-01aa75ed71a1/language-en" TargetMode="External"/><Relationship Id="rId25" Type="http://schemas.openxmlformats.org/officeDocument/2006/relationships/hyperlink" Target="https://eur-lex.europa.eu/legal-content/EN/ALL/?uri=COM%3A2016%3A814%3AFIN" TargetMode="External"/><Relationship Id="rId2" Type="http://schemas.openxmlformats.org/officeDocument/2006/relationships/hyperlink" Target="http://www.un.org/ga/search/view_doc.asp?symbol=A/RES/70/1&amp;Lang=E" TargetMode="External"/><Relationship Id="rId16" Type="http://schemas.openxmlformats.org/officeDocument/2006/relationships/hyperlink" Target="http://www.oecd.org/officialdocuments/publicdisplaydocumentpdf/?cote=env/jm/mono%282012%2922&amp;doclanguage=en" TargetMode="External"/><Relationship Id="rId20" Type="http://schemas.openxmlformats.org/officeDocument/2006/relationships/hyperlink" Target="https://echa.europa.eu/candidate-list-table" TargetMode="External"/><Relationship Id="rId29" Type="http://schemas.openxmlformats.org/officeDocument/2006/relationships/hyperlink" Target="http://ec.europa.eu/environment/water/fitness_check_of_the_eu_water_legislation/index_en.htm" TargetMode="External"/><Relationship Id="rId1" Type="http://schemas.openxmlformats.org/officeDocument/2006/relationships/hyperlink" Target="http://ec.europa.eu/environment/chemicals/endocrine/documents/reports_conclusions_en.htm" TargetMode="External"/><Relationship Id="rId6" Type="http://schemas.openxmlformats.org/officeDocument/2006/relationships/hyperlink" Target="http://www.who.int/ipcs/publications/new_issues/endocrine_disruptors/en/" TargetMode="External"/><Relationship Id="rId11" Type="http://schemas.openxmlformats.org/officeDocument/2006/relationships/hyperlink" Target="http://publications.jrc.ec.europa.eu/repository/bitstream/JRC83204/lb-na-26-068-en-n.pdf" TargetMode="External"/><Relationship Id="rId24" Type="http://schemas.openxmlformats.org/officeDocument/2006/relationships/hyperlink" Target="https://ec.europa.eu/growth/sectors/chemicals/reach/review_en" TargetMode="External"/><Relationship Id="rId5" Type="http://schemas.openxmlformats.org/officeDocument/2006/relationships/hyperlink" Target="http://www.saicm.org/About/ICCM/tabid/5521/language/en-GB/Default.aspx" TargetMode="External"/><Relationship Id="rId15" Type="http://schemas.openxmlformats.org/officeDocument/2006/relationships/hyperlink" Target="http://www.efsa.europa.eu/en/efsajournal/doc/3132.pdf" TargetMode="External"/><Relationship Id="rId23" Type="http://schemas.openxmlformats.org/officeDocument/2006/relationships/hyperlink" Target="https://echa.europa.eu/documents/10162/13577/ref_4_report_en.pdf/b53f5cd9-64a4-c120-1953-e9e176b9c282" TargetMode="External"/><Relationship Id="rId28" Type="http://schemas.openxmlformats.org/officeDocument/2006/relationships/hyperlink" Target="http://ec.europa.eu/environment/action-programme/evaluation.htm" TargetMode="External"/><Relationship Id="rId10" Type="http://schemas.openxmlformats.org/officeDocument/2006/relationships/hyperlink" Target="http://publications.jrc.ec.europa.eu/repository/bitstream/JRC79981/lbna25919enn.pdf" TargetMode="External"/><Relationship Id="rId19" Type="http://schemas.openxmlformats.org/officeDocument/2006/relationships/hyperlink" Target="https://ec.europa.eu/consumers/consumers_safety/safety_products/rapex/alerts/repository/content/pages/rapex/index_en.htm" TargetMode="External"/><Relationship Id="rId31" Type="http://schemas.openxmlformats.org/officeDocument/2006/relationships/hyperlink" Target="https://ec.europa.eu/info/law/better-regulation/initiatives/ares-2018-3667279_en" TargetMode="External"/><Relationship Id="rId4" Type="http://schemas.openxmlformats.org/officeDocument/2006/relationships/hyperlink" Target="http://www.euro.who.int/__data/assets/pdf_file/0007/341944/OstravaDeclaration_SIGNED.pdf?ua=1" TargetMode="External"/><Relationship Id="rId9" Type="http://schemas.openxmlformats.org/officeDocument/2006/relationships/hyperlink" Target="https://www.efsa.europa.eu/en/efsajournal/pub/3293" TargetMode="External"/><Relationship Id="rId14" Type="http://schemas.openxmlformats.org/officeDocument/2006/relationships/hyperlink" Target="http://www.oecd.org/chemicalsafety/testing/oecdworkrelatedtoendocrinedisrupters.htm" TargetMode="External"/><Relationship Id="rId22" Type="http://schemas.openxmlformats.org/officeDocument/2006/relationships/hyperlink" Target="https://echa.europa.eu/substance-information/-/substanceinfo/100.001.475" TargetMode="External"/><Relationship Id="rId27" Type="http://schemas.openxmlformats.org/officeDocument/2006/relationships/hyperlink" Target="https://ec.europa.eu/food/plant/pesticides/refit_en" TargetMode="External"/><Relationship Id="rId30" Type="http://schemas.openxmlformats.org/officeDocument/2006/relationships/hyperlink" Target="https://ec.europa.eu/food/safety/chemical_safety/food_contact_materials/evalu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00493-4949-4A25-A60E-BC74E278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4370</Words>
  <Characters>25435</Characters>
  <Application>Microsoft Office Word</Application>
  <DocSecurity>0</DocSecurity>
  <Lines>385</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2018-10-16T16:23:00Z</cp:lastPrinted>
  <dcterms:created xsi:type="dcterms:W3CDTF">2018-10-31T15:52:00Z</dcterms:created>
  <dcterms:modified xsi:type="dcterms:W3CDTF">2018-11-07T08:58:00Z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