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72E88E-DBED-401C-BEAA-833DF240BACF"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t>1.</w:t>
      </w:r>
      <w:r>
        <w:tab/>
      </w:r>
      <w:r>
        <w:rPr>
          <w:noProof/>
        </w:rPr>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някои продукти, когато производството в Съюза не е достатъчно, за да удовлетвори потребностите на промишлеността на Съюза, използваща тези продукти. Необходимо е да бъдат открити тарифни квоти на Съюза с нулеви или намалени ставки на митата и с подходящи обеми, без това да причинява смущения на пазара на съответните продукти.</w:t>
      </w:r>
    </w:p>
    <w:p>
      <w:pPr>
        <w:pBdr>
          <w:top w:val="nil"/>
          <w:left w:val="nil"/>
          <w:bottom w:val="nil"/>
          <w:right w:val="nil"/>
          <w:between w:val="nil"/>
          <w:bar w:val="nil"/>
        </w:pBdr>
        <w:spacing w:before="0" w:after="240"/>
        <w:rPr>
          <w:noProof/>
        </w:rPr>
      </w:pPr>
      <w:r>
        <w:rPr>
          <w:noProof/>
        </w:rPr>
        <w:t>На 17 декември 2013 г. Съветът на Европейския съюз прие Регламент (ЕС) № 1388/2013 за откриване и управление на автономни тарифни квоти на Съюза за някои селскостопански и промишлени продукти, за да може търсенето на въпросните продукти в Съюза да бъде задоволено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шест месеца, за да отговаря на нуждите на промишлеността на Съюза. Комисията, подпомагана от Групата по икономически и тарифни въпроси, разгледа всички искания на държавите членки за митата по автономни тарифни квоти.</w:t>
      </w:r>
    </w:p>
    <w:p>
      <w:pPr>
        <w:pBdr>
          <w:top w:val="nil"/>
          <w:left w:val="nil"/>
          <w:bottom w:val="nil"/>
          <w:right w:val="nil"/>
          <w:between w:val="nil"/>
          <w:bar w:val="nil"/>
        </w:pBdr>
        <w:spacing w:before="0" w:after="240"/>
        <w:rPr>
          <w:noProof/>
        </w:rPr>
      </w:pPr>
      <w:r>
        <w:rPr>
          <w:noProof/>
        </w:rPr>
        <w:t>Вследствие на разглеждането Комисията смята, че откриването на автономни тарифни квоти е обосновано за някои нови продукти, които сега не са посочени в приложението към Регламент (ЕС) № 1388/2013 на Съвета. По отношение на някои други продукти е необходимо да се промени описанието, да се определят нови кодове по ТАРИК, да се добави крайна дата или да се увеличи първоначалният обем на квотата. Продуктите, за които прилагането на тарифна квота вече не отговаря на икономическите интереси на Съюза, следва да се заличат от приложението.</w:t>
      </w:r>
    </w:p>
    <w:p>
      <w:pPr>
        <w:pBdr>
          <w:top w:val="nil"/>
          <w:left w:val="nil"/>
          <w:bottom w:val="nil"/>
          <w:right w:val="nil"/>
          <w:between w:val="nil"/>
          <w:bar w:val="nil"/>
        </w:pBdr>
        <w:spacing w:before="0" w:after="240"/>
        <w:rPr>
          <w:rFonts w:eastAsia="Arial Unicode MS"/>
          <w:noProof/>
        </w:rPr>
      </w:pPr>
      <w:r>
        <w:rPr>
          <w:noProof/>
        </w:rPr>
        <w:t>За по-голяма яснота е целесъобразно да се публикува консолидирана версия на приложението към Регламент (ЕС) № 1388/2013 на Съвета, което изцяло ще замени предишното приложение.</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Съюза в областта на селското стопанство, търговията, предприемачеството, развитието, околната среда и външните отношения.</w:t>
      </w:r>
    </w:p>
    <w:p>
      <w:pPr>
        <w:pStyle w:val="ManualHeading1"/>
        <w:rPr>
          <w:rFonts w:eastAsia="Calibri"/>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lastRenderedPageBreak/>
        <w:t>•</w:t>
      </w:r>
      <w:r>
        <w:rPr>
          <w:noProof/>
        </w:rPr>
        <w:tab/>
        <w:t>Субсидиарност (при неизключителна компетентност)</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1"/>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По силата на член 31 от Договора за функционирането на Европейския съюз (ДФЕС) „[м]итата от Общата митническа тарифа се определят от Съвета, по предложение на Комисията“. Поради това подходящият инструмент е регламент. </w:t>
      </w:r>
    </w:p>
    <w:p>
      <w:pPr>
        <w:pStyle w:val="ManualHeading1"/>
        <w:rPr>
          <w:rFonts w:eastAsia="Calibri"/>
          <w:noProof/>
        </w:rPr>
      </w:pPr>
      <w:r>
        <w:t>3.</w:t>
      </w:r>
      <w:r>
        <w:tab/>
      </w:r>
      <w:r>
        <w:rPr>
          <w:noProof/>
        </w:rPr>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Схемата на автономните тарифни квоти бе предмет на проучване за оценка, проведено през 2013 г. по отношение на суспендирането на автономните мита</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Това се дължи на факта, че двете мерки са сходни, с тази разлика, че с тарифните квоти се ограничава обемът на вноса. Въз основа на оценката бе направено заключение, че главният мотив за съществуването на схемата е все още в сила. Предприятията от Съюза, внасящи стоки по схемата, могат да икономисват значителни разходи. На свой ред тези икономии на разходи могат да създадат — в зависимост от продукта, дружеството или отрасъла — по-широки ползи, като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произтичащи от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При оценката на предложението Комисията беше подпомогната от Групата по икономически и тарифни въпроси, която се състои от делегации от всички държави членки и от Турция. Групата се събра три пъти, преди да постигне съгласие по промените в настоящото предложение.</w:t>
      </w:r>
    </w:p>
    <w:p>
      <w:pPr>
        <w:rPr>
          <w:noProof/>
        </w:rPr>
      </w:pPr>
      <w:r>
        <w:rPr>
          <w:noProof/>
        </w:rPr>
        <w:t xml:space="preserve">Тя внимателно оцени всички искания (нови или за изменения). По-конкретно, тя проучи всеки един случай, за да се увери, че не се създават вреди за производителите от Съюза и че се повишава и консолидира конкурентоспособността на производството на </w:t>
      </w:r>
      <w:r>
        <w:rPr>
          <w:noProof/>
        </w:rPr>
        <w:lastRenderedPageBreak/>
        <w:t>Съюза. Членовете на Групата по икономически и тарифни въпроси извършиха оценката чрез обсъждания, а държавите членки се консултираха с представители на засегнатите промишлени отрасли, сдружения, търговски камари и други заинтересовани страни.</w:t>
      </w:r>
    </w:p>
    <w:p>
      <w:pPr>
        <w:rPr>
          <w:noProof/>
        </w:rPr>
      </w:pPr>
      <w:r>
        <w:rPr>
          <w:noProof/>
        </w:rPr>
        <w:t>По всички посочени тарифни квоти бяха постигнати съгласие или компромиси по време на обсъжданията в Групата по икономически и тарифни въпроси. Не бяха посочени потенциално значими рискове с необратими последици.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чисто техническо естество и се отнася само до обхвата на тарифните квоти, посочени в приложението към Регламент (ЕС) № 1388/2013. Поради това за настоящото предложение не беше извършена оценка на въздействието.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rFonts w:eastAsia="Calibri"/>
          <w:noProof/>
        </w:rPr>
      </w:pPr>
      <w:r>
        <w:t>4.</w:t>
      </w:r>
      <w:r>
        <w:tab/>
      </w:r>
      <w:r>
        <w:rPr>
          <w:noProof/>
        </w:rPr>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Несъбраните мита възлизат общо на близо 44,7 милиона евро годишно. Въздействието върху традиционните собствени ресурси на бюджета е в размер на 35,8 милиона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w:t>
      </w:r>
    </w:p>
    <w:p>
      <w:pPr>
        <w:rPr>
          <w:noProof/>
          <w:szCs w:val="24"/>
        </w:rPr>
      </w:pPr>
      <w:r>
        <w:rPr>
          <w:noProof/>
        </w:rPr>
        <w:t>Загубата на приходи за традиционните собствени ресурси ще се компенсира от вноските на държавите членки въз основа на брутния национален доход (БНД).</w:t>
      </w:r>
    </w:p>
    <w:p>
      <w:pPr>
        <w:pStyle w:val="ManualHeading1"/>
        <w:rPr>
          <w:rFonts w:eastAsia="Calibri"/>
          <w:noProof/>
        </w:rPr>
      </w:pPr>
      <w:r>
        <w:t>5.</w:t>
      </w:r>
      <w:r>
        <w:tab/>
      </w:r>
      <w:r>
        <w:rPr>
          <w:noProof/>
        </w:rPr>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6"/>
          <w:footerReference w:type="first" r:id="rId17"/>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2018/0386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i/>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селскостопански и промишлени продукти, които се произвеждат в недостатъчни количества в Съюза, и по този начин да се избегнат евентуални смущения на пазара на тези продукти, с Регламент (ЕС) № 1388/2013 на Съвета</w:t>
      </w:r>
      <w:bookmarkStart w:id="1" w:name="_Ref384194496"/>
      <w:r>
        <w:rPr>
          <w:rStyle w:val="FootnoteReference"/>
          <w:noProof/>
        </w:rPr>
        <w:footnoteReference w:id="3"/>
      </w:r>
      <w:bookmarkEnd w:id="1"/>
      <w:r>
        <w:rPr>
          <w:noProof/>
        </w:rPr>
        <w:t xml:space="preserve"> бяха открити автономни тарифни квоти. Обхванатите от тези тарифни квоти продукти могат да се внасят в Съюза с намалени или нулеви ставки на митата.</w:t>
      </w:r>
    </w:p>
    <w:p>
      <w:pPr>
        <w:pStyle w:val="ManualConsidrant"/>
        <w:rPr>
          <w:noProof/>
        </w:rPr>
      </w:pPr>
      <w:r>
        <w:t>(2)</w:t>
      </w:r>
      <w:r>
        <w:tab/>
      </w:r>
      <w:r>
        <w:rPr>
          <w:noProof/>
        </w:rPr>
        <w:t>Тъй като е в интерес на Съюза да се гарантира адекватното снабдяване с някои селскостопански, химически и промишлени продукти и като се има предвид фактът, че идентични, еквивалентни или заместващи продукти не се произвеждат в достатъчни количества в Съюза, е необходимо да се открият шест нови тарифни квоти с поредни номера 09.2600, 09.2617, 09.2720, 09.2738, 09.2740 и 09.2742 с нулева ставка на митата за подходящи количества от посочените продукти. В интерес на Съюза е също така тарифните квоти с поредни номера 09.2740 и 09.2742 да се открият само за целите на употребата на съответните продукти за производството на конкретни стоки, които се произвеждат в Съюза. Поради това прилагането на тези квоти следва да е обвързано със специфичната употреба на продуктите в съответствие с член 254 от Регламент (ЕС) № 952/2013 на Европейския парламент и на Съвета</w:t>
      </w:r>
      <w:r>
        <w:rPr>
          <w:rStyle w:val="FootnoteReference"/>
          <w:noProof/>
        </w:rPr>
        <w:footnoteReference w:id="4"/>
      </w:r>
      <w:r>
        <w:rPr>
          <w:noProof/>
        </w:rPr>
        <w:t>.</w:t>
      </w:r>
    </w:p>
    <w:p>
      <w:pPr>
        <w:pStyle w:val="ManualConsidrant"/>
        <w:rPr>
          <w:noProof/>
        </w:rPr>
      </w:pPr>
      <w:r>
        <w:t>(3)</w:t>
      </w:r>
      <w:r>
        <w:tab/>
      </w:r>
      <w:r>
        <w:rPr>
          <w:noProof/>
        </w:rPr>
        <w:t>За тарифните квоти с поредни номера 09.2684, 09.2686, 09.2723 и 09.2864 обемите на квотите следва да се увеличат, тъй като увеличението е в интерес на Съюза.</w:t>
      </w:r>
    </w:p>
    <w:p>
      <w:pPr>
        <w:pStyle w:val="ManualConsidrant"/>
        <w:rPr>
          <w:noProof/>
        </w:rPr>
      </w:pPr>
      <w:r>
        <w:t>(4)</w:t>
      </w:r>
      <w:r>
        <w:tab/>
      </w:r>
      <w:r>
        <w:rPr>
          <w:noProof/>
        </w:rPr>
        <w:t>При тарифната квота с пореден номер 09.2850 следва да се адаптира класирането в Комбинираната номенклатура (КН) на обхванатите от тази квота продукти.</w:t>
      </w:r>
    </w:p>
    <w:p>
      <w:pPr>
        <w:pStyle w:val="ManualConsidrant"/>
        <w:rPr>
          <w:noProof/>
        </w:rPr>
      </w:pPr>
      <w:r>
        <w:lastRenderedPageBreak/>
        <w:t>(5)</w:t>
      </w:r>
      <w:r>
        <w:tab/>
      </w:r>
      <w:r>
        <w:rPr>
          <w:noProof/>
        </w:rPr>
        <w:t>Класирането в КН на продуктите, които преди това бяха обхванати от квотата с пореден номер 09.2844, беше уточнено. В интерес на яснотата и правната сигурност квотата с пореден номер 09.2844 следва да се замени с квота с нов пореден номер 09.2820, указващ приложимия код по КН.</w:t>
      </w:r>
    </w:p>
    <w:p>
      <w:pPr>
        <w:pStyle w:val="ManualConsidrant"/>
        <w:rPr>
          <w:noProof/>
        </w:rPr>
      </w:pPr>
      <w:r>
        <w:t>(6)</w:t>
      </w:r>
      <w:r>
        <w:tab/>
      </w:r>
      <w:r>
        <w:rPr>
          <w:noProof/>
        </w:rPr>
        <w:t>При тарифните квоти с поредни номера 09.2684, 09.2728, 09.2730, 09.2734 и 09.2736 периодът за квотата следва да се удължи, тъй като тези тарифни квоти бяха открити само за период от шест месеца и е все още в интерес на Съюза те да бъдат запазени.</w:t>
      </w:r>
    </w:p>
    <w:p>
      <w:pPr>
        <w:pStyle w:val="ManualConsidrant"/>
        <w:rPr>
          <w:noProof/>
        </w:rPr>
      </w:pPr>
      <w:r>
        <w:t>(7)</w:t>
      </w:r>
      <w:r>
        <w:tab/>
      </w:r>
      <w:r>
        <w:rPr>
          <w:noProof/>
        </w:rPr>
        <w:t>Тъй като обхватът на тарифните квоти с поредни номера 09.2620, 09.2668, 09.2736, 09.2850 и 09.2908 вече не отговаря на нуждите на икономическите оператори в Съюза, описанието на обхванатите от тези квоти продукти следва да се измени. В интерес на Съюза е тарифните квоти с поредни номера 09.2668 и 09.2850 да се запазят само за целите на вграждането на съответните продукти в конкретни стоки, които се произвеждат в Съюза. Поради това прилагането на тези квоти следва да е обвързано със специфичната употреба на продуктите в съответствие с член 254 от Регламент (ЕС) № 952/2013.</w:t>
      </w:r>
    </w:p>
    <w:p>
      <w:pPr>
        <w:pStyle w:val="ManualConsidrant"/>
        <w:rPr>
          <w:noProof/>
        </w:rPr>
      </w:pPr>
      <w:r>
        <w:t>(8)</w:t>
      </w:r>
      <w:r>
        <w:tab/>
      </w:r>
      <w:r>
        <w:rPr>
          <w:noProof/>
        </w:rPr>
        <w:t>Тъй като запазването на тарифните квоти с поредни номера 09.2695, 09.2726, 09.2732, 09.2818, 09.2836, 09.2838 и 09.2886 вече не е в интерес на Съюза, те следва да се закрият.</w:t>
      </w:r>
    </w:p>
    <w:p>
      <w:pPr>
        <w:pStyle w:val="ManualConsidrant"/>
        <w:rPr>
          <w:noProof/>
        </w:rPr>
      </w:pPr>
      <w:r>
        <w:t>(9)</w:t>
      </w:r>
      <w:r>
        <w:tab/>
      </w:r>
      <w:r>
        <w:rPr>
          <w:noProof/>
        </w:rPr>
        <w:t>Предвид измененията, които трябва да се направят, и с оглед на яснотата приложението към Регламент (ЕС) № 1388/2013 следва да бъде заменено.</w:t>
      </w:r>
    </w:p>
    <w:p>
      <w:pPr>
        <w:pStyle w:val="ManualConsidrant"/>
        <w:rPr>
          <w:noProof/>
        </w:rPr>
      </w:pPr>
      <w:r>
        <w:t>(10)</w:t>
      </w:r>
      <w:r>
        <w:tab/>
      </w:r>
      <w:r>
        <w:rPr>
          <w:noProof/>
        </w:rPr>
        <w:t>Поради това Регламент (ЕС) № 1388/2013 следва да бъде съответно изменен.</w:t>
      </w:r>
    </w:p>
    <w:p>
      <w:pPr>
        <w:pStyle w:val="ManualConsidrant"/>
        <w:rPr>
          <w:noProof/>
        </w:rPr>
      </w:pPr>
      <w:r>
        <w:t>(11)</w:t>
      </w:r>
      <w:r>
        <w:tab/>
      </w:r>
      <w:r>
        <w:rPr>
          <w:noProof/>
        </w:rPr>
        <w:t>С цел да се избегне евентуално прекъсване на прилагането на режима на тарифните квоти и да бъдат изпълнени насоките, определени в Съобщението на Комисията относно суспендирането на автономни мита и относно автономните тарифни квоти, предвидените в настоящия регламент промени по отношение на тарифните квоти за съответните продукти трябва да се прилагат от 1 януари 2019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1388/2013 се заменя с текста в приложението към настоящия регламент.</w:t>
      </w:r>
    </w:p>
    <w:p>
      <w:pPr>
        <w:pStyle w:val="Titrearticle"/>
        <w:rPr>
          <w:noProof/>
        </w:rPr>
      </w:pPr>
      <w:r>
        <w:rPr>
          <w:noProof/>
        </w:rPr>
        <w:t>Член 2</w:t>
      </w:r>
    </w:p>
    <w:p>
      <w:pPr>
        <w:rPr>
          <w:i/>
          <w:iCs/>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2019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spacing w:before="100" w:beforeAutospacing="1" w:after="100" w:afterAutospacing="1"/>
        <w:jc w:val="left"/>
        <w:rPr>
          <w:rFonts w:eastAsia="Times New Roman"/>
          <w:noProof/>
          <w:szCs w:val="24"/>
        </w:rPr>
      </w:pPr>
      <w:r>
        <w:rPr>
          <w:noProof/>
        </w:rPr>
        <w:t>Глава и статия:</w:t>
      </w:r>
      <w:r>
        <w:rPr>
          <w:noProof/>
        </w:rPr>
        <w:br/>
        <w:t>Глава 1 2 и статия 1 2 0 — Мита и други задължения, посочени в член 2, параграф 1, буква а) от Решение 2014/335/ЕС, Евратом;</w:t>
      </w:r>
    </w:p>
    <w:p>
      <w:pPr>
        <w:spacing w:before="100" w:beforeAutospacing="1" w:after="100" w:afterAutospacing="1"/>
        <w:jc w:val="left"/>
        <w:rPr>
          <w:rFonts w:eastAsia="Times New Roman"/>
          <w:noProof/>
          <w:szCs w:val="24"/>
        </w:rPr>
      </w:pPr>
      <w:r>
        <w:rPr>
          <w:noProof/>
        </w:rPr>
        <w:t>Сума, предвидена в бюджета за 2019 г. (21 471 164 786 EUR)</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ab/>
        <w:t>Предложението няма финансово отражение</w:t>
      </w:r>
    </w:p>
    <w:p>
      <w:pPr>
        <w:rPr>
          <w:noProof/>
        </w:rPr>
      </w:pPr>
      <w:r>
        <w:rPr>
          <w:noProof/>
        </w:rPr>
        <w:t>X</w:t>
      </w:r>
      <w:r>
        <w:rPr>
          <w:noProof/>
        </w:rPr>
        <w:tab/>
        <w:t>Предложението няма финансово отражение върху разходите, но има финансово отражение върху приходите. Отражението е следното:</w:t>
      </w:r>
    </w:p>
    <w:p>
      <w:pPr>
        <w:jc w:val="right"/>
        <w:rPr>
          <w:noProof/>
          <w:sz w:val="18"/>
        </w:rPr>
      </w:pPr>
      <w:r>
        <w:rPr>
          <w:noProof/>
        </w:rPr>
        <w:t>(в милиони евро до един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Бюджетен ред</w:t>
            </w:r>
          </w:p>
        </w:tc>
        <w:tc>
          <w:tcPr>
            <w:tcW w:w="2879" w:type="dxa"/>
          </w:tcPr>
          <w:p>
            <w:pPr>
              <w:jc w:val="center"/>
              <w:rPr>
                <w:noProof/>
              </w:rPr>
            </w:pPr>
            <w:r>
              <w:rPr>
                <w:noProof/>
              </w:rPr>
              <w:t>Приходи</w:t>
            </w:r>
            <w:r>
              <w:rPr>
                <w:rStyle w:val="FootnoteReference"/>
                <w:noProof/>
              </w:rPr>
              <w:footnoteReference w:id="5"/>
            </w:r>
          </w:p>
        </w:tc>
        <w:tc>
          <w:tcPr>
            <w:tcW w:w="2040" w:type="dxa"/>
          </w:tcPr>
          <w:p>
            <w:pPr>
              <w:jc w:val="center"/>
              <w:rPr>
                <w:noProof/>
              </w:rPr>
            </w:pPr>
            <w:r>
              <w:rPr>
                <w:noProof/>
              </w:rPr>
              <w:t xml:space="preserve">12-месечен период, считано от </w:t>
            </w:r>
          </w:p>
        </w:tc>
        <w:tc>
          <w:tcPr>
            <w:tcW w:w="2160" w:type="dxa"/>
          </w:tcPr>
          <w:p>
            <w:pPr>
              <w:jc w:val="center"/>
              <w:rPr>
                <w:noProof/>
              </w:rPr>
            </w:pPr>
            <w:r>
              <w:rPr>
                <w:noProof/>
              </w:rPr>
              <w:t>[Година: 2019]</w:t>
            </w:r>
          </w:p>
        </w:tc>
      </w:tr>
      <w:tr>
        <w:tc>
          <w:tcPr>
            <w:tcW w:w="1321" w:type="dxa"/>
          </w:tcPr>
          <w:p>
            <w:pPr>
              <w:rPr>
                <w:noProof/>
              </w:rPr>
            </w:pPr>
            <w:r>
              <w:rPr>
                <w:noProof/>
              </w:rPr>
              <w:t>Статия 120</w:t>
            </w:r>
          </w:p>
        </w:tc>
        <w:tc>
          <w:tcPr>
            <w:tcW w:w="2879" w:type="dxa"/>
          </w:tcPr>
          <w:p>
            <w:pPr>
              <w:jc w:val="center"/>
              <w:rPr>
                <w:i/>
                <w:noProof/>
              </w:rPr>
            </w:pPr>
            <w:r>
              <w:rPr>
                <w:i/>
                <w:noProof/>
              </w:rPr>
              <w:t>Отражение върху собствените ресурси</w:t>
            </w:r>
          </w:p>
        </w:tc>
        <w:tc>
          <w:tcPr>
            <w:tcW w:w="2040" w:type="dxa"/>
          </w:tcPr>
          <w:p>
            <w:pPr>
              <w:jc w:val="center"/>
              <w:rPr>
                <w:noProof/>
              </w:rPr>
            </w:pPr>
            <w:r>
              <w:rPr>
                <w:noProof/>
              </w:rPr>
              <w:t>1.1.2019 г.</w:t>
            </w:r>
          </w:p>
        </w:tc>
        <w:tc>
          <w:tcPr>
            <w:tcW w:w="2160" w:type="dxa"/>
          </w:tcPr>
          <w:p>
            <w:pPr>
              <w:jc w:val="center"/>
              <w:rPr>
                <w:noProof/>
              </w:rPr>
            </w:pPr>
            <w:r>
              <w:rPr>
                <w:noProof/>
              </w:rPr>
              <w:t>–35,8</w:t>
            </w:r>
          </w:p>
        </w:tc>
      </w:tr>
    </w:tbl>
    <w:p>
      <w:pPr>
        <w:tabs>
          <w:tab w:val="left" w:pos="4005"/>
        </w:tabs>
        <w:spacing w:before="100" w:beforeAutospacing="1" w:after="100" w:afterAutospacing="1"/>
        <w:jc w:val="left"/>
        <w:rPr>
          <w:noProof/>
          <w:szCs w:val="24"/>
        </w:rPr>
      </w:pPr>
      <w:r>
        <w:rPr>
          <w:noProof/>
          <w:szCs w:val="24"/>
        </w:rPr>
        <w:tab/>
      </w:r>
    </w:p>
    <w:p>
      <w:pPr>
        <w:spacing w:before="100" w:beforeAutospacing="1" w:after="100" w:afterAutospacing="1"/>
        <w:rPr>
          <w:noProof/>
          <w:szCs w:val="24"/>
        </w:rPr>
      </w:pPr>
      <w:r>
        <w:rPr>
          <w:noProof/>
        </w:rPr>
        <w:t xml:space="preserve">Приложението съдържа шест нови продукта. Съответстващите на тези тарифни квоти несъбрани мита, изчислени въз основа на прогнозите за 2019 г. на подалите искания държави членки, възлизат на 46 183 227 EUR годишно. </w:t>
      </w:r>
    </w:p>
    <w:p>
      <w:pPr>
        <w:spacing w:before="100" w:beforeAutospacing="1" w:after="100" w:afterAutospacing="1"/>
        <w:rPr>
          <w:noProof/>
          <w:szCs w:val="24"/>
        </w:rPr>
      </w:pPr>
      <w:r>
        <w:rPr>
          <w:noProof/>
        </w:rPr>
        <w:t>От приложението към настоящия регламент са заличени седем продукта, тъй като върху тях отново са наложени мита. Това представлява увеличение на събираните мита с 1 472 831 EUR годишно.</w:t>
      </w:r>
    </w:p>
    <w:p>
      <w:pPr>
        <w:spacing w:before="100" w:beforeAutospacing="1" w:after="100" w:afterAutospacing="1"/>
        <w:rPr>
          <w:noProof/>
          <w:szCs w:val="24"/>
        </w:rPr>
      </w:pPr>
      <w:r>
        <w:rPr>
          <w:noProof/>
        </w:rPr>
        <w:t>Въз основа на изложеното по-горе се очаква отражението на настоящия регламент върху загубата на приходи за бюджета на ЕС да възлезе на 46 183 227 EUR – 1 472 831 EUR = 44,7 млн. евро (брутна сума, включително разходите по събирането) x 0,8 = 35,8 млн. евро годишно (нетна сума).</w:t>
      </w:r>
    </w:p>
    <w:p>
      <w:pPr>
        <w:rPr>
          <w:noProof/>
        </w:rPr>
      </w:pPr>
      <w:r>
        <w:rPr>
          <w:noProof/>
        </w:rPr>
        <w:t>4.</w:t>
      </w:r>
      <w:r>
        <w:rPr>
          <w:noProof/>
        </w:rPr>
        <w:tab/>
      </w:r>
      <w:r>
        <w:rPr>
          <w:b/>
          <w:noProof/>
        </w:rPr>
        <w:t>МЕРКИ ЗА БОРБА С ИЗМАМИТЕ</w:t>
      </w:r>
    </w:p>
    <w:p>
      <w:pPr>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ru-RU"/>
        </w:rPr>
      </w:pPr>
      <w:r>
        <w:rPr>
          <w:rStyle w:val="FootnoteReference"/>
        </w:rPr>
        <w:footnoteRef/>
      </w:r>
      <w:r>
        <w:tab/>
        <w:t>OВ C 363, 13.12.2011 г., стр. 6.</w:t>
      </w:r>
    </w:p>
  </w:footnote>
  <w:footnote w:id="2">
    <w:p>
      <w:pPr>
        <w:pStyle w:val="FootnoteText"/>
        <w:rPr>
          <w:lang w:val="ru-RU"/>
        </w:rPr>
      </w:pPr>
      <w:r>
        <w:rPr>
          <w:rStyle w:val="FootnoteReference"/>
        </w:rPr>
        <w:footnoteRef/>
      </w:r>
      <w:r>
        <w:tab/>
      </w:r>
      <w:hyperlink r:id="rId1">
        <w:r>
          <w:rPr>
            <w:rStyle w:val="Hyperlink"/>
          </w:rPr>
          <w:t>http://ec.europa.eu/taxation_customs/common/publications/studies/index_en.htm</w:t>
        </w:r>
      </w:hyperlink>
    </w:p>
  </w:footnote>
  <w:footnote w:id="3">
    <w:p>
      <w:pPr>
        <w:pStyle w:val="FootnoteText"/>
      </w:pPr>
      <w:r>
        <w:rPr>
          <w:rStyle w:val="FootnoteReference"/>
        </w:rPr>
        <w:footnoteRef/>
      </w:r>
      <w:r>
        <w:tab/>
        <w:t xml:space="preserve">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 </w:t>
      </w:r>
    </w:p>
  </w:footnote>
  <w:footnote w:id="4">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5">
    <w:p>
      <w:pPr>
        <w:pStyle w:val="FootnoteText"/>
        <w:ind w:left="0" w:firstLine="0"/>
      </w:pPr>
      <w:r>
        <w:rPr>
          <w:rStyle w:val="FootnoteReference"/>
        </w:rPr>
        <w:footnoteRef/>
      </w:r>
      <w:r>
        <w:tab/>
        <w:t>По отношение на традиционните собствени ресурси (мита, налози върху захарта) посочените суми трябва да са нетни (т.е. брутни суми, от които са приспаднати 20 % за разходи по събирането).</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4:20: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4872E88E-DBED-401C-BEAA-833DF240BACF"/>
    <w:docVar w:name="LW_COVERPAGE_TYPE" w:val="1"/>
    <w:docVar w:name="LW_CROSSREFERENCE" w:val="&lt;UNUSED&gt;"/>
    <w:docVar w:name="LW_DocType" w:val="COM"/>
    <w:docVar w:name="LW_EMISSION" w:val="15.11.2018"/>
    <w:docVar w:name="LW_EMISSION_ISODATE" w:val="2018-11-15"/>
    <w:docVar w:name="LW_EMISSION_LOCATION" w:val="BRX"/>
    <w:docVar w:name="LW_EMISSION_PREFIX" w:val="Брюксел, "/>
    <w:docVar w:name="LW_EMISSION_SUFFIX" w:val=" \u1075?."/>
    <w:docVar w:name="LW_ID_DOCMODEL" w:val="b01"/>
    <w:docVar w:name="LW_ID_DOCSIGNATURE" w:val="SJ-016"/>
    <w:docVar w:name="LW_ID_DOCSTRUCTURE" w:val="COM/PL/ORG"/>
    <w:docVar w:name="LW_ID_DOCTYPE" w:val="SJ-016"/>
    <w:docVar w:name="LW_ID_STATUT" w:val="PROPOSA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6"/>
    <w:docVar w:name="LW_REF.II.NEW.CP_YEAR" w:val="2018"/>
    <w:docVar w:name="LW_REF.INST.NEW" w:val="COM"/>
    <w:docVar w:name="LW_REF.INST.NEW_ADOPTED" w:val="final"/>
    <w:docVar w:name="LW_REF.INST.NEW_TEXT" w:val="(2018)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ITRE.OBJ.CP_PREVIOUS" w:val="&lt;UNUSED&gt;"/>
    <w:docVar w:name="LW_TYPE.DOC.CP" w:val="\u1056?\u1045?\u1043?\u1051?\u1040?\u1052?\u1045?\u1053?\u1058? \u1053?\u1040? \u1057?\u1066?\u1042?\u1045?\u1058?\u1040?"/>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bg-BG"/>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bg-BG"/>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5A25-5603-4CA9-AED3-83723329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1945</Words>
  <Characters>11073</Characters>
  <Application>Microsoft Office Word</Application>
  <DocSecurity>0</DocSecurity>
  <Lines>230</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12912</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2018-10-24T10:09:00Z</cp:lastPrinted>
  <dcterms:created xsi:type="dcterms:W3CDTF">2018-11-12T11:08:00Z</dcterms:created>
  <dcterms:modified xsi:type="dcterms:W3CDTF">2018-11-14T13:20:00Z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6.0.1, Build 20180503</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