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901C38A-9522-426B-A2E2-B9D3D78A0E6E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tbl>
      <w:tblPr>
        <w:tblStyle w:val="Listtable"/>
        <w:tblW w:w="0" w:type="auto"/>
        <w:tblLook w:val="0000" w:firstRow="0" w:lastRow="0" w:firstColumn="0" w:lastColumn="0" w:noHBand="0" w:noVBand="0"/>
      </w:tblPr>
      <w:tblGrid>
        <w:gridCol w:w="652"/>
        <w:gridCol w:w="1037"/>
        <w:gridCol w:w="605"/>
        <w:gridCol w:w="4086"/>
        <w:gridCol w:w="1048"/>
        <w:gridCol w:w="1048"/>
        <w:gridCol w:w="1050"/>
      </w:tblGrid>
      <w:tr>
        <w:trPr>
          <w:cantSplit/>
          <w:tblHeader/>
        </w:trPr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Numéro d'ordre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Code NC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Désignation des marchandises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Période contingentaire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Volume contingentaire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Droit contingentaire (%)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09.2637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40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2005 80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Maïs de rafles de maïs (</w:t>
            </w:r>
            <w:r>
              <w:rPr>
                <w:i/>
                <w:iCs/>
                <w:noProof/>
                <w:lang w:val="fr-BE"/>
              </w:rPr>
              <w:t>Zea mays saccharata</w:t>
            </w:r>
            <w:r>
              <w:rPr>
                <w:noProof/>
                <w:lang w:val="fr-BE"/>
              </w:rPr>
              <w:t>), coupés ou non, d'un diamètre égal ou supérieur à 10 mm, mais n'excédant pas 20 mm, destinés à la fabrication de produits de l'industrie alimentaire en vue de subir un traitement autre que le simple reconditionnement </w:t>
            </w:r>
            <w:r>
              <w:rPr>
                <w:rStyle w:val="FootnoteReference"/>
                <w:noProof/>
                <w:lang w:val="fr-BE"/>
              </w:rPr>
              <w:t>(1)(2)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550 tonnes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(3)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80 69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Champignons de l’espèce </w:t>
            </w:r>
            <w:r>
              <w:rPr>
                <w:i/>
                <w:noProof/>
                <w:lang w:val="fr-BE"/>
              </w:rPr>
              <w:t>Auricularia polytricha</w:t>
            </w:r>
            <w:r>
              <w:rPr>
                <w:noProof/>
                <w:lang w:val="fr-BE"/>
              </w:rPr>
              <w:t>, non cuits ou cuits à l’eau ou à la vapeur, congelés, destinés à la fabrication de plats préparés </w:t>
            </w:r>
            <w:r>
              <w:rPr>
                <w:rStyle w:val="FootnoteReference"/>
                <w:noProof/>
                <w:lang w:val="fr-BE"/>
              </w:rPr>
              <w:t>(1)(2)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60 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Cerises douces avec addition d’alcool, d’une teneur en sucres inférieure ou égale à 9 % en poids, d’un diamètre inférieur ou égal à 19,9 mm, avec noyau, destinées à la fabrication de produits en chocolat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2309 90 06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Concentré protéique de graines de soja contenant en poids: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7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(± 10 %) de protéines brutes,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de cellulose brute,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  de cendres brutes,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3 % ou plus mais n'excédant pas 6,9 % d'amidon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 à être utilisé dans la fabrication des aliments pour animaux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09.2913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35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70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35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70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Tabacs bruts ou non fabriqués, même découpés sous forme régulière, ayant une valeur en douane non inférieure à 450 Euro/100 kg net, destinés à être utilisés comme cape extérieure ou comme sous-cape dans la production de produits de la sous-position 2402 10 00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tonnes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2712 20 90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Paraffine contenant en poids moins de 0,75 % d'huile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2712 90 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Slack wax (résidus paraffineux) (CAS RN 64742-61-6)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22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Charge de silice sous forme de granules, ayant une teneur en dioxyde de silicium d’au moins 97 % en poids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90 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Trioxyde de tungstène, oxyde bleu de tungstène compris (CAS RN 1314-35-8 ou CAS RN 39318-18-8)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2833 29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Sulfate de césium (CAS RN 10294-54-9) sous forme solide ou en solution aqueuse contenant en poids plus de 48 % mais pas plus de 52 % de sulfate de césium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2903 22 00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Trichloroéthylène (CAS RN 79-01-6)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79 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Bromochlorométhane (CAS RN 74-97-5)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1,3-Dichlorobenzène (CAS RN 541-73-1)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2 600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Propan-1-ol (alcool propylique) (CAS RN 71-23-8)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lastRenderedPageBreak/>
              <w:t>09.2830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Cyclopropylméthanol (CAS RN 2516-33-8)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12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O-Crésol (CAS RN 95-48-7) d’une pureté de 98,5 % en poids ou plus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2,2,2',2'-tétrakis(hydroxyméthyl)-3,3'-oxydipropan-1- ol (CAS RN126-58-9)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Éthylvanilline (3-éthoxy-4-hydroxybenzaldéhyde) (CAS RN 121-32-4)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1 950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Acétylactonate de calcium (CAS RN 19372-44-2) destiné à la fabrication de stabilisants sous forme de comprimés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Cyclopropylméthylcétone (CAS RN 765-43-5)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21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Acide acétique (CAS RN 64-19-7) d’une pureté minimale de 99 % en poids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09.2972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2915 24 00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Anhydride acétique (CAS RN 108-24-7)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2915 32 00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Acétate de vinyle (CAS RN108-05-4)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Trifluoroacétate d’éthyle (CAS RN 383-63-1)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(E,E)-Hexa-2,4-diénoate de potassium (CAS RN 24634-61-5)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8 250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Chlorure de (2,5-diméthylphénylacétyle) (CAS RN 55312-97-5)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13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Sébacate de diméthyle (CAS RN 106-79-6)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Acide dodécanedioïque (CAS RN 693-23-2), d’une pureté en poids supérieure à 98,5 %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4 600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Acide </w:t>
            </w:r>
            <w:r>
              <w:rPr>
                <w:i/>
                <w:iCs/>
                <w:noProof/>
                <w:lang w:val="pt-PT"/>
              </w:rPr>
              <w:t>o</w:t>
            </w:r>
            <w:r>
              <w:rPr>
                <w:noProof/>
                <w:lang w:val="pt-PT"/>
              </w:rPr>
              <w:t>-acétylsalicylique (CAS RN 50-78-2)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3-(3,5-di-tert-butyl-4-hydroxyphényl) propionate d'octadécyle (CAS RN 2082-79-3) présentant: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taux de refus au tamis inférieur à 1 % en poids pour une largeur de maille de 500 </w:t>
                  </w:r>
                  <w:r>
                    <w:rPr>
                      <w:noProof/>
                    </w:rPr>
                    <w:t>μ</w:t>
                  </w:r>
                  <w:r>
                    <w:rPr>
                      <w:noProof/>
                      <w:lang w:val="fr-BE"/>
                    </w:rPr>
                    <w:t>m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point de fusion supérieur ou égal à 49 °C, mais n’excédant 54 °C,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 à la fabrication de stabilisateurs de type «one pack» à base de mélanges de poudres (poudres ou granulés), pour la transformation du PVC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380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Tétrakis(3- (3,5-di-tert-butyl- 4-hydroxyphényl)propionate de pentaérythritol (CAS RN 6683-19-8) présentant: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taux de refus au tamis supérieur à 75 % en poids pour une largeur de maille de 250 µm et à 99 % en poids pour une largeur de maille de 500 µm,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point de fusion supérieur ou égal à 110 °C, mais n’excédant 125 °C,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 à la fabrication de stabilisateurs de type «one pack» à base de mélanges de poudres (poudres ou granulés), pour la transformation du PVC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140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Dianhydride benzophénone-3,3’,4,4’-tétracarboxylique (CAS RN 2421-28-5)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Phosphite de tris(2,4-di-tert-butylphényle) (CAS RN 31570-04-4)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Sulfate de diméthyle (CAS RN 77-78-1)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Bis(2-diméthylaminoéthyl)(méthyl)amine (CAS RN 3030-47-5)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Aniline (CAS RN 62-53-3) d’une pureté supérieure ou égale à 99 % en poids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09.2617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4-Fluoro-N-(1-méthyléthyl) benzène amine (CAS RN 70441-63-3)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09.2602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51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o-Phénylenèdiamine (CAS RN 95-54-5)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1 800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4,4'-Méthylènedianiline (CAS RN 101-77-9) sous forme de granulés, utilisé pour la synthèse de prépolymères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3-Iodoprop-2-ynyl N-butylcarbamate (CAS RN 55406-53-6)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Paracétamol (DCI) (CAS RN 103-90-2)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Acrylonitrile (CAS RN 107-13-1), utilisé dans la fabrication de marchandises du chapitre 55 et de la position 6815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2-Nitro-4 (trifluorométhyl)benzonitrile (CAS RN 778-94-9)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Monométhylhydrazine (CAS 60-34-4) sous la forme d'une solution aqueuse contenant 40 (± 5) % en poids de monométhylhydrazine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Nitroguanidine (CAS RN 556-88-7)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6 500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2932 12 00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2-Furaldéhyde (furfural)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Flurtamone (ISO) (CAS RN 96525-23-4)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Décane-5-olide (CAS RN 705-86-2)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Dodécane-5-olide (CAS RN 713-95-1)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Hexane-6-olide (CAS RN 502-44-3)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2932 93 00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Pipéronal (CAS RN 120-57-0)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220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Enzalutamide (DCI) (CAS RN 915087-33-1)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2,2,6,6-tetramethylpiperidine-4-ol (CAS RN 2403-88-5)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Chlorpyriphos (ISO) (CAS RN 2921-88-2)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Ibrutinib (DCI) (CAS RN 936563-96-1)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1,3,5-Tris[3-(diméthylamino)propyl]hexahydro-1,3,5-triazine (CAS RN 15875-13-5)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5-(Acetoacetylamino)benzimidazolone (CAS RN 26576-46-5)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 [[(2-méthoxybenzoyl) amino] sulfonyle] -chlorure de benzoyle (CAS RN 816431-72-8)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2,4,4-Triméthylpentan-2-aminium (3R,5S,E)-7-(4-(4-fluorophényl)-6-isopropyl-2-(N-méthylméthylsulfonamido)pyrimidin-5-yl)-3,5-dihydroxyhept-6-enoate (CAS RN 917805-85-7)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09.2945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D-Xylose (CAS RN 58-86-6)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Colorant C.I. Disperse Yellow 54 (CAS RN 7576-65-0 ) et préparations à base de ce colorant dont la teneur en colorant C.I. Disperse Yellow 54  est supérieure ou égale à 99 % en poids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Préparations à base du colorant C.I. Pigment Red 48:2 (CAS RN 7023-61-2) avec une teneur en colorant égale ou supérieure à 60 % mais inférieure à 85 % en poids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Colorant C.I. Pigment Red 4 (CAS RN 2814-77-9) et préparations à base de ce colorant dont la teneur en colorant C.I. Pigment Red 4 est supérieure ou égale à 60 % en poids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3802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Terre à diatomées, calcinée sous flux de soude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3804 00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Lignosulfonate de sodium (CAS RN 8061-51-6)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3805 10 90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Essence de papeterie au sulfate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3806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Colophanes et acides résiniques de gemme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280 000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3808 92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Préparation contenant en poids 38 % ou plus mais pas plus de 50 % de pyrithione zincique (DCI) (CAS RN 13463-41-7) en dispersion aqueuse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Additifs constitués de produits de réaction de diphénylamine et des nonènes ramifiés, avec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plus de 28 % mais pas plus  de 55 % en poids de 4-monononyldiphénylamine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plus de 45 % mais pas plus de 65 % en poids de 4.4'-dinonyldiphénylamine,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pourcentage total en poids de 2,4-dinonyldiphénylamine et de 2,4'-dinonyldiphénylamine n’excédant pas 5 %,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destinés à être utilisés pour la fabrication  d’huiles lubrifiantes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Catalyseur composé de dioxyde de titane et de trioxyde de tungstène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79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Mélange contenant en poids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60 % ou plus mais n’excédant pas 90 % de 2-chloropropène (CAS RN 557-98-2),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8 % ou plus mais n’excédant pas 14 % de (Z)-1-chloropropène (CAS RN 16136-84-8),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5 % ou plus mais n’excédant pas 23 % de 2-chloropropane (CAS RN 75-29-6),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pas plus de 6 % de 3-chloropropène (CAS RN 107-05-1) 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pas plus de 1 % de chlorure d’éthyle (CAS RN 75-00-3)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Préparation contenanten poids: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55 % ou plus mais pas plus de 78 % de glutarate diméthylique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10 % ou plus mais pas plus de 30 % d'adipate diméthylique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n’excédant pas 35 % de succinate diméthylique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Mélange de sulfures de bis(3-triéthoxysilylpropyl) (CAS RN 211519-85-6)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Acétophénone (CAS RN 98-86-2), d’une pureté en poids de 60 % ou plus, mais n’excédant pas 90 %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Mélange d’alkyl-diméthylamines (tertiaires) contenant, en poids: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60 % ou plus, mais pas plus de 80 % de dodécyldiméthylamine (CAS RN 112-18-5),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20 % ou plus, mais pas plus de 30 % de diméthyl(tétradécyl)amine (CAS RN 112-75-4)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Extrait solide, insoluble dans les solvants aliphatiques, du résidu obtenu lors de l’extraction de colophane de bois, qui présente les caractéristiques suivantes: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une teneur en poids d’acides résiniques n’excédant pas 30 %,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nombre d’acidité n’excédant pas 110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et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09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point de fusion de 100° C ou plus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1 600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Mélanges de stérols végétaux, sous forme de poudre, contenant en poids: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14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75 % minimum de stérols,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mais 25 % maximum de stanols,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utilisés pour la fabrication de stanols/stérols ou d’esters de stanols/stérols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2 500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3905 30 00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Poly(alcool vinylique), même contenant des groupes acétate non hydrolysés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Poly(butyral de vinyle) (CAS RN 63148-65-2):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contenant au minimum 17,5 % et au maximum 20 % en poids de radicaux hydroxyles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dont la valeur médiane de la taille des particules (D50) est supérieure à 0,6mm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12 500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40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Mélange polymérique de polycarbonate et de poly(méthacrylate de méthyle), dans lequel la proportion de polycarbonate est égale ou supérieure à 98,5 % en poids, sous forme de pellets ou de granulés, présentant une transmission lumineuse de 88,5 % ou plus, mesurée sur une éprouvette de 4,0 mm d'épaisseur pour une longueur d’onde </w:t>
            </w:r>
            <w:r>
              <w:rPr>
                <w:noProof/>
              </w:rPr>
              <w:t>λ</w:t>
            </w:r>
            <w:r>
              <w:rPr>
                <w:noProof/>
                <w:lang w:val="fr-BE"/>
              </w:rPr>
              <w:t xml:space="preserve"> = 400 nm (conformément à la norme ISO 13468-2)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Poly(oxy-1,4-phénylènesulfonyl-1,4-phénylèneoxy-4,4’-biphénylène)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Flocons d’acétate de cellulose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75 000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Alginate de sodium, extrait d’algues brunes (CAS RN 9005-38-3)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Hyaluronate de sodium, non stérile, présentant les caractéristiques suivantes: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une masse moléculaire moyenne en masse (M</w:t>
                  </w:r>
                  <w:r>
                    <w:rPr>
                      <w:noProof/>
                      <w:vertAlign w:val="subscript"/>
                      <w:lang w:val="fr-BE"/>
                    </w:rPr>
                    <w:t>w</w:t>
                  </w:r>
                  <w:r>
                    <w:rPr>
                      <w:noProof/>
                      <w:lang w:val="fr-BE"/>
                    </w:rPr>
                    <w:t>) n’excédant pas 900 000,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taux d’endotoxines ne dépassant pas 0,008 unité d’endotoxines (UE)/mg,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une teneur en éthanol n’excédant pas 1 % en poids,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une teneur en isopropanol n’excédant pas 0,5 % en poids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51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Plaque en polymethylmetacrylate répondant aux normes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8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pt-PT"/>
                    </w:rPr>
                  </w:pPr>
                  <w:r>
                    <w:rPr>
                      <w:noProof/>
                      <w:lang w:val="pt-PT"/>
                    </w:rPr>
                    <w:t>EN 4364 (MIL-P-5425E) et DTD5592A, ou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4365 (MIL-P-8184) et DTD5592A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14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Bloc alvéolaire en cellulose régénérée,  imprégné d'eau contenant du chlorure de magnésium et des composés d'ammonium quaternaire, mesurant 100 cm (± 10 cm) x 100 cm (± 10 cm) x 40 cm (± 5 cm)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5505 10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Déchets de fibres synthétiques (y compris les blousses, les déchets de fils et les effilochés), en nylon ou autres polyamides (PA6 et PA66)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Tissu caoutchouté tissé et stratifié, présentant les caractéristiques suivantes: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constitué de trois couches,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la couche extérieure étant constituées de tissu acrylique 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l'autre couche extérieure étant constituées de tissu de polyester;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la couche intermédiaire étant constituée de caoutchouc de choloro butyl,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la couche intermédiaire étant un poids de 452 g/m² - 569 g/m²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 poids de 952 g/m² - 1 300 g/m²;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épaisseur 0,8 mm - 4 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utilisé pour la fabrication du toit ouvrant de véhicules automobiles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375 000 m²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06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Stratifils (roving) de verre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 xml:space="preserve">composés de filaments de verre continus de 9 </w:t>
                  </w:r>
                  <w:r>
                    <w:rPr>
                      <w:noProof/>
                    </w:rPr>
                    <w:t>μ</w:t>
                  </w:r>
                  <w:r>
                    <w:rPr>
                      <w:noProof/>
                      <w:lang w:val="fr-BE"/>
                    </w:rPr>
                    <w:t xml:space="preserve">m (± 0,5 </w:t>
                  </w:r>
                  <w:r>
                    <w:rPr>
                      <w:noProof/>
                    </w:rPr>
                    <w:t>μ</w:t>
                  </w:r>
                  <w:r>
                    <w:rPr>
                      <w:noProof/>
                      <w:lang w:val="fr-BE"/>
                    </w:rPr>
                    <w:t>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titrant 200 tex ou plus mais pas plus de 680 tex,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ne contenant pas d'oxyde de calcium,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avec une résistance à la rupture de plus de 3 550 Mpa, mesurée selon la méthode d'essai ASTM D2343-09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destinés à être utilisés dans la fabrication de pièces dans l'aéronautique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09.2870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40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Tissus de fibres de verre 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 poids égal ou supérieur à 20 g/m² mais pas plus de 214 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imprégnés de silane,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rouleaux,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teneur en humidité inférieure ou égale à 0,13 % en poids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ne contenant pas plus de 3 fibres creuses pour 100 000 fibres,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exclusivement destinés à la fabrication de préimprégnés et de stratifiés cuivrés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1.1-30.6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m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Toile de verre tissée à armure de fibres de verre enduites en plastique, avec un poids de 120 g/m² (± 10 g/m²), normalement utilisée pour la fabrication d’écrans anti-insectes enroulables et à cadre fixe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m²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7202 49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Ferrochrome contenant en poids 1,5 % ou plus mais pas plus de 4 % de carbone et pas plus de 70 % de chrome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11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11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Feuilles et bandes en cuivre affiné revêtues électrolytiquement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1 020 tonnes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Plaques ou feuilles composées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 xml:space="preserve"> d’une couche de céramique en nitrure de silicium d'une épaisseur égale ou supérieure à 0,32 mm (± 0,1 mm) mais n’excédant pas 1,0 (± 0,1 mm)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recouvertes sur les deux faces d’une feuille de cuivre affiné d’une épaisseur de 0,8 mm (± 0,1 mm)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partiellement recouvertes sur une face d’une pellicule d’argent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7 000 000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21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Plaques: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constituées d’au moins une couche de tissu de fibre de verre imprégné de résine époxy,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recouvertes sur une face ou sur leurs deux faces d’un film de cuivre d’une épaisseur ne dépassant pas 0,15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présentant une constante diélectrique inférieure à 5,4 à 1 MHz, mesurée selon la méthode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présentant une tangente de perte inférieure à 0,035 à 1 MHz, mesurée selon la méthode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présentant un indice de résistance au cheminement (CTI) supérieur ou égal à 600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80 000 m²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Barres en alliages d'aluminium d'un diamètre de 200 mm ou plus mais n'excédant pas 300 mm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Barres en alliages d'aluminium d'un diamètre de 300,1 mm ou plus mais n'excédant pas 533,4 mm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Bande ou feuille en alliage d’aluminium et de magnésium: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 alliage conforme aux normes 5182-H19 ou 5052-H19,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en rouleaux d’un diamètre extérieur d'au moins 1 250 mm mais n’excédant pas 1 350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 xml:space="preserve"> d'une épaisseur (tolérance - 0,006 mm) de 0,15 mm, 0,16 mm, 0,18 mm ou 0,20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largeur (tolérance ± 0,3 mm) de 12,5 mm, 15,0 mm, 16,0 mm, 25,0 mm, 35,0 mm, 50,0 mm ou 356 mm,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d’une tolérance de courbure n’excédant pas 0,4 mm/750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présentant une mesure de la planéité: I = ±4,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dont la résistance à la traction est supérieure à (5182-H19) 365 MPa ou (5052-H19) 320 MPa,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dont l’allongement à la rupture est supérieur à (5182-H19) 3 % ou (5052-H19) 2,5 %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destinée à être utilisée dans la fabrication de lamelles de stores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7609 00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Accessoires de tuyauterie en aluminium destinés à être fixés sur les radiateurs de motocycles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8104 11 00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Magnésium sous forme brute, contenant au moins 99,8 % en poids de magnésium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Poudre de magnésium: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pureté de 98 % (en poids) au minimum et de 99,5 % au maximum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granulométrie de 0,2 mm au minimum et de 0,8 mm au maximum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8302 49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Poignée télescopique en aluminium, destinée à être utilisée dans la fabrication de bagages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91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Tête de pompe pour pompe à deux cylindres haute pression en acier forgé, avec: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raccords filetés fraisés d'un diamètre de 10 mm ou plus mais n'excédant pas 36,8 mm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canaux de combustible percés d'un diamètre de 3,5 mm ou plus mais n'excédant pas 10 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du type utilisé dans les systèmes d'injection diesel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65 000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Roue de compresseur en alliage d’aluminium: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 diamètre égal ou supérieur à 20 mm, mais n'excédant pas 130 mm,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 poids de 5 g ou plus mais n’excédant pas 800 g,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utilisée dans la fabrication de turbocompresseurs sans usinage supplémentaire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5 900 000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80 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Soupape d’échappement destinée à être utilisée dans la fabrication de systèmes d’évacuation des gaz d’échappement des motocycles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Cages en laiton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4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coulées en continu ou par centrifugation,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tournées,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contenant en poids 35 % ou plus, mais pas plus de 38 % d'étain,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contenant en poids 0,75 % ou plus, mais pas plus de 1,25 % de plomb,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contenant en poids 1,0 % ou plus, mais pas plus de 1,4 % d'aluminium,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résistance à la traction de 415 Pa ou plus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du type utilisé pour la fabrication de roulements à billes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30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Coussinets de glissement avec un dos en acier de qualité FEP01 (selon la norme EN 10130-1991) et une couche de glissement en bronze fritté et poly(tétrafluoroéthylène), destinés à des applications axiales dans les modules de suspension pour motocycles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09.2763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80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Moteur électrique à collecteur, monophasé, à courant alternatif, d’une puissance de sortie égale ou supérieure à 250 W, d’une puissance d’entrée supérieure à 700 W mais ne dépassant pas 2 700 W, d’un diamètre extérieur supérieur à 120 mm (± 0,2 mm) mais ne dépassant pas 135 mm (± 0,2 mm), d’une vitesse nominale supérieure à 30 000 t/min mais ne dépassant pas 50 000 t/min, équipé d’un ventilateur à induction d’air et destiné à être utilisé dans la fabrication d’aspirateurs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2 000 000 pièces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8504 40 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Redresseurs électriques d’une puissance n’excédant pas 1 kVA, utilisés dans la production d’appareils relevant des positions 8509 80 et 8510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4 500 000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8504 40 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Cartes d’alimentation électrique utilisées pour la fabrication des marchandises des positions 8521 et 8528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8526 91 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Ensemble pour système GPS ayant une fonction de détermination de position, sans affichage, d’un poids inférieur ou égal à 2 500 g incorporé ou non dans un boîtier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1.1-30.6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9405 40 39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Circuit imprimé avec diodes LED: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8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équipées ou non de prismes/lentilles,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dotées ou non d'un ou plusieurs connecteurs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 à la fabrication d’unités de rétroéclairage pour des marchandises de la position 8528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115 000 000 pièces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09.2003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Générateur de fréquence piloté en tension, constitué d’éléments actifs et passifs fixés sur un circuit imprimé, enserré dans un boitier dont les dimensions n’excèdent pas 30 mm x 30 mm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1 400 000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Support de fixation en alliage d'aluminium, perforé de trous de fixation, avec ou sans écrous de serrage, pour attacher indirectement la boîte de vitesse à la carrosserie, destiné à être utilisé dans la fabrication des marchandises du chapitre 87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Brides de fixation d'essieu, carters de protection, ponts de fourche et brides de serrage, en alliage d'aluminium, d'un type utilisé pour les motocycles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Pistons pour systèmes de suspension, d'un diamètre n'excédant pas 55 mm, en acier fritté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09.2668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Cadre de bicyclette en fibres de carbone et résine artificielle, destiné à la fabrication des bicyclettes (y compris les vélos électriques)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350 000 pièces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9001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Lentilles, prismes et éléments collés, en verre, non montés, destinés à la fabrication ou la réparation d’articles relevant des codes NC 9002, 9005, 901310 et 9015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9027 10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Sonde lambda destinée à être incorporée de manière permanente dans les systèmes d’évacuation des gaz d’échappement des motocycles </w:t>
            </w:r>
            <w:r>
              <w:rPr>
                <w:rStyle w:val="FootnoteReference"/>
                <w:noProof/>
                <w:lang w:val="fr-BE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</w:tbl>
    <w:p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Toutefois, la suspension des droits de douane ne s’applique pas lorsque la transformation est effectuée par des entreprises de vente au détail ou de restauration.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La suspension des droits est subordonnée à la surveillance douanière de la destination particulière conformément à l'article 254 du règlement (UE) no 952/2013 du Parlement Européen et du Conseil du 9 octobre 2013 établissant le code des douanes de l'Union (JO L 269 du 10.10.2013, p. 1).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Seul le droit ad valorem est suspendu. Le droit spécifique continue de s’appliquer.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1-14 14:20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FigNum" w:val="1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E901C38A-9522-426B-A2E2-B9D3D78A0E6E"/>
    <w:docVar w:name="LW_COVERPAGE_TYPE" w:val="1"/>
    <w:docVar w:name="LW_CROSSREFERENCE" w:val="&lt;UNUSED&gt;"/>
    <w:docVar w:name="LW_DocType" w:val="ANNEX"/>
    <w:docVar w:name="LW_EMISSION" w:val="15.11.2018"/>
    <w:docVar w:name="LW_EMISSION_ISODATE" w:val="2018-11-15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&lt;LWCR:NBS&gt;règlement (UE) n°&lt;LWCR:NBS&gt;1388/2013 portant ouverture et&lt;LWCR:NBS&gt;mode de&lt;LWCR:NBS&gt;gestion de&lt;LWCR:NBS&gt;contingents tarifaires autonomes de&lt;LWCR:NBS&gt;l'Union pour certains produits agricoles et&lt;LWCR:NBS&gt;industriels"/>
    <w:docVar w:name="LW_OBJETACTEPRINCIPAL.CP" w:val="modifiant le règlement (UE) n° 1388/2013 portant ouverture et mode de gestion de contingents tarifaires autonomes de l'Union pour certains produits agricoles et industriels"/>
    <w:docVar w:name="LW_PART_NBR" w:val="1"/>
    <w:docVar w:name="LW_PART_NBR_TOTAL" w:val="1"/>
    <w:docVar w:name="LW_REF.INST.NEW" w:val="COM"/>
    <w:docVar w:name="LW_REF.INST.NEW_ADOPTED" w:val="final"/>
    <w:docVar w:name="LW_REF.INST.NEW_TEXT" w:val="(2018) 7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4542-0F7E-4961-A441-54846DC0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10</Pages>
  <Words>4360</Words>
  <Characters>20188</Characters>
  <Application>Microsoft Office Word</Application>
  <DocSecurity>0</DocSecurity>
  <Lines>1442</Lines>
  <Paragraphs>1168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DIGIT/C6</cp:lastModifiedBy>
  <cp:revision>8</cp:revision>
  <cp:lastPrinted>2018-10-22T11:15:00Z</cp:lastPrinted>
  <dcterms:created xsi:type="dcterms:W3CDTF">2018-11-05T12:03:00Z</dcterms:created>
  <dcterms:modified xsi:type="dcterms:W3CDTF">2018-11-14T13:20:00Z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