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71892E7-F380-4982-9727-749DD4C18380"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hAnsi="Times New Roman"/>
          <w:b/>
          <w:noProof/>
          <w:sz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по силата на Регламент (ЕO) № 638/2004 на Европейския парламент и на Съвета за статистиката на Общността, свързана с търговията със стоки между държавите членки</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Контекст</w:t>
      </w:r>
    </w:p>
    <w:p>
      <w:pPr>
        <w:spacing w:before="120" w:after="120" w:line="240" w:lineRule="auto"/>
        <w:ind w:left="850"/>
        <w:jc w:val="both"/>
        <w:rPr>
          <w:rFonts w:ascii="Times New Roman" w:hAnsi="Times New Roman"/>
          <w:noProof/>
          <w:sz w:val="24"/>
        </w:rPr>
      </w:pPr>
      <w:r>
        <w:rPr>
          <w:rFonts w:ascii="Times New Roman" w:hAnsi="Times New Roman"/>
          <w:noProof/>
          <w:sz w:val="24"/>
        </w:rPr>
        <w:t>С Регламент (ЕО) № 638/2004 на Европейския парламент и на Съвета от 31 март 2004 г. за статистиката на Общността, свързана с търговията със стоки между държавите членки</w:t>
      </w:r>
      <w:r>
        <w:rPr>
          <w:rStyle w:val="FootnoteReference"/>
          <w:rFonts w:ascii="Times New Roman" w:hAnsi="Times New Roman"/>
          <w:noProof/>
          <w:sz w:val="24"/>
        </w:rPr>
        <w:footnoteReference w:id="1"/>
      </w:r>
      <w:r>
        <w:rPr>
          <w:rFonts w:ascii="Times New Roman" w:hAnsi="Times New Roman"/>
          <w:noProof/>
          <w:sz w:val="24"/>
        </w:rPr>
        <w:t>, на Комисията е предоставено правомощието да приема делегирани актове в съответствие с член 13а. С член 3, параграф 4 и член 10, параграфи 3 — 5 на Комисията се предоставя правомощието да приема, в съответствие с член 13а, делегирани актове, които:</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се отнасят до различни или специфични правила, приложими за специфични стоки или движения;</w:t>
      </w:r>
    </w:p>
    <w:p>
      <w:pPr>
        <w:numPr>
          <w:ilvl w:val="0"/>
          <w:numId w:val="2"/>
        </w:numPr>
        <w:spacing w:after="0" w:line="240" w:lineRule="auto"/>
        <w:contextualSpacing/>
        <w:jc w:val="both"/>
        <w:rPr>
          <w:rFonts w:ascii="Times New Roman" w:hAnsi="Times New Roman"/>
          <w:noProof/>
          <w:sz w:val="24"/>
        </w:rPr>
      </w:pPr>
      <w:r>
        <w:rPr>
          <w:rFonts w:ascii="Times New Roman" w:hAnsi="Times New Roman"/>
          <w:noProof/>
          <w:sz w:val="24"/>
        </w:rPr>
        <w:t>имат за цел адаптиране на нивата на обхват на Интрастат към техническото и икономическото развитие, когато е възможно те да бъдат намалени, като същевременно се запазва статистиката, която отговаря на показателите за качество и стандартите, които са в сила; както и</w:t>
      </w:r>
    </w:p>
    <w:p>
      <w:pPr>
        <w:numPr>
          <w:ilvl w:val="0"/>
          <w:numId w:val="2"/>
        </w:numPr>
        <w:spacing w:before="120" w:after="120" w:line="240" w:lineRule="auto"/>
        <w:contextualSpacing/>
        <w:jc w:val="both"/>
        <w:rPr>
          <w:rFonts w:ascii="Times New Roman" w:hAnsi="Times New Roman"/>
          <w:noProof/>
          <w:sz w:val="24"/>
        </w:rPr>
      </w:pPr>
      <w:r>
        <w:rPr>
          <w:rFonts w:ascii="Times New Roman" w:hAnsi="Times New Roman"/>
          <w:noProof/>
          <w:sz w:val="24"/>
        </w:rPr>
        <w:t>имат за цел конкретизиране на условията за определяне на други прагове, под които страните могат да се възползват от някои видове опростяване; както и</w:t>
      </w:r>
    </w:p>
    <w:p>
      <w:pPr>
        <w:numPr>
          <w:ilvl w:val="0"/>
          <w:numId w:val="2"/>
        </w:numPr>
        <w:spacing w:before="120" w:after="120" w:line="240" w:lineRule="auto"/>
        <w:contextualSpacing/>
        <w:jc w:val="both"/>
        <w:rPr>
          <w:rFonts w:ascii="Times New Roman" w:hAnsi="Times New Roman"/>
          <w:noProof/>
          <w:sz w:val="24"/>
        </w:rPr>
      </w:pPr>
      <w:r>
        <w:rPr>
          <w:rFonts w:ascii="Times New Roman" w:hAnsi="Times New Roman"/>
          <w:noProof/>
          <w:sz w:val="24"/>
        </w:rPr>
        <w:t>имат за цел конкретизиране на условията, които отговарят на изискванията за качество и при които държавите членки могат да опростят информацията, която се предоставя за малки индивидуални сделки, при условие че опростяването не оказва отрицателно въздействие върху качеството на статистическите данни.</w:t>
      </w:r>
    </w:p>
    <w:p>
      <w:pPr>
        <w:spacing w:before="120" w:after="120" w:line="240" w:lineRule="auto"/>
        <w:ind w:left="1570"/>
        <w:contextualSpacing/>
        <w:jc w:val="both"/>
        <w:rPr>
          <w:rFonts w:ascii="Times New Roman" w:hAnsi="Times New Roman"/>
          <w:noProof/>
          <w:sz w:val="24"/>
        </w:rPr>
      </w:pPr>
    </w:p>
    <w:p>
      <w:pPr>
        <w:spacing w:before="120" w:after="120" w:line="240" w:lineRule="auto"/>
        <w:ind w:left="850"/>
        <w:jc w:val="both"/>
        <w:rPr>
          <w:rFonts w:ascii="Times New Roman" w:hAnsi="Times New Roman"/>
          <w:noProof/>
          <w:sz w:val="24"/>
        </w:rPr>
      </w:pPr>
      <w:r>
        <w:rPr>
          <w:rFonts w:ascii="Times New Roman" w:hAnsi="Times New Roman"/>
          <w:noProof/>
          <w:sz w:val="24"/>
        </w:rPr>
        <w:t>Освен това с член 12, параграф 1, буква а) на Комисията се предоставя правомощието да приема делегирани актове за определяне на агрегираната информация за месечните резултати от статистиката, свързана с търговията със стоки между държавите членки, които следва да се предават от държавите членки на Комисията (Евростат) не по-късно от 40 календарни дни след края на съответния месец. В тези делегирани актове се отчита съответното икономическо и техническо развитие.</w:t>
      </w:r>
    </w:p>
    <w:p>
      <w:pPr>
        <w:spacing w:before="120" w:after="120" w:line="240" w:lineRule="auto"/>
        <w:ind w:left="850"/>
        <w:jc w:val="both"/>
        <w:rPr>
          <w:rFonts w:ascii="Times New Roman" w:hAnsi="Times New Roman"/>
          <w:noProof/>
          <w:sz w:val="24"/>
        </w:rPr>
      </w:pPr>
      <w:r>
        <w:rPr>
          <w:rFonts w:ascii="Times New Roman" w:hAnsi="Times New Roman"/>
          <w:noProof/>
          <w:sz w:val="24"/>
        </w:rPr>
        <w:t>Съгласно член 13а, параграф 3 от регламента правомощието за приемане на делегирани актове се предоставя за срок от пет години, считано от 17 юли 2014 г. Правомощието се продължава мълчаливо за срокове от по пет години, освен ако Европейският парламент или Съветът не представят възражения.</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има задължението да изготви доклад относно делегирането на правомощия не по-късно от девет месеца преди изтичането на петгодишния срок.</w:t>
      </w:r>
    </w:p>
    <w:p>
      <w:pPr>
        <w:spacing w:before="120" w:after="120" w:line="240" w:lineRule="auto"/>
        <w:ind w:left="850"/>
        <w:jc w:val="both"/>
        <w:rPr>
          <w:rFonts w:ascii="Times New Roman" w:hAnsi="Times New Roman"/>
          <w:noProof/>
          <w:sz w:val="24"/>
        </w:rPr>
      </w:pPr>
      <w:r>
        <w:rPr>
          <w:rFonts w:ascii="Times New Roman" w:hAnsi="Times New Roman"/>
          <w:noProof/>
          <w:sz w:val="24"/>
        </w:rPr>
        <w:t>Настоящият доклад е в изпълнение на това задължение.</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Упражняване на делегирани правомощия от страна на Комисията съгласно Регламент (ЕО) № 638/2004</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все още не е упражнила правомощието за приемане на делегирани актове, предоставено ѝ по силата на Регламент (ЕО) № 638/2004.</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Причината е следната: правомощията, делегирани с член 3, параграф 4, член 10, параграфи 3 — 5 и член 12, параграф 1, буква а), са от 2014 г.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Оттогава насам не е възникнала необходимост да се определят различни или специфични правила, приложими за специфични стоки или движения, както е посочено в член 3, параграф 4, да се намалява нивото на обхват на Интрастат, както е посочено в член 10, параграф 3, нито да се определят условия за опростяването, както е посочено в член 10, параграфи 4 и 5. </w:t>
      </w:r>
    </w:p>
    <w:p>
      <w:pPr>
        <w:spacing w:before="120" w:after="120" w:line="240" w:lineRule="auto"/>
        <w:ind w:left="850"/>
        <w:jc w:val="both"/>
        <w:rPr>
          <w:rFonts w:ascii="Times New Roman" w:hAnsi="Times New Roman"/>
          <w:noProof/>
          <w:sz w:val="24"/>
        </w:rPr>
      </w:pPr>
      <w:r>
        <w:rPr>
          <w:rFonts w:ascii="Times New Roman" w:hAnsi="Times New Roman"/>
          <w:noProof/>
          <w:sz w:val="24"/>
        </w:rPr>
        <w:t>Също така не е било необходимо да се определя агрегираната информация за месечните резултати, които следва да се предават от държавите членки на Комисията (Евростат), както е посочено в член 12, параграф 1, буква а).</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Заключения</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все още не е упражнила правомощието за приемане на делегирани актове, предоставено ѝ с Регламент (ЕО) № 638/2004.</w:t>
      </w:r>
    </w:p>
    <w:p>
      <w:pPr>
        <w:spacing w:before="120" w:after="120" w:line="240" w:lineRule="auto"/>
        <w:ind w:left="850"/>
        <w:jc w:val="both"/>
        <w:rPr>
          <w:noProof/>
        </w:rPr>
      </w:pPr>
      <w:r>
        <w:rPr>
          <w:rFonts w:ascii="Times New Roman" w:hAnsi="Times New Roman"/>
          <w:noProof/>
          <w:sz w:val="24"/>
        </w:rPr>
        <w:t>Комисията е на мнение, че следва да продължи да разполага с делегираните правомощия, предоставени ѝ с член 13а от Регламент (ЕО) № 638/2004, тъй като в бъдеще може да се наложи те да бъдат упражнявани.</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Style w:val="Emphasis"/>
          <w:rFonts w:ascii="Times New Roman" w:hAnsi="Times New Roman"/>
          <w:i w:val="0"/>
          <w:color w:val="auto"/>
          <w:specVanish w:val="0"/>
        </w:rPr>
        <w:t>ОВ L 102, 7.4.2004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1892E7-F380-4982-9727-749DD4C18380"/>
    <w:docVar w:name="LW_COVERPAGE_TYPE" w:val="1"/>
    <w:docVar w:name="LW_CROSSREFERENCE" w:val="&lt;UNUSED&gt;"/>
    <w:docVar w:name="LW_DocType" w:val="NORMAL"/>
    <w:docVar w:name="LW_EMISSION" w:val="20.11.2018"/>
    <w:docVar w:name="LW_EMISSION_ISODATE" w:val="2018-11-2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O) \u8470? 638/2004 \u1085?\u1072? \u1045?\u1074?\u1088?\u1086?\u1087?\u1077?\u1081?\u1089?\u1082?\u1080?\u1103? \u1087?\u1072?\u1088?\u1083?\u1072?\u1084?\u1077?\u1085?\u1090? \u1080? \u1085?\u1072? \u1057?\u1098?\u1074?\u1077?\u1090?\u1072? \u1079?\u1072? \u1089?\u1090?\u1072?\u1090?\u1080?\u1089?\u1090?\u1080?\u1082?\u1072?\u1090?\u1072? \u1085?\u1072? \u1054?\u1073?\u1097?\u1085?\u1086?\u1089?\u1090?\u1090?\u1072?, \u1089?\u1074?\u1098?\u1088?\u1079?\u1072?\u1085?\u1072? \u1089? \u1090?\u1098?\u1088?\u1075?\u1086?\u1074?\u1080?\u1103?\u1090?\u1072? \u1089?\u1098?\u1089? \u1089?\u1090?\u1086?\u1082?\u1080? \u1084?\u1077?\u1078?\u1076?\u1091? \u1076?\u1098?\u1088?\u1078?\u1072?\u1074?\u1080?\u1090?\u1077? \u1095?\u1083?\u1077?\u1085?\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693B-2C59-4571-B3CF-4DC56B32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588</Words>
  <Characters>3205</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2018-07-25T07:34:00Z</cp:lastPrinted>
  <dcterms:created xsi:type="dcterms:W3CDTF">2018-07-25T07:32:00Z</dcterms:created>
  <dcterms:modified xsi:type="dcterms:W3CDTF">2018-11-13T14:19:00Z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