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CC0" w:rsidRDefault="00242021">
      <w:pPr>
        <w:pStyle w:val="Pagedecouverture"/>
        <w:rPr>
          <w:noProof/>
          <w:lang w:val="en-GB"/>
        </w:rPr>
      </w:pPr>
      <w:bookmarkStart w:id="0" w:name="LW_BM_COVERPAGE"/>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46A97F22-6518-4683-B64C-6CAB130914E8" style="width:450.25pt;height:348.85pt">
            <v:imagedata r:id="rId8" o:title=""/>
          </v:shape>
        </w:pict>
      </w:r>
    </w:p>
    <w:bookmarkEnd w:id="0"/>
    <w:p w:rsidR="00723CC0" w:rsidRDefault="00723CC0">
      <w:pPr>
        <w:rPr>
          <w:noProof/>
          <w:lang w:val="en-GB"/>
        </w:rPr>
        <w:sectPr w:rsidR="00723CC0">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723CC0" w:rsidRDefault="00242021">
      <w:pPr>
        <w:rPr>
          <w:rFonts w:ascii="Times New Roman" w:hAnsi="Times New Roman" w:cs="Times New Roman"/>
          <w:b/>
          <w:noProof/>
          <w:sz w:val="24"/>
          <w:szCs w:val="24"/>
          <w:lang w:val="fr-BE"/>
        </w:rPr>
      </w:pPr>
      <w:r>
        <w:rPr>
          <w:rFonts w:ascii="Times New Roman" w:hAnsi="Times New Roman"/>
          <w:b/>
          <w:noProof/>
          <w:sz w:val="24"/>
          <w:lang w:val="fr-BE"/>
        </w:rPr>
        <w:lastRenderedPageBreak/>
        <w:t>TABLE DES MATIÈRES</w:t>
      </w:r>
    </w:p>
    <w:p w:rsidR="00723CC0" w:rsidRDefault="00242021">
      <w:pPr>
        <w:pStyle w:val="TOC1"/>
        <w:tabs>
          <w:tab w:val="right" w:leader="dot" w:pos="9062"/>
        </w:tabs>
        <w:rPr>
          <w:rFonts w:asciiTheme="minorHAnsi" w:eastAsiaTheme="minorEastAsia" w:hAnsiTheme="minorHAnsi"/>
          <w:noProof/>
          <w:sz w:val="22"/>
          <w:lang w:val="fr-BE" w:eastAsia="en-GB" w:bidi="ar-SA"/>
        </w:rPr>
      </w:pPr>
      <w:r>
        <w:rPr>
          <w:rFonts w:asciiTheme="minorHAnsi" w:hAnsiTheme="minorHAnsi" w:cs="Times New Roman"/>
          <w:noProof/>
          <w:sz w:val="22"/>
          <w:szCs w:val="24"/>
        </w:rPr>
        <w:fldChar w:fldCharType="begin"/>
      </w:r>
      <w:r>
        <w:rPr>
          <w:rFonts w:asciiTheme="minorHAnsi" w:hAnsiTheme="minorHAnsi" w:cs="Times New Roman"/>
          <w:noProof/>
          <w:sz w:val="22"/>
          <w:szCs w:val="24"/>
          <w:lang w:val="fr-BE"/>
        </w:rPr>
        <w:instrText xml:space="preserve"> TOC \o "1-3" \u </w:instrText>
      </w:r>
      <w:r>
        <w:rPr>
          <w:rFonts w:asciiTheme="minorHAnsi" w:hAnsiTheme="minorHAnsi" w:cs="Times New Roman"/>
          <w:noProof/>
          <w:sz w:val="22"/>
          <w:szCs w:val="24"/>
        </w:rPr>
        <w:fldChar w:fldCharType="separate"/>
      </w:r>
      <w:r>
        <w:rPr>
          <w:noProof/>
          <w:lang w:val="fr-BE"/>
        </w:rPr>
        <w:t>AVANT-PROPOS</w:t>
      </w:r>
      <w:r>
        <w:rPr>
          <w:noProof/>
          <w:lang w:val="fr-BE"/>
        </w:rPr>
        <w:tab/>
      </w:r>
      <w:r>
        <w:rPr>
          <w:noProof/>
        </w:rPr>
        <w:fldChar w:fldCharType="begin"/>
      </w:r>
      <w:r>
        <w:rPr>
          <w:noProof/>
          <w:lang w:val="fr-BE"/>
        </w:rPr>
        <w:instrText xml:space="preserve"> PAGEREF _Toc530495140 \h </w:instrText>
      </w:r>
      <w:r>
        <w:rPr>
          <w:noProof/>
        </w:rPr>
      </w:r>
      <w:r>
        <w:rPr>
          <w:noProof/>
        </w:rPr>
        <w:fldChar w:fldCharType="separate"/>
      </w:r>
      <w:r>
        <w:rPr>
          <w:noProof/>
          <w:lang w:val="fr-BE"/>
        </w:rPr>
        <w:t>2</w:t>
      </w:r>
      <w:r>
        <w:rPr>
          <w:noProof/>
        </w:rPr>
        <w:fldChar w:fldCharType="end"/>
      </w:r>
    </w:p>
    <w:p w:rsidR="00723CC0" w:rsidRDefault="00242021">
      <w:pPr>
        <w:pStyle w:val="TOC1"/>
        <w:tabs>
          <w:tab w:val="right" w:leader="dot" w:pos="9062"/>
        </w:tabs>
        <w:rPr>
          <w:rFonts w:asciiTheme="minorHAnsi" w:eastAsiaTheme="minorEastAsia" w:hAnsiTheme="minorHAnsi"/>
          <w:noProof/>
          <w:sz w:val="22"/>
          <w:lang w:val="fr-BE" w:eastAsia="en-GB" w:bidi="ar-SA"/>
        </w:rPr>
      </w:pPr>
      <w:r>
        <w:rPr>
          <w:noProof/>
          <w:lang w:val="fr-BE"/>
        </w:rPr>
        <w:t>MESSAGES CLÉS</w:t>
      </w:r>
      <w:r>
        <w:rPr>
          <w:noProof/>
          <w:lang w:val="fr-BE"/>
        </w:rPr>
        <w:tab/>
      </w:r>
      <w:r>
        <w:rPr>
          <w:noProof/>
        </w:rPr>
        <w:fldChar w:fldCharType="begin"/>
      </w:r>
      <w:r>
        <w:rPr>
          <w:noProof/>
          <w:lang w:val="fr-BE"/>
        </w:rPr>
        <w:instrText xml:space="preserve"> PAGEREF _Toc530495141 \h </w:instrText>
      </w:r>
      <w:r>
        <w:rPr>
          <w:noProof/>
        </w:rPr>
      </w:r>
      <w:r>
        <w:rPr>
          <w:noProof/>
        </w:rPr>
        <w:fldChar w:fldCharType="separate"/>
      </w:r>
      <w:r>
        <w:rPr>
          <w:noProof/>
          <w:lang w:val="fr-BE"/>
        </w:rPr>
        <w:t>3</w:t>
      </w:r>
      <w:r>
        <w:rPr>
          <w:noProof/>
        </w:rPr>
        <w:fldChar w:fldCharType="end"/>
      </w:r>
    </w:p>
    <w:p w:rsidR="00723CC0" w:rsidRDefault="00242021">
      <w:pPr>
        <w:pStyle w:val="TOC1"/>
        <w:tabs>
          <w:tab w:val="left" w:pos="660"/>
          <w:tab w:val="right" w:leader="dot" w:pos="9062"/>
        </w:tabs>
        <w:ind w:left="426" w:hanging="426"/>
        <w:rPr>
          <w:rFonts w:asciiTheme="minorHAnsi" w:eastAsiaTheme="minorEastAsia" w:hAnsiTheme="minorHAnsi"/>
          <w:noProof/>
          <w:sz w:val="22"/>
          <w:lang w:val="fr-BE" w:eastAsia="en-GB" w:bidi="ar-SA"/>
        </w:rPr>
      </w:pPr>
      <w:r>
        <w:rPr>
          <w:noProof/>
          <w:lang w:val="fr-BE"/>
        </w:rPr>
        <w:t>1. </w:t>
      </w:r>
      <w:r>
        <w:rPr>
          <w:rFonts w:asciiTheme="minorHAnsi" w:eastAsiaTheme="minorEastAsia" w:hAnsiTheme="minorHAnsi"/>
          <w:noProof/>
          <w:sz w:val="22"/>
          <w:lang w:val="fr-BE" w:eastAsia="en-GB" w:bidi="ar-SA"/>
        </w:rPr>
        <w:tab/>
      </w:r>
      <w:r>
        <w:rPr>
          <w:noProof/>
          <w:lang w:val="fr-BE"/>
        </w:rPr>
        <w:t xml:space="preserve">APERÇU DU MARCHÉ DU TRAVAIL ET DES TENDANCES ET ENJEUX SOCIAUX DANS L’UNION </w:t>
      </w:r>
      <w:r>
        <w:rPr>
          <w:noProof/>
          <w:lang w:val="fr-BE"/>
        </w:rPr>
        <w:t>EUROPÉENNE</w:t>
      </w:r>
      <w:r>
        <w:rPr>
          <w:noProof/>
          <w:lang w:val="fr-BE"/>
        </w:rPr>
        <w:tab/>
      </w:r>
      <w:r>
        <w:rPr>
          <w:noProof/>
        </w:rPr>
        <w:fldChar w:fldCharType="begin"/>
      </w:r>
      <w:r>
        <w:rPr>
          <w:noProof/>
          <w:lang w:val="fr-BE"/>
        </w:rPr>
        <w:instrText xml:space="preserve"> PAGEREF _Toc530495142 \h </w:instrText>
      </w:r>
      <w:r>
        <w:rPr>
          <w:noProof/>
        </w:rPr>
      </w:r>
      <w:r>
        <w:rPr>
          <w:noProof/>
        </w:rPr>
        <w:fldChar w:fldCharType="separate"/>
      </w:r>
      <w:r>
        <w:rPr>
          <w:noProof/>
          <w:lang w:val="fr-BE"/>
        </w:rPr>
        <w:t>14</w:t>
      </w:r>
      <w:r>
        <w:rPr>
          <w:noProof/>
        </w:rPr>
        <w:fldChar w:fldCharType="end"/>
      </w:r>
    </w:p>
    <w:p w:rsidR="00723CC0" w:rsidRDefault="00242021">
      <w:pPr>
        <w:pStyle w:val="TOC3"/>
        <w:tabs>
          <w:tab w:val="left" w:pos="1100"/>
          <w:tab w:val="right" w:leader="dot" w:pos="9062"/>
        </w:tabs>
        <w:rPr>
          <w:rFonts w:asciiTheme="minorHAnsi" w:eastAsiaTheme="minorEastAsia" w:hAnsiTheme="minorHAnsi"/>
          <w:noProof/>
          <w:sz w:val="22"/>
          <w:lang w:val="fr-BE" w:eastAsia="en-GB" w:bidi="ar-SA"/>
        </w:rPr>
      </w:pPr>
      <w:r>
        <w:rPr>
          <w:noProof/>
          <w:lang w:val="fr-BE"/>
        </w:rPr>
        <w:t>1.1</w:t>
      </w:r>
      <w:r>
        <w:rPr>
          <w:rFonts w:asciiTheme="minorHAnsi" w:eastAsiaTheme="minorEastAsia" w:hAnsiTheme="minorHAnsi"/>
          <w:noProof/>
          <w:sz w:val="22"/>
          <w:lang w:val="fr-BE" w:eastAsia="en-GB" w:bidi="ar-SA"/>
        </w:rPr>
        <w:tab/>
      </w:r>
      <w:r>
        <w:rPr>
          <w:noProof/>
          <w:lang w:val="fr-BE"/>
        </w:rPr>
        <w:t>Évolution du marché du travail</w:t>
      </w:r>
      <w:r>
        <w:rPr>
          <w:noProof/>
          <w:lang w:val="fr-BE"/>
        </w:rPr>
        <w:tab/>
      </w:r>
      <w:r>
        <w:rPr>
          <w:noProof/>
        </w:rPr>
        <w:fldChar w:fldCharType="begin"/>
      </w:r>
      <w:r>
        <w:rPr>
          <w:noProof/>
          <w:lang w:val="fr-BE"/>
        </w:rPr>
        <w:instrText xml:space="preserve"> PAGEREF _Toc530495143 \h </w:instrText>
      </w:r>
      <w:r>
        <w:rPr>
          <w:noProof/>
        </w:rPr>
      </w:r>
      <w:r>
        <w:rPr>
          <w:noProof/>
        </w:rPr>
        <w:fldChar w:fldCharType="separate"/>
      </w:r>
      <w:r>
        <w:rPr>
          <w:noProof/>
          <w:lang w:val="fr-BE"/>
        </w:rPr>
        <w:t>14</w:t>
      </w:r>
      <w:r>
        <w:rPr>
          <w:noProof/>
        </w:rPr>
        <w:fldChar w:fldCharType="end"/>
      </w:r>
    </w:p>
    <w:p w:rsidR="00723CC0" w:rsidRDefault="00242021">
      <w:pPr>
        <w:pStyle w:val="TOC3"/>
        <w:tabs>
          <w:tab w:val="left" w:pos="1100"/>
          <w:tab w:val="right" w:leader="dot" w:pos="9062"/>
        </w:tabs>
        <w:rPr>
          <w:rFonts w:asciiTheme="minorHAnsi" w:eastAsiaTheme="minorEastAsia" w:hAnsiTheme="minorHAnsi"/>
          <w:noProof/>
          <w:sz w:val="22"/>
          <w:lang w:val="fr-BE" w:eastAsia="en-GB" w:bidi="ar-SA"/>
        </w:rPr>
      </w:pPr>
      <w:r>
        <w:rPr>
          <w:noProof/>
          <w:lang w:val="fr-BE"/>
        </w:rPr>
        <w:t>1.2</w:t>
      </w:r>
      <w:r>
        <w:rPr>
          <w:rFonts w:asciiTheme="minorHAnsi" w:eastAsiaTheme="minorEastAsia" w:hAnsiTheme="minorHAnsi"/>
          <w:noProof/>
          <w:sz w:val="22"/>
          <w:lang w:val="fr-BE" w:eastAsia="en-GB" w:bidi="ar-SA"/>
        </w:rPr>
        <w:tab/>
      </w:r>
      <w:r>
        <w:rPr>
          <w:noProof/>
          <w:lang w:val="fr-BE"/>
        </w:rPr>
        <w:t>Tendances soc</w:t>
      </w:r>
      <w:r>
        <w:rPr>
          <w:noProof/>
          <w:lang w:val="fr-BE"/>
        </w:rPr>
        <w:t>iales</w:t>
      </w:r>
      <w:r>
        <w:rPr>
          <w:noProof/>
          <w:lang w:val="fr-BE"/>
        </w:rPr>
        <w:tab/>
      </w:r>
      <w:r>
        <w:rPr>
          <w:noProof/>
        </w:rPr>
        <w:fldChar w:fldCharType="begin"/>
      </w:r>
      <w:r>
        <w:rPr>
          <w:noProof/>
          <w:lang w:val="fr-BE"/>
        </w:rPr>
        <w:instrText xml:space="preserve"> PAGEREF _Toc530495144 \h </w:instrText>
      </w:r>
      <w:r>
        <w:rPr>
          <w:noProof/>
        </w:rPr>
      </w:r>
      <w:r>
        <w:rPr>
          <w:noProof/>
        </w:rPr>
        <w:fldChar w:fldCharType="separate"/>
      </w:r>
      <w:r>
        <w:rPr>
          <w:noProof/>
          <w:lang w:val="fr-BE"/>
        </w:rPr>
        <w:t>20</w:t>
      </w:r>
      <w:r>
        <w:rPr>
          <w:noProof/>
        </w:rPr>
        <w:fldChar w:fldCharType="end"/>
      </w:r>
    </w:p>
    <w:p w:rsidR="00723CC0" w:rsidRDefault="00242021">
      <w:pPr>
        <w:pStyle w:val="TOC1"/>
        <w:tabs>
          <w:tab w:val="left" w:pos="660"/>
          <w:tab w:val="right" w:leader="dot" w:pos="9062"/>
        </w:tabs>
        <w:rPr>
          <w:rFonts w:asciiTheme="minorHAnsi" w:eastAsiaTheme="minorEastAsia" w:hAnsiTheme="minorHAnsi"/>
          <w:noProof/>
          <w:sz w:val="22"/>
          <w:lang w:val="fr-BE" w:eastAsia="en-GB" w:bidi="ar-SA"/>
        </w:rPr>
      </w:pPr>
      <w:r>
        <w:rPr>
          <w:noProof/>
          <w:lang w:val="fr-BE"/>
        </w:rPr>
        <w:t>2. </w:t>
      </w:r>
      <w:r>
        <w:rPr>
          <w:rFonts w:asciiTheme="minorHAnsi" w:eastAsiaTheme="minorEastAsia" w:hAnsiTheme="minorHAnsi"/>
          <w:noProof/>
          <w:sz w:val="22"/>
          <w:lang w:val="fr-BE" w:eastAsia="en-GB" w:bidi="ar-SA"/>
        </w:rPr>
        <w:tab/>
      </w:r>
      <w:r>
        <w:rPr>
          <w:noProof/>
          <w:lang w:val="fr-BE"/>
        </w:rPr>
        <w:t>INSTANTANÉS DU TABLEAU DE BORD SOCIAL</w:t>
      </w:r>
      <w:r>
        <w:rPr>
          <w:noProof/>
          <w:lang w:val="fr-BE"/>
        </w:rPr>
        <w:tab/>
      </w:r>
      <w:r>
        <w:rPr>
          <w:noProof/>
        </w:rPr>
        <w:fldChar w:fldCharType="begin"/>
      </w:r>
      <w:r>
        <w:rPr>
          <w:noProof/>
          <w:lang w:val="fr-BE"/>
        </w:rPr>
        <w:instrText xml:space="preserve"> PAGEREF _Toc530495145 \h </w:instrText>
      </w:r>
      <w:r>
        <w:rPr>
          <w:noProof/>
        </w:rPr>
      </w:r>
      <w:r>
        <w:rPr>
          <w:noProof/>
        </w:rPr>
        <w:fldChar w:fldCharType="separate"/>
      </w:r>
      <w:r>
        <w:rPr>
          <w:noProof/>
          <w:lang w:val="fr-BE"/>
        </w:rPr>
        <w:t>25</w:t>
      </w:r>
      <w:r>
        <w:rPr>
          <w:noProof/>
        </w:rPr>
        <w:fldChar w:fldCharType="end"/>
      </w:r>
    </w:p>
    <w:p w:rsidR="00723CC0" w:rsidRDefault="00242021">
      <w:pPr>
        <w:pStyle w:val="TOC3"/>
        <w:tabs>
          <w:tab w:val="left" w:pos="1100"/>
          <w:tab w:val="right" w:leader="dot" w:pos="9062"/>
        </w:tabs>
        <w:rPr>
          <w:rFonts w:asciiTheme="minorHAnsi" w:eastAsiaTheme="minorEastAsia" w:hAnsiTheme="minorHAnsi"/>
          <w:noProof/>
          <w:sz w:val="22"/>
          <w:lang w:val="fr-BE" w:eastAsia="en-GB" w:bidi="ar-SA"/>
        </w:rPr>
      </w:pPr>
      <w:r>
        <w:rPr>
          <w:noProof/>
          <w:lang w:val="fr-BE"/>
        </w:rPr>
        <w:t>2.1</w:t>
      </w:r>
      <w:r>
        <w:rPr>
          <w:rFonts w:asciiTheme="minorHAnsi" w:eastAsiaTheme="minorEastAsia" w:hAnsiTheme="minorHAnsi"/>
          <w:noProof/>
          <w:sz w:val="22"/>
          <w:lang w:val="fr-BE" w:eastAsia="en-GB" w:bidi="ar-SA"/>
        </w:rPr>
        <w:tab/>
      </w:r>
      <w:r>
        <w:rPr>
          <w:noProof/>
          <w:lang w:val="fr-BE"/>
        </w:rPr>
        <w:t xml:space="preserve">Le tableau </w:t>
      </w:r>
      <w:r>
        <w:rPr>
          <w:noProof/>
          <w:lang w:val="fr-BE"/>
        </w:rPr>
        <w:t>de bord expliqué</w:t>
      </w:r>
      <w:r>
        <w:rPr>
          <w:noProof/>
          <w:lang w:val="fr-BE"/>
        </w:rPr>
        <w:tab/>
      </w:r>
      <w:r>
        <w:rPr>
          <w:noProof/>
        </w:rPr>
        <w:fldChar w:fldCharType="begin"/>
      </w:r>
      <w:r>
        <w:rPr>
          <w:noProof/>
          <w:lang w:val="fr-BE"/>
        </w:rPr>
        <w:instrText xml:space="preserve"> PAGEREF _Toc530495146 \h </w:instrText>
      </w:r>
      <w:r>
        <w:rPr>
          <w:noProof/>
        </w:rPr>
      </w:r>
      <w:r>
        <w:rPr>
          <w:noProof/>
        </w:rPr>
        <w:fldChar w:fldCharType="separate"/>
      </w:r>
      <w:r>
        <w:rPr>
          <w:noProof/>
          <w:lang w:val="fr-BE"/>
        </w:rPr>
        <w:t>25</w:t>
      </w:r>
      <w:r>
        <w:rPr>
          <w:noProof/>
        </w:rPr>
        <w:fldChar w:fldCharType="end"/>
      </w:r>
    </w:p>
    <w:p w:rsidR="00723CC0" w:rsidRDefault="00242021">
      <w:pPr>
        <w:pStyle w:val="TOC3"/>
        <w:tabs>
          <w:tab w:val="left" w:pos="1100"/>
          <w:tab w:val="right" w:leader="dot" w:pos="9062"/>
        </w:tabs>
        <w:rPr>
          <w:rFonts w:asciiTheme="minorHAnsi" w:eastAsiaTheme="minorEastAsia" w:hAnsiTheme="minorHAnsi"/>
          <w:noProof/>
          <w:sz w:val="22"/>
          <w:lang w:val="fr-BE" w:eastAsia="en-GB" w:bidi="ar-SA"/>
        </w:rPr>
      </w:pPr>
      <w:r>
        <w:rPr>
          <w:noProof/>
          <w:lang w:val="fr-BE"/>
        </w:rPr>
        <w:t>2.2</w:t>
      </w:r>
      <w:r>
        <w:rPr>
          <w:rFonts w:asciiTheme="minorHAnsi" w:eastAsiaTheme="minorEastAsia" w:hAnsiTheme="minorHAnsi"/>
          <w:noProof/>
          <w:sz w:val="22"/>
          <w:lang w:val="fr-BE" w:eastAsia="en-GB" w:bidi="ar-SA"/>
        </w:rPr>
        <w:tab/>
      </w:r>
      <w:r>
        <w:rPr>
          <w:noProof/>
          <w:lang w:val="fr-BE"/>
        </w:rPr>
        <w:t>Données du tableau de bord social</w:t>
      </w:r>
      <w:r>
        <w:rPr>
          <w:noProof/>
          <w:lang w:val="fr-BE"/>
        </w:rPr>
        <w:tab/>
      </w:r>
      <w:r>
        <w:rPr>
          <w:noProof/>
        </w:rPr>
        <w:fldChar w:fldCharType="begin"/>
      </w:r>
      <w:r>
        <w:rPr>
          <w:noProof/>
          <w:lang w:val="fr-BE"/>
        </w:rPr>
        <w:instrText xml:space="preserve"> PAGEREF _Toc530495147 \h </w:instrText>
      </w:r>
      <w:r>
        <w:rPr>
          <w:noProof/>
        </w:rPr>
      </w:r>
      <w:r>
        <w:rPr>
          <w:noProof/>
        </w:rPr>
        <w:fldChar w:fldCharType="separate"/>
      </w:r>
      <w:r>
        <w:rPr>
          <w:noProof/>
          <w:lang w:val="fr-BE"/>
        </w:rPr>
        <w:t>28</w:t>
      </w:r>
      <w:r>
        <w:rPr>
          <w:noProof/>
        </w:rPr>
        <w:fldChar w:fldCharType="end"/>
      </w:r>
    </w:p>
    <w:p w:rsidR="00723CC0" w:rsidRDefault="00242021">
      <w:pPr>
        <w:pStyle w:val="TOC1"/>
        <w:tabs>
          <w:tab w:val="left" w:pos="660"/>
          <w:tab w:val="right" w:leader="dot" w:pos="9062"/>
        </w:tabs>
        <w:ind w:left="426" w:hanging="426"/>
        <w:rPr>
          <w:rFonts w:asciiTheme="minorHAnsi" w:eastAsiaTheme="minorEastAsia" w:hAnsiTheme="minorHAnsi"/>
          <w:noProof/>
          <w:sz w:val="22"/>
          <w:lang w:val="fr-BE" w:eastAsia="en-GB" w:bidi="ar-SA"/>
        </w:rPr>
      </w:pPr>
      <w:r>
        <w:rPr>
          <w:noProof/>
          <w:lang w:val="fr-BE"/>
        </w:rPr>
        <w:t xml:space="preserve">3. </w:t>
      </w:r>
      <w:r>
        <w:rPr>
          <w:rFonts w:asciiTheme="minorHAnsi" w:eastAsiaTheme="minorEastAsia" w:hAnsiTheme="minorHAnsi"/>
          <w:noProof/>
          <w:sz w:val="22"/>
          <w:lang w:val="fr-BE" w:eastAsia="en-GB" w:bidi="ar-SA"/>
        </w:rPr>
        <w:tab/>
      </w:r>
      <w:r>
        <w:rPr>
          <w:noProof/>
          <w:lang w:val="fr-BE"/>
        </w:rPr>
        <w:t>EMPLO</w:t>
      </w:r>
      <w:r>
        <w:rPr>
          <w:noProof/>
          <w:lang w:val="fr-BE"/>
        </w:rPr>
        <w:t>I ET RÉFORMES SOCIALES – ACTION DES ÉTATS MEMBRES ET RÉSULTATS</w:t>
      </w:r>
      <w:r>
        <w:rPr>
          <w:noProof/>
          <w:lang w:val="fr-BE"/>
        </w:rPr>
        <w:tab/>
      </w:r>
      <w:r>
        <w:rPr>
          <w:noProof/>
        </w:rPr>
        <w:fldChar w:fldCharType="begin"/>
      </w:r>
      <w:r>
        <w:rPr>
          <w:noProof/>
          <w:lang w:val="fr-BE"/>
        </w:rPr>
        <w:instrText xml:space="preserve"> PAGEREF _Toc530495148 \h </w:instrText>
      </w:r>
      <w:r>
        <w:rPr>
          <w:noProof/>
        </w:rPr>
      </w:r>
      <w:r>
        <w:rPr>
          <w:noProof/>
        </w:rPr>
        <w:fldChar w:fldCharType="separate"/>
      </w:r>
      <w:r>
        <w:rPr>
          <w:noProof/>
          <w:lang w:val="fr-BE"/>
        </w:rPr>
        <w:t>35</w:t>
      </w:r>
      <w:r>
        <w:rPr>
          <w:noProof/>
        </w:rPr>
        <w:fldChar w:fldCharType="end"/>
      </w:r>
    </w:p>
    <w:p w:rsidR="00723CC0" w:rsidRDefault="00242021">
      <w:pPr>
        <w:pStyle w:val="TOC3"/>
        <w:tabs>
          <w:tab w:val="left" w:pos="1100"/>
          <w:tab w:val="right" w:leader="dot" w:pos="9062"/>
        </w:tabs>
        <w:rPr>
          <w:rFonts w:asciiTheme="minorHAnsi" w:eastAsiaTheme="minorEastAsia" w:hAnsiTheme="minorHAnsi"/>
          <w:noProof/>
          <w:sz w:val="22"/>
          <w:lang w:val="fr-BE" w:eastAsia="en-GB" w:bidi="ar-SA"/>
        </w:rPr>
      </w:pPr>
      <w:r>
        <w:rPr>
          <w:noProof/>
          <w:lang w:val="fr-BE"/>
        </w:rPr>
        <w:t xml:space="preserve">3.1 </w:t>
      </w:r>
      <w:r>
        <w:rPr>
          <w:rFonts w:asciiTheme="minorHAnsi" w:eastAsiaTheme="minorEastAsia" w:hAnsiTheme="minorHAnsi"/>
          <w:noProof/>
          <w:sz w:val="22"/>
          <w:lang w:val="fr-BE" w:eastAsia="en-GB" w:bidi="ar-SA"/>
        </w:rPr>
        <w:tab/>
      </w:r>
      <w:r>
        <w:rPr>
          <w:noProof/>
          <w:lang w:val="fr-BE"/>
        </w:rPr>
        <w:t>Ligne directrice nº 5: Stimuler la demande de travail</w:t>
      </w:r>
      <w:r>
        <w:rPr>
          <w:noProof/>
          <w:lang w:val="fr-BE"/>
        </w:rPr>
        <w:tab/>
      </w:r>
      <w:r>
        <w:rPr>
          <w:noProof/>
        </w:rPr>
        <w:fldChar w:fldCharType="begin"/>
      </w:r>
      <w:r>
        <w:rPr>
          <w:noProof/>
          <w:lang w:val="fr-BE"/>
        </w:rPr>
        <w:instrText xml:space="preserve"> PAGEREF _Toc530495149 \h </w:instrText>
      </w:r>
      <w:r>
        <w:rPr>
          <w:noProof/>
        </w:rPr>
      </w:r>
      <w:r>
        <w:rPr>
          <w:noProof/>
        </w:rPr>
        <w:fldChar w:fldCharType="separate"/>
      </w:r>
      <w:r>
        <w:rPr>
          <w:noProof/>
          <w:lang w:val="fr-BE"/>
        </w:rPr>
        <w:t>35</w:t>
      </w:r>
      <w:r>
        <w:rPr>
          <w:noProof/>
        </w:rPr>
        <w:fldChar w:fldCharType="end"/>
      </w:r>
    </w:p>
    <w:p w:rsidR="00723CC0" w:rsidRDefault="00242021">
      <w:pPr>
        <w:pStyle w:val="TOC3"/>
        <w:tabs>
          <w:tab w:val="left" w:pos="1320"/>
          <w:tab w:val="right" w:leader="dot" w:pos="9062"/>
        </w:tabs>
        <w:rPr>
          <w:rFonts w:asciiTheme="minorHAnsi" w:eastAsiaTheme="minorEastAsia" w:hAnsiTheme="minorHAnsi"/>
          <w:noProof/>
          <w:sz w:val="22"/>
          <w:lang w:val="fr-BE" w:eastAsia="en-GB" w:bidi="ar-SA"/>
        </w:rPr>
      </w:pPr>
      <w:r>
        <w:rPr>
          <w:noProof/>
          <w:lang w:val="fr-BE"/>
        </w:rPr>
        <w:t>3.1.1</w:t>
      </w:r>
      <w:r>
        <w:rPr>
          <w:rFonts w:asciiTheme="minorHAnsi" w:eastAsiaTheme="minorEastAsia" w:hAnsiTheme="minorHAnsi"/>
          <w:noProof/>
          <w:sz w:val="22"/>
          <w:lang w:val="fr-BE" w:eastAsia="en-GB" w:bidi="ar-SA"/>
        </w:rPr>
        <w:tab/>
      </w:r>
      <w:r>
        <w:rPr>
          <w:noProof/>
          <w:lang w:val="fr-BE"/>
        </w:rPr>
        <w:t>Indicateurs clés</w:t>
      </w:r>
      <w:r>
        <w:rPr>
          <w:noProof/>
          <w:lang w:val="fr-BE"/>
        </w:rPr>
        <w:tab/>
      </w:r>
      <w:r>
        <w:rPr>
          <w:noProof/>
        </w:rPr>
        <w:fldChar w:fldCharType="begin"/>
      </w:r>
      <w:r>
        <w:rPr>
          <w:noProof/>
          <w:lang w:val="fr-BE"/>
        </w:rPr>
        <w:instrText xml:space="preserve"> PAGEREF _Toc530495150 \h </w:instrText>
      </w:r>
      <w:r>
        <w:rPr>
          <w:noProof/>
        </w:rPr>
      </w:r>
      <w:r>
        <w:rPr>
          <w:noProof/>
        </w:rPr>
        <w:fldChar w:fldCharType="separate"/>
      </w:r>
      <w:r>
        <w:rPr>
          <w:noProof/>
          <w:lang w:val="fr-BE"/>
        </w:rPr>
        <w:t>36</w:t>
      </w:r>
      <w:r>
        <w:rPr>
          <w:noProof/>
        </w:rPr>
        <w:fldChar w:fldCharType="end"/>
      </w:r>
    </w:p>
    <w:p w:rsidR="00723CC0" w:rsidRDefault="00242021">
      <w:pPr>
        <w:pStyle w:val="TOC3"/>
        <w:tabs>
          <w:tab w:val="left" w:pos="1320"/>
          <w:tab w:val="right" w:leader="dot" w:pos="9062"/>
        </w:tabs>
        <w:rPr>
          <w:rFonts w:asciiTheme="minorHAnsi" w:eastAsiaTheme="minorEastAsia" w:hAnsiTheme="minorHAnsi"/>
          <w:noProof/>
          <w:sz w:val="22"/>
          <w:lang w:val="fr-BE" w:eastAsia="en-GB" w:bidi="ar-SA"/>
        </w:rPr>
      </w:pPr>
      <w:r>
        <w:rPr>
          <w:noProof/>
          <w:lang w:val="fr-BE"/>
        </w:rPr>
        <w:t>3.1.2</w:t>
      </w:r>
      <w:r>
        <w:rPr>
          <w:rFonts w:asciiTheme="minorHAnsi" w:eastAsiaTheme="minorEastAsia" w:hAnsiTheme="minorHAnsi"/>
          <w:noProof/>
          <w:sz w:val="22"/>
          <w:lang w:val="fr-BE" w:eastAsia="en-GB" w:bidi="ar-SA"/>
        </w:rPr>
        <w:tab/>
      </w:r>
      <w:r>
        <w:rPr>
          <w:noProof/>
          <w:lang w:val="fr-BE"/>
        </w:rPr>
        <w:t>Stratégies adoptées</w:t>
      </w:r>
      <w:r>
        <w:rPr>
          <w:noProof/>
          <w:lang w:val="fr-BE"/>
        </w:rPr>
        <w:tab/>
      </w:r>
      <w:r>
        <w:rPr>
          <w:noProof/>
        </w:rPr>
        <w:fldChar w:fldCharType="begin"/>
      </w:r>
      <w:r>
        <w:rPr>
          <w:noProof/>
          <w:lang w:val="fr-BE"/>
        </w:rPr>
        <w:instrText xml:space="preserve"> PAGEREF _Toc530495151 \h </w:instrText>
      </w:r>
      <w:r>
        <w:rPr>
          <w:noProof/>
        </w:rPr>
      </w:r>
      <w:r>
        <w:rPr>
          <w:noProof/>
        </w:rPr>
        <w:fldChar w:fldCharType="separate"/>
      </w:r>
      <w:r>
        <w:rPr>
          <w:noProof/>
          <w:lang w:val="fr-BE"/>
        </w:rPr>
        <w:t>51</w:t>
      </w:r>
      <w:r>
        <w:rPr>
          <w:noProof/>
        </w:rPr>
        <w:fldChar w:fldCharType="end"/>
      </w:r>
    </w:p>
    <w:p w:rsidR="00723CC0" w:rsidRDefault="00242021">
      <w:pPr>
        <w:pStyle w:val="TOC3"/>
        <w:tabs>
          <w:tab w:val="left" w:pos="1100"/>
          <w:tab w:val="right" w:leader="dot" w:pos="9062"/>
        </w:tabs>
        <w:rPr>
          <w:rFonts w:asciiTheme="minorHAnsi" w:eastAsiaTheme="minorEastAsia" w:hAnsiTheme="minorHAnsi"/>
          <w:noProof/>
          <w:sz w:val="22"/>
          <w:lang w:val="fr-BE" w:eastAsia="en-GB" w:bidi="ar-SA"/>
        </w:rPr>
      </w:pPr>
      <w:r>
        <w:rPr>
          <w:rFonts w:cs="Times New Roman"/>
          <w:noProof/>
          <w:lang w:val="fr-BE"/>
        </w:rPr>
        <w:t>3.2.</w:t>
      </w:r>
      <w:r>
        <w:rPr>
          <w:rFonts w:asciiTheme="minorHAnsi" w:eastAsiaTheme="minorEastAsia" w:hAnsiTheme="minorHAnsi"/>
          <w:noProof/>
          <w:sz w:val="22"/>
          <w:lang w:val="fr-BE" w:eastAsia="en-GB" w:bidi="ar-SA"/>
        </w:rPr>
        <w:tab/>
      </w:r>
      <w:r>
        <w:rPr>
          <w:noProof/>
          <w:lang w:val="fr-BE"/>
        </w:rPr>
        <w:t>Ligne directrice nº 6: Renforcer l’offre de travail et améliorer l’accès à l’emploi, les qualifications et les compétences</w:t>
      </w:r>
      <w:bookmarkStart w:id="1" w:name="_GoBack"/>
      <w:bookmarkEnd w:id="1"/>
      <w:r>
        <w:rPr>
          <w:noProof/>
          <w:lang w:val="fr-BE"/>
        </w:rPr>
        <w:tab/>
      </w:r>
      <w:r>
        <w:rPr>
          <w:noProof/>
        </w:rPr>
        <w:fldChar w:fldCharType="begin"/>
      </w:r>
      <w:r>
        <w:rPr>
          <w:noProof/>
          <w:lang w:val="fr-BE"/>
        </w:rPr>
        <w:instrText xml:space="preserve"> PAGEREF _Toc530495152 \h </w:instrText>
      </w:r>
      <w:r>
        <w:rPr>
          <w:noProof/>
        </w:rPr>
      </w:r>
      <w:r>
        <w:rPr>
          <w:noProof/>
        </w:rPr>
        <w:fldChar w:fldCharType="separate"/>
      </w:r>
      <w:r>
        <w:rPr>
          <w:noProof/>
          <w:lang w:val="fr-BE"/>
        </w:rPr>
        <w:t>58</w:t>
      </w:r>
      <w:r>
        <w:rPr>
          <w:noProof/>
        </w:rPr>
        <w:fldChar w:fldCharType="end"/>
      </w:r>
    </w:p>
    <w:p w:rsidR="00723CC0" w:rsidRDefault="00242021">
      <w:pPr>
        <w:pStyle w:val="TOC3"/>
        <w:tabs>
          <w:tab w:val="left" w:pos="1320"/>
          <w:tab w:val="right" w:leader="dot" w:pos="9062"/>
        </w:tabs>
        <w:rPr>
          <w:rFonts w:asciiTheme="minorHAnsi" w:eastAsiaTheme="minorEastAsia" w:hAnsiTheme="minorHAnsi"/>
          <w:noProof/>
          <w:sz w:val="22"/>
          <w:lang w:val="fr-BE" w:eastAsia="en-GB" w:bidi="ar-SA"/>
        </w:rPr>
      </w:pPr>
      <w:r>
        <w:rPr>
          <w:noProof/>
          <w:lang w:val="fr-BE"/>
        </w:rPr>
        <w:t>3.2.1</w:t>
      </w:r>
      <w:r>
        <w:rPr>
          <w:rFonts w:asciiTheme="minorHAnsi" w:eastAsiaTheme="minorEastAsia" w:hAnsiTheme="minorHAnsi"/>
          <w:noProof/>
          <w:sz w:val="22"/>
          <w:lang w:val="fr-BE" w:eastAsia="en-GB" w:bidi="ar-SA"/>
        </w:rPr>
        <w:tab/>
      </w:r>
      <w:r>
        <w:rPr>
          <w:noProof/>
          <w:lang w:val="fr-BE"/>
        </w:rPr>
        <w:t>Indicateurs clés</w:t>
      </w:r>
      <w:r>
        <w:rPr>
          <w:noProof/>
          <w:lang w:val="fr-BE"/>
        </w:rPr>
        <w:tab/>
      </w:r>
      <w:r>
        <w:rPr>
          <w:noProof/>
        </w:rPr>
        <w:fldChar w:fldCharType="begin"/>
      </w:r>
      <w:r>
        <w:rPr>
          <w:noProof/>
          <w:lang w:val="fr-BE"/>
        </w:rPr>
        <w:instrText xml:space="preserve"> PAGEREF _Toc530495153 \h </w:instrText>
      </w:r>
      <w:r>
        <w:rPr>
          <w:noProof/>
        </w:rPr>
      </w:r>
      <w:r>
        <w:rPr>
          <w:noProof/>
        </w:rPr>
        <w:fldChar w:fldCharType="separate"/>
      </w:r>
      <w:r>
        <w:rPr>
          <w:noProof/>
          <w:lang w:val="fr-BE"/>
        </w:rPr>
        <w:t>58</w:t>
      </w:r>
      <w:r>
        <w:rPr>
          <w:noProof/>
        </w:rPr>
        <w:fldChar w:fldCharType="end"/>
      </w:r>
    </w:p>
    <w:p w:rsidR="00723CC0" w:rsidRDefault="00242021">
      <w:pPr>
        <w:pStyle w:val="TOC3"/>
        <w:tabs>
          <w:tab w:val="left" w:pos="1320"/>
          <w:tab w:val="right" w:leader="dot" w:pos="9062"/>
        </w:tabs>
        <w:rPr>
          <w:rFonts w:asciiTheme="minorHAnsi" w:eastAsiaTheme="minorEastAsia" w:hAnsiTheme="minorHAnsi"/>
          <w:noProof/>
          <w:sz w:val="22"/>
          <w:lang w:val="fr-BE" w:eastAsia="en-GB" w:bidi="ar-SA"/>
        </w:rPr>
      </w:pPr>
      <w:r>
        <w:rPr>
          <w:noProof/>
          <w:lang w:val="fr-BE"/>
        </w:rPr>
        <w:t>3.2.2</w:t>
      </w:r>
      <w:r>
        <w:rPr>
          <w:rFonts w:asciiTheme="minorHAnsi" w:eastAsiaTheme="minorEastAsia" w:hAnsiTheme="minorHAnsi"/>
          <w:noProof/>
          <w:sz w:val="22"/>
          <w:lang w:val="fr-BE" w:eastAsia="en-GB" w:bidi="ar-SA"/>
        </w:rPr>
        <w:tab/>
      </w:r>
      <w:r>
        <w:rPr>
          <w:noProof/>
          <w:lang w:val="fr-BE"/>
        </w:rPr>
        <w:t>Stratégies adoptées</w:t>
      </w:r>
      <w:r>
        <w:rPr>
          <w:noProof/>
          <w:lang w:val="fr-BE"/>
        </w:rPr>
        <w:tab/>
      </w:r>
      <w:r>
        <w:rPr>
          <w:noProof/>
        </w:rPr>
        <w:fldChar w:fldCharType="begin"/>
      </w:r>
      <w:r>
        <w:rPr>
          <w:noProof/>
          <w:lang w:val="fr-BE"/>
        </w:rPr>
        <w:instrText xml:space="preserve"> PAGEREF _Toc530495154 \h </w:instrText>
      </w:r>
      <w:r>
        <w:rPr>
          <w:noProof/>
        </w:rPr>
      </w:r>
      <w:r>
        <w:rPr>
          <w:noProof/>
        </w:rPr>
        <w:fldChar w:fldCharType="separate"/>
      </w:r>
      <w:r>
        <w:rPr>
          <w:noProof/>
          <w:lang w:val="fr-BE"/>
        </w:rPr>
        <w:t>89</w:t>
      </w:r>
      <w:r>
        <w:rPr>
          <w:noProof/>
        </w:rPr>
        <w:fldChar w:fldCharType="end"/>
      </w:r>
    </w:p>
    <w:p w:rsidR="00723CC0" w:rsidRDefault="00242021">
      <w:pPr>
        <w:pStyle w:val="TOC3"/>
        <w:tabs>
          <w:tab w:val="left" w:pos="1100"/>
          <w:tab w:val="right" w:leader="dot" w:pos="9062"/>
        </w:tabs>
        <w:rPr>
          <w:rFonts w:asciiTheme="minorHAnsi" w:eastAsiaTheme="minorEastAsia" w:hAnsiTheme="minorHAnsi"/>
          <w:noProof/>
          <w:sz w:val="22"/>
          <w:lang w:val="fr-BE" w:eastAsia="en-GB" w:bidi="ar-SA"/>
        </w:rPr>
      </w:pPr>
      <w:r>
        <w:rPr>
          <w:rFonts w:cs="Times New Roman"/>
          <w:noProof/>
          <w:lang w:val="fr-BE"/>
        </w:rPr>
        <w:t>3.3.</w:t>
      </w:r>
      <w:r>
        <w:rPr>
          <w:rFonts w:asciiTheme="minorHAnsi" w:eastAsiaTheme="minorEastAsia" w:hAnsiTheme="minorHAnsi"/>
          <w:noProof/>
          <w:sz w:val="22"/>
          <w:lang w:val="fr-BE" w:eastAsia="en-GB" w:bidi="ar-SA"/>
        </w:rPr>
        <w:tab/>
      </w:r>
      <w:r>
        <w:rPr>
          <w:noProof/>
          <w:lang w:val="fr-BE"/>
        </w:rPr>
        <w:t>Ligne directrice nº 7: Améliorer le fonctionnement des marchés du travail et l’efficacité du dialogue social</w:t>
      </w:r>
      <w:r>
        <w:rPr>
          <w:noProof/>
          <w:lang w:val="fr-BE"/>
        </w:rPr>
        <w:tab/>
      </w:r>
      <w:r>
        <w:rPr>
          <w:noProof/>
        </w:rPr>
        <w:fldChar w:fldCharType="begin"/>
      </w:r>
      <w:r>
        <w:rPr>
          <w:noProof/>
          <w:lang w:val="fr-BE"/>
        </w:rPr>
        <w:instrText xml:space="preserve"> PAGEREF _Toc530495155 \h </w:instrText>
      </w:r>
      <w:r>
        <w:rPr>
          <w:noProof/>
        </w:rPr>
      </w:r>
      <w:r>
        <w:rPr>
          <w:noProof/>
        </w:rPr>
        <w:fldChar w:fldCharType="separate"/>
      </w:r>
      <w:r>
        <w:rPr>
          <w:noProof/>
          <w:lang w:val="fr-BE"/>
        </w:rPr>
        <w:t>104</w:t>
      </w:r>
      <w:r>
        <w:rPr>
          <w:noProof/>
        </w:rPr>
        <w:fldChar w:fldCharType="end"/>
      </w:r>
    </w:p>
    <w:p w:rsidR="00723CC0" w:rsidRDefault="00242021">
      <w:pPr>
        <w:pStyle w:val="TOC3"/>
        <w:tabs>
          <w:tab w:val="left" w:pos="1320"/>
          <w:tab w:val="right" w:leader="dot" w:pos="9062"/>
        </w:tabs>
        <w:rPr>
          <w:rFonts w:asciiTheme="minorHAnsi" w:eastAsiaTheme="minorEastAsia" w:hAnsiTheme="minorHAnsi"/>
          <w:noProof/>
          <w:sz w:val="22"/>
          <w:lang w:val="fr-BE" w:eastAsia="en-GB" w:bidi="ar-SA"/>
        </w:rPr>
      </w:pPr>
      <w:r>
        <w:rPr>
          <w:noProof/>
          <w:lang w:val="fr-BE"/>
        </w:rPr>
        <w:t xml:space="preserve">3.3.1 </w:t>
      </w:r>
      <w:r>
        <w:rPr>
          <w:rFonts w:asciiTheme="minorHAnsi" w:eastAsiaTheme="minorEastAsia" w:hAnsiTheme="minorHAnsi"/>
          <w:noProof/>
          <w:sz w:val="22"/>
          <w:lang w:val="fr-BE" w:eastAsia="en-GB" w:bidi="ar-SA"/>
        </w:rPr>
        <w:tab/>
      </w:r>
      <w:r>
        <w:rPr>
          <w:noProof/>
          <w:lang w:val="fr-BE"/>
        </w:rPr>
        <w:t>Indicateurs clés</w:t>
      </w:r>
      <w:r>
        <w:rPr>
          <w:noProof/>
          <w:lang w:val="fr-BE"/>
        </w:rPr>
        <w:tab/>
      </w:r>
      <w:r>
        <w:rPr>
          <w:noProof/>
        </w:rPr>
        <w:fldChar w:fldCharType="begin"/>
      </w:r>
      <w:r>
        <w:rPr>
          <w:noProof/>
          <w:lang w:val="fr-BE"/>
        </w:rPr>
        <w:instrText xml:space="preserve"> PAGEREF _Toc530495156 \h </w:instrText>
      </w:r>
      <w:r>
        <w:rPr>
          <w:noProof/>
        </w:rPr>
      </w:r>
      <w:r>
        <w:rPr>
          <w:noProof/>
        </w:rPr>
        <w:fldChar w:fldCharType="separate"/>
      </w:r>
      <w:r>
        <w:rPr>
          <w:noProof/>
          <w:lang w:val="fr-BE"/>
        </w:rPr>
        <w:t>104</w:t>
      </w:r>
      <w:r>
        <w:rPr>
          <w:noProof/>
        </w:rPr>
        <w:fldChar w:fldCharType="end"/>
      </w:r>
    </w:p>
    <w:p w:rsidR="00723CC0" w:rsidRDefault="00242021">
      <w:pPr>
        <w:pStyle w:val="TOC3"/>
        <w:tabs>
          <w:tab w:val="left" w:pos="1320"/>
          <w:tab w:val="right" w:leader="dot" w:pos="9062"/>
        </w:tabs>
        <w:rPr>
          <w:rFonts w:asciiTheme="minorHAnsi" w:eastAsiaTheme="minorEastAsia" w:hAnsiTheme="minorHAnsi"/>
          <w:noProof/>
          <w:sz w:val="22"/>
          <w:lang w:val="fr-BE" w:eastAsia="en-GB" w:bidi="ar-SA"/>
        </w:rPr>
      </w:pPr>
      <w:r>
        <w:rPr>
          <w:noProof/>
          <w:lang w:val="fr-BE"/>
        </w:rPr>
        <w:t xml:space="preserve">3.3.2. </w:t>
      </w:r>
      <w:r>
        <w:rPr>
          <w:rFonts w:asciiTheme="minorHAnsi" w:eastAsiaTheme="minorEastAsia" w:hAnsiTheme="minorHAnsi"/>
          <w:noProof/>
          <w:sz w:val="22"/>
          <w:lang w:val="fr-BE" w:eastAsia="en-GB" w:bidi="ar-SA"/>
        </w:rPr>
        <w:tab/>
      </w:r>
      <w:r>
        <w:rPr>
          <w:noProof/>
          <w:lang w:val="fr-BE"/>
        </w:rPr>
        <w:t>Stratégies adoptées</w:t>
      </w:r>
      <w:r>
        <w:rPr>
          <w:noProof/>
          <w:lang w:val="fr-BE"/>
        </w:rPr>
        <w:tab/>
      </w:r>
      <w:r>
        <w:rPr>
          <w:noProof/>
        </w:rPr>
        <w:fldChar w:fldCharType="begin"/>
      </w:r>
      <w:r>
        <w:rPr>
          <w:noProof/>
          <w:lang w:val="fr-BE"/>
        </w:rPr>
        <w:instrText xml:space="preserve"> PAGEREF _Toc530495157 \h </w:instrText>
      </w:r>
      <w:r>
        <w:rPr>
          <w:noProof/>
        </w:rPr>
      </w:r>
      <w:r>
        <w:rPr>
          <w:noProof/>
        </w:rPr>
        <w:fldChar w:fldCharType="separate"/>
      </w:r>
      <w:r>
        <w:rPr>
          <w:noProof/>
          <w:lang w:val="fr-BE"/>
        </w:rPr>
        <w:t>132</w:t>
      </w:r>
      <w:r>
        <w:rPr>
          <w:noProof/>
        </w:rPr>
        <w:fldChar w:fldCharType="end"/>
      </w:r>
    </w:p>
    <w:p w:rsidR="00723CC0" w:rsidRDefault="00242021">
      <w:pPr>
        <w:pStyle w:val="TOC3"/>
        <w:tabs>
          <w:tab w:val="left" w:pos="1100"/>
          <w:tab w:val="right" w:leader="dot" w:pos="9062"/>
        </w:tabs>
        <w:rPr>
          <w:rFonts w:asciiTheme="minorHAnsi" w:eastAsiaTheme="minorEastAsia" w:hAnsiTheme="minorHAnsi"/>
          <w:noProof/>
          <w:sz w:val="22"/>
          <w:lang w:val="fr-BE" w:eastAsia="en-GB" w:bidi="ar-SA"/>
        </w:rPr>
      </w:pPr>
      <w:r>
        <w:rPr>
          <w:rFonts w:cs="Times New Roman"/>
          <w:noProof/>
          <w:lang w:val="fr-BE"/>
        </w:rPr>
        <w:t>3.4.</w:t>
      </w:r>
      <w:r>
        <w:rPr>
          <w:rFonts w:asciiTheme="minorHAnsi" w:eastAsiaTheme="minorEastAsia" w:hAnsiTheme="minorHAnsi"/>
          <w:noProof/>
          <w:sz w:val="22"/>
          <w:lang w:val="fr-BE" w:eastAsia="en-GB" w:bidi="ar-SA"/>
        </w:rPr>
        <w:tab/>
      </w:r>
      <w:r>
        <w:rPr>
          <w:noProof/>
          <w:lang w:val="fr-BE"/>
        </w:rPr>
        <w:t>Ligne directrice nº 8: Promo</w:t>
      </w:r>
      <w:r>
        <w:rPr>
          <w:noProof/>
          <w:lang w:val="fr-BE"/>
        </w:rPr>
        <w:t>uvoir l’égalité des chances pour tous, favoriser l’inclusion sociale et combattre la pauvreté</w:t>
      </w:r>
      <w:r>
        <w:rPr>
          <w:noProof/>
          <w:lang w:val="fr-BE"/>
        </w:rPr>
        <w:tab/>
      </w:r>
      <w:r>
        <w:rPr>
          <w:noProof/>
        </w:rPr>
        <w:fldChar w:fldCharType="begin"/>
      </w:r>
      <w:r>
        <w:rPr>
          <w:noProof/>
          <w:lang w:val="fr-BE"/>
        </w:rPr>
        <w:instrText xml:space="preserve"> PAGEREF _Toc530495158 \h </w:instrText>
      </w:r>
      <w:r>
        <w:rPr>
          <w:noProof/>
        </w:rPr>
      </w:r>
      <w:r>
        <w:rPr>
          <w:noProof/>
        </w:rPr>
        <w:fldChar w:fldCharType="separate"/>
      </w:r>
      <w:r>
        <w:rPr>
          <w:noProof/>
          <w:lang w:val="fr-BE"/>
        </w:rPr>
        <w:t>148</w:t>
      </w:r>
      <w:r>
        <w:rPr>
          <w:noProof/>
        </w:rPr>
        <w:fldChar w:fldCharType="end"/>
      </w:r>
    </w:p>
    <w:p w:rsidR="00723CC0" w:rsidRDefault="00242021">
      <w:pPr>
        <w:pStyle w:val="TOC3"/>
        <w:tabs>
          <w:tab w:val="left" w:pos="1320"/>
          <w:tab w:val="right" w:leader="dot" w:pos="9062"/>
        </w:tabs>
        <w:rPr>
          <w:rFonts w:asciiTheme="minorHAnsi" w:eastAsiaTheme="minorEastAsia" w:hAnsiTheme="minorHAnsi"/>
          <w:noProof/>
          <w:sz w:val="22"/>
          <w:lang w:val="fr-BE" w:eastAsia="en-GB" w:bidi="ar-SA"/>
        </w:rPr>
      </w:pPr>
      <w:r>
        <w:rPr>
          <w:noProof/>
          <w:lang w:val="fr-BE"/>
        </w:rPr>
        <w:t>3.4.1</w:t>
      </w:r>
      <w:r>
        <w:rPr>
          <w:rFonts w:asciiTheme="minorHAnsi" w:eastAsiaTheme="minorEastAsia" w:hAnsiTheme="minorHAnsi"/>
          <w:noProof/>
          <w:sz w:val="22"/>
          <w:lang w:val="fr-BE" w:eastAsia="en-GB" w:bidi="ar-SA"/>
        </w:rPr>
        <w:tab/>
      </w:r>
      <w:r>
        <w:rPr>
          <w:noProof/>
          <w:lang w:val="fr-BE"/>
        </w:rPr>
        <w:t>Indicateurs clés</w:t>
      </w:r>
      <w:r>
        <w:rPr>
          <w:noProof/>
          <w:lang w:val="fr-BE"/>
        </w:rPr>
        <w:tab/>
      </w:r>
      <w:r>
        <w:rPr>
          <w:noProof/>
        </w:rPr>
        <w:fldChar w:fldCharType="begin"/>
      </w:r>
      <w:r>
        <w:rPr>
          <w:noProof/>
          <w:lang w:val="fr-BE"/>
        </w:rPr>
        <w:instrText xml:space="preserve"> PAGEREF _Toc530495159 \h </w:instrText>
      </w:r>
      <w:r>
        <w:rPr>
          <w:noProof/>
        </w:rPr>
      </w:r>
      <w:r>
        <w:rPr>
          <w:noProof/>
        </w:rPr>
        <w:fldChar w:fldCharType="separate"/>
      </w:r>
      <w:r>
        <w:rPr>
          <w:noProof/>
          <w:lang w:val="fr-BE"/>
        </w:rPr>
        <w:t>148</w:t>
      </w:r>
      <w:r>
        <w:rPr>
          <w:noProof/>
        </w:rPr>
        <w:fldChar w:fldCharType="end"/>
      </w:r>
    </w:p>
    <w:p w:rsidR="00723CC0" w:rsidRDefault="00242021">
      <w:pPr>
        <w:pStyle w:val="TOC3"/>
        <w:tabs>
          <w:tab w:val="left" w:pos="1320"/>
          <w:tab w:val="right" w:leader="dot" w:pos="9062"/>
        </w:tabs>
        <w:rPr>
          <w:rFonts w:asciiTheme="minorHAnsi" w:eastAsiaTheme="minorEastAsia" w:hAnsiTheme="minorHAnsi"/>
          <w:noProof/>
          <w:sz w:val="22"/>
          <w:lang w:val="fr-BE" w:eastAsia="en-GB" w:bidi="ar-SA"/>
        </w:rPr>
      </w:pPr>
      <w:r>
        <w:rPr>
          <w:noProof/>
          <w:lang w:val="fr-BE"/>
        </w:rPr>
        <w:t>3.4.2.</w:t>
      </w:r>
      <w:r>
        <w:rPr>
          <w:rFonts w:asciiTheme="minorHAnsi" w:eastAsiaTheme="minorEastAsia" w:hAnsiTheme="minorHAnsi"/>
          <w:noProof/>
          <w:sz w:val="22"/>
          <w:lang w:val="fr-BE" w:eastAsia="en-GB" w:bidi="ar-SA"/>
        </w:rPr>
        <w:tab/>
      </w:r>
      <w:r>
        <w:rPr>
          <w:noProof/>
          <w:lang w:val="fr-BE"/>
        </w:rPr>
        <w:t>Stratégies adoptées</w:t>
      </w:r>
      <w:r>
        <w:rPr>
          <w:noProof/>
          <w:lang w:val="fr-BE"/>
        </w:rPr>
        <w:tab/>
      </w:r>
      <w:r>
        <w:rPr>
          <w:noProof/>
        </w:rPr>
        <w:fldChar w:fldCharType="begin"/>
      </w:r>
      <w:r>
        <w:rPr>
          <w:noProof/>
          <w:lang w:val="fr-BE"/>
        </w:rPr>
        <w:instrText xml:space="preserve"> PAGEREF _Toc530495160 \h </w:instrText>
      </w:r>
      <w:r>
        <w:rPr>
          <w:noProof/>
        </w:rPr>
      </w:r>
      <w:r>
        <w:rPr>
          <w:noProof/>
        </w:rPr>
        <w:fldChar w:fldCharType="separate"/>
      </w:r>
      <w:r>
        <w:rPr>
          <w:noProof/>
          <w:lang w:val="fr-BE"/>
        </w:rPr>
        <w:t>173</w:t>
      </w:r>
      <w:r>
        <w:rPr>
          <w:noProof/>
        </w:rPr>
        <w:fldChar w:fldCharType="end"/>
      </w:r>
    </w:p>
    <w:p w:rsidR="00723CC0" w:rsidRDefault="00242021">
      <w:pPr>
        <w:pStyle w:val="TOC1"/>
        <w:tabs>
          <w:tab w:val="right" w:leader="dot" w:pos="9062"/>
        </w:tabs>
        <w:rPr>
          <w:rFonts w:asciiTheme="minorHAnsi" w:eastAsiaTheme="minorEastAsia" w:hAnsiTheme="minorHAnsi"/>
          <w:noProof/>
          <w:sz w:val="22"/>
          <w:lang w:val="fr-BE" w:eastAsia="en-GB" w:bidi="ar-SA"/>
        </w:rPr>
      </w:pPr>
      <w:r>
        <w:rPr>
          <w:noProof/>
          <w:lang w:val="fr-BE"/>
        </w:rPr>
        <w:t>ANNEXES</w:t>
      </w:r>
      <w:r>
        <w:rPr>
          <w:noProof/>
          <w:lang w:val="fr-BE"/>
        </w:rPr>
        <w:tab/>
      </w:r>
      <w:r>
        <w:rPr>
          <w:noProof/>
        </w:rPr>
        <w:fldChar w:fldCharType="begin"/>
      </w:r>
      <w:r>
        <w:rPr>
          <w:noProof/>
          <w:lang w:val="fr-BE"/>
        </w:rPr>
        <w:instrText xml:space="preserve"> PAGEREF _Toc530495161 \h </w:instrText>
      </w:r>
      <w:r>
        <w:rPr>
          <w:noProof/>
        </w:rPr>
      </w:r>
      <w:r>
        <w:rPr>
          <w:noProof/>
        </w:rPr>
        <w:fldChar w:fldCharType="separate"/>
      </w:r>
      <w:r>
        <w:rPr>
          <w:noProof/>
          <w:lang w:val="fr-BE"/>
        </w:rPr>
        <w:t>180</w:t>
      </w:r>
      <w:r>
        <w:rPr>
          <w:noProof/>
        </w:rPr>
        <w:fldChar w:fldCharType="end"/>
      </w:r>
    </w:p>
    <w:p w:rsidR="00723CC0" w:rsidRDefault="00242021">
      <w:pPr>
        <w:pStyle w:val="TOC1"/>
        <w:tabs>
          <w:tab w:val="right" w:leader="dot" w:pos="9062"/>
        </w:tabs>
        <w:rPr>
          <w:rFonts w:asciiTheme="minorHAnsi" w:eastAsiaTheme="minorEastAsia" w:hAnsiTheme="minorHAnsi"/>
          <w:noProof/>
          <w:sz w:val="22"/>
          <w:lang w:val="fr-BE"/>
        </w:rPr>
      </w:pPr>
      <w:r>
        <w:rPr>
          <w:rFonts w:asciiTheme="minorHAnsi" w:hAnsiTheme="minorHAnsi" w:cs="Times New Roman"/>
          <w:noProof/>
          <w:sz w:val="22"/>
          <w:szCs w:val="24"/>
        </w:rPr>
        <w:fldChar w:fldCharType="end"/>
      </w:r>
      <w:r>
        <w:rPr>
          <w:noProof/>
          <w:lang w:val="fr-BE"/>
        </w:rPr>
        <w:br w:type="page"/>
      </w:r>
    </w:p>
    <w:p w:rsidR="00723CC0" w:rsidRDefault="00242021">
      <w:pPr>
        <w:pStyle w:val="Heading1"/>
        <w:rPr>
          <w:noProof/>
          <w:lang w:val="fr-BE"/>
        </w:rPr>
      </w:pPr>
      <w:bookmarkStart w:id="2" w:name="_Toc527539773"/>
      <w:bookmarkStart w:id="3" w:name="_Toc530495140"/>
      <w:r>
        <w:rPr>
          <w:noProof/>
          <w:lang w:val="fr-BE"/>
        </w:rPr>
        <w:lastRenderedPageBreak/>
        <w:t>AVANT-PROPOS</w:t>
      </w:r>
      <w:bookmarkEnd w:id="2"/>
      <w:bookmarkEnd w:id="3"/>
    </w:p>
    <w:p w:rsidR="00723CC0" w:rsidRDefault="00242021">
      <w:pPr>
        <w:spacing w:line="360" w:lineRule="auto"/>
        <w:jc w:val="both"/>
        <w:rPr>
          <w:rFonts w:ascii="Times New Roman" w:eastAsia="Calibri" w:hAnsi="Times New Roman" w:cs="Times New Roman"/>
          <w:noProof/>
          <w:sz w:val="24"/>
          <w:lang w:val="fr-BE"/>
        </w:rPr>
      </w:pPr>
      <w:r>
        <w:rPr>
          <w:rFonts w:ascii="Times New Roman" w:hAnsi="Times New Roman"/>
          <w:noProof/>
          <w:sz w:val="24"/>
          <w:lang w:val="fr-BE"/>
        </w:rPr>
        <w:t xml:space="preserve">Le rapport conjoint sur l’emploi, établi par la Commission européenne et le Conseil, est prescrit par l’article 148 du traité sur le fonctionnement de l’Union européenne (TFUE). La proposition initiale de ce </w:t>
      </w:r>
      <w:r>
        <w:rPr>
          <w:rFonts w:ascii="Times New Roman" w:hAnsi="Times New Roman"/>
          <w:noProof/>
          <w:sz w:val="24"/>
          <w:lang w:val="fr-BE"/>
        </w:rPr>
        <w:t>rapport, rédigée par la Commission européenne, fait partie du paquet d’automne comprenant l’examen annuel de la croissance qui marque le début du cycle du Semestre européen. Le rapport conjoint sur l’emploi fournit un aperçu annuel des principales évolutio</w:t>
      </w:r>
      <w:r>
        <w:rPr>
          <w:rFonts w:ascii="Times New Roman" w:hAnsi="Times New Roman"/>
          <w:noProof/>
          <w:sz w:val="24"/>
          <w:lang w:val="fr-BE"/>
        </w:rPr>
        <w:t>ns sociales et de l’emploi en Europe ainsi que des réformes entreprises par les États membres, conformément aux lignes directrices pour les politiques de l’emploi des États membres</w:t>
      </w:r>
      <w:r>
        <w:rPr>
          <w:rStyle w:val="FootnoteReference"/>
          <w:rFonts w:ascii="Times New Roman" w:hAnsi="Times New Roman"/>
          <w:noProof/>
          <w:sz w:val="24"/>
        </w:rPr>
        <w:footnoteReference w:id="1"/>
      </w:r>
      <w:r>
        <w:rPr>
          <w:rFonts w:ascii="Times New Roman" w:hAnsi="Times New Roman"/>
          <w:noProof/>
          <w:sz w:val="24"/>
          <w:lang w:val="fr-BE"/>
        </w:rPr>
        <w:t>. Les rapports sur ces réformes suivent la structure des lignes directrices</w:t>
      </w:r>
      <w:r>
        <w:rPr>
          <w:rFonts w:ascii="Times New Roman" w:hAnsi="Times New Roman"/>
          <w:noProof/>
          <w:sz w:val="24"/>
          <w:lang w:val="fr-BE"/>
        </w:rPr>
        <w:t>: stimuler la demande de travail (ligne directrice nº 5), renforcer l’offre de travail et améliorer l’accès à l’emploi, les qualifications et les compétences (ligne directrice nº 6), améliorer le fonctionnement des marchés du travail et l’efficacité du dia</w:t>
      </w:r>
      <w:r>
        <w:rPr>
          <w:rFonts w:ascii="Times New Roman" w:hAnsi="Times New Roman"/>
          <w:noProof/>
          <w:sz w:val="24"/>
          <w:lang w:val="fr-BE"/>
        </w:rPr>
        <w:t>logue social (ligne directrice nº 7), promouvoir l’égalité des chances pour tous, favoriser l’inclusion sociale et combattre la pauvreté (ligne directrice nº 8).</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noProof/>
          <w:sz w:val="24"/>
          <w:lang w:val="fr-BE"/>
        </w:rPr>
        <w:t>En outre, le rapport conjoint sur l’emploi permet de suivre les performances des États membres</w:t>
      </w:r>
      <w:r>
        <w:rPr>
          <w:rFonts w:ascii="Times New Roman" w:hAnsi="Times New Roman"/>
          <w:noProof/>
          <w:sz w:val="24"/>
          <w:lang w:val="fr-BE"/>
        </w:rPr>
        <w:t xml:space="preserve"> en rapport avec le tableau de bord social établi dans le contexte du socle européen des droits sociaux. Ce socle a été coulé dans une proclamation interinstitutionnelle du Parlement européen, du Conseil et de la Commission le 17 novembre 2017. Il définit </w:t>
      </w:r>
      <w:r>
        <w:rPr>
          <w:rFonts w:ascii="Times New Roman" w:hAnsi="Times New Roman"/>
          <w:noProof/>
          <w:sz w:val="24"/>
          <w:lang w:val="fr-BE"/>
        </w:rPr>
        <w:t xml:space="preserve">des principes et des droits dans trois domaines: primo, l’égalité des chances et l’accès au marché du travail; </w:t>
      </w:r>
      <w:r>
        <w:rPr>
          <w:rFonts w:ascii="Times New Roman" w:hAnsi="Times New Roman"/>
          <w:noProof/>
          <w:color w:val="000000"/>
          <w:sz w:val="24"/>
          <w:bdr w:val="nil"/>
          <w:lang w:val="fr-BE"/>
        </w:rPr>
        <w:t>secundo, des conditions de travail équitables; tertio, la protection et l’inclusion sociales. Le suivi</w:t>
      </w:r>
      <w:r>
        <w:rPr>
          <w:rFonts w:ascii="Times New Roman" w:hAnsi="Times New Roman"/>
          <w:noProof/>
          <w:sz w:val="24"/>
          <w:lang w:val="fr-BE"/>
        </w:rPr>
        <w:t xml:space="preserve"> des progrès réalisés dans ces domaines est</w:t>
      </w:r>
      <w:r>
        <w:rPr>
          <w:rFonts w:ascii="Times New Roman" w:hAnsi="Times New Roman"/>
          <w:noProof/>
          <w:sz w:val="24"/>
          <w:lang w:val="fr-BE"/>
        </w:rPr>
        <w:t xml:space="preserve"> étayé par une analyse détaillée du tableau de bord social qui accompagne le socle.</w:t>
      </w:r>
    </w:p>
    <w:p w:rsidR="00723CC0" w:rsidRDefault="00242021">
      <w:pPr>
        <w:spacing w:line="360" w:lineRule="auto"/>
        <w:jc w:val="both"/>
        <w:rPr>
          <w:rFonts w:ascii="Times New Roman" w:eastAsiaTheme="majorEastAsia" w:hAnsi="Times New Roman" w:cstheme="majorBidi"/>
          <w:b/>
          <w:bCs/>
          <w:noProof/>
          <w:sz w:val="24"/>
          <w:szCs w:val="28"/>
          <w:lang w:val="fr-BE"/>
        </w:rPr>
      </w:pPr>
      <w:r>
        <w:rPr>
          <w:rFonts w:ascii="Times New Roman" w:hAnsi="Times New Roman"/>
          <w:noProof/>
          <w:sz w:val="24"/>
          <w:lang w:val="fr-BE"/>
        </w:rPr>
        <w:t>Le rapport conjoint sur l’emploi est structuré comme suit: le chapitre introductif (chapitre 1) rend compte des principales tendances du marché du travail et tendances soci</w:t>
      </w:r>
      <w:r>
        <w:rPr>
          <w:rFonts w:ascii="Times New Roman" w:hAnsi="Times New Roman"/>
          <w:noProof/>
          <w:sz w:val="24"/>
          <w:lang w:val="fr-BE"/>
        </w:rPr>
        <w:t>ales dans l’Union européenne; le chapitre 2 présente les principaux résultats de l’analyse du tableau de bord social associé au socle européen des droits sociaux; le chapitre 3 fournit une description transnationale détaillée des indicateurs clés (y compri</w:t>
      </w:r>
      <w:r>
        <w:rPr>
          <w:rFonts w:ascii="Times New Roman" w:hAnsi="Times New Roman"/>
          <w:noProof/>
          <w:sz w:val="24"/>
          <w:lang w:val="fr-BE"/>
        </w:rPr>
        <w:t>s les indicateurs du tableau de bord social) et des politiques appliqués par les États membres afin de suivre les lignes directrices pour les politiques de l’emploi.</w:t>
      </w:r>
      <w:r>
        <w:rPr>
          <w:noProof/>
          <w:lang w:val="fr-BE"/>
        </w:rPr>
        <w:br w:type="page"/>
      </w:r>
    </w:p>
    <w:p w:rsidR="00723CC0" w:rsidRDefault="00242021">
      <w:pPr>
        <w:pStyle w:val="Heading1"/>
        <w:rPr>
          <w:noProof/>
          <w:lang w:val="fr-BE"/>
        </w:rPr>
      </w:pPr>
      <w:bookmarkStart w:id="4" w:name="_Toc527539774"/>
      <w:bookmarkStart w:id="5" w:name="_Toc530495141"/>
      <w:r>
        <w:rPr>
          <w:noProof/>
          <w:lang w:val="fr-BE"/>
        </w:rPr>
        <w:lastRenderedPageBreak/>
        <w:t>MESSAGES CLÉS</w:t>
      </w:r>
      <w:bookmarkEnd w:id="4"/>
      <w:bookmarkEnd w:id="5"/>
    </w:p>
    <w:p w:rsidR="00723CC0" w:rsidRDefault="00242021">
      <w:pPr>
        <w:spacing w:line="360" w:lineRule="auto"/>
        <w:jc w:val="both"/>
        <w:rPr>
          <w:rFonts w:ascii="Times New Roman" w:hAnsi="Times New Roman" w:cs="Times New Roman"/>
          <w:i/>
          <w:noProof/>
          <w:sz w:val="24"/>
          <w:szCs w:val="24"/>
          <w:lang w:val="fr-BE"/>
        </w:rPr>
      </w:pPr>
      <w:r>
        <w:rPr>
          <w:rFonts w:ascii="Times New Roman" w:hAnsi="Times New Roman"/>
          <w:b/>
          <w:i/>
          <w:noProof/>
          <w:sz w:val="24"/>
          <w:lang w:val="fr-BE"/>
        </w:rPr>
        <w:t xml:space="preserve">L’Europe fait des progrès au regard du tableau de bord social accompagnant </w:t>
      </w:r>
      <w:r>
        <w:rPr>
          <w:rFonts w:ascii="Times New Roman" w:hAnsi="Times New Roman"/>
          <w:b/>
          <w:i/>
          <w:noProof/>
          <w:sz w:val="24"/>
          <w:lang w:val="fr-BE"/>
        </w:rPr>
        <w:t>le socle européen des droits sociaux.</w:t>
      </w:r>
      <w:r>
        <w:rPr>
          <w:rFonts w:ascii="Times New Roman" w:hAnsi="Times New Roman"/>
          <w:i/>
          <w:noProof/>
          <w:sz w:val="24"/>
          <w:lang w:val="fr-BE"/>
        </w:rPr>
        <w:t xml:space="preserve"> Dans un contexte d’amélioration des marchés du travail et de réduction de la pauvreté, treize indicateurs clés du tableau de bord social sur quatorze ont, en moyenne, enregistré une amélioration par rapport à l’année d</w:t>
      </w:r>
      <w:r>
        <w:rPr>
          <w:rFonts w:ascii="Times New Roman" w:hAnsi="Times New Roman"/>
          <w:i/>
          <w:noProof/>
          <w:sz w:val="24"/>
          <w:lang w:val="fr-BE"/>
        </w:rPr>
        <w:t>ernière. Néanmoins, la reprise économique ne profite pas encore de la même manière à tous les citoyens et à tous les pays. Des défis liés à des principes spécifiques du socle sont identifiés pour la majorité des États membres. La reprise économique actuell</w:t>
      </w:r>
      <w:r>
        <w:rPr>
          <w:rFonts w:ascii="Times New Roman" w:hAnsi="Times New Roman"/>
          <w:i/>
          <w:noProof/>
          <w:sz w:val="24"/>
          <w:lang w:val="fr-BE"/>
        </w:rPr>
        <w:t>e donne la possibilité d’intensifier les réformes visant à améliorer l’inclusion, la résilience et l’équité des marchés du travail et des systèmes de protection sociale, favorisant ainsi la convergence vers de meilleures conditions de vie et de travail dan</w:t>
      </w:r>
      <w:r>
        <w:rPr>
          <w:rFonts w:ascii="Times New Roman" w:hAnsi="Times New Roman"/>
          <w:i/>
          <w:noProof/>
          <w:sz w:val="24"/>
          <w:lang w:val="fr-BE"/>
        </w:rPr>
        <w:t>s l’Union. Néanmoins, des risques pèsent également sur la reprise, de sorte qu’il est urgent, pour les États membres, de saisir cette occasion.</w:t>
      </w:r>
    </w:p>
    <w:p w:rsidR="00723CC0" w:rsidRDefault="00242021">
      <w:pPr>
        <w:spacing w:line="360" w:lineRule="auto"/>
        <w:jc w:val="both"/>
        <w:rPr>
          <w:rFonts w:ascii="Times New Roman" w:hAnsi="Times New Roman" w:cs="Times New Roman"/>
          <w:b/>
          <w:i/>
          <w:iCs/>
          <w:noProof/>
          <w:sz w:val="24"/>
          <w:szCs w:val="24"/>
          <w:lang w:val="fr-BE"/>
        </w:rPr>
      </w:pPr>
      <w:r>
        <w:rPr>
          <w:rFonts w:ascii="Times New Roman" w:hAnsi="Times New Roman"/>
          <w:b/>
          <w:i/>
          <w:noProof/>
          <w:sz w:val="24"/>
          <w:lang w:val="fr-BE"/>
        </w:rPr>
        <w:t>La forte création d’emplois se poursuit, le taux d’emploi s’établissant à un niveau record dans l’Union.</w:t>
      </w:r>
      <w:r>
        <w:rPr>
          <w:rFonts w:ascii="Times New Roman" w:hAnsi="Times New Roman"/>
          <w:i/>
          <w:noProof/>
          <w:sz w:val="24"/>
          <w:lang w:val="fr-BE"/>
        </w:rPr>
        <w:t xml:space="preserve"> Au cours du deuxième trimestre de 2018, 239 millions de personnes travaillaient dans l’Union, soit 14 millions de plus que le niveau le plus bas atteint à la mi-2013, au plus fort de la crise. Au cours de la même période, le taux d’emploi des personnes âg</w:t>
      </w:r>
      <w:r>
        <w:rPr>
          <w:rFonts w:ascii="Times New Roman" w:hAnsi="Times New Roman"/>
          <w:i/>
          <w:noProof/>
          <w:sz w:val="24"/>
          <w:lang w:val="fr-BE"/>
        </w:rPr>
        <w:t>ées de 20 à 64 ans a augmenté pour atteindre 73,2 %: si la tendance actuelle se maintient, l’Union aura de bonnes chances d’atteindre l’objectif d’un taux d’emploi de 75 % fixé par la stratégie Europe 2020. La croissance de l’emploi en 2017 et au cours des</w:t>
      </w:r>
      <w:r>
        <w:rPr>
          <w:rFonts w:ascii="Times New Roman" w:hAnsi="Times New Roman"/>
          <w:i/>
          <w:noProof/>
          <w:sz w:val="24"/>
          <w:lang w:val="fr-BE"/>
        </w:rPr>
        <w:t xml:space="preserve"> deux premiers trimestres de 2018 s’est étendue à l’ensemble des principaux groupes démographiques, les plus fortes hausses ayant été enregistrées pour les travailleurs âgés (55 à 64 ans), comme ce fut le cas ces dernières années. Cependant, les écarts imp</w:t>
      </w:r>
      <w:r>
        <w:rPr>
          <w:rFonts w:ascii="Times New Roman" w:hAnsi="Times New Roman"/>
          <w:i/>
          <w:noProof/>
          <w:sz w:val="24"/>
          <w:lang w:val="fr-BE"/>
        </w:rPr>
        <w:t>ortants entre les taux d’emploi dans l’Union semblent indiquer qu’il reste une marge d’amélioration, notamment dans les États membres qui sont encore loin d’atteindre les objectifs nationaux prévus dans la stratégie Europe 2020.</w:t>
      </w:r>
    </w:p>
    <w:p w:rsidR="00723CC0" w:rsidRDefault="00242021">
      <w:pPr>
        <w:spacing w:line="360" w:lineRule="auto"/>
        <w:jc w:val="both"/>
        <w:rPr>
          <w:rFonts w:ascii="Times New Roman" w:hAnsi="Times New Roman" w:cs="Times New Roman"/>
          <w:i/>
          <w:iCs/>
          <w:noProof/>
          <w:sz w:val="24"/>
          <w:szCs w:val="24"/>
          <w:lang w:val="fr-BE"/>
        </w:rPr>
      </w:pPr>
      <w:r>
        <w:rPr>
          <w:rFonts w:ascii="Times New Roman" w:hAnsi="Times New Roman"/>
          <w:b/>
          <w:i/>
          <w:noProof/>
          <w:sz w:val="24"/>
          <w:lang w:val="fr-BE"/>
        </w:rPr>
        <w:t xml:space="preserve">Le chômage a retrouvé son </w:t>
      </w:r>
      <w:r>
        <w:rPr>
          <w:rFonts w:ascii="Times New Roman" w:hAnsi="Times New Roman"/>
          <w:b/>
          <w:i/>
          <w:noProof/>
          <w:sz w:val="24"/>
          <w:lang w:val="fr-BE"/>
        </w:rPr>
        <w:t>niveau antérieur à la crise, mais reste élevé dans un certain nombre d’États membres.</w:t>
      </w:r>
      <w:r>
        <w:rPr>
          <w:rFonts w:ascii="Times New Roman" w:hAnsi="Times New Roman"/>
          <w:i/>
          <w:noProof/>
          <w:sz w:val="24"/>
          <w:lang w:val="fr-BE"/>
        </w:rPr>
        <w:t xml:space="preserve"> Grâce à la reprise régulière du marché du travail, le taux de chômage a continué de baisser en 2017 pour atteindre 6,9 % au deuxième trimestre de 2018. Il se situe mainte</w:t>
      </w:r>
      <w:r>
        <w:rPr>
          <w:rFonts w:ascii="Times New Roman" w:hAnsi="Times New Roman"/>
          <w:i/>
          <w:noProof/>
          <w:sz w:val="24"/>
          <w:lang w:val="fr-BE"/>
        </w:rPr>
        <w:t>nant à son niveau le plus bas depuis dix ans, plus de 4 points de pourcentage en dessous du niveau record de 2013. Dans la zone euro, le taux de chômage, qui s’élevait à 8,3 % au deuxième trimestre de 2018, reste un point de pourcentage au-dessus de son ni</w:t>
      </w:r>
      <w:r>
        <w:rPr>
          <w:rFonts w:ascii="Times New Roman" w:hAnsi="Times New Roman"/>
          <w:i/>
          <w:noProof/>
          <w:sz w:val="24"/>
          <w:lang w:val="fr-BE"/>
        </w:rPr>
        <w:t xml:space="preserve">veau </w:t>
      </w:r>
      <w:r>
        <w:rPr>
          <w:rFonts w:ascii="Times New Roman" w:hAnsi="Times New Roman"/>
          <w:i/>
          <w:noProof/>
          <w:sz w:val="24"/>
          <w:lang w:val="fr-BE"/>
        </w:rPr>
        <w:lastRenderedPageBreak/>
        <w:t xml:space="preserve">le plus bas, enregistré en 2008. Les taux de chômage restent particulièrement élevés en Grèce, en Espagne, en Italie, en Croatie et à Chypre. </w:t>
      </w:r>
    </w:p>
    <w:p w:rsidR="00723CC0" w:rsidRDefault="00242021">
      <w:pPr>
        <w:autoSpaceDE w:val="0"/>
        <w:autoSpaceDN w:val="0"/>
        <w:adjustRightInd w:val="0"/>
        <w:spacing w:line="360" w:lineRule="auto"/>
        <w:jc w:val="both"/>
        <w:rPr>
          <w:rFonts w:ascii="Times New Roman" w:hAnsi="Times New Roman" w:cs="Times New Roman"/>
          <w:i/>
          <w:iCs/>
          <w:noProof/>
          <w:sz w:val="24"/>
          <w:szCs w:val="24"/>
          <w:highlight w:val="yellow"/>
          <w:lang w:val="fr-BE"/>
        </w:rPr>
      </w:pPr>
      <w:r>
        <w:rPr>
          <w:rFonts w:ascii="Times New Roman" w:hAnsi="Times New Roman"/>
          <w:b/>
          <w:i/>
          <w:noProof/>
          <w:sz w:val="24"/>
          <w:lang w:val="fr-BE"/>
        </w:rPr>
        <w:t>La progression de l’emploi reste plus importante du point de vue du nombre de personnes ayant un travail que</w:t>
      </w:r>
      <w:r>
        <w:rPr>
          <w:rFonts w:ascii="Times New Roman" w:hAnsi="Times New Roman"/>
          <w:b/>
          <w:i/>
          <w:noProof/>
          <w:sz w:val="24"/>
          <w:lang w:val="fr-BE"/>
        </w:rPr>
        <w:t xml:space="preserve"> du nombre d’heures travaillées. </w:t>
      </w:r>
      <w:r>
        <w:rPr>
          <w:rFonts w:ascii="Times New Roman" w:hAnsi="Times New Roman"/>
          <w:i/>
          <w:noProof/>
          <w:sz w:val="24"/>
          <w:lang w:val="fr-BE"/>
        </w:rPr>
        <w:t>Le volume total des heures travaillées dans l’Union européenne a continué d’augmenter en 2017, bien que plus lentement que l’emploi total, et n’a pas encore retrouvé son niveau de 2008. Le nombre important de travailleurs à</w:t>
      </w:r>
      <w:r>
        <w:rPr>
          <w:rFonts w:ascii="Times New Roman" w:hAnsi="Times New Roman"/>
          <w:i/>
          <w:noProof/>
          <w:sz w:val="24"/>
          <w:lang w:val="fr-BE"/>
        </w:rPr>
        <w:t xml:space="preserve"> temps partiel involontaires (c’est-à-dire de personnes qui travaillent à temps partiel mais souhaitent travailler davantage), qui est de 1,3 million plus élevé qu’en 2008, semble également indiquer que le marché du travail reste morose. La diminution du n</w:t>
      </w:r>
      <w:r>
        <w:rPr>
          <w:rFonts w:ascii="Times New Roman" w:hAnsi="Times New Roman"/>
          <w:i/>
          <w:noProof/>
          <w:sz w:val="24"/>
          <w:lang w:val="fr-BE"/>
        </w:rPr>
        <w:t xml:space="preserve">ombre d’heures travaillées par personne s’inscrit néanmoins dans une tendance structurelle amorcée au début des années 2000. </w:t>
      </w:r>
    </w:p>
    <w:p w:rsidR="00723CC0" w:rsidRDefault="00242021">
      <w:pPr>
        <w:spacing w:line="360" w:lineRule="auto"/>
        <w:jc w:val="both"/>
        <w:rPr>
          <w:rFonts w:ascii="Times New Roman" w:hAnsi="Times New Roman" w:cs="Times New Roman"/>
          <w:i/>
          <w:iCs/>
          <w:noProof/>
          <w:sz w:val="24"/>
          <w:szCs w:val="24"/>
          <w:lang w:val="fr-BE"/>
        </w:rPr>
      </w:pPr>
      <w:r>
        <w:rPr>
          <w:rFonts w:ascii="Times New Roman" w:hAnsi="Times New Roman"/>
          <w:b/>
          <w:i/>
          <w:noProof/>
          <w:sz w:val="24"/>
          <w:lang w:val="fr-BE"/>
        </w:rPr>
        <w:t>Le revenu des ménages continue d’augmenter dans presque tous les États membres.</w:t>
      </w:r>
      <w:r>
        <w:rPr>
          <w:rFonts w:ascii="Times New Roman" w:hAnsi="Times New Roman"/>
          <w:i/>
          <w:noProof/>
          <w:sz w:val="24"/>
          <w:lang w:val="fr-BE"/>
        </w:rPr>
        <w:t xml:space="preserve"> Le revenu réel disponible des ménages par habitant</w:t>
      </w:r>
      <w:r>
        <w:rPr>
          <w:rFonts w:ascii="Times New Roman" w:hAnsi="Times New Roman"/>
          <w:i/>
          <w:noProof/>
          <w:sz w:val="24"/>
          <w:lang w:val="fr-BE"/>
        </w:rPr>
        <w:t xml:space="preserve"> a augmenté plus fortement dans les États membres qui ont récemment adhéré à l’Union, ce qui favorise la convergence vers le haut. Alors que cette évolution a principalement résulté d’une conjoncture favorable, elle a également été soutenue par des réforme</w:t>
      </w:r>
      <w:r>
        <w:rPr>
          <w:rFonts w:ascii="Times New Roman" w:hAnsi="Times New Roman"/>
          <w:i/>
          <w:noProof/>
          <w:sz w:val="24"/>
          <w:lang w:val="fr-BE"/>
        </w:rPr>
        <w:t>s entraînant une amélioration de l’adéquation des prestations sociales, y compris dans les systèmes de revenu minimum. Cependant, dans un certain nombre de pays, le revenu disponible brut réel par habitant reste nettement inférieur à son niveau antérieur à</w:t>
      </w:r>
      <w:r>
        <w:rPr>
          <w:rFonts w:ascii="Times New Roman" w:hAnsi="Times New Roman"/>
          <w:i/>
          <w:noProof/>
          <w:sz w:val="24"/>
          <w:lang w:val="fr-BE"/>
        </w:rPr>
        <w:t xml:space="preserve"> la crise. Le revenu des ménages a augmenté plus lentement que le PIB, ce qui montre que la progression des revenus résultant de la reprise n’a profité que partiellement aux ménages et soulève des questions quant au caractère inclusif de la croissance réce</w:t>
      </w:r>
      <w:r>
        <w:rPr>
          <w:rFonts w:ascii="Times New Roman" w:hAnsi="Times New Roman"/>
          <w:i/>
          <w:noProof/>
          <w:sz w:val="24"/>
          <w:lang w:val="fr-BE"/>
        </w:rPr>
        <w:t xml:space="preserve">nte. </w:t>
      </w:r>
    </w:p>
    <w:p w:rsidR="00723CC0" w:rsidRDefault="00242021">
      <w:pPr>
        <w:spacing w:line="360" w:lineRule="auto"/>
        <w:jc w:val="both"/>
        <w:rPr>
          <w:rFonts w:ascii="Times New Roman" w:hAnsi="Times New Roman" w:cs="Times New Roman"/>
          <w:i/>
          <w:iCs/>
          <w:noProof/>
          <w:sz w:val="24"/>
          <w:szCs w:val="24"/>
          <w:lang w:val="fr-BE"/>
        </w:rPr>
      </w:pPr>
      <w:r>
        <w:rPr>
          <w:rFonts w:ascii="Times New Roman" w:hAnsi="Times New Roman"/>
          <w:b/>
          <w:i/>
          <w:noProof/>
          <w:sz w:val="24"/>
          <w:lang w:val="fr-BE"/>
        </w:rPr>
        <w:t xml:space="preserve">Sous l’effet d’une forte reprise de l’économie et du marché du travail, la proportion de personnes exposées au risque de pauvreté ou d’exclusion sociale a diminué de manière sensible en 2017. </w:t>
      </w:r>
      <w:r>
        <w:rPr>
          <w:rFonts w:ascii="Times New Roman" w:hAnsi="Times New Roman"/>
          <w:i/>
          <w:noProof/>
          <w:sz w:val="24"/>
          <w:lang w:val="fr-BE"/>
        </w:rPr>
        <w:t>Plus de 5 millions de personnes sont sorties de la pauvret</w:t>
      </w:r>
      <w:r>
        <w:rPr>
          <w:rFonts w:ascii="Times New Roman" w:hAnsi="Times New Roman"/>
          <w:i/>
          <w:noProof/>
          <w:sz w:val="24"/>
          <w:lang w:val="fr-BE"/>
        </w:rPr>
        <w:t>é ou de l’exclusion sociale, ce qui constitue la plus forte baisse enregistrée depuis le début de la reprise. Cette évolution a trouvé son origine principale dans la diminution du nombre de personnes souffrant de privation matérielle grave et/ou vivant dan</w:t>
      </w:r>
      <w:r>
        <w:rPr>
          <w:rFonts w:ascii="Times New Roman" w:hAnsi="Times New Roman"/>
          <w:i/>
          <w:noProof/>
          <w:sz w:val="24"/>
          <w:lang w:val="fr-BE"/>
        </w:rPr>
        <w:t>s des ménages à très faible intensité de travail (par rapport à leurs niveaux record, ces indicateurs ont enregistré une baisse respective de 15 et de 8 millions). Le nombre total de personnes menacées de pauvreté ou d’exclusion sociale, qui s’élevait à 11</w:t>
      </w:r>
      <w:r>
        <w:rPr>
          <w:rFonts w:ascii="Times New Roman" w:hAnsi="Times New Roman"/>
          <w:i/>
          <w:noProof/>
          <w:sz w:val="24"/>
          <w:lang w:val="fr-BE"/>
        </w:rPr>
        <w:t xml:space="preserve">3 millions de personnes, soit 22,5 % de la population totale, en 2017 se situe maintenant en deçà des niveaux d’avant-crise. Les estimations </w:t>
      </w:r>
      <w:r>
        <w:rPr>
          <w:rFonts w:ascii="Times New Roman" w:hAnsi="Times New Roman"/>
          <w:i/>
          <w:noProof/>
          <w:sz w:val="24"/>
          <w:lang w:val="fr-BE"/>
        </w:rPr>
        <w:lastRenderedPageBreak/>
        <w:t>montrent que cette tendance devrait se poursuivre l’année prochaine. Il reste néanmoins des progrès importants à ré</w:t>
      </w:r>
      <w:r>
        <w:rPr>
          <w:rFonts w:ascii="Times New Roman" w:hAnsi="Times New Roman"/>
          <w:i/>
          <w:noProof/>
          <w:sz w:val="24"/>
          <w:lang w:val="fr-BE"/>
        </w:rPr>
        <w:t>aliser pour atteindre l’objectif de réduction de la pauvreté et de l’exclusion sociale fixé dans la stratégie Europe 2020.</w:t>
      </w:r>
      <w:r>
        <w:rPr>
          <w:rFonts w:ascii="Times New Roman" w:hAnsi="Times New Roman"/>
          <w:noProof/>
          <w:sz w:val="24"/>
          <w:lang w:val="fr-BE"/>
        </w:rPr>
        <w:t xml:space="preserve"> </w:t>
      </w:r>
      <w:r>
        <w:rPr>
          <w:rFonts w:ascii="Times New Roman" w:hAnsi="Times New Roman"/>
          <w:i/>
          <w:noProof/>
          <w:sz w:val="24"/>
          <w:lang w:val="fr-BE"/>
        </w:rPr>
        <w:t>Les enfants, les personnes handicapées et les personnes issues de l’immigration restent particulièrement exposées au risque de pauvre</w:t>
      </w:r>
      <w:r>
        <w:rPr>
          <w:rFonts w:ascii="Times New Roman" w:hAnsi="Times New Roman"/>
          <w:i/>
          <w:noProof/>
          <w:sz w:val="24"/>
          <w:lang w:val="fr-BE"/>
        </w:rPr>
        <w:t xml:space="preserve">té ou d’exclusion sociale. </w:t>
      </w:r>
    </w:p>
    <w:p w:rsidR="00723CC0" w:rsidRDefault="00242021">
      <w:pPr>
        <w:spacing w:line="360" w:lineRule="auto"/>
        <w:jc w:val="both"/>
        <w:rPr>
          <w:rFonts w:ascii="Times New Roman" w:hAnsi="Times New Roman" w:cs="Times New Roman"/>
          <w:bCs/>
          <w:i/>
          <w:iCs/>
          <w:noProof/>
          <w:sz w:val="24"/>
          <w:szCs w:val="24"/>
          <w:lang w:val="fr-BE"/>
        </w:rPr>
      </w:pPr>
      <w:r>
        <w:rPr>
          <w:rFonts w:ascii="Times New Roman" w:hAnsi="Times New Roman"/>
          <w:b/>
          <w:i/>
          <w:noProof/>
          <w:sz w:val="24"/>
          <w:lang w:val="fr-BE"/>
        </w:rPr>
        <w:t>La croissance des salaires réels, qui a ralenti en 2017, s’améliore en 2018.</w:t>
      </w:r>
      <w:r>
        <w:rPr>
          <w:rFonts w:ascii="Times New Roman" w:hAnsi="Times New Roman"/>
          <w:i/>
          <w:noProof/>
          <w:sz w:val="24"/>
          <w:lang w:val="fr-BE"/>
        </w:rPr>
        <w:t xml:space="preserve"> D’une manière générale, la croissance des salaires reste inférieure à ce que l’on pourrait espérer compte tenu des résultats positifs du marché du trav</w:t>
      </w:r>
      <w:r>
        <w:rPr>
          <w:rFonts w:ascii="Times New Roman" w:hAnsi="Times New Roman"/>
          <w:i/>
          <w:noProof/>
          <w:sz w:val="24"/>
          <w:lang w:val="fr-BE"/>
        </w:rPr>
        <w:t>ail et de l’économie. La modeste dynamique des salaires au cours des dernières années peut s’expliquer par la faible croissance de la productivité, des prévisions d’inflation toujours faibles et les réserves qui subsistent sur le marché du travail. En term</w:t>
      </w:r>
      <w:r>
        <w:rPr>
          <w:rFonts w:ascii="Times New Roman" w:hAnsi="Times New Roman"/>
          <w:i/>
          <w:noProof/>
          <w:sz w:val="24"/>
          <w:lang w:val="fr-BE"/>
        </w:rPr>
        <w:t>es réels, les salaires moyens restent inférieurs aux niveaux d’avant-crise dans de nombreux États membres et leur croissance est restée inférieure à celle de la productivité en 2017. Cette évolution s’inscrit dans une tendance à long terme: dans l’UE, de 2</w:t>
      </w:r>
      <w:r>
        <w:rPr>
          <w:rFonts w:ascii="Times New Roman" w:hAnsi="Times New Roman"/>
          <w:i/>
          <w:noProof/>
          <w:sz w:val="24"/>
          <w:lang w:val="fr-BE"/>
        </w:rPr>
        <w:t>000 à 2017, la valeur ajoutée réelle par travailleur salarié a augmenté de 15,6 %, tandis que la rémunération réelle par salarié n’a augmenté que de 11,2 %. En dépit de ces évolutions, il est manifeste que les niveaux des revenus du travail convergent, mêm</w:t>
      </w:r>
      <w:r>
        <w:rPr>
          <w:rFonts w:ascii="Times New Roman" w:hAnsi="Times New Roman"/>
          <w:i/>
          <w:noProof/>
          <w:sz w:val="24"/>
          <w:lang w:val="fr-BE"/>
        </w:rPr>
        <w:t>e s’il reste des différences importantes entre les États membres et au sein de ceux-ci.</w:t>
      </w:r>
    </w:p>
    <w:p w:rsidR="00723CC0" w:rsidRDefault="00242021">
      <w:pPr>
        <w:spacing w:line="360" w:lineRule="auto"/>
        <w:jc w:val="both"/>
        <w:rPr>
          <w:rFonts w:ascii="Times New Roman" w:hAnsi="Times New Roman" w:cs="Times New Roman"/>
          <w:bCs/>
          <w:i/>
          <w:iCs/>
          <w:noProof/>
          <w:sz w:val="24"/>
          <w:szCs w:val="24"/>
          <w:lang w:val="fr-BE"/>
        </w:rPr>
      </w:pPr>
      <w:r>
        <w:rPr>
          <w:rFonts w:ascii="Times New Roman" w:hAnsi="Times New Roman"/>
          <w:b/>
          <w:i/>
          <w:noProof/>
          <w:sz w:val="24"/>
          <w:lang w:val="fr-BE"/>
        </w:rPr>
        <w:t>Les systèmes de fixation des salaires (y compris le salaire minimum) commencent à réagir à l’amélioration de la situation sur le marché du travail.</w:t>
      </w:r>
      <w:r>
        <w:rPr>
          <w:rFonts w:ascii="Times New Roman" w:hAnsi="Times New Roman"/>
          <w:i/>
          <w:noProof/>
          <w:sz w:val="24"/>
          <w:lang w:val="fr-BE"/>
        </w:rPr>
        <w:t xml:space="preserve"> En particulier, les </w:t>
      </w:r>
      <w:r>
        <w:rPr>
          <w:rFonts w:ascii="Times New Roman" w:hAnsi="Times New Roman"/>
          <w:i/>
          <w:noProof/>
          <w:sz w:val="24"/>
          <w:lang w:val="fr-BE"/>
        </w:rPr>
        <w:t xml:space="preserve">salaires minimums légaux ont été augmentés dans plusieurs pays, avec le concours des partenaires sociaux. Cette évolution est importante, compte tenu de la persistance de taux élevés de pauvreté des travailleurs dans plusieurs États membres, ce qui impose </w:t>
      </w:r>
      <w:r>
        <w:rPr>
          <w:rFonts w:ascii="Times New Roman" w:hAnsi="Times New Roman"/>
          <w:i/>
          <w:noProof/>
          <w:sz w:val="24"/>
          <w:lang w:val="fr-BE"/>
        </w:rPr>
        <w:t>également de prendre des mesures dans les domaines de la conception de la fiscalité et de l’adéquation des prestations. Dans ce contexte, il est important que l’ajustement des salaires minimums se fasse suivant des règles transparentes et prévisibles, comp</w:t>
      </w:r>
      <w:r>
        <w:rPr>
          <w:rFonts w:ascii="Times New Roman" w:hAnsi="Times New Roman"/>
          <w:i/>
          <w:noProof/>
          <w:sz w:val="24"/>
          <w:lang w:val="fr-BE"/>
        </w:rPr>
        <w:t>te tenu de leur incidence sur la compétitivité, la création d’emploi et la pauvreté des travailleurs.</w:t>
      </w:r>
    </w:p>
    <w:p w:rsidR="00723CC0" w:rsidRDefault="00242021">
      <w:pPr>
        <w:spacing w:line="360" w:lineRule="auto"/>
        <w:jc w:val="both"/>
        <w:rPr>
          <w:rFonts w:ascii="Times New Roman" w:hAnsi="Times New Roman" w:cs="Times New Roman"/>
          <w:bCs/>
          <w:i/>
          <w:iCs/>
          <w:noProof/>
          <w:sz w:val="24"/>
          <w:szCs w:val="24"/>
          <w:lang w:val="fr-BE"/>
        </w:rPr>
      </w:pPr>
      <w:r>
        <w:rPr>
          <w:rFonts w:ascii="Times New Roman" w:hAnsi="Times New Roman"/>
          <w:b/>
          <w:i/>
          <w:noProof/>
          <w:sz w:val="24"/>
          <w:lang w:val="fr-BE"/>
        </w:rPr>
        <w:t>Dans un contexte de création d’emplois soutenue, certains groupes ont encore du mal à tirer profit de la reprise</w:t>
      </w:r>
      <w:r>
        <w:rPr>
          <w:rFonts w:ascii="Times New Roman" w:hAnsi="Times New Roman"/>
          <w:i/>
          <w:noProof/>
          <w:sz w:val="24"/>
          <w:lang w:val="fr-BE"/>
        </w:rPr>
        <w:t>. La croissance de l’emploi en 2017 a prin</w:t>
      </w:r>
      <w:r>
        <w:rPr>
          <w:rFonts w:ascii="Times New Roman" w:hAnsi="Times New Roman"/>
          <w:i/>
          <w:noProof/>
          <w:sz w:val="24"/>
          <w:lang w:val="fr-BE"/>
        </w:rPr>
        <w:t>cipalement concerné les femmes, les travailleurs âgés et les personnes hautement qualifiées. Par ailleurs, le taux d’emploi des travailleurs peu qualifiés reste inférieur aux niveaux d’avant-crise et reste de près de 30 points de pourcentage inférieur à ce</w:t>
      </w:r>
      <w:r>
        <w:rPr>
          <w:rFonts w:ascii="Times New Roman" w:hAnsi="Times New Roman"/>
          <w:i/>
          <w:noProof/>
          <w:sz w:val="24"/>
          <w:lang w:val="fr-BE"/>
        </w:rPr>
        <w:t xml:space="preserve">lui des travailleurs hautement qualifiés. Bien qu’il soit en augmentation, le taux d’emploi des jeunes est inférieur à celui de 2008 (de 2,7 </w:t>
      </w:r>
      <w:r>
        <w:rPr>
          <w:rFonts w:ascii="Times New Roman" w:hAnsi="Times New Roman"/>
          <w:i/>
          <w:noProof/>
          <w:sz w:val="24"/>
          <w:lang w:val="fr-BE"/>
        </w:rPr>
        <w:lastRenderedPageBreak/>
        <w:t>points de pourcentage). En revanche, la proportion de jeunes sans emploi qui ne suivaient ni études ni formation (1</w:t>
      </w:r>
      <w:r>
        <w:rPr>
          <w:rFonts w:ascii="Times New Roman" w:hAnsi="Times New Roman"/>
          <w:i/>
          <w:noProof/>
          <w:sz w:val="24"/>
          <w:lang w:val="fr-BE"/>
        </w:rPr>
        <w:t xml:space="preserve">0,9 %) a retrouvé son niveau d’avant-crise. Les personnes issues de l’immigration connaissent des problèmes d’employabilité: l’écart entre le taux d’emploi des travailleurs autochtones et celui des travailleurs originaires de pays tiers était de 10 points </w:t>
      </w:r>
      <w:r>
        <w:rPr>
          <w:rFonts w:ascii="Times New Roman" w:hAnsi="Times New Roman"/>
          <w:i/>
          <w:noProof/>
          <w:sz w:val="24"/>
          <w:lang w:val="fr-BE"/>
        </w:rPr>
        <w:t>de pourcentage en 2017 (contre 4,5 points en 2008). Cet écart est particulièrement marqué en ce qui concerne les migrantes. Enfin, la participation des handicapés au marché du travail est généralement moindre; le potentiel d’utilisation de leurs talents re</w:t>
      </w:r>
      <w:r>
        <w:rPr>
          <w:rFonts w:ascii="Times New Roman" w:hAnsi="Times New Roman"/>
          <w:i/>
          <w:noProof/>
          <w:sz w:val="24"/>
          <w:lang w:val="fr-BE"/>
        </w:rPr>
        <w:t>ste largement inexploité.</w:t>
      </w:r>
    </w:p>
    <w:p w:rsidR="00723CC0" w:rsidRDefault="00242021">
      <w:pPr>
        <w:pStyle w:val="Default"/>
        <w:spacing w:after="240" w:line="360" w:lineRule="auto"/>
        <w:jc w:val="both"/>
        <w:rPr>
          <w:bCs/>
          <w:i/>
          <w:noProof/>
        </w:rPr>
      </w:pPr>
      <w:r>
        <w:rPr>
          <w:b/>
          <w:i/>
          <w:noProof/>
        </w:rPr>
        <w:t xml:space="preserve">La participation des femmes au marché du travail continue de croître à un rythme rapide. </w:t>
      </w:r>
      <w:r>
        <w:rPr>
          <w:i/>
          <w:noProof/>
        </w:rPr>
        <w:t>Le taux d’emploi des femmes s’est établi à 66,5 % en 2017, ce qui correspond à une augmentation de près de 5 points de pourcentage par rappor</w:t>
      </w:r>
      <w:r>
        <w:rPr>
          <w:i/>
          <w:noProof/>
        </w:rPr>
        <w:t>t à 2008.</w:t>
      </w:r>
      <w:r>
        <w:rPr>
          <w:b/>
          <w:i/>
          <w:noProof/>
        </w:rPr>
        <w:t xml:space="preserve"> </w:t>
      </w:r>
      <w:r>
        <w:rPr>
          <w:i/>
          <w:noProof/>
        </w:rPr>
        <w:t xml:space="preserve">L’écart entre les taux d’emploi des hommes et des femmes reste toutefois important, avec des disparités considérables d’un État membre à l’autre. Bien que, sur la base du niveau d’éducation atteint, les femmes soient généralement plus qualifiées </w:t>
      </w:r>
      <w:r>
        <w:rPr>
          <w:i/>
          <w:noProof/>
        </w:rPr>
        <w:t xml:space="preserve">que les hommes, l’écart de rémunération entre hommes et femmes est élevé et ne se réduit que progressivement. Les femmes sont surreprésentées dans les secteurs et les professions les moins bien rémunérés et occupent plus souvent des emplois sous-qualifiés </w:t>
      </w:r>
      <w:r>
        <w:rPr>
          <w:i/>
          <w:noProof/>
        </w:rPr>
        <w:t>par rapport à leur niveau de compétences. L’incidence de la parentalité et des responsabilités familiales reste le principal facteur expliquant des taux d’emploi moindres, les services sous-développés constituant un obstacle majeur à la conservation d’un e</w:t>
      </w:r>
      <w:r>
        <w:rPr>
          <w:i/>
          <w:noProof/>
        </w:rPr>
        <w:t>mploi ou à la reprise du travail. De plus, les aidants informels, qui sont majoritairement des femmes, sont davantage exposés à la pauvreté et à la dépendance financière, car les interruptions de carrière se traduisent souvent par des droits à pension moin</w:t>
      </w:r>
      <w:r>
        <w:rPr>
          <w:i/>
          <w:noProof/>
        </w:rPr>
        <w:t>dres. Un certain nombre d’États membres prennent des mesures pour rendre abordable et égalitaire l’accès à des services de garde d’enfants et de soins de longue durée de qualité, mais il reste des obstacles importants à aplanir. Dans certains cas, une répa</w:t>
      </w:r>
      <w:r>
        <w:rPr>
          <w:i/>
          <w:noProof/>
        </w:rPr>
        <w:t>rtition plus équilibrée des congés payés pour raisons familiales entre hommes et femmes serait bénéfique. Quelques États membres adaptent actuellement leurs systèmes socio-fiscaux afin d’éliminer les obstacles à l’emploi pour les deuxièmes revenus. Seul un</w:t>
      </w:r>
      <w:r>
        <w:rPr>
          <w:i/>
          <w:noProof/>
        </w:rPr>
        <w:t xml:space="preserve"> nombre limité de pays a mis en place des mesures concrètes pour réduire l’écart de rémunération entre hommes et femmes.</w:t>
      </w:r>
    </w:p>
    <w:p w:rsidR="00723CC0" w:rsidRDefault="00242021">
      <w:pPr>
        <w:pStyle w:val="Default"/>
        <w:spacing w:after="240" w:line="360" w:lineRule="auto"/>
        <w:jc w:val="both"/>
        <w:rPr>
          <w:bCs/>
          <w:i/>
          <w:noProof/>
        </w:rPr>
      </w:pPr>
      <w:r>
        <w:rPr>
          <w:b/>
          <w:i/>
          <w:noProof/>
        </w:rPr>
        <w:t>Le taux d’emploi des travailleurs âgés a considérablement augmenté au cours de la dernière décennie.</w:t>
      </w:r>
      <w:r>
        <w:rPr>
          <w:i/>
          <w:noProof/>
        </w:rPr>
        <w:t xml:space="preserve"> Dans la tranche d’âge des 55-64 an</w:t>
      </w:r>
      <w:r>
        <w:rPr>
          <w:i/>
          <w:noProof/>
        </w:rPr>
        <w:t xml:space="preserve">s, il est passé de 45,5 % en 2008 à 57,1 % en 2017. Les travailleurs âgés ont été relativement mieux protégés de la récession et </w:t>
      </w:r>
      <w:r>
        <w:rPr>
          <w:i/>
          <w:noProof/>
        </w:rPr>
        <w:lastRenderedPageBreak/>
        <w:t>leur taux d’emploi a continué d’augmenter pendant la crise, pour devenir ensuite un facteur important de la reprise de l’emploi</w:t>
      </w:r>
      <w:r>
        <w:rPr>
          <w:i/>
          <w:noProof/>
        </w:rPr>
        <w:t>. L’allongement de la vie professionnelle s’explique par un certain nombre de facteurs, notamment l’augmentation de l’âge légal du départ à la retraite, un meilleur accès aux services de soins, la disponibilité de formules souples de travail et des stratég</w:t>
      </w:r>
      <w:r>
        <w:rPr>
          <w:i/>
          <w:noProof/>
        </w:rPr>
        <w:t>ies de vieillissement actif. Plusieurs États membres continuent d’encourager la participation des travailleurs âgés aux marchés du travail, notamment en favorisant les transitions flexibles vers la retraite et en offrant des incitations financières aux emp</w:t>
      </w:r>
      <w:r>
        <w:rPr>
          <w:i/>
          <w:noProof/>
        </w:rPr>
        <w:t xml:space="preserve">loyeurs et aux salariés. </w:t>
      </w:r>
    </w:p>
    <w:p w:rsidR="00723CC0" w:rsidRDefault="00242021">
      <w:pPr>
        <w:pStyle w:val="Default"/>
        <w:spacing w:after="240" w:line="360" w:lineRule="auto"/>
        <w:jc w:val="both"/>
        <w:rPr>
          <w:i/>
          <w:iCs/>
          <w:noProof/>
          <w:color w:val="auto"/>
          <w:spacing w:val="-2"/>
        </w:rPr>
      </w:pPr>
      <w:r>
        <w:rPr>
          <w:b/>
          <w:i/>
          <w:noProof/>
        </w:rPr>
        <w:t xml:space="preserve">La situation des jeunes sur le marché du travail continue de s’améliorer, mais le chômage des jeunes reste élevé dans un certain nombre d’États membres. </w:t>
      </w:r>
      <w:r>
        <w:rPr>
          <w:i/>
          <w:noProof/>
        </w:rPr>
        <w:t>Même s’il est en baisse constante et a retrouvé son niveau de 2008, le taux de chômage des jeunes (âgés de 15 à 24 ans) présente de grandes différences d’un pays à l’autre et des taux très élevés dans certains d’entre eux. Une partie considérable des jeune</w:t>
      </w:r>
      <w:r>
        <w:rPr>
          <w:i/>
          <w:noProof/>
        </w:rPr>
        <w:t xml:space="preserve">s reste économiquement inactive. Dans l’ensemble de l’Union, près de 6 millions de personnes âgées de 15 à 24 ans étaient sans emploi et ne suivaient ni études ni formation (NEET) en 2017. S’il se prolonge dans le temps, l’éloignement des jeunes du marché </w:t>
      </w:r>
      <w:r>
        <w:rPr>
          <w:i/>
          <w:noProof/>
        </w:rPr>
        <w:t>du travail peut avoir des conséquences négatives pour le potentiel de croissance ainsi que des effets négatifs pour les personnes concernées, tels que la dépréciation de leurs compétences et un risque accru de pauvreté et d’exclusion sociale à un stade ult</w:t>
      </w:r>
      <w:r>
        <w:rPr>
          <w:i/>
          <w:noProof/>
        </w:rPr>
        <w:t xml:space="preserve">érieur de leur vie. Les mesures prises par les États membres conformément à la </w:t>
      </w:r>
      <w:r>
        <w:rPr>
          <w:i/>
          <w:noProof/>
          <w:color w:val="auto"/>
        </w:rPr>
        <w:t xml:space="preserve">recommandation du Conseil établissant la garantie pour la jeunesse peuvent constituer des facteurs d’amélioration déterminants. </w:t>
      </w:r>
    </w:p>
    <w:p w:rsidR="00723CC0" w:rsidRDefault="00242021">
      <w:pPr>
        <w:spacing w:line="360" w:lineRule="auto"/>
        <w:jc w:val="both"/>
        <w:rPr>
          <w:rFonts w:ascii="Times New Roman" w:hAnsi="Times New Roman" w:cs="Times New Roman"/>
          <w:bCs/>
          <w:i/>
          <w:iCs/>
          <w:noProof/>
          <w:sz w:val="24"/>
          <w:szCs w:val="24"/>
          <w:lang w:val="fr-BE"/>
        </w:rPr>
      </w:pPr>
      <w:r>
        <w:rPr>
          <w:rFonts w:ascii="Times New Roman" w:hAnsi="Times New Roman"/>
          <w:b/>
          <w:i/>
          <w:noProof/>
          <w:sz w:val="24"/>
          <w:lang w:val="fr-BE"/>
        </w:rPr>
        <w:t>Garantir l’accès à une éducation et à une format</w:t>
      </w:r>
      <w:r>
        <w:rPr>
          <w:rFonts w:ascii="Times New Roman" w:hAnsi="Times New Roman"/>
          <w:b/>
          <w:i/>
          <w:noProof/>
          <w:sz w:val="24"/>
          <w:lang w:val="fr-BE"/>
        </w:rPr>
        <w:t xml:space="preserve">ion de qualité et inclusives permet aux jeunes générations de devenir des citoyens engagés et actifs et les aide à s’intégrer sur le marché du travail et dans la société. </w:t>
      </w:r>
      <w:r>
        <w:rPr>
          <w:rFonts w:ascii="Times New Roman" w:hAnsi="Times New Roman"/>
          <w:i/>
          <w:noProof/>
          <w:sz w:val="24"/>
          <w:lang w:val="fr-BE"/>
        </w:rPr>
        <w:t>L’Europe progresse vers la réalisation du grand objectif consistant à limiter le décr</w:t>
      </w:r>
      <w:r>
        <w:rPr>
          <w:rFonts w:ascii="Times New Roman" w:hAnsi="Times New Roman"/>
          <w:i/>
          <w:noProof/>
          <w:sz w:val="24"/>
          <w:lang w:val="fr-BE"/>
        </w:rPr>
        <w:t>ochage scolaire à 10 % à l’horizon 2020 et elle a presque atteint l’objectif de 40 % de diplômés de l’enseignement supérieur. De grandes différences persistent néanmoins entre États membres et entre groupes démographiques (par exemple entre les hommes et l</w:t>
      </w:r>
      <w:r>
        <w:rPr>
          <w:rFonts w:ascii="Times New Roman" w:hAnsi="Times New Roman"/>
          <w:i/>
          <w:noProof/>
          <w:sz w:val="24"/>
          <w:lang w:val="fr-BE"/>
        </w:rPr>
        <w:t>es femmes et entre les personnes nées dans l’UE et les personnes nées en dehors de celle-ci). La forte proportion de personnes ayant une maîtrise insuffisante des compétences de base et la forte corrélation entre les résultats scolaires, le statut socio-éc</w:t>
      </w:r>
      <w:r>
        <w:rPr>
          <w:rFonts w:ascii="Times New Roman" w:hAnsi="Times New Roman"/>
          <w:i/>
          <w:noProof/>
          <w:sz w:val="24"/>
          <w:lang w:val="fr-BE"/>
        </w:rPr>
        <w:t>onomique et les résultats sur le marché du travail sont préoccupantes. Les États membres prennent des mesures pour améliorer leurs systèmes éducatifs, notamment pour continuer de réduire les taux de décrochage scolaire, favoriser l’égalité d’accès et améli</w:t>
      </w:r>
      <w:r>
        <w:rPr>
          <w:rFonts w:ascii="Times New Roman" w:hAnsi="Times New Roman"/>
          <w:i/>
          <w:noProof/>
          <w:sz w:val="24"/>
          <w:lang w:val="fr-BE"/>
        </w:rPr>
        <w:t>orer les résultats scolaires des apprenants défavorisés. Il est prioritaire, dans certains États membres, d’investir davantage (et plus efficacement) dans les systèmes d’éducation et de formation. L’amélioration de la qualité de l’enseignement supérieur et</w:t>
      </w:r>
      <w:r>
        <w:rPr>
          <w:rFonts w:ascii="Times New Roman" w:hAnsi="Times New Roman"/>
          <w:i/>
          <w:noProof/>
          <w:sz w:val="24"/>
          <w:lang w:val="fr-BE"/>
        </w:rPr>
        <w:t xml:space="preserve"> de sa pertinence pour le marché du travail figure également parmi les priorités des États membres, notamment dans le contexte de la hausse des taux de réussite dans l’enseignement supérieur.</w:t>
      </w:r>
    </w:p>
    <w:p w:rsidR="00723CC0" w:rsidRDefault="00242021">
      <w:pPr>
        <w:spacing w:line="360" w:lineRule="auto"/>
        <w:jc w:val="both"/>
        <w:rPr>
          <w:rFonts w:ascii="Times New Roman" w:hAnsi="Times New Roman" w:cs="Times New Roman"/>
          <w:i/>
          <w:noProof/>
          <w:sz w:val="24"/>
          <w:szCs w:val="24"/>
          <w:lang w:val="fr-BE"/>
        </w:rPr>
      </w:pPr>
      <w:r>
        <w:rPr>
          <w:rFonts w:ascii="Times New Roman" w:hAnsi="Times New Roman"/>
          <w:b/>
          <w:i/>
          <w:noProof/>
          <w:sz w:val="24"/>
          <w:lang w:val="fr-BE"/>
        </w:rPr>
        <w:t xml:space="preserve">L’évolution technologique et les mutations qui en résultent sur </w:t>
      </w:r>
      <w:r>
        <w:rPr>
          <w:rFonts w:ascii="Times New Roman" w:hAnsi="Times New Roman"/>
          <w:b/>
          <w:i/>
          <w:noProof/>
          <w:sz w:val="24"/>
          <w:lang w:val="fr-BE"/>
        </w:rPr>
        <w:t xml:space="preserve">les marchés du travail rendent indispensables le perfectionnement professionnel et le recyclage de la population en âge de travailler. </w:t>
      </w:r>
      <w:r>
        <w:rPr>
          <w:rFonts w:ascii="Times New Roman" w:hAnsi="Times New Roman"/>
          <w:i/>
          <w:noProof/>
          <w:sz w:val="24"/>
          <w:lang w:val="fr-BE"/>
        </w:rPr>
        <w:t>Posséder une qualification pertinente pour le marché du travail est de plus en plus essentiel à l’adaptation des travaill</w:t>
      </w:r>
      <w:r>
        <w:rPr>
          <w:rFonts w:ascii="Times New Roman" w:hAnsi="Times New Roman"/>
          <w:i/>
          <w:noProof/>
          <w:sz w:val="24"/>
          <w:lang w:val="fr-BE"/>
        </w:rPr>
        <w:t>eurs à un environnement en évolution rapide.</w:t>
      </w:r>
      <w:r>
        <w:rPr>
          <w:rFonts w:ascii="Times New Roman" w:hAnsi="Times New Roman"/>
          <w:b/>
          <w:i/>
          <w:noProof/>
          <w:sz w:val="24"/>
          <w:lang w:val="fr-BE"/>
        </w:rPr>
        <w:t xml:space="preserve"> </w:t>
      </w:r>
      <w:r>
        <w:rPr>
          <w:rFonts w:ascii="Times New Roman" w:hAnsi="Times New Roman"/>
          <w:i/>
          <w:noProof/>
          <w:sz w:val="24"/>
          <w:lang w:val="fr-BE"/>
        </w:rPr>
        <w:t>Dans l’UE, le rapport entre les adultes peu qualifiés et le nombre d’emplois nécessitant un faible niveau de qualification est en moyenne de trois pour un. Or, les personnes peu qualifiées et les personnes âgées</w:t>
      </w:r>
      <w:r>
        <w:rPr>
          <w:rFonts w:ascii="Times New Roman" w:hAnsi="Times New Roman"/>
          <w:i/>
          <w:noProof/>
          <w:sz w:val="24"/>
          <w:lang w:val="fr-BE"/>
        </w:rPr>
        <w:t xml:space="preserve"> sont nettement moins susceptibles que la population moyenne de participer à des programmes d’apprentissage pour adultes. Des lacunes importantes subsistent dans le domaine des compétences numériques: plus de 40 % des adultes de l’UE (jusqu’à 70 % dans cer</w:t>
      </w:r>
      <w:r>
        <w:rPr>
          <w:rFonts w:ascii="Times New Roman" w:hAnsi="Times New Roman"/>
          <w:i/>
          <w:noProof/>
          <w:sz w:val="24"/>
          <w:lang w:val="fr-BE"/>
        </w:rPr>
        <w:t>tains États membres) ne possèdent pas les compétences numériques de base. Cela signifie qu’une partie importante de la population n’est pas en mesure d’accéder à une multitude de services, ce qui a une incidence négative sur l’inclusion et la productivité.</w:t>
      </w:r>
      <w:r>
        <w:rPr>
          <w:rFonts w:ascii="Times New Roman" w:hAnsi="Times New Roman"/>
          <w:i/>
          <w:noProof/>
          <w:sz w:val="24"/>
          <w:lang w:val="fr-BE"/>
        </w:rPr>
        <w:t xml:space="preserve"> </w:t>
      </w:r>
    </w:p>
    <w:p w:rsidR="00723CC0" w:rsidRDefault="00242021">
      <w:pPr>
        <w:spacing w:line="360" w:lineRule="auto"/>
        <w:jc w:val="both"/>
        <w:rPr>
          <w:rFonts w:ascii="Times New Roman" w:hAnsi="Times New Roman" w:cs="Times New Roman"/>
          <w:bCs/>
          <w:i/>
          <w:iCs/>
          <w:noProof/>
          <w:sz w:val="24"/>
          <w:szCs w:val="24"/>
          <w:lang w:val="fr-BE"/>
        </w:rPr>
      </w:pPr>
      <w:r>
        <w:rPr>
          <w:rFonts w:ascii="Times New Roman" w:hAnsi="Times New Roman"/>
          <w:b/>
          <w:i/>
          <w:noProof/>
          <w:sz w:val="24"/>
          <w:lang w:val="fr-BE"/>
        </w:rPr>
        <w:t>Les États membres adaptent leurs systèmes de développement des compétences et élaborent des stratégies pour améliorer la pertinence de la formation pour le marché du travail, afin de faciliter la transition des apprenants vers et sur le marché du travail</w:t>
      </w:r>
      <w:r>
        <w:rPr>
          <w:rFonts w:ascii="Times New Roman" w:hAnsi="Times New Roman"/>
          <w:b/>
          <w:i/>
          <w:noProof/>
          <w:sz w:val="24"/>
          <w:lang w:val="fr-BE"/>
        </w:rPr>
        <w:t>.</w:t>
      </w:r>
      <w:r>
        <w:rPr>
          <w:rFonts w:ascii="Times New Roman" w:hAnsi="Times New Roman"/>
          <w:i/>
          <w:noProof/>
          <w:sz w:val="24"/>
          <w:lang w:val="fr-BE"/>
        </w:rPr>
        <w:t xml:space="preserve"> Il s’agit notamment</w:t>
      </w:r>
      <w:r>
        <w:rPr>
          <w:rFonts w:ascii="Times New Roman" w:hAnsi="Times New Roman"/>
          <w:b/>
          <w:i/>
          <w:noProof/>
          <w:sz w:val="24"/>
          <w:lang w:val="fr-BE"/>
        </w:rPr>
        <w:t xml:space="preserve"> </w:t>
      </w:r>
      <w:r>
        <w:rPr>
          <w:rFonts w:ascii="Times New Roman" w:hAnsi="Times New Roman"/>
          <w:i/>
          <w:noProof/>
          <w:sz w:val="24"/>
          <w:lang w:val="fr-BE"/>
        </w:rPr>
        <w:t>de faciliter la compréhension et la reconnaissance des compétences et des qualifications à travers l’Europe et de prendre en compte l’apprentissage en dehors de structures institutionnelles. Les systèmes d’enseignement et de formation</w:t>
      </w:r>
      <w:r>
        <w:rPr>
          <w:rFonts w:ascii="Times New Roman" w:hAnsi="Times New Roman"/>
          <w:i/>
          <w:noProof/>
          <w:sz w:val="24"/>
          <w:lang w:val="fr-BE"/>
        </w:rPr>
        <w:t xml:space="preserve"> professionnels sont soumis à une évaluation et à une mise à jour, le but étant d’améliorer leur pertinence pour le marché du travail et de promouvoir l’accès à ces systèmes, mais il reste des défis à relever dans ces domaines. L’octroi d’incitations visan</w:t>
      </w:r>
      <w:r>
        <w:rPr>
          <w:rFonts w:ascii="Times New Roman" w:hAnsi="Times New Roman"/>
          <w:i/>
          <w:noProof/>
          <w:sz w:val="24"/>
          <w:lang w:val="fr-BE"/>
        </w:rPr>
        <w:t>t à encourager les groupes défavorisés à suivre un enseignement ou une formation pour adultes, la mise en œuvre de services d’orientation appropriés et l’octroi d’un soutien financier aux entreprises qui forment leur personnel constituent des leviers impor</w:t>
      </w:r>
      <w:r>
        <w:rPr>
          <w:rFonts w:ascii="Times New Roman" w:hAnsi="Times New Roman"/>
          <w:i/>
          <w:noProof/>
          <w:sz w:val="24"/>
          <w:lang w:val="fr-BE"/>
        </w:rPr>
        <w:t>tants pour obtenir de meilleurs résultats. Les États membres continuent à multiplier les possibilités d’apprentissage et de qualification offertes aux adultes peu qualifiés, conformément à l’initiative «Parcours de renforcement des compétences». La promoti</w:t>
      </w:r>
      <w:r>
        <w:rPr>
          <w:rFonts w:ascii="Times New Roman" w:hAnsi="Times New Roman"/>
          <w:i/>
          <w:noProof/>
          <w:sz w:val="24"/>
          <w:lang w:val="fr-BE"/>
        </w:rPr>
        <w:t xml:space="preserve">on du développement des compétences numériques occupe une place importante parmi les priorités des États membres dans le domaine de l’éducation et des compétences. </w:t>
      </w:r>
    </w:p>
    <w:p w:rsidR="00723CC0" w:rsidRDefault="00242021">
      <w:pPr>
        <w:spacing w:line="360" w:lineRule="auto"/>
        <w:jc w:val="both"/>
        <w:rPr>
          <w:rFonts w:ascii="Times New Roman" w:hAnsi="Times New Roman" w:cs="Times New Roman"/>
          <w:bCs/>
          <w:i/>
          <w:iCs/>
          <w:noProof/>
          <w:sz w:val="24"/>
          <w:szCs w:val="24"/>
          <w:lang w:val="fr-BE"/>
        </w:rPr>
      </w:pPr>
      <w:r>
        <w:rPr>
          <w:rFonts w:ascii="Times New Roman" w:hAnsi="Times New Roman"/>
          <w:b/>
          <w:i/>
          <w:noProof/>
          <w:sz w:val="24"/>
          <w:lang w:val="fr-BE"/>
        </w:rPr>
        <w:t>L’incidence des formes de travail atypiques est à peu près stable à l’échelle de l’UE, mais</w:t>
      </w:r>
      <w:r>
        <w:rPr>
          <w:rFonts w:ascii="Times New Roman" w:hAnsi="Times New Roman"/>
          <w:b/>
          <w:i/>
          <w:noProof/>
          <w:sz w:val="24"/>
          <w:lang w:val="fr-BE"/>
        </w:rPr>
        <w:t xml:space="preserve"> la forte segmentation du marché du travail reste un problème dans un certain nombre d’États membres.</w:t>
      </w:r>
      <w:r>
        <w:rPr>
          <w:noProof/>
          <w:lang w:val="fr-BE"/>
        </w:rPr>
        <w:t xml:space="preserve"> </w:t>
      </w:r>
      <w:r>
        <w:rPr>
          <w:rFonts w:ascii="Times New Roman" w:hAnsi="Times New Roman"/>
          <w:i/>
          <w:noProof/>
          <w:sz w:val="24"/>
          <w:lang w:val="fr-BE"/>
        </w:rPr>
        <w:t>La proportion de salariés ayant un contrat temporaire n’a pas évolué de manière significative au cours des dernières années, oscillant autour de 14 % en m</w:t>
      </w:r>
      <w:r>
        <w:rPr>
          <w:rFonts w:ascii="Times New Roman" w:hAnsi="Times New Roman"/>
          <w:i/>
          <w:noProof/>
          <w:sz w:val="24"/>
          <w:lang w:val="fr-BE"/>
        </w:rPr>
        <w:t>oyenne. Plus de la moitié des travailleurs temporaires sont des temporaires «involontaires» à l’échelle de l’Union et cette proportion atteint 70 % ou plus dans 12 États membres. Dans plusieurs pays, la combinaison d’une forte proportion de contrats tempor</w:t>
      </w:r>
      <w:r>
        <w:rPr>
          <w:rFonts w:ascii="Times New Roman" w:hAnsi="Times New Roman"/>
          <w:i/>
          <w:noProof/>
          <w:sz w:val="24"/>
          <w:lang w:val="fr-BE"/>
        </w:rPr>
        <w:t>aires et de faibles taux de transition vers des contrats permanents est symptomatique de la dualité du marché du travail. Ce phénomène est préoccupant, car les travailleurs atypiques occupent un emploi de moindre qualité et sont davantage susceptibles d’êt</w:t>
      </w:r>
      <w:r>
        <w:rPr>
          <w:rFonts w:ascii="Times New Roman" w:hAnsi="Times New Roman"/>
          <w:i/>
          <w:noProof/>
          <w:sz w:val="24"/>
          <w:lang w:val="fr-BE"/>
        </w:rPr>
        <w:t>re des travailleurs pauvres. En outre, environ un quart des travailleurs non salariés de l’UE peuvent être qualifiés de travailleurs «vulnérables» ou «dissimulés». Les résultats de l’enquête semblent également indiquer que la proportion de personnes tirant</w:t>
      </w:r>
      <w:r>
        <w:rPr>
          <w:rFonts w:ascii="Times New Roman" w:hAnsi="Times New Roman"/>
          <w:i/>
          <w:noProof/>
          <w:sz w:val="24"/>
          <w:lang w:val="fr-BE"/>
        </w:rPr>
        <w:t xml:space="preserve"> plus de la moitié de leur revenu du travail via une plateforme numérique pourrait avoir atteint quelque 2 % (en 2017) et devrait augmenter, ce qui souligne l’importance d’un renforcement de l’action des pouvoirs publics dans ce domaine. Certains États mem</w:t>
      </w:r>
      <w:r>
        <w:rPr>
          <w:rFonts w:ascii="Times New Roman" w:hAnsi="Times New Roman"/>
          <w:i/>
          <w:noProof/>
          <w:sz w:val="24"/>
          <w:lang w:val="fr-BE"/>
        </w:rPr>
        <w:t>bres sont en train de réformer leur législation sur la protection de l’emploi dans le but de parvenir à un meilleur équilibre entre flexibilité et sécurité et d’éviter la segmentation. Ils durcissent, dans certains cas, les conditions de recours aux contra</w:t>
      </w:r>
      <w:r>
        <w:rPr>
          <w:rFonts w:ascii="Times New Roman" w:hAnsi="Times New Roman"/>
          <w:i/>
          <w:noProof/>
          <w:sz w:val="24"/>
          <w:lang w:val="fr-BE"/>
        </w:rPr>
        <w:t>ts temporaires ou élargissent la portée des négociations collectives à la définition du cadre de ces contrats. Quelques États membres ont mis en place une réglementation sur les nouvelles formes de travail qui concerne, entre autres, les travailleurs des p</w:t>
      </w:r>
      <w:r>
        <w:rPr>
          <w:rFonts w:ascii="Times New Roman" w:hAnsi="Times New Roman"/>
          <w:i/>
          <w:noProof/>
          <w:sz w:val="24"/>
          <w:lang w:val="fr-BE"/>
        </w:rPr>
        <w:t>lateformes et les travailleurs indépendants.</w:t>
      </w:r>
    </w:p>
    <w:p w:rsidR="00723CC0" w:rsidRDefault="00242021">
      <w:pPr>
        <w:spacing w:line="360" w:lineRule="auto"/>
        <w:jc w:val="both"/>
        <w:rPr>
          <w:rFonts w:ascii="Times New Roman" w:hAnsi="Times New Roman" w:cs="Times New Roman"/>
          <w:bCs/>
          <w:i/>
          <w:iCs/>
          <w:noProof/>
          <w:sz w:val="24"/>
          <w:szCs w:val="24"/>
          <w:lang w:val="fr-BE"/>
        </w:rPr>
      </w:pPr>
      <w:r>
        <w:rPr>
          <w:rFonts w:ascii="Times New Roman" w:hAnsi="Times New Roman"/>
          <w:b/>
          <w:i/>
          <w:noProof/>
          <w:sz w:val="24"/>
          <w:lang w:val="fr-BE"/>
        </w:rPr>
        <w:t>Des prestations de chômage d’un montant adéquat, d’une durée raisonnable, accessibles à tous les travailleurs et accompagnées de mesures d’activation efficaces sont essentielles pour aider les demandeurs d’emplo</w:t>
      </w:r>
      <w:r>
        <w:rPr>
          <w:rFonts w:ascii="Times New Roman" w:hAnsi="Times New Roman"/>
          <w:b/>
          <w:i/>
          <w:noProof/>
          <w:sz w:val="24"/>
          <w:lang w:val="fr-BE"/>
        </w:rPr>
        <w:t>i pendant les périodes de transition.</w:t>
      </w:r>
      <w:r>
        <w:rPr>
          <w:rFonts w:ascii="Times New Roman" w:hAnsi="Times New Roman"/>
          <w:i/>
          <w:noProof/>
          <w:sz w:val="24"/>
          <w:lang w:val="fr-BE"/>
        </w:rPr>
        <w:t xml:space="preserve"> Les systèmes de protection, dans toutes leurs dimensions, sont conçus très différemment d’un État membre à l’autre. Les réformes récentes dans ce domaine ont principalement porté sur le renforcement des exigences d’act</w:t>
      </w:r>
      <w:r>
        <w:rPr>
          <w:rFonts w:ascii="Times New Roman" w:hAnsi="Times New Roman"/>
          <w:i/>
          <w:noProof/>
          <w:sz w:val="24"/>
          <w:lang w:val="fr-BE"/>
        </w:rPr>
        <w:t xml:space="preserve">ivation des demandeurs d’emploi prestataires, par exemple en ce qui concerne les obligations en matière de recherche d’emploi et les conditions d’acceptation d’un nouvel emploi. La couverture des travailleurs atypiques, dont l’accès au système est souvent </w:t>
      </w:r>
      <w:r>
        <w:rPr>
          <w:rFonts w:ascii="Times New Roman" w:hAnsi="Times New Roman"/>
          <w:i/>
          <w:noProof/>
          <w:sz w:val="24"/>
          <w:lang w:val="fr-BE"/>
        </w:rPr>
        <w:t xml:space="preserve">limité, et l’absence de couverture des travailleurs indépendants restent des sujets de préoccupation, qui ont été mis en évidence dans la proposition de recommandation du Conseil relative à l’accès des travailleurs salariés et non salariés à la protection </w:t>
      </w:r>
      <w:r>
        <w:rPr>
          <w:rFonts w:ascii="Times New Roman" w:hAnsi="Times New Roman"/>
          <w:i/>
          <w:noProof/>
          <w:sz w:val="24"/>
          <w:lang w:val="fr-BE"/>
        </w:rPr>
        <w:t>sociale, élaborée par la Commission.</w:t>
      </w:r>
    </w:p>
    <w:p w:rsidR="00723CC0" w:rsidRDefault="00242021">
      <w:pPr>
        <w:spacing w:line="360" w:lineRule="auto"/>
        <w:jc w:val="both"/>
        <w:rPr>
          <w:rFonts w:ascii="Times New Roman" w:hAnsi="Times New Roman" w:cs="Times New Roman"/>
          <w:bCs/>
          <w:i/>
          <w:noProof/>
          <w:sz w:val="24"/>
          <w:szCs w:val="24"/>
          <w:lang w:val="fr-BE"/>
        </w:rPr>
      </w:pPr>
      <w:r>
        <w:rPr>
          <w:rFonts w:ascii="Times New Roman" w:hAnsi="Times New Roman"/>
          <w:b/>
          <w:i/>
          <w:noProof/>
          <w:sz w:val="24"/>
          <w:lang w:val="fr-BE"/>
        </w:rPr>
        <w:t>Des politiques actives du marché du travail et des services publics de l’emploi efficaces sont essentiels pour garantir des marchés du travail performants et inclusifs.</w:t>
      </w:r>
      <w:r>
        <w:rPr>
          <w:rFonts w:ascii="Times New Roman" w:hAnsi="Times New Roman"/>
          <w:i/>
          <w:noProof/>
          <w:sz w:val="24"/>
          <w:lang w:val="fr-BE"/>
        </w:rPr>
        <w:t xml:space="preserve"> Les politiques actives du marché du travail amélio</w:t>
      </w:r>
      <w:r>
        <w:rPr>
          <w:rFonts w:ascii="Times New Roman" w:hAnsi="Times New Roman"/>
          <w:i/>
          <w:noProof/>
          <w:sz w:val="24"/>
          <w:lang w:val="fr-BE"/>
        </w:rPr>
        <w:t>rent l’adéquation aux besoins du marché du travail et augmentent les possibilités des demandeurs d’emploi de trouver un nouveau travail. Le rôle de ces politiques est particulièrement important pour favoriser l’intégration des chômeurs de longue durée. Les</w:t>
      </w:r>
      <w:r>
        <w:rPr>
          <w:rFonts w:ascii="Times New Roman" w:hAnsi="Times New Roman"/>
          <w:i/>
          <w:noProof/>
          <w:sz w:val="24"/>
          <w:lang w:val="fr-BE"/>
        </w:rPr>
        <w:t xml:space="preserve"> services publics de l’emploi (SPE) sont les principales institutions chargées de soutenir les efforts de recherche d’emploi des chômeurs et de les orienter vers des mesures d’activation. Cependant, la participation aux politiques actives du marché du trav</w:t>
      </w:r>
      <w:r>
        <w:rPr>
          <w:rFonts w:ascii="Times New Roman" w:hAnsi="Times New Roman"/>
          <w:i/>
          <w:noProof/>
          <w:sz w:val="24"/>
          <w:lang w:val="fr-BE"/>
        </w:rPr>
        <w:t>ail et les investissements dans celles-ci diffèrent considérablement au sein de l’Union. De même, l’efficacité des SPE pour fournir une aide à la recherche d’un emploi varie d’un État membre à l’autre et, parfois, à l’intérieur d’un même État membre. Alors</w:t>
      </w:r>
      <w:r>
        <w:rPr>
          <w:rFonts w:ascii="Times New Roman" w:hAnsi="Times New Roman"/>
          <w:i/>
          <w:noProof/>
          <w:sz w:val="24"/>
          <w:lang w:val="fr-BE"/>
        </w:rPr>
        <w:t xml:space="preserve"> que la majorité des États membres prennent des mesures importantes, mettant l’accent sur la fourniture de services personnalisés, plusieurs États membres ont de la marge pour renforcer leurs systèmes de politiques actives de l’emploi. Les États membres on</w:t>
      </w:r>
      <w:r>
        <w:rPr>
          <w:rFonts w:ascii="Times New Roman" w:hAnsi="Times New Roman"/>
          <w:i/>
          <w:noProof/>
          <w:sz w:val="24"/>
          <w:lang w:val="fr-BE"/>
        </w:rPr>
        <w:t>t progressé dans la mise en œuvre de la recommandation du Conseil relative à l’intégration des chômeurs de longue durée, mais des actions supplémentaires sont nécessaires pour favoriser la coopération entre les différents acteurs et pour améliorer l’inform</w:t>
      </w:r>
      <w:r>
        <w:rPr>
          <w:rFonts w:ascii="Times New Roman" w:hAnsi="Times New Roman"/>
          <w:i/>
          <w:noProof/>
          <w:sz w:val="24"/>
          <w:lang w:val="fr-BE"/>
        </w:rPr>
        <w:t>ation des personnes inactives. Les SPE poursuivent leur programme de réformes dans le cadre du réseau européen des SPE. Même si certains États membres ont pris de nouvelles mesures pour promouvoir l’intégration des migrants sur le marché du travail (en met</w:t>
      </w:r>
      <w:r>
        <w:rPr>
          <w:rFonts w:ascii="Times New Roman" w:hAnsi="Times New Roman"/>
          <w:i/>
          <w:noProof/>
          <w:sz w:val="24"/>
          <w:lang w:val="fr-BE"/>
        </w:rPr>
        <w:t>tant en particulier l’accent sur les réfugiés), les démarches systématiques font défaut et il est nécessaire d’investir davantage dans l’amélioration et la reconnaissance des compétences et qualifications, dans des politiques du marché du travail efficaces</w:t>
      </w:r>
      <w:r>
        <w:rPr>
          <w:rFonts w:ascii="Times New Roman" w:hAnsi="Times New Roman"/>
          <w:i/>
          <w:noProof/>
          <w:sz w:val="24"/>
          <w:lang w:val="fr-BE"/>
        </w:rPr>
        <w:t xml:space="preserve"> et dans le soutien apporté par les SPE. </w:t>
      </w:r>
    </w:p>
    <w:p w:rsidR="00723CC0" w:rsidRDefault="00242021">
      <w:pPr>
        <w:tabs>
          <w:tab w:val="left" w:pos="4678"/>
        </w:tabs>
        <w:spacing w:line="360" w:lineRule="auto"/>
        <w:jc w:val="both"/>
        <w:rPr>
          <w:rFonts w:ascii="Times New Roman" w:hAnsi="Times New Roman" w:cs="Times New Roman"/>
          <w:bCs/>
          <w:i/>
          <w:iCs/>
          <w:noProof/>
          <w:sz w:val="24"/>
          <w:szCs w:val="24"/>
          <w:lang w:val="fr-BE"/>
        </w:rPr>
      </w:pPr>
      <w:r>
        <w:rPr>
          <w:rFonts w:ascii="Times New Roman" w:hAnsi="Times New Roman"/>
          <w:b/>
          <w:i/>
          <w:noProof/>
          <w:sz w:val="24"/>
          <w:lang w:val="fr-BE"/>
        </w:rPr>
        <w:t>Pour la première fois depuis la crise, les inégalités de revenus dans l’UE ont légèrement diminué en 2017,</w:t>
      </w:r>
      <w:r>
        <w:rPr>
          <w:rFonts w:ascii="Times New Roman" w:hAnsi="Times New Roman"/>
          <w:i/>
          <w:noProof/>
          <w:sz w:val="24"/>
          <w:lang w:val="fr-BE"/>
        </w:rPr>
        <w:t xml:space="preserve"> sous l’effet d’une augmentation plus rapide des revenus des ménages à faible revenu. Cela semble indiquer q</w:t>
      </w:r>
      <w:r>
        <w:rPr>
          <w:rFonts w:ascii="Times New Roman" w:hAnsi="Times New Roman"/>
          <w:i/>
          <w:noProof/>
          <w:sz w:val="24"/>
          <w:lang w:val="fr-BE"/>
        </w:rPr>
        <w:t>ue la reprise commence à bénéficier aux plus vulnérables. Les estimations disponibles indiquent que cette tendance positive se maintiendra dans la majorité des États membres. Néanmoins, en 2017, les 20 % les plus riches de la population avaient un revenu d</w:t>
      </w:r>
      <w:r>
        <w:rPr>
          <w:rFonts w:ascii="Times New Roman" w:hAnsi="Times New Roman"/>
          <w:i/>
          <w:noProof/>
          <w:sz w:val="24"/>
          <w:lang w:val="fr-BE"/>
        </w:rPr>
        <w:t>isponible 5,1 fois supérieur à celui des 20 % les plus pauvres dans l’UE (5,2 fois en 2016) et les variations étaient importantes d’un État membre à l’autre. Dans certains pays, les inégalités de revenus atteignent des niveaux supérieurs à ceux constatés a</w:t>
      </w:r>
      <w:r>
        <w:rPr>
          <w:rFonts w:ascii="Times New Roman" w:hAnsi="Times New Roman"/>
          <w:i/>
          <w:noProof/>
          <w:sz w:val="24"/>
          <w:lang w:val="fr-BE"/>
        </w:rPr>
        <w:t>vant la crise et elles sont souvent liées aux inégalités d’accès à l’éducation, à la formation et à la protection sociale ainsi qu’aux mauvais résultats sur le marché du travail. Certains États membres mettent en place des politiques de réduction des inéga</w:t>
      </w:r>
      <w:r>
        <w:rPr>
          <w:rFonts w:ascii="Times New Roman" w:hAnsi="Times New Roman"/>
          <w:i/>
          <w:noProof/>
          <w:sz w:val="24"/>
          <w:lang w:val="fr-BE"/>
        </w:rPr>
        <w:t>lités, notamment dans le cadre de la fixation du salaire minimum et des systèmes socio-fiscaux. Pour empêcher la transmission intergénérationnelle des inégalités, les États membres peuvent prendre de nouvelles mesures dans différents domaines, notamment po</w:t>
      </w:r>
      <w:r>
        <w:rPr>
          <w:rFonts w:ascii="Times New Roman" w:hAnsi="Times New Roman"/>
          <w:i/>
          <w:noProof/>
          <w:sz w:val="24"/>
          <w:lang w:val="fr-BE"/>
        </w:rPr>
        <w:t xml:space="preserve">ur encourager l’égalité des chances dans l’éducation et la formation, garantir l’accès à des soins de santé et à d’autres services de qualité, encourager l’égalité des sexes et gommer les disparités régionales. </w:t>
      </w:r>
    </w:p>
    <w:p w:rsidR="00723CC0" w:rsidRDefault="00242021">
      <w:pPr>
        <w:tabs>
          <w:tab w:val="left" w:pos="4678"/>
        </w:tabs>
        <w:spacing w:line="360" w:lineRule="auto"/>
        <w:jc w:val="both"/>
        <w:rPr>
          <w:rFonts w:ascii="Times New Roman" w:hAnsi="Times New Roman" w:cs="Times New Roman"/>
          <w:bCs/>
          <w:i/>
          <w:iCs/>
          <w:noProof/>
          <w:sz w:val="24"/>
          <w:szCs w:val="24"/>
          <w:lang w:val="fr-BE"/>
        </w:rPr>
      </w:pPr>
      <w:r>
        <w:rPr>
          <w:rFonts w:ascii="Times New Roman" w:hAnsi="Times New Roman"/>
          <w:b/>
          <w:i/>
          <w:noProof/>
          <w:sz w:val="24"/>
          <w:lang w:val="fr-BE"/>
        </w:rPr>
        <w:t>L’incidence mesurée des transferts sociaux (</w:t>
      </w:r>
      <w:r>
        <w:rPr>
          <w:rFonts w:ascii="Times New Roman" w:hAnsi="Times New Roman"/>
          <w:b/>
          <w:i/>
          <w:noProof/>
          <w:sz w:val="24"/>
          <w:lang w:val="fr-BE"/>
        </w:rPr>
        <w:t xml:space="preserve">à l’exclusion des pensions) sur la réduction de la pauvreté a continué de baisser en 2017. </w:t>
      </w:r>
      <w:r>
        <w:rPr>
          <w:rFonts w:ascii="Times New Roman" w:hAnsi="Times New Roman"/>
          <w:i/>
          <w:noProof/>
          <w:sz w:val="24"/>
          <w:lang w:val="fr-BE"/>
        </w:rPr>
        <w:t>Cette évolution correspond à la réduction de l’effet des stabilisateurs automatiques en période d’expansion économique, même si des écarts importants subsistent entr</w:t>
      </w:r>
      <w:r>
        <w:rPr>
          <w:rFonts w:ascii="Times New Roman" w:hAnsi="Times New Roman"/>
          <w:i/>
          <w:noProof/>
          <w:sz w:val="24"/>
          <w:lang w:val="fr-BE"/>
        </w:rPr>
        <w:t xml:space="preserve">e les États membres. L’incidence des transferts sociaux sur la réduction de la pauvreté a diminué principalement dans les États membres les plus anciens, tandis qu’elle a augmenté dans les pays qui ont adhéré à l’Union européenne plus récemment (indiquant </w:t>
      </w:r>
      <w:r>
        <w:rPr>
          <w:rFonts w:ascii="Times New Roman" w:hAnsi="Times New Roman"/>
          <w:i/>
          <w:noProof/>
          <w:sz w:val="24"/>
          <w:lang w:val="fr-BE"/>
        </w:rPr>
        <w:t>que la convergence est en cours). Le résultat global dépend de l’amélioration de la situation sur le marché du travail (et des modifications connexes des caractéristiques des personnes exposées au risque de pauvreté),</w:t>
      </w:r>
      <w:r>
        <w:rPr>
          <w:noProof/>
          <w:lang w:val="fr-BE"/>
        </w:rPr>
        <w:t xml:space="preserve"> </w:t>
      </w:r>
      <w:r>
        <w:rPr>
          <w:rFonts w:ascii="Times New Roman" w:hAnsi="Times New Roman"/>
          <w:i/>
          <w:noProof/>
          <w:sz w:val="24"/>
          <w:lang w:val="fr-BE"/>
        </w:rPr>
        <w:t>ainsi que des</w:t>
      </w:r>
      <w:r>
        <w:rPr>
          <w:rFonts w:ascii="Times New Roman" w:hAnsi="Times New Roman"/>
          <w:noProof/>
          <w:sz w:val="24"/>
          <w:lang w:val="fr-BE"/>
        </w:rPr>
        <w:t xml:space="preserve"> </w:t>
      </w:r>
      <w:r>
        <w:rPr>
          <w:rFonts w:ascii="Times New Roman" w:hAnsi="Times New Roman"/>
          <w:i/>
          <w:noProof/>
          <w:sz w:val="24"/>
          <w:lang w:val="fr-BE"/>
        </w:rPr>
        <w:t>changements dans l’adéqu</w:t>
      </w:r>
      <w:r>
        <w:rPr>
          <w:rFonts w:ascii="Times New Roman" w:hAnsi="Times New Roman"/>
          <w:i/>
          <w:noProof/>
          <w:sz w:val="24"/>
          <w:lang w:val="fr-BE"/>
        </w:rPr>
        <w:t xml:space="preserve">ation et la portée des prestations (y compris le fait que les prestations accusent parfois un retard par rapport à la croissance générale des revenus). L’adéquation des prestations de revenu minimum varie considérablement d’un État membre à l’autre, comme </w:t>
      </w:r>
      <w:r>
        <w:rPr>
          <w:rFonts w:ascii="Times New Roman" w:hAnsi="Times New Roman"/>
          <w:i/>
          <w:noProof/>
          <w:sz w:val="24"/>
          <w:lang w:val="fr-BE"/>
        </w:rPr>
        <w:t xml:space="preserve">le montrent les résultats de l’analyse comparative. </w:t>
      </w:r>
    </w:p>
    <w:p w:rsidR="00723CC0" w:rsidRDefault="00242021">
      <w:pPr>
        <w:tabs>
          <w:tab w:val="left" w:pos="4678"/>
        </w:tabs>
        <w:spacing w:line="360" w:lineRule="auto"/>
        <w:jc w:val="both"/>
        <w:rPr>
          <w:rFonts w:ascii="Times New Roman" w:eastAsia="Calibri" w:hAnsi="Times New Roman" w:cs="Times New Roman"/>
          <w:b/>
          <w:noProof/>
          <w:color w:val="4F81BD" w:themeColor="accent1"/>
          <w:sz w:val="24"/>
          <w:lang w:val="fr-BE"/>
        </w:rPr>
      </w:pPr>
      <w:r>
        <w:rPr>
          <w:rFonts w:ascii="Times New Roman" w:hAnsi="Times New Roman"/>
          <w:b/>
          <w:i/>
          <w:noProof/>
          <w:sz w:val="24"/>
          <w:lang w:val="fr-BE"/>
        </w:rPr>
        <w:t xml:space="preserve">Les États membres continuent de prendre des mesures de modernisation des systèmes de protection sociale, améliorant la portée et l’adéquation des prestations et des services. </w:t>
      </w:r>
      <w:r>
        <w:rPr>
          <w:rFonts w:ascii="Times New Roman" w:hAnsi="Times New Roman"/>
          <w:i/>
          <w:noProof/>
          <w:sz w:val="24"/>
          <w:lang w:val="fr-BE"/>
        </w:rPr>
        <w:t xml:space="preserve">Des mesures d’amélioration </w:t>
      </w:r>
      <w:r>
        <w:rPr>
          <w:rFonts w:ascii="Times New Roman" w:hAnsi="Times New Roman"/>
          <w:i/>
          <w:noProof/>
          <w:sz w:val="24"/>
          <w:lang w:val="fr-BE"/>
        </w:rPr>
        <w:t>de l’accès à la protection sociale sont actuellement prises, notamment en faveur des travailleurs atypiques et des indépendants, qui continuent de faire face à d’importantes disparités. Des innovations sont également introduites en ce qui concerne les nouv</w:t>
      </w:r>
      <w:r>
        <w:rPr>
          <w:rFonts w:ascii="Times New Roman" w:hAnsi="Times New Roman"/>
          <w:i/>
          <w:noProof/>
          <w:sz w:val="24"/>
          <w:lang w:val="fr-BE"/>
        </w:rPr>
        <w:t>elles formes de travail. Les travaux sur l’amélioration de l’adéquation des prestations se poursuivent, même s’ils ont pris du retard dans certains cas. Un certain nombre d’États membres améliorent leurs systèmes de revenu minimum en conjuguant des niveaux</w:t>
      </w:r>
      <w:r>
        <w:rPr>
          <w:rFonts w:ascii="Times New Roman" w:hAnsi="Times New Roman"/>
          <w:i/>
          <w:noProof/>
          <w:sz w:val="24"/>
          <w:lang w:val="fr-BE"/>
        </w:rPr>
        <w:t xml:space="preserve"> d’aide adéquats avec l’accès à des biens et des services de soutien et avec des incitations à (ré)intégrer le marché du travail dans le cadre d’une démarche d’inclusion active. Certains États membres améliorent la fourniture intégrée de services (tels que</w:t>
      </w:r>
      <w:r>
        <w:rPr>
          <w:rFonts w:ascii="Times New Roman" w:hAnsi="Times New Roman"/>
          <w:i/>
          <w:noProof/>
          <w:sz w:val="24"/>
          <w:lang w:val="fr-BE"/>
        </w:rPr>
        <w:t xml:space="preserve"> l’assistance sociale, l’emploi et d’autres services sociaux). Dans un contexte où les dépenses liées au logement représentent une part importante des revenus de nombreux ménages et où le nombre de sans-abri n’évolue pas positivement, certains États membre</w:t>
      </w:r>
      <w:r>
        <w:rPr>
          <w:rFonts w:ascii="Times New Roman" w:hAnsi="Times New Roman"/>
          <w:i/>
          <w:noProof/>
          <w:sz w:val="24"/>
          <w:lang w:val="fr-BE"/>
        </w:rPr>
        <w:t>s ont engagé des réformes pour améliorer l’accès au logement, soit par des incitations, soit par des mesures préventives.</w:t>
      </w:r>
    </w:p>
    <w:p w:rsidR="00723CC0" w:rsidRDefault="00242021">
      <w:pPr>
        <w:spacing w:line="360" w:lineRule="auto"/>
        <w:jc w:val="both"/>
        <w:rPr>
          <w:rFonts w:ascii="Times New Roman" w:hAnsi="Times New Roman" w:cs="Times New Roman"/>
          <w:i/>
          <w:iCs/>
          <w:noProof/>
          <w:sz w:val="24"/>
          <w:szCs w:val="24"/>
          <w:lang w:val="fr-BE"/>
        </w:rPr>
      </w:pPr>
      <w:r>
        <w:rPr>
          <w:rFonts w:ascii="Times New Roman" w:hAnsi="Times New Roman"/>
          <w:b/>
          <w:i/>
          <w:noProof/>
          <w:sz w:val="24"/>
          <w:lang w:val="fr-BE"/>
        </w:rPr>
        <w:t>L’évolution démographique et l’augmentation de l’espérance de vie soulignent la nécessité d’une adaptation des systèmes de retraite, d</w:t>
      </w:r>
      <w:r>
        <w:rPr>
          <w:rFonts w:ascii="Times New Roman" w:hAnsi="Times New Roman"/>
          <w:b/>
          <w:i/>
          <w:noProof/>
          <w:sz w:val="24"/>
          <w:lang w:val="fr-BE"/>
        </w:rPr>
        <w:t>e santé et de soins de longue durée.</w:t>
      </w:r>
      <w:r>
        <w:rPr>
          <w:rFonts w:ascii="Times New Roman" w:hAnsi="Times New Roman"/>
          <w:i/>
          <w:noProof/>
          <w:sz w:val="24"/>
          <w:lang w:val="fr-BE"/>
        </w:rPr>
        <w:t xml:space="preserve"> </w:t>
      </w:r>
      <w:r>
        <w:rPr>
          <w:rFonts w:ascii="Times New Roman" w:hAnsi="Times New Roman"/>
          <w:i/>
          <w:noProof/>
          <w:color w:val="000000"/>
          <w:sz w:val="24"/>
          <w:u w:color="000000"/>
          <w:bdr w:val="nil"/>
          <w:lang w:val="fr-BE"/>
        </w:rPr>
        <w:t>La demande de soins de santé et de soins de longue durée est en hausse, et les besoins sont en train de changer en raison du vieillissement de la population. Au cours des cinq prochaines décennies, le nombre d’Européens</w:t>
      </w:r>
      <w:r>
        <w:rPr>
          <w:rFonts w:ascii="Times New Roman" w:hAnsi="Times New Roman"/>
          <w:i/>
          <w:noProof/>
          <w:color w:val="000000"/>
          <w:sz w:val="24"/>
          <w:u w:color="000000"/>
          <w:bdr w:val="nil"/>
          <w:lang w:val="fr-BE"/>
        </w:rPr>
        <w:t xml:space="preserve"> âgés de plus de 80 ans devrait doubler. À l’horizon 2050, l’Europe ne comptera plus que deux personnes en âge de travailler (15-64 ans) pour une personne de plus de 65 ans, contre trois pour une aujourd’hui; le ratio est déjà en baisse. Par conséquent, </w:t>
      </w:r>
      <w:r>
        <w:rPr>
          <w:rFonts w:ascii="Times New Roman" w:hAnsi="Times New Roman"/>
          <w:i/>
          <w:noProof/>
          <w:sz w:val="24"/>
          <w:lang w:val="fr-BE"/>
        </w:rPr>
        <w:t>si</w:t>
      </w:r>
      <w:r>
        <w:rPr>
          <w:rFonts w:ascii="Times New Roman" w:hAnsi="Times New Roman"/>
          <w:i/>
          <w:noProof/>
          <w:sz w:val="24"/>
          <w:lang w:val="fr-BE"/>
        </w:rPr>
        <w:t xml:space="preserve"> les mesures visant à améliorer la viabilité financière des systèmes sont toujours prioritaires dans un grand nombre d’États membres, la question de l’adéquation des pensions gagne en importance.</w:t>
      </w:r>
      <w:r>
        <w:rPr>
          <w:rFonts w:ascii="Times New Roman" w:hAnsi="Times New Roman"/>
          <w:b/>
          <w:i/>
          <w:noProof/>
          <w:sz w:val="24"/>
          <w:lang w:val="fr-BE"/>
        </w:rPr>
        <w:t xml:space="preserve"> </w:t>
      </w:r>
      <w:r>
        <w:rPr>
          <w:rFonts w:ascii="Times New Roman" w:hAnsi="Times New Roman"/>
          <w:i/>
          <w:noProof/>
          <w:sz w:val="24"/>
          <w:lang w:val="fr-BE"/>
        </w:rPr>
        <w:t xml:space="preserve">La mesure dans laquelle les pensions remplacent les revenus </w:t>
      </w:r>
      <w:r>
        <w:rPr>
          <w:rFonts w:ascii="Times New Roman" w:hAnsi="Times New Roman"/>
          <w:i/>
          <w:noProof/>
          <w:sz w:val="24"/>
          <w:lang w:val="fr-BE"/>
        </w:rPr>
        <w:t>et préviennent la pauvreté varie considérablement d’un État membre à l’autre. De plus en plus, les États membres prennent des mesures pour garantir l’adéquation des pensions au moyen de garanties minimales et de l’indexation des prestations, pour promouvoi</w:t>
      </w:r>
      <w:r>
        <w:rPr>
          <w:rFonts w:ascii="Times New Roman" w:hAnsi="Times New Roman"/>
          <w:i/>
          <w:noProof/>
          <w:sz w:val="24"/>
          <w:lang w:val="fr-BE"/>
        </w:rPr>
        <w:t>r la flexibilité des retraites, pour adapter les conditions de constitution des droits à pension de diverses catégories de travailleurs et pour renforcer le rôle des pensions complémentaires.</w:t>
      </w:r>
      <w:r>
        <w:rPr>
          <w:rFonts w:ascii="Times New Roman" w:hAnsi="Times New Roman"/>
          <w:noProof/>
          <w:sz w:val="24"/>
          <w:lang w:val="fr-BE"/>
        </w:rPr>
        <w:t xml:space="preserve"> </w:t>
      </w:r>
    </w:p>
    <w:p w:rsidR="00723CC0" w:rsidRDefault="00242021">
      <w:pPr>
        <w:spacing w:line="360" w:lineRule="auto"/>
        <w:jc w:val="both"/>
        <w:rPr>
          <w:rFonts w:ascii="Times New Roman" w:hAnsi="Times New Roman" w:cs="Times New Roman"/>
          <w:i/>
          <w:noProof/>
          <w:sz w:val="24"/>
          <w:szCs w:val="24"/>
          <w:lang w:val="fr-BE"/>
        </w:rPr>
      </w:pPr>
      <w:r>
        <w:rPr>
          <w:rFonts w:ascii="Times New Roman" w:hAnsi="Times New Roman"/>
          <w:b/>
          <w:i/>
          <w:noProof/>
          <w:sz w:val="24"/>
          <w:lang w:val="fr-BE"/>
        </w:rPr>
        <w:t>L’amélioration de l’accès à des soins de santé et à des soins d</w:t>
      </w:r>
      <w:r>
        <w:rPr>
          <w:rFonts w:ascii="Times New Roman" w:hAnsi="Times New Roman"/>
          <w:b/>
          <w:i/>
          <w:noProof/>
          <w:sz w:val="24"/>
          <w:lang w:val="fr-BE"/>
        </w:rPr>
        <w:t xml:space="preserve">e longue durée de qualité, parallèlement au renforcement de leur efficacité, est un principe directeur des réformes dans les États membres. </w:t>
      </w:r>
      <w:r>
        <w:rPr>
          <w:rFonts w:ascii="Times New Roman" w:hAnsi="Times New Roman"/>
          <w:i/>
          <w:noProof/>
          <w:sz w:val="24"/>
          <w:lang w:val="fr-BE"/>
        </w:rPr>
        <w:t xml:space="preserve">Pour une partie des Européens, les coûts et les délais d’attente restent des obstacles importants à l’accessibilité </w:t>
      </w:r>
      <w:r>
        <w:rPr>
          <w:rFonts w:ascii="Times New Roman" w:hAnsi="Times New Roman"/>
          <w:i/>
          <w:noProof/>
          <w:sz w:val="24"/>
          <w:lang w:val="fr-BE"/>
        </w:rPr>
        <w:t>des soins de santé. Par conséquent, dans un certain nombre d’États membres, les réformes des systèmes de soins de santé visent surtout à améliorer l’efficacité de ces systèmes par une meilleure coordination et un renforcement du rôle attribué aux soins pri</w:t>
      </w:r>
      <w:r>
        <w:rPr>
          <w:rFonts w:ascii="Times New Roman" w:hAnsi="Times New Roman"/>
          <w:i/>
          <w:noProof/>
          <w:sz w:val="24"/>
          <w:lang w:val="fr-BE"/>
        </w:rPr>
        <w:t>maires et à la prévention. Des mesures sont prises pour améliorer la formation et les conditions de travail des professionnels de la santé. Dans le domaine des soins de longue durée, la plupart des soins sont toujours prodigués par des membres de la famill</w:t>
      </w:r>
      <w:r>
        <w:rPr>
          <w:rFonts w:ascii="Times New Roman" w:hAnsi="Times New Roman"/>
          <w:i/>
          <w:noProof/>
          <w:sz w:val="24"/>
          <w:lang w:val="fr-BE"/>
        </w:rPr>
        <w:t>e, en raison de l’absence de systèmes de couverture générale des besoins en matière de soins aux personnes âgées dans la plupart des États membres. Les réformes en cours visent à associer un système de soutien aux aidants informels et familiaux par les ins</w:t>
      </w:r>
      <w:r>
        <w:rPr>
          <w:rFonts w:ascii="Times New Roman" w:hAnsi="Times New Roman"/>
          <w:i/>
          <w:noProof/>
          <w:sz w:val="24"/>
          <w:lang w:val="fr-BE"/>
        </w:rPr>
        <w:t>titutions publiques avec un réseau de services communautaires et institutionnels, en veillant à la durabilité du système face aux défis démographiques.</w:t>
      </w:r>
    </w:p>
    <w:p w:rsidR="00723CC0" w:rsidRDefault="00242021">
      <w:pPr>
        <w:spacing w:line="360" w:lineRule="auto"/>
        <w:jc w:val="both"/>
        <w:rPr>
          <w:rFonts w:ascii="Times New Roman" w:hAnsi="Times New Roman" w:cs="Times New Roman"/>
          <w:bCs/>
          <w:i/>
          <w:noProof/>
          <w:sz w:val="24"/>
          <w:szCs w:val="24"/>
          <w:lang w:val="fr-BE"/>
        </w:rPr>
      </w:pPr>
      <w:r>
        <w:rPr>
          <w:rFonts w:ascii="Times New Roman" w:hAnsi="Times New Roman"/>
          <w:b/>
          <w:i/>
          <w:noProof/>
          <w:sz w:val="24"/>
          <w:lang w:val="fr-BE"/>
        </w:rPr>
        <w:t>Un dialogue social efficace est un élément essentiel de l’économie sociale de marché européenne.</w:t>
      </w:r>
      <w:r>
        <w:rPr>
          <w:rFonts w:ascii="Times New Roman" w:hAnsi="Times New Roman"/>
          <w:i/>
          <w:noProof/>
          <w:sz w:val="24"/>
          <w:lang w:val="fr-BE"/>
        </w:rPr>
        <w:t xml:space="preserve"> Il cont</w:t>
      </w:r>
      <w:r>
        <w:rPr>
          <w:rFonts w:ascii="Times New Roman" w:hAnsi="Times New Roman"/>
          <w:i/>
          <w:noProof/>
          <w:sz w:val="24"/>
          <w:lang w:val="fr-BE"/>
        </w:rPr>
        <w:t>ribue à renforcer la cohésion sociale et à réduire les conflits dans la société, dans l’intérêt mutuel des travailleurs, des employeurs et des pouvoirs publics. La participation des partenaires sociaux à la préparation des réformes peut améliorer leur conc</w:t>
      </w:r>
      <w:r>
        <w:rPr>
          <w:rFonts w:ascii="Times New Roman" w:hAnsi="Times New Roman"/>
          <w:i/>
          <w:noProof/>
          <w:sz w:val="24"/>
          <w:lang w:val="fr-BE"/>
        </w:rPr>
        <w:t>eption, accroître leur appropriation par les citoyens et aboutir à de meilleurs résultats socio-économiques. Cependant, le degré et l’incidence de la participation des partenaires sociaux varient considérablement d’un État membre à l’autre et se révèlent f</w:t>
      </w:r>
      <w:r>
        <w:rPr>
          <w:rFonts w:ascii="Times New Roman" w:hAnsi="Times New Roman"/>
          <w:i/>
          <w:noProof/>
          <w:sz w:val="24"/>
          <w:lang w:val="fr-BE"/>
        </w:rPr>
        <w:t xml:space="preserve">aibles dans plusieurs cas. Bien qu’il n’existe pas de modèle universel applicable aux pratiques de dialogue social, certains États membres disposent d’une marge de manœuvre claire pour améliorer la capacité des partenaires sociaux et leur fournir un cadre </w:t>
      </w:r>
      <w:r>
        <w:rPr>
          <w:rFonts w:ascii="Times New Roman" w:hAnsi="Times New Roman"/>
          <w:i/>
          <w:noProof/>
          <w:sz w:val="24"/>
          <w:lang w:val="fr-BE"/>
        </w:rPr>
        <w:t>permettant la tenue de consultations prévisibles en temps opportun, y compris à toutes les étapes importantes du Semestre européen. De même, tirer parti de l’expérience des organisations de la société civile peut jouer et joue un rôle important dans la con</w:t>
      </w:r>
      <w:r>
        <w:rPr>
          <w:rFonts w:ascii="Times New Roman" w:hAnsi="Times New Roman"/>
          <w:i/>
          <w:noProof/>
          <w:sz w:val="24"/>
          <w:lang w:val="fr-BE"/>
        </w:rPr>
        <w:t>ception et la mise en œuvre efficaces des réformes. Cependant, le degré de collaboration avec les acteurs de la société civile varie considérablement selon les États membres, ces acteurs n’ayant pas les moyens de participer activement au débat sur la polit</w:t>
      </w:r>
      <w:r>
        <w:rPr>
          <w:rFonts w:ascii="Times New Roman" w:hAnsi="Times New Roman"/>
          <w:i/>
          <w:noProof/>
          <w:sz w:val="24"/>
          <w:lang w:val="fr-BE"/>
        </w:rPr>
        <w:t>ique dans certains d’entre eux.</w:t>
      </w:r>
    </w:p>
    <w:p w:rsidR="00723CC0" w:rsidRDefault="00242021">
      <w:pPr>
        <w:rPr>
          <w:rFonts w:ascii="Times New Roman" w:eastAsiaTheme="majorEastAsia" w:hAnsi="Times New Roman" w:cstheme="majorBidi"/>
          <w:b/>
          <w:bCs/>
          <w:noProof/>
          <w:sz w:val="24"/>
          <w:szCs w:val="28"/>
          <w:lang w:val="fr-BE"/>
        </w:rPr>
      </w:pPr>
      <w:r>
        <w:rPr>
          <w:noProof/>
          <w:lang w:val="fr-BE"/>
        </w:rPr>
        <w:br w:type="page"/>
      </w:r>
    </w:p>
    <w:p w:rsidR="00723CC0" w:rsidRDefault="00242021">
      <w:pPr>
        <w:pStyle w:val="Heading1"/>
        <w:spacing w:after="200"/>
        <w:ind w:left="720" w:hanging="720"/>
        <w:rPr>
          <w:noProof/>
          <w:lang w:val="fr-BE"/>
        </w:rPr>
      </w:pPr>
      <w:bookmarkStart w:id="6" w:name="_Toc527539775"/>
      <w:bookmarkStart w:id="7" w:name="_Toc530495142"/>
      <w:r>
        <w:rPr>
          <w:noProof/>
          <w:lang w:val="fr-BE"/>
        </w:rPr>
        <w:t>1. </w:t>
      </w:r>
      <w:r>
        <w:rPr>
          <w:noProof/>
          <w:lang w:val="fr-BE"/>
        </w:rPr>
        <w:tab/>
        <w:t>APERÇU DU MARCHÉ DU TRAVAIL ET DES TENDANCES ET ENJEUX SOCIAUX DANS L’UNION EUROPÉENNE</w:t>
      </w:r>
      <w:bookmarkEnd w:id="6"/>
      <w:bookmarkEnd w:id="7"/>
    </w:p>
    <w:p w:rsidR="00723CC0" w:rsidRDefault="00723CC0">
      <w:pPr>
        <w:autoSpaceDE w:val="0"/>
        <w:autoSpaceDN w:val="0"/>
        <w:adjustRightInd w:val="0"/>
        <w:spacing w:line="240" w:lineRule="auto"/>
        <w:ind w:left="720" w:hanging="720"/>
        <w:jc w:val="both"/>
        <w:rPr>
          <w:rFonts w:ascii="Times New Roman" w:hAnsi="Times New Roman" w:cs="Times New Roman"/>
          <w:b/>
          <w:bCs/>
          <w:noProof/>
          <w:sz w:val="24"/>
          <w:szCs w:val="24"/>
          <w:lang w:val="fr-BE"/>
        </w:rPr>
      </w:pPr>
    </w:p>
    <w:p w:rsidR="00723CC0" w:rsidRDefault="00723CC0">
      <w:pPr>
        <w:autoSpaceDE w:val="0"/>
        <w:autoSpaceDN w:val="0"/>
        <w:adjustRightInd w:val="0"/>
        <w:spacing w:line="240" w:lineRule="auto"/>
        <w:jc w:val="both"/>
        <w:rPr>
          <w:rFonts w:ascii="Times New Roman" w:hAnsi="Times New Roman" w:cs="Times New Roman"/>
          <w:b/>
          <w:bCs/>
          <w:noProof/>
          <w:sz w:val="24"/>
          <w:szCs w:val="24"/>
          <w:lang w:val="fr-BE"/>
        </w:rPr>
      </w:pPr>
    </w:p>
    <w:p w:rsidR="00723CC0" w:rsidRDefault="00242021">
      <w:pPr>
        <w:spacing w:line="360" w:lineRule="auto"/>
        <w:jc w:val="both"/>
        <w:rPr>
          <w:rFonts w:ascii="Times New Roman" w:hAnsi="Times New Roman" w:cs="Times New Roman"/>
          <w:bCs/>
          <w:noProof/>
          <w:sz w:val="24"/>
          <w:szCs w:val="24"/>
          <w:lang w:val="fr-BE"/>
        </w:rPr>
      </w:pPr>
      <w:r>
        <w:rPr>
          <w:rFonts w:ascii="Times New Roman" w:hAnsi="Times New Roman"/>
          <w:noProof/>
          <w:sz w:val="24"/>
          <w:lang w:val="fr-BE"/>
        </w:rPr>
        <w:t xml:space="preserve">Cette section du rapport présente un aperçu du marché du travail et des tendances et enjeux sociaux dans l’Union européenne; elle contient un compte rendu analytique détaillé des enjeux majeurs dans les domaines sociaux et de l’emploi. </w:t>
      </w:r>
    </w:p>
    <w:p w:rsidR="00723CC0" w:rsidRDefault="00723CC0">
      <w:pPr>
        <w:contextualSpacing/>
        <w:jc w:val="both"/>
        <w:rPr>
          <w:rFonts w:ascii="Times New Roman" w:hAnsi="Times New Roman" w:cs="Times New Roman"/>
          <w:i/>
          <w:iCs/>
          <w:noProof/>
          <w:sz w:val="24"/>
          <w:szCs w:val="24"/>
          <w:lang w:val="fr-BE"/>
        </w:rPr>
      </w:pPr>
    </w:p>
    <w:p w:rsidR="00723CC0" w:rsidRDefault="00723CC0">
      <w:pPr>
        <w:contextualSpacing/>
        <w:jc w:val="both"/>
        <w:rPr>
          <w:rFonts w:ascii="Times New Roman" w:hAnsi="Times New Roman" w:cs="Times New Roman"/>
          <w:i/>
          <w:iCs/>
          <w:noProof/>
          <w:sz w:val="24"/>
          <w:szCs w:val="24"/>
          <w:lang w:val="fr-BE"/>
        </w:rPr>
      </w:pPr>
    </w:p>
    <w:p w:rsidR="00723CC0" w:rsidRDefault="00242021">
      <w:pPr>
        <w:pStyle w:val="Heading3"/>
        <w:spacing w:after="200"/>
        <w:rPr>
          <w:noProof/>
          <w:lang w:val="fr-BE"/>
        </w:rPr>
      </w:pPr>
      <w:bookmarkStart w:id="8" w:name="_Toc527539776"/>
      <w:bookmarkStart w:id="9" w:name="_Toc530495143"/>
      <w:r>
        <w:rPr>
          <w:noProof/>
          <w:lang w:val="fr-BE"/>
        </w:rPr>
        <w:t>1.1</w:t>
      </w:r>
      <w:r>
        <w:rPr>
          <w:noProof/>
          <w:lang w:val="fr-BE"/>
        </w:rPr>
        <w:tab/>
        <w:t xml:space="preserve">Évolution du </w:t>
      </w:r>
      <w:r>
        <w:rPr>
          <w:noProof/>
          <w:lang w:val="fr-BE"/>
        </w:rPr>
        <w:t>marché du travail</w:t>
      </w:r>
      <w:bookmarkEnd w:id="8"/>
      <w:bookmarkEnd w:id="9"/>
    </w:p>
    <w:p w:rsidR="00723CC0" w:rsidRDefault="00723CC0">
      <w:pPr>
        <w:contextualSpacing/>
        <w:jc w:val="both"/>
        <w:rPr>
          <w:rFonts w:ascii="Times New Roman" w:hAnsi="Times New Roman" w:cs="Times New Roman"/>
          <w:i/>
          <w:iCs/>
          <w:noProof/>
          <w:sz w:val="24"/>
          <w:szCs w:val="24"/>
          <w:lang w:val="fr-BE"/>
        </w:rPr>
      </w:pP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La situation continue de s’améliorer sur le marché du travail, avec un taux d’emploi atteignant un niveau record dans l’UE. </w:t>
      </w:r>
      <w:r>
        <w:rPr>
          <w:rFonts w:ascii="Times New Roman" w:hAnsi="Times New Roman"/>
          <w:noProof/>
          <w:sz w:val="24"/>
          <w:lang w:val="fr-BE"/>
        </w:rPr>
        <w:t>Grâce à une forte croissance économique (2,4 %), le nombre de personnes ayant un emploi dans l’UE a augmenté de 1</w:t>
      </w:r>
      <w:r>
        <w:rPr>
          <w:rFonts w:ascii="Times New Roman" w:hAnsi="Times New Roman"/>
          <w:noProof/>
          <w:sz w:val="24"/>
          <w:lang w:val="fr-BE"/>
        </w:rPr>
        <w:t>,6 % en 2017, ce qui constitue la plus forte hausse annuelle depuis le début de la reprise. L’emploi total a continué d’augmenter au cours des deux premiers trimestres de 2018 pour atteindre le nombre de 238,9 millions d’emplois</w:t>
      </w:r>
      <w:r>
        <w:rPr>
          <w:rStyle w:val="FootnoteReference"/>
          <w:rFonts w:ascii="Times New Roman" w:hAnsi="Times New Roman"/>
          <w:noProof/>
          <w:sz w:val="24"/>
        </w:rPr>
        <w:footnoteReference w:id="2"/>
      </w:r>
      <w:r>
        <w:rPr>
          <w:rFonts w:ascii="Times New Roman" w:hAnsi="Times New Roman"/>
          <w:noProof/>
          <w:sz w:val="24"/>
          <w:lang w:val="fr-BE"/>
        </w:rPr>
        <w:t>, soit environ 3,2 millions</w:t>
      </w:r>
      <w:r>
        <w:rPr>
          <w:rFonts w:ascii="Times New Roman" w:hAnsi="Times New Roman"/>
          <w:noProof/>
          <w:sz w:val="24"/>
          <w:lang w:val="fr-BE"/>
        </w:rPr>
        <w:t xml:space="preserve"> d’emplois de plus qu’un an plus tôt, atteignant le plus haut niveau jamais enregistré dans l’UE. Plus de 14 millions d’emplois supplémentaires ont été créés depuis la mi-2013, lorsque l’emploi a commencé à se redresser.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Le taux d’emploi (des personnes âg</w:t>
      </w:r>
      <w:r>
        <w:rPr>
          <w:rFonts w:ascii="Times New Roman" w:hAnsi="Times New Roman"/>
          <w:b/>
          <w:noProof/>
          <w:sz w:val="24"/>
          <w:lang w:val="fr-BE"/>
        </w:rPr>
        <w:t xml:space="preserve">ées de 20 à 64 ans) est en constante augmentation et se rapproche de l’objectif de la stratégie Europe 2020. </w:t>
      </w:r>
      <w:r>
        <w:rPr>
          <w:rFonts w:ascii="Times New Roman" w:hAnsi="Times New Roman"/>
          <w:noProof/>
          <w:sz w:val="24"/>
          <w:lang w:val="fr-BE"/>
        </w:rPr>
        <w:t>Il a augmenté de 1,1 point de pourcentage, soit légèrement plus vite qu’en 2016, pour atteindre 72,2 % en 2017 et a continué de croître au cours de</w:t>
      </w:r>
      <w:r>
        <w:rPr>
          <w:rFonts w:ascii="Times New Roman" w:hAnsi="Times New Roman"/>
          <w:noProof/>
          <w:sz w:val="24"/>
          <w:lang w:val="fr-BE"/>
        </w:rPr>
        <w:t>s deux premiers trimestres de 2018, atteignant 73,2 % (graphique 1). Si la tendance positive se poursuit au rythme actuel, l’UE serait bien placée pour parvenir à l’objectif de la stratégie Europe 2020 visant un taux d’emploi de 75 %. La situation continue</w:t>
      </w:r>
      <w:r>
        <w:rPr>
          <w:rFonts w:ascii="Times New Roman" w:hAnsi="Times New Roman"/>
          <w:noProof/>
          <w:sz w:val="24"/>
          <w:lang w:val="fr-BE"/>
        </w:rPr>
        <w:t xml:space="preserve"> également de s’améliorer dans la zone euro, où le taux d’emploi a atteint son niveau le plus élevé, à 71,9 % au deuxième trimestre de 2018. Ces évolutions positives sont soutenues par une tendance continue à la hausse de la participation au marché du trav</w:t>
      </w:r>
      <w:r>
        <w:rPr>
          <w:rFonts w:ascii="Times New Roman" w:hAnsi="Times New Roman"/>
          <w:noProof/>
          <w:sz w:val="24"/>
          <w:lang w:val="fr-BE"/>
        </w:rPr>
        <w:t>ail. Au deuxième trimestre de 2018, le taux d’activité (des personnes âgées de 15 à 64 ans) a atteint un niveau record à 73,8 % (73,5 % dans la zone euro). Même pendant la crise, le taux d’activité dans l’UE a augmenté à un rythme constant, ce qui a réduit</w:t>
      </w:r>
      <w:r>
        <w:rPr>
          <w:rFonts w:ascii="Times New Roman" w:hAnsi="Times New Roman"/>
          <w:noProof/>
          <w:sz w:val="24"/>
          <w:lang w:val="fr-BE"/>
        </w:rPr>
        <w:t xml:space="preserve"> l’écart par rapport aux États-Unis. En 2017, les travailleurs âgés et les femmes ont continué à stimuler l’augmentation de la participation au marché du travail.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Le taux de chômage a retrouvé son niveau d’avant-crise. </w:t>
      </w:r>
      <w:r>
        <w:rPr>
          <w:rFonts w:ascii="Times New Roman" w:hAnsi="Times New Roman"/>
          <w:noProof/>
          <w:sz w:val="24"/>
          <w:lang w:val="fr-BE"/>
        </w:rPr>
        <w:t>Grâce à la création constante d’empl</w:t>
      </w:r>
      <w:r>
        <w:rPr>
          <w:rFonts w:ascii="Times New Roman" w:hAnsi="Times New Roman"/>
          <w:noProof/>
          <w:sz w:val="24"/>
          <w:lang w:val="fr-BE"/>
        </w:rPr>
        <w:t>ois, le taux de chômage a continué de baisser pour s’établir à 6,9 % au deuxième trimestre de 2018, un niveau qui n’avait pas été enregistré dans l’UE depuis le deuxième trimestre de 2008 et qui se situe plus de 4 points de pourcentage en dessous du pic de</w:t>
      </w:r>
      <w:r>
        <w:rPr>
          <w:rFonts w:ascii="Times New Roman" w:hAnsi="Times New Roman"/>
          <w:noProof/>
          <w:sz w:val="24"/>
          <w:lang w:val="fr-BE"/>
        </w:rPr>
        <w:t xml:space="preserve"> 2013. L’amélioration est moins importante dans la zone euro, où le taux de chômage, qui s’élevait à 8,3 % au deuxième trimestre de 2018, reste un point de pourcentage au-dessus du niveau le plus bas, enregistré en 2008. Ces évolutions positives sont accom</w:t>
      </w:r>
      <w:r>
        <w:rPr>
          <w:rFonts w:ascii="Times New Roman" w:hAnsi="Times New Roman"/>
          <w:noProof/>
          <w:sz w:val="24"/>
          <w:lang w:val="fr-BE"/>
        </w:rPr>
        <w:t>pagnées d’une diminution constante du taux de chômage de longue durée (à savoir la proportion de personnes au chômage pendant au moins un an dans la population active), qui a baissé de 0,5 point de pourcentage par rapport à l’année précédente pour atteindr</w:t>
      </w:r>
      <w:r>
        <w:rPr>
          <w:rFonts w:ascii="Times New Roman" w:hAnsi="Times New Roman"/>
          <w:noProof/>
          <w:sz w:val="24"/>
          <w:lang w:val="fr-BE"/>
        </w:rPr>
        <w:t>e 3 % au cours du deuxième trimestre de 2018 dans l’UE (3,9 % dans la zone euro). Bien que le chômage (y compris de longue durée) ait diminué dans tous les États membres au cours de l’année écoulée, une importante disparité des taux de chômage persiste (co</w:t>
      </w:r>
      <w:r>
        <w:rPr>
          <w:rFonts w:ascii="Times New Roman" w:hAnsi="Times New Roman"/>
          <w:noProof/>
          <w:sz w:val="24"/>
          <w:lang w:val="fr-BE"/>
        </w:rPr>
        <w:t xml:space="preserve">mme indiqué à la section 3.1.1), certains d’entre eux étant encore loin des niveaux les plus bas d’avant-crise. </w:t>
      </w:r>
    </w:p>
    <w:p w:rsidR="00723CC0" w:rsidRDefault="00242021">
      <w:pPr>
        <w:pStyle w:val="caption2"/>
        <w:keepNext/>
        <w:rPr>
          <w:rFonts w:ascii="Times New Roman" w:hAnsi="Times New Roman" w:cs="Times New Roman"/>
          <w:noProof/>
          <w:color w:val="auto"/>
          <w:sz w:val="24"/>
          <w:szCs w:val="24"/>
          <w:lang w:val="fr-BE"/>
        </w:rPr>
      </w:pPr>
      <w:bookmarkStart w:id="10" w:name="_Ref527641009"/>
      <w:r>
        <w:rPr>
          <w:rFonts w:ascii="Times New Roman" w:hAnsi="Times New Roman"/>
          <w:noProof/>
          <w:color w:val="auto"/>
          <w:sz w:val="24"/>
          <w:lang w:val="fr-BE"/>
        </w:rPr>
        <w:t>Graphique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lang w:val="fr-BE"/>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lang w:val="fr-BE"/>
        </w:rPr>
        <w:t>1</w:t>
      </w:r>
      <w:r>
        <w:rPr>
          <w:rFonts w:ascii="Times New Roman" w:hAnsi="Times New Roman" w:cs="Times New Roman"/>
          <w:noProof/>
          <w:color w:val="auto"/>
          <w:sz w:val="24"/>
          <w:szCs w:val="24"/>
        </w:rPr>
        <w:fldChar w:fldCharType="end"/>
      </w:r>
      <w:bookmarkEnd w:id="10"/>
      <w:r>
        <w:rPr>
          <w:rFonts w:ascii="Times New Roman" w:hAnsi="Times New Roman"/>
          <w:noProof/>
          <w:color w:val="auto"/>
          <w:sz w:val="24"/>
          <w:lang w:val="fr-BE"/>
        </w:rPr>
        <w:t>: Taux d’emploi et de chômage dans l’UE et la zone euro</w:t>
      </w:r>
    </w:p>
    <w:p w:rsidR="00723CC0" w:rsidRDefault="00242021">
      <w:pPr>
        <w:rPr>
          <w:noProof/>
        </w:rPr>
      </w:pPr>
      <w:r>
        <w:rPr>
          <w:noProof/>
          <w:lang w:val="en-GB" w:eastAsia="en-GB" w:bidi="ar-SA"/>
        </w:rPr>
        <w:drawing>
          <wp:inline distT="0" distB="0" distL="0" distR="0">
            <wp:extent cx="5672183" cy="351289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682155" cy="3519070"/>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Eurostat, EFT. Remarque: chiffres </w:t>
      </w:r>
      <w:r>
        <w:rPr>
          <w:rFonts w:ascii="Times New Roman" w:hAnsi="Times New Roman"/>
          <w:noProof/>
          <w:sz w:val="20"/>
          <w:lang w:val="fr-BE"/>
        </w:rPr>
        <w:t>corrigés des variations saisonnières pour le deuxième trimestre de 2018.</w:t>
      </w:r>
    </w:p>
    <w:p w:rsidR="00723CC0" w:rsidRDefault="00723CC0">
      <w:pPr>
        <w:spacing w:line="360" w:lineRule="auto"/>
        <w:jc w:val="both"/>
        <w:rPr>
          <w:rFonts w:ascii="Times New Roman" w:hAnsi="Times New Roman"/>
          <w:b/>
          <w:noProof/>
          <w:sz w:val="24"/>
          <w:lang w:val="fr-BE"/>
        </w:rPr>
      </w:pP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Le chômage des jeunes continue également de diminuer rapidement,</w:t>
      </w:r>
      <w:r>
        <w:rPr>
          <w:rFonts w:ascii="Times New Roman" w:hAnsi="Times New Roman"/>
          <w:noProof/>
          <w:sz w:val="24"/>
          <w:lang w:val="fr-BE"/>
        </w:rPr>
        <w:t xml:space="preserve"> reculant de 1,8 point de pourcentage par rapport à l’année précédente pour s’établir à 15,2 % au deuxième trimestre d</w:t>
      </w:r>
      <w:r>
        <w:rPr>
          <w:rFonts w:ascii="Times New Roman" w:hAnsi="Times New Roman"/>
          <w:noProof/>
          <w:sz w:val="24"/>
          <w:lang w:val="fr-BE"/>
        </w:rPr>
        <w:t>e 2018 (16,9 % dans la zone euro). Ce niveau correspond au minimum atteint juste avant la crise (deuxième trimestre de 2008) et se situe aujourd’hui à près de 9 points de pourcentage en dessous du sommet de 2013. Néanmoins, le chômage des jeunes reste élev</w:t>
      </w:r>
      <w:r>
        <w:rPr>
          <w:rFonts w:ascii="Times New Roman" w:hAnsi="Times New Roman"/>
          <w:noProof/>
          <w:sz w:val="24"/>
          <w:lang w:val="fr-BE"/>
        </w:rPr>
        <w:t>é dans certains États membres, avec des taux supérieurs à 30 % en Espagne, en Italie et en Grèce (voir section 3.2.1). Des améliorations continues sont enregistrées en ce qui concerne les personnes âgées de 15 à 24 ans ne travaillant pas, ne suivant pas d’</w:t>
      </w:r>
      <w:r>
        <w:rPr>
          <w:rFonts w:ascii="Times New Roman" w:hAnsi="Times New Roman"/>
          <w:noProof/>
          <w:sz w:val="24"/>
          <w:lang w:val="fr-BE"/>
        </w:rPr>
        <w:t xml:space="preserve">études ni de formation (NEET), dont le taux a diminué de 0,6 point de pourcentage pour s’établir à 10,9 % en 2017, un niveau similaire à celui de 2008.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La diminution du chômage des jeunes va de pair avec une augmentation du niveau d’éducation des jeunes:</w:t>
      </w:r>
      <w:r>
        <w:rPr>
          <w:rFonts w:ascii="Times New Roman" w:hAnsi="Times New Roman"/>
          <w:noProof/>
          <w:sz w:val="24"/>
          <w:lang w:val="fr-BE"/>
        </w:rPr>
        <w:t xml:space="preserve"> </w:t>
      </w:r>
      <w:r>
        <w:rPr>
          <w:rFonts w:ascii="Times New Roman" w:hAnsi="Times New Roman"/>
          <w:noProof/>
          <w:sz w:val="24"/>
          <w:lang w:val="fr-BE"/>
        </w:rPr>
        <w:t>le taux de jeunes (âgés de 18 à 24 ans) ayant quitté prématurément le système d’éducation et de formation, qui a constamment diminué au cours de la dernière décennie, a atteint 10,6 % en 2017, après la dernière baisse (de 0,1 point de pourcentage). Ce taux</w:t>
      </w:r>
      <w:r>
        <w:rPr>
          <w:rFonts w:ascii="Times New Roman" w:hAnsi="Times New Roman"/>
          <w:noProof/>
          <w:sz w:val="24"/>
          <w:lang w:val="fr-BE"/>
        </w:rPr>
        <w:t xml:space="preserve"> est très proche de l’objectif de la stratégie Europe 2020 (10 %), mais il reste possible de le faire baisser davantage</w:t>
      </w:r>
      <w:r>
        <w:rPr>
          <w:rStyle w:val="FootnoteReference"/>
          <w:rFonts w:ascii="Times New Roman" w:hAnsi="Times New Roman"/>
          <w:noProof/>
          <w:sz w:val="24"/>
        </w:rPr>
        <w:footnoteReference w:id="3"/>
      </w:r>
      <w:r>
        <w:rPr>
          <w:rFonts w:ascii="Times New Roman" w:hAnsi="Times New Roman"/>
          <w:noProof/>
          <w:sz w:val="24"/>
          <w:lang w:val="fr-BE"/>
        </w:rPr>
        <w:t>. Le taux de réussite dans l’enseignement supérieur pour les personnes âgées de 30 à 34 ans a continué de croître, s’élevant 39,9 % en 2</w:t>
      </w:r>
      <w:r>
        <w:rPr>
          <w:rFonts w:ascii="Times New Roman" w:hAnsi="Times New Roman"/>
          <w:noProof/>
          <w:sz w:val="24"/>
          <w:lang w:val="fr-BE"/>
        </w:rPr>
        <w:t>017 et atteignant presque l’objectif Europe 2020 fixé à 40 %.</w:t>
      </w:r>
    </w:p>
    <w:p w:rsidR="00723CC0" w:rsidRDefault="00242021">
      <w:pPr>
        <w:spacing w:line="360" w:lineRule="auto"/>
        <w:jc w:val="both"/>
        <w:rPr>
          <w:rFonts w:ascii="Times New Roman" w:hAnsi="Times New Roman" w:cs="Times New Roman"/>
          <w:iCs/>
          <w:noProof/>
          <w:sz w:val="24"/>
          <w:szCs w:val="24"/>
          <w:highlight w:val="yellow"/>
          <w:lang w:val="fr-BE"/>
        </w:rPr>
      </w:pPr>
      <w:r>
        <w:rPr>
          <w:rFonts w:ascii="Times New Roman" w:hAnsi="Times New Roman"/>
          <w:b/>
          <w:noProof/>
          <w:sz w:val="24"/>
          <w:lang w:val="fr-BE"/>
        </w:rPr>
        <w:t xml:space="preserve">La reprise continue d’être plus importante sous l’angle du nombre de personnes occupées que sous celui du nombre d’heures travaillées. </w:t>
      </w:r>
      <w:r>
        <w:rPr>
          <w:rFonts w:ascii="Times New Roman" w:hAnsi="Times New Roman"/>
          <w:noProof/>
          <w:sz w:val="24"/>
          <w:lang w:val="fr-BE"/>
        </w:rPr>
        <w:t>Le volume total des heures travaillées dans l’UE a augmenté</w:t>
      </w:r>
      <w:r>
        <w:rPr>
          <w:rFonts w:ascii="Times New Roman" w:hAnsi="Times New Roman"/>
          <w:noProof/>
          <w:sz w:val="24"/>
          <w:lang w:val="fr-BE"/>
        </w:rPr>
        <w:t xml:space="preserve"> de 1,2 % en 2017, s’inscrivant dans une tendance positive amorcée en 2015. Néanmoins, cette augmentation reste inférieure à celle de l’emploi total (qui a augmenté de 1,6 %, voir ci-dessus), et implique que le nombre d’heures travaillées par personne a di</w:t>
      </w:r>
      <w:r>
        <w:rPr>
          <w:rFonts w:ascii="Times New Roman" w:hAnsi="Times New Roman"/>
          <w:noProof/>
          <w:sz w:val="24"/>
          <w:lang w:val="fr-BE"/>
        </w:rPr>
        <w:t>minué. Le nombre total des heures travaillées n’est pas encore revenu à son pic de 2008. Ces éléments attestent la morosité persistante du marché du travail, ce que confirment d’autres indicateurs. En 2017, il y avait près de 9 millions de travailleurs à t</w:t>
      </w:r>
      <w:r>
        <w:rPr>
          <w:rFonts w:ascii="Times New Roman" w:hAnsi="Times New Roman"/>
          <w:noProof/>
          <w:sz w:val="24"/>
          <w:lang w:val="fr-BE"/>
        </w:rPr>
        <w:t xml:space="preserve">emps partiel involontaires (c’est-à-dire des personnes qui travaillent à temps partiel mais souhaiteraient travailler davantage). Ce chiffre est en baisse, en recul par rapport au niveau record de 10,3 millions en 2013, mais toujours 1,3 million au-dessus </w:t>
      </w:r>
      <w:r>
        <w:rPr>
          <w:rFonts w:ascii="Times New Roman" w:hAnsi="Times New Roman"/>
          <w:noProof/>
          <w:sz w:val="24"/>
          <w:lang w:val="fr-BE"/>
        </w:rPr>
        <w:t>du niveau de 2008. Dans une perspective à plus long terme, la dynamique modérée des heures de travail fait partie d’un changement structurel lié à une incidence croissante du travail à temps partiel au cours des quinze dernières années et à l’évolution des</w:t>
      </w:r>
      <w:r>
        <w:rPr>
          <w:rFonts w:ascii="Times New Roman" w:hAnsi="Times New Roman"/>
          <w:noProof/>
          <w:sz w:val="24"/>
          <w:lang w:val="fr-BE"/>
        </w:rPr>
        <w:t xml:space="preserve"> préférences des travailleurs en ce qui concerne les aménagements du temps de travail. En conséquence, le nombre d’heures travaillées par personne s’inscrit dans une tendance à la baisse graduelle depuis 2000</w:t>
      </w:r>
      <w:r>
        <w:rPr>
          <w:rStyle w:val="FootnoteReference"/>
          <w:rFonts w:ascii="Times New Roman" w:hAnsi="Times New Roman"/>
          <w:noProof/>
          <w:sz w:val="24"/>
        </w:rPr>
        <w:footnoteReference w:id="4"/>
      </w:r>
      <w:r>
        <w:rPr>
          <w:rFonts w:ascii="Times New Roman" w:hAnsi="Times New Roman"/>
          <w:noProof/>
          <w:sz w:val="24"/>
          <w:lang w:val="fr-BE"/>
        </w:rPr>
        <w:t xml:space="preserve">.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En 2017, la croissance de l’emploi a touché </w:t>
      </w:r>
      <w:r>
        <w:rPr>
          <w:rFonts w:ascii="Times New Roman" w:hAnsi="Times New Roman"/>
          <w:b/>
          <w:noProof/>
          <w:sz w:val="24"/>
          <w:lang w:val="fr-BE"/>
        </w:rPr>
        <w:t>l’ensemble des grands groupes démographiques.</w:t>
      </w:r>
      <w:r>
        <w:rPr>
          <w:rFonts w:ascii="Times New Roman" w:hAnsi="Times New Roman"/>
          <w:noProof/>
          <w:sz w:val="24"/>
          <w:lang w:val="fr-BE"/>
        </w:rPr>
        <w:t xml:space="preserve"> Comme les années précédentes, les travailleurs âgés (55-64 ans) ont enregistré la hausse la plus importante (graphique 2): le nombre de personnes employées dans ce groupe a augmenté de 4,3 % en 2017, faisant pa</w:t>
      </w:r>
      <w:r>
        <w:rPr>
          <w:rFonts w:ascii="Times New Roman" w:hAnsi="Times New Roman"/>
          <w:noProof/>
          <w:sz w:val="24"/>
          <w:lang w:val="fr-BE"/>
        </w:rPr>
        <w:t>sser le taux d’emploi à 57,1 %, soit le taux le plus élevé jamais enregistré (de près de 12 points de pourcentage supérieur à celui de 2008). Le nombre de jeunes (15-24 ans) ayant un emploi a augmenté légèrement plus vite qu’en 2016 (1,6 % contre 1,3 %). C</w:t>
      </w:r>
      <w:r>
        <w:rPr>
          <w:rFonts w:ascii="Times New Roman" w:hAnsi="Times New Roman"/>
          <w:noProof/>
          <w:sz w:val="24"/>
          <w:lang w:val="fr-BE"/>
        </w:rPr>
        <w:t>ependant, le taux d’emploi des jeunes, qui s’élevait à 34,7 % en 2017, ne s’est pas entièrement rétabli de la crise, car il reste 2,7 points de pourcentage en dessous de son niveau de 2008. Néanmoins, compte tenu du taux d’activité stable (41,7 % en 2017 c</w:t>
      </w:r>
      <w:r>
        <w:rPr>
          <w:rFonts w:ascii="Times New Roman" w:hAnsi="Times New Roman"/>
          <w:noProof/>
          <w:sz w:val="24"/>
          <w:lang w:val="fr-BE"/>
        </w:rPr>
        <w:t>ontre 41,6 % en 2016), la progression de l’emploi s’est traduite par une baisse continue du chômage dans ce groupe d’âge. En 2017, l’emploi a augmenté légèrement plus vite chez les femmes que chez les hommes (1,5 % contre 1,3 %). Cependant, l’écart hommes-</w:t>
      </w:r>
      <w:r>
        <w:rPr>
          <w:rFonts w:ascii="Times New Roman" w:hAnsi="Times New Roman"/>
          <w:noProof/>
          <w:sz w:val="24"/>
          <w:lang w:val="fr-BE"/>
        </w:rPr>
        <w:t>femmes en matière d’emploi reste pratiquement inchangé à 11,5 points de pourcentage, ce qui correspond à une baisse de 0,1 point par rapport à 2016; cet écart est quand même nettement inférieur à la valeur d’avant la crise (15 points de pourcentage en 2008</w:t>
      </w:r>
      <w:r>
        <w:rPr>
          <w:rFonts w:ascii="Times New Roman" w:hAnsi="Times New Roman"/>
          <w:noProof/>
          <w:sz w:val="24"/>
          <w:lang w:val="fr-BE"/>
        </w:rPr>
        <w:t>). Bien qu’il ait augmenté de 1,7 point de pourcentage pour atteindre 63 % en 2017, le taux d’emploi des personnes âgées de 20 à 64 ans nées en dehors de l’Union européenne reste inférieur de 10 points à celui des personnes nées dans l’Union. L’écart est p</w:t>
      </w:r>
      <w:r>
        <w:rPr>
          <w:rFonts w:ascii="Times New Roman" w:hAnsi="Times New Roman"/>
          <w:noProof/>
          <w:sz w:val="24"/>
          <w:lang w:val="fr-BE"/>
        </w:rPr>
        <w:t>lus élevé chez les femmes (environ 14 points de pourcentage).</w:t>
      </w:r>
    </w:p>
    <w:p w:rsidR="00723CC0" w:rsidRDefault="00242021">
      <w:pPr>
        <w:pStyle w:val="caption1"/>
        <w:keepNext/>
        <w:spacing w:line="240" w:lineRule="auto"/>
        <w:rPr>
          <w:rFonts w:ascii="Times New Roman" w:hAnsi="Times New Roman"/>
          <w:noProof/>
          <w:sz w:val="24"/>
          <w:szCs w:val="24"/>
          <w:lang w:val="fr-BE"/>
        </w:rPr>
      </w:pPr>
      <w:bookmarkStart w:id="11" w:name="_Ref527640992"/>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2</w:t>
      </w:r>
      <w:r>
        <w:rPr>
          <w:rFonts w:ascii="Times New Roman" w:hAnsi="Times New Roman"/>
          <w:noProof/>
          <w:sz w:val="24"/>
          <w:szCs w:val="24"/>
        </w:rPr>
        <w:fldChar w:fldCharType="end"/>
      </w:r>
      <w:bookmarkEnd w:id="11"/>
      <w:r>
        <w:rPr>
          <w:rFonts w:ascii="Times New Roman" w:hAnsi="Times New Roman"/>
          <w:noProof/>
          <w:sz w:val="24"/>
          <w:lang w:val="fr-BE"/>
        </w:rPr>
        <w:t>: Taux d’emploi et croissance de l’emploi dans les différents groupes de la population de l’UE</w:t>
      </w:r>
    </w:p>
    <w:p w:rsidR="00723CC0" w:rsidRDefault="00242021">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w:drawing>
          <wp:inline distT="0" distB="0" distL="0" distR="0">
            <wp:extent cx="5500085" cy="439433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507002" cy="4399857"/>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EFT.</w:t>
      </w:r>
    </w:p>
    <w:p w:rsidR="00723CC0" w:rsidRDefault="00723CC0">
      <w:pPr>
        <w:spacing w:line="360" w:lineRule="auto"/>
        <w:jc w:val="both"/>
        <w:rPr>
          <w:rFonts w:ascii="Times New Roman" w:hAnsi="Times New Roman"/>
          <w:b/>
          <w:noProof/>
          <w:sz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Grâce à la reprise, le nombre de </w:t>
      </w:r>
      <w:r>
        <w:rPr>
          <w:rFonts w:ascii="Times New Roman" w:hAnsi="Times New Roman"/>
          <w:b/>
          <w:noProof/>
          <w:sz w:val="24"/>
          <w:lang w:val="fr-BE"/>
        </w:rPr>
        <w:t>travailleurs hautement qualifiés dans l’économie continue d’augmenter.</w:t>
      </w:r>
      <w:r>
        <w:rPr>
          <w:rFonts w:ascii="Times New Roman" w:hAnsi="Times New Roman"/>
          <w:noProof/>
          <w:sz w:val="24"/>
          <w:lang w:val="fr-BE"/>
        </w:rPr>
        <w:t xml:space="preserve"> Le nombre de personnes diplômées de l’enseignement supérieur ayant un emploi a augmenté de 2,9 % en 2017 (groupe d’âge 25-64 ans), tandis qu’une augmentation modeste, de 0,8 %, a été en</w:t>
      </w:r>
      <w:r>
        <w:rPr>
          <w:rFonts w:ascii="Times New Roman" w:hAnsi="Times New Roman"/>
          <w:noProof/>
          <w:sz w:val="24"/>
          <w:lang w:val="fr-BE"/>
        </w:rPr>
        <w:t>registrée parmi les travailleurs moyennement qualifiés (diplômés du second cycle de l’enseignement secondaire). À l’inverse, le nombre de travailleurs peu qualifiés (diplômés au mieux du premier cycle de l’enseignement secondaire) a chuté de 0,4 %. Étant d</w:t>
      </w:r>
      <w:r>
        <w:rPr>
          <w:rFonts w:ascii="Times New Roman" w:hAnsi="Times New Roman"/>
          <w:noProof/>
          <w:sz w:val="24"/>
          <w:lang w:val="fr-BE"/>
        </w:rPr>
        <w:t>onné que la population globale des travailleurs peu qualifiés âgés de 25 à 64 ans est en baisse (de 2,7 % par rapport à 2016) – suivant une tendance qui reflète le vieillissement de la population et le niveau d’éducation en hausse des jeunes générations –,</w:t>
      </w:r>
      <w:r>
        <w:rPr>
          <w:rFonts w:ascii="Times New Roman" w:hAnsi="Times New Roman"/>
          <w:noProof/>
          <w:sz w:val="24"/>
          <w:lang w:val="fr-BE"/>
        </w:rPr>
        <w:t xml:space="preserve"> le taux d’emploi de ce groupe est en fait passé de 54,3 % en 2016 à 55,6 % en 2017. L’écart entre le taux d’emploi des travailleurs peu qualifiés et celui des travailleurs très qualifiés a légèrement baissé, passant de 30,5 points de pourcentage en 2016 à</w:t>
      </w:r>
      <w:r>
        <w:rPr>
          <w:rFonts w:ascii="Times New Roman" w:hAnsi="Times New Roman"/>
          <w:noProof/>
          <w:sz w:val="24"/>
          <w:lang w:val="fr-BE"/>
        </w:rPr>
        <w:t xml:space="preserve"> 29,7 points en 2017, mais reste très élevé et est révélateur de la marge de manœuvre dont on dispose pour agir de manière à accroître l’employabilité des personnes ayant un faible niveau d’instruction. Les tendances détaillées par État membre sont présent</w:t>
      </w:r>
      <w:r>
        <w:rPr>
          <w:rFonts w:ascii="Times New Roman" w:hAnsi="Times New Roman"/>
          <w:noProof/>
          <w:sz w:val="24"/>
          <w:lang w:val="fr-BE"/>
        </w:rPr>
        <w:t>ées dans les sections suivantes du rapport.</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L’emploi temporaire, par rapport à l’emploi total, est resté pratiquement stable en 2017, tandis que l’emploi à temps partiel a très légèrement diminué. </w:t>
      </w:r>
      <w:r>
        <w:rPr>
          <w:rFonts w:ascii="Times New Roman" w:hAnsi="Times New Roman"/>
          <w:noProof/>
          <w:sz w:val="24"/>
          <w:lang w:val="fr-BE"/>
        </w:rPr>
        <w:t>Selon une tendance similaire à celle de ces dernières année</w:t>
      </w:r>
      <w:r>
        <w:rPr>
          <w:rFonts w:ascii="Times New Roman" w:hAnsi="Times New Roman"/>
          <w:noProof/>
          <w:sz w:val="24"/>
          <w:lang w:val="fr-BE"/>
        </w:rPr>
        <w:t xml:space="preserve">s, la reprise favorise la création d’emplois couverts tant par des contrats permanents que par des contrats temporaires, qui ont respectivement augmenté d’environ 2,7 millions et de 0,8 million en 2017 (ce qui correspond en pourcentage à des augmentations </w:t>
      </w:r>
      <w:r>
        <w:rPr>
          <w:rFonts w:ascii="Times New Roman" w:hAnsi="Times New Roman"/>
          <w:noProof/>
          <w:sz w:val="24"/>
          <w:lang w:val="fr-BE"/>
        </w:rPr>
        <w:t>de 1,7 % et 2,9 %). Néanmoins, par rapport à l’emploi total, la part des travailleurs temporaires est restée pratiquement stable, augmentant légèrement, de 0,1 point de pourcentage, pour atteindre 14,3 % (tranche d’âge 15-64 ans). Pour la deuxième année co</w:t>
      </w:r>
      <w:r>
        <w:rPr>
          <w:rFonts w:ascii="Times New Roman" w:hAnsi="Times New Roman"/>
          <w:noProof/>
          <w:sz w:val="24"/>
          <w:lang w:val="fr-BE"/>
        </w:rPr>
        <w:t>nsécutive, la proportion de travailleurs à temps partiel (tranche d’âge 15-64 ans) a diminué très légèrement (de 0,1 % pour atteindre 19,4 % en 2017) et demeure de près de 2 points de pourcentage supérieure au niveau de 2008. À l’inverse, comme cela a égal</w:t>
      </w:r>
      <w:r>
        <w:rPr>
          <w:rFonts w:ascii="Times New Roman" w:hAnsi="Times New Roman"/>
          <w:noProof/>
          <w:sz w:val="24"/>
          <w:lang w:val="fr-BE"/>
        </w:rPr>
        <w:t>ement été indiqué plus haut, la proportion de personnes travaillant involontairement à temps partiel a considérablement baissé (passant de 21,1 % en 2016 à 19,8 % en 2017), mais reste importante. Le travail indépendant (tranche d’âge 15-64 ans) a poursuivi</w:t>
      </w:r>
      <w:r>
        <w:rPr>
          <w:rFonts w:ascii="Times New Roman" w:hAnsi="Times New Roman"/>
          <w:noProof/>
          <w:sz w:val="24"/>
          <w:lang w:val="fr-BE"/>
        </w:rPr>
        <w:t xml:space="preserve"> un lent déclin par rapport à l’emploi total, passant à 13,7 % en 2017 (contre 14,0 % en 2016 et 14,4 % en 2013).</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Du point de vue de l’évolution sectorielle, le glissement de l’emploi vers les services s’est poursuivi. </w:t>
      </w:r>
      <w:r>
        <w:rPr>
          <w:rFonts w:ascii="Times New Roman" w:hAnsi="Times New Roman"/>
          <w:noProof/>
          <w:sz w:val="24"/>
          <w:lang w:val="fr-BE"/>
        </w:rPr>
        <w:t>Conformément à la tendance des derniè</w:t>
      </w:r>
      <w:r>
        <w:rPr>
          <w:rFonts w:ascii="Times New Roman" w:hAnsi="Times New Roman"/>
          <w:noProof/>
          <w:sz w:val="24"/>
          <w:lang w:val="fr-BE"/>
        </w:rPr>
        <w:t>res années, c’est dans les services</w:t>
      </w:r>
      <w:r>
        <w:rPr>
          <w:rStyle w:val="FootnoteReference"/>
          <w:rFonts w:ascii="Times New Roman" w:hAnsi="Times New Roman"/>
          <w:noProof/>
          <w:sz w:val="24"/>
        </w:rPr>
        <w:footnoteReference w:id="5"/>
      </w:r>
      <w:r>
        <w:rPr>
          <w:rFonts w:ascii="Times New Roman" w:hAnsi="Times New Roman"/>
          <w:noProof/>
          <w:sz w:val="24"/>
          <w:lang w:val="fr-BE"/>
        </w:rPr>
        <w:t xml:space="preserve"> que le plus grand nombre d’emplois a été créé (2,8 millions de personnes supplémentaires y occupant un emploi en 2017, soit une hausse de 1,6 % par rapport à 2016; sur la base des comptes nationaux). De 2008 à 2017, la </w:t>
      </w:r>
      <w:r>
        <w:rPr>
          <w:rFonts w:ascii="Times New Roman" w:hAnsi="Times New Roman"/>
          <w:noProof/>
          <w:sz w:val="24"/>
          <w:lang w:val="fr-BE"/>
        </w:rPr>
        <w:t>part de l’emploi dans les services dans l’UE n’a cessé d’augmenter, passant de 70,1 % à 73,9 %. Avec une augmentation de 2 %, la construction a enregistré la hausse la plus importante en matière d’emploi depuis le début de la récession, consolidant la repr</w:t>
      </w:r>
      <w:r>
        <w:rPr>
          <w:rFonts w:ascii="Times New Roman" w:hAnsi="Times New Roman"/>
          <w:noProof/>
          <w:sz w:val="24"/>
          <w:lang w:val="fr-BE"/>
        </w:rPr>
        <w:t>ise amorcée en 2015; toutefois, le nombre de personnes employées reste inférieur de presque 15 % à celui de 2008. L’industrie a également connu une forte croissance (de 1,5 %, soit le taux le plus élevé depuis 2007). Enfin, après une longue série de baisse</w:t>
      </w:r>
      <w:r>
        <w:rPr>
          <w:rFonts w:ascii="Times New Roman" w:hAnsi="Times New Roman"/>
          <w:noProof/>
          <w:sz w:val="24"/>
          <w:lang w:val="fr-BE"/>
        </w:rPr>
        <w:t>s, l’emploi dans l’agriculture a légèrement augmenté, de 0,3 % en 2017.</w:t>
      </w:r>
    </w:p>
    <w:p w:rsidR="00723CC0" w:rsidRDefault="00242021">
      <w:pPr>
        <w:pStyle w:val="Heading3"/>
        <w:spacing w:after="200"/>
        <w:rPr>
          <w:noProof/>
          <w:lang w:val="fr-BE"/>
        </w:rPr>
      </w:pPr>
      <w:bookmarkStart w:id="12" w:name="_Toc527539777"/>
      <w:bookmarkStart w:id="13" w:name="_Toc530495144"/>
      <w:r>
        <w:rPr>
          <w:noProof/>
          <w:lang w:val="fr-BE"/>
        </w:rPr>
        <w:t>1.2</w:t>
      </w:r>
      <w:r>
        <w:rPr>
          <w:noProof/>
          <w:lang w:val="fr-BE"/>
        </w:rPr>
        <w:tab/>
        <w:t>Tendances sociales</w:t>
      </w:r>
      <w:bookmarkEnd w:id="12"/>
      <w:bookmarkEnd w:id="13"/>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Le nombre de personnes exposées au risque de pauvreté ou d’exclusion sociale (AROPE</w:t>
      </w:r>
      <w:bookmarkStart w:id="14" w:name="_Ref527558084"/>
      <w:r>
        <w:rPr>
          <w:rFonts w:ascii="Times New Roman" w:hAnsi="Times New Roman"/>
          <w:b/>
          <w:noProof/>
          <w:sz w:val="24"/>
          <w:vertAlign w:val="superscript"/>
        </w:rPr>
        <w:footnoteReference w:id="6"/>
      </w:r>
      <w:bookmarkEnd w:id="14"/>
      <w:r>
        <w:rPr>
          <w:rFonts w:ascii="Times New Roman" w:hAnsi="Times New Roman"/>
          <w:b/>
          <w:noProof/>
          <w:sz w:val="24"/>
          <w:lang w:val="fr-BE"/>
        </w:rPr>
        <w:t>)</w:t>
      </w:r>
      <w:bookmarkStart w:id="15" w:name="_Ref529538880"/>
      <w:r>
        <w:rPr>
          <w:rFonts w:ascii="Times New Roman" w:hAnsi="Times New Roman"/>
          <w:b/>
          <w:noProof/>
          <w:sz w:val="24"/>
          <w:vertAlign w:val="superscript"/>
        </w:rPr>
        <w:footnoteReference w:id="7"/>
      </w:r>
      <w:bookmarkEnd w:id="15"/>
      <w:r>
        <w:rPr>
          <w:rFonts w:ascii="Times New Roman" w:hAnsi="Times New Roman"/>
          <w:b/>
          <w:noProof/>
          <w:sz w:val="24"/>
          <w:lang w:val="fr-BE"/>
        </w:rPr>
        <w:t xml:space="preserve"> a considérablement diminué en 2017 et se situe maintenant en dessous des n</w:t>
      </w:r>
      <w:r>
        <w:rPr>
          <w:rFonts w:ascii="Times New Roman" w:hAnsi="Times New Roman"/>
          <w:b/>
          <w:noProof/>
          <w:sz w:val="24"/>
          <w:lang w:val="fr-BE"/>
        </w:rPr>
        <w:t xml:space="preserve">iveaux enregistrés avant la crise. </w:t>
      </w:r>
      <w:r>
        <w:rPr>
          <w:rFonts w:ascii="Times New Roman" w:hAnsi="Times New Roman"/>
          <w:noProof/>
          <w:sz w:val="24"/>
          <w:lang w:val="fr-BE"/>
        </w:rPr>
        <w:t xml:space="preserve">En 2017, pour la cinquième année consécutive, la tendance à la baisse de cet indicateur s’est poursuivie, le nombre de personnes exposées passant à 113 millions (soit 22,5 % de la population totale), en cohérence avec la </w:t>
      </w:r>
      <w:r>
        <w:rPr>
          <w:rFonts w:ascii="Times New Roman" w:hAnsi="Times New Roman"/>
          <w:noProof/>
          <w:sz w:val="24"/>
          <w:lang w:val="fr-BE"/>
        </w:rPr>
        <w:t>reprise de l’emploi et l’augmentation du revenu disponible. Par conséquent, en 2017, l’UE comptait 5 millions de personnes menacées de pauvreté ou d’exclusion sociale de moins qu’avant le début de la crise (en 2008), tandis que la baisse par rapport au pic</w:t>
      </w:r>
      <w:r>
        <w:rPr>
          <w:rFonts w:ascii="Times New Roman" w:hAnsi="Times New Roman"/>
          <w:noProof/>
          <w:sz w:val="24"/>
          <w:lang w:val="fr-BE"/>
        </w:rPr>
        <w:t xml:space="preserve"> enregistré en 2012 se chiffre à près de 11 millions. Néanmoins, en raison des contrecoups de la crise, le grand objectif de la stratégie Europe 2020 (réduire le nombre de personnes exposées au risque de pauvreté ou d’exclusion sociale de 20 millions par r</w:t>
      </w:r>
      <w:r>
        <w:rPr>
          <w:rFonts w:ascii="Times New Roman" w:hAnsi="Times New Roman"/>
          <w:noProof/>
          <w:sz w:val="24"/>
          <w:lang w:val="fr-BE"/>
        </w:rPr>
        <w:t>apport à 2008) est loin d’être atteint. La baisse globale actuelle de cet indicateur provient de ses trois composantes, bien que dans des proportions différentes (voir ci-dessous et graphique 3).</w:t>
      </w:r>
    </w:p>
    <w:p w:rsidR="00723CC0" w:rsidRDefault="00242021">
      <w:pPr>
        <w:pStyle w:val="caption2"/>
        <w:keepNext/>
        <w:rPr>
          <w:rFonts w:ascii="Times New Roman" w:hAnsi="Times New Roman" w:cs="Times New Roman"/>
          <w:noProof/>
          <w:color w:val="auto"/>
          <w:sz w:val="24"/>
          <w:szCs w:val="24"/>
          <w:lang w:val="fr-BE"/>
        </w:rPr>
      </w:pPr>
      <w:bookmarkStart w:id="16" w:name="_Ref527558157"/>
      <w:r>
        <w:rPr>
          <w:rFonts w:ascii="Times New Roman" w:hAnsi="Times New Roman"/>
          <w:noProof/>
          <w:color w:val="auto"/>
          <w:sz w:val="24"/>
          <w:lang w:val="fr-BE"/>
        </w:rPr>
        <w:t>Graphique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lang w:val="fr-BE"/>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lang w:val="fr-BE"/>
        </w:rPr>
        <w:t>3</w:t>
      </w:r>
      <w:r>
        <w:rPr>
          <w:rFonts w:ascii="Times New Roman" w:hAnsi="Times New Roman" w:cs="Times New Roman"/>
          <w:noProof/>
          <w:color w:val="auto"/>
          <w:sz w:val="24"/>
          <w:szCs w:val="24"/>
        </w:rPr>
        <w:fldChar w:fldCharType="end"/>
      </w:r>
      <w:bookmarkEnd w:id="16"/>
      <w:r>
        <w:rPr>
          <w:rFonts w:ascii="Times New Roman" w:hAnsi="Times New Roman"/>
          <w:noProof/>
          <w:color w:val="auto"/>
          <w:sz w:val="24"/>
          <w:lang w:val="fr-BE"/>
        </w:rPr>
        <w:t xml:space="preserve">: Pourcentage de la </w:t>
      </w:r>
      <w:r>
        <w:rPr>
          <w:rFonts w:ascii="Times New Roman" w:hAnsi="Times New Roman"/>
          <w:noProof/>
          <w:color w:val="auto"/>
          <w:sz w:val="24"/>
          <w:lang w:val="fr-BE"/>
        </w:rPr>
        <w:t>population exposée au risque de pauvreté ou d’exclusion sociale (AROPE) et ses composantes (2005-2017).</w:t>
      </w:r>
    </w:p>
    <w:p w:rsidR="00723CC0" w:rsidRDefault="00242021">
      <w:pPr>
        <w:spacing w:line="360" w:lineRule="auto"/>
        <w:jc w:val="both"/>
        <w:rPr>
          <w:rFonts w:ascii="Times New Roman" w:hAnsi="Times New Roman"/>
          <w:b/>
          <w:noProof/>
          <w:sz w:val="24"/>
        </w:rPr>
      </w:pPr>
      <w:r>
        <w:rPr>
          <w:rFonts w:ascii="Times New Roman" w:hAnsi="Times New Roman"/>
          <w:b/>
          <w:noProof/>
          <w:sz w:val="24"/>
          <w:lang w:val="en-GB" w:eastAsia="en-GB" w:bidi="ar-SA"/>
        </w:rPr>
        <w:drawing>
          <wp:inline distT="0" distB="0" distL="0" distR="0">
            <wp:extent cx="5383530" cy="2749550"/>
            <wp:effectExtent l="0" t="0" r="762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5383530" cy="2749550"/>
                    </a:xfrm>
                    <a:prstGeom prst="rect">
                      <a:avLst/>
                    </a:prstGeom>
                    <a:noFill/>
                  </pic:spPr>
                </pic:pic>
              </a:graphicData>
            </a:graphic>
          </wp:inline>
        </w:drawing>
      </w:r>
    </w:p>
    <w:p w:rsidR="00723CC0" w:rsidRDefault="00242021">
      <w:pPr>
        <w:spacing w:line="360" w:lineRule="auto"/>
        <w:jc w:val="both"/>
        <w:rPr>
          <w:rFonts w:ascii="Times New Roman" w:hAnsi="Times New Roman"/>
          <w:noProof/>
          <w:sz w:val="20"/>
          <w:szCs w:val="20"/>
          <w:lang w:val="fr-BE"/>
        </w:rPr>
      </w:pPr>
      <w:r>
        <w:rPr>
          <w:rFonts w:ascii="Times New Roman" w:hAnsi="Times New Roman"/>
          <w:noProof/>
          <w:sz w:val="20"/>
          <w:lang w:val="fr-BE"/>
        </w:rPr>
        <w:t xml:space="preserve">Source: Eurostat, SILC. Remarque: la légende est expliquée dans la note de bas de page </w:t>
      </w:r>
      <w:r>
        <w:rPr>
          <w:rFonts w:ascii="Times New Roman" w:hAnsi="Times New Roman"/>
          <w:noProof/>
          <w:sz w:val="20"/>
          <w:szCs w:val="20"/>
        </w:rPr>
        <w:fldChar w:fldCharType="begin" w:fldLock="1"/>
      </w:r>
      <w:r>
        <w:rPr>
          <w:rFonts w:ascii="Times New Roman" w:hAnsi="Times New Roman"/>
          <w:noProof/>
          <w:sz w:val="20"/>
          <w:szCs w:val="20"/>
          <w:lang w:val="fr-BE"/>
        </w:rPr>
        <w:instrText xml:space="preserve"> NOTEREF _Ref527558084 \h </w:instrText>
      </w:r>
      <w:r>
        <w:rPr>
          <w:rFonts w:ascii="Times New Roman" w:hAnsi="Times New Roman"/>
          <w:noProof/>
          <w:sz w:val="20"/>
          <w:szCs w:val="20"/>
        </w:rPr>
      </w:r>
      <w:r>
        <w:rPr>
          <w:rFonts w:ascii="Times New Roman" w:hAnsi="Times New Roman"/>
          <w:noProof/>
          <w:sz w:val="20"/>
          <w:szCs w:val="20"/>
        </w:rPr>
        <w:fldChar w:fldCharType="separate"/>
      </w:r>
      <w:r>
        <w:rPr>
          <w:rFonts w:ascii="Times New Roman" w:hAnsi="Times New Roman"/>
          <w:noProof/>
          <w:sz w:val="20"/>
          <w:szCs w:val="20"/>
          <w:lang w:val="fr-BE"/>
        </w:rPr>
        <w:t>6</w:t>
      </w:r>
      <w:r>
        <w:rPr>
          <w:rFonts w:ascii="Times New Roman" w:hAnsi="Times New Roman"/>
          <w:noProof/>
          <w:sz w:val="20"/>
          <w:szCs w:val="20"/>
        </w:rPr>
        <w:fldChar w:fldCharType="end"/>
      </w:r>
      <w:r>
        <w:rPr>
          <w:rFonts w:ascii="Times New Roman" w:hAnsi="Times New Roman"/>
          <w:noProof/>
          <w:sz w:val="20"/>
          <w:lang w:val="fr-BE"/>
        </w:rPr>
        <w:t>.</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Une forte diminution du nombre de personnes se trouvant en situation de privation matérielle grave porte les chiffres à leur plus bas niveau enregistré dans un passé récent, reflétant la hausse du niveau de vie. </w:t>
      </w:r>
      <w:r>
        <w:rPr>
          <w:rFonts w:ascii="Times New Roman" w:hAnsi="Times New Roman"/>
          <w:noProof/>
          <w:sz w:val="24"/>
          <w:lang w:val="fr-BE"/>
        </w:rPr>
        <w:t>Plus de 3 </w:t>
      </w:r>
      <w:r>
        <w:rPr>
          <w:rFonts w:ascii="Times New Roman" w:hAnsi="Times New Roman"/>
          <w:noProof/>
          <w:sz w:val="24"/>
          <w:lang w:val="fr-BE"/>
        </w:rPr>
        <w:t>millions de personnes sont sorties d’une situation de privation matérielle grave au cours de l’année 2017, ce qui a fait baisser le nombre total de personnes touchées à 34,8 millions, soit 6,9 % de la population de l’UE (0,6 point de pourcentage de moins q</w:t>
      </w:r>
      <w:r>
        <w:rPr>
          <w:rFonts w:ascii="Times New Roman" w:hAnsi="Times New Roman"/>
          <w:noProof/>
          <w:sz w:val="24"/>
          <w:lang w:val="fr-BE"/>
        </w:rPr>
        <w:t>u’en 2017 et moins qu’en 2008). Cette diminution représente une amélioration considérable pour la cinquième année consécutive et correspond à une amélioration de la situation matérielle des ménages. En dépit de cette évolution positive, d’importantes diffé</w:t>
      </w:r>
      <w:r>
        <w:rPr>
          <w:rFonts w:ascii="Times New Roman" w:hAnsi="Times New Roman"/>
          <w:noProof/>
          <w:sz w:val="24"/>
          <w:lang w:val="fr-BE"/>
        </w:rPr>
        <w:t>rences entre les États membres persistent (voir section 3.4).</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L’augmentation record des taux d’emploi a contribué à réduire le nombre de personnes vivant dans des ménages presque sans emploi</w:t>
      </w:r>
      <w:r>
        <w:rPr>
          <w:rFonts w:ascii="Times New Roman" w:hAnsi="Times New Roman"/>
          <w:noProof/>
          <w:sz w:val="24"/>
          <w:lang w:val="fr-BE"/>
        </w:rPr>
        <w:t xml:space="preserve"> de 3,7 millions en 2017. En proportion de la population âgée de 0 à 59 ans, cette évolution correspond à une baisse de 10,5 % en 2016 à 9,3 % en 2017, ce taux étant inférieur à 10 % pour la première fois depuis 2009. Cependant, le taux comme le nombre de </w:t>
      </w:r>
      <w:r>
        <w:rPr>
          <w:rFonts w:ascii="Times New Roman" w:hAnsi="Times New Roman"/>
          <w:noProof/>
          <w:sz w:val="24"/>
          <w:lang w:val="fr-BE"/>
        </w:rPr>
        <w:t xml:space="preserve">personnes touchées restent plus élevés qu’avant la crise.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Le pourcentage de la population exposée au risque de pauvreté a baissé pour la première fois depuis la crise. </w:t>
      </w:r>
      <w:r>
        <w:rPr>
          <w:rFonts w:ascii="Times New Roman" w:hAnsi="Times New Roman"/>
          <w:noProof/>
          <w:sz w:val="24"/>
          <w:lang w:val="fr-BE"/>
        </w:rPr>
        <w:t>Après avoir augmenté jusqu’en 2014, le nombre de personnes exposées au risque de pauvre</w:t>
      </w:r>
      <w:r>
        <w:rPr>
          <w:rFonts w:ascii="Times New Roman" w:hAnsi="Times New Roman"/>
          <w:noProof/>
          <w:sz w:val="24"/>
          <w:lang w:val="fr-BE"/>
        </w:rPr>
        <w:t>té s’est stabilisé au cours des deux années suivantes. En 2017, le taux a diminué de 0,4 point de pourcentage pour s’élever à 16,9 %, ce qui équivaut à près de 2 millions de personnes; il s’agit de la première année d’après-crise au cours de laquelle les r</w:t>
      </w:r>
      <w:r>
        <w:rPr>
          <w:rFonts w:ascii="Times New Roman" w:hAnsi="Times New Roman"/>
          <w:noProof/>
          <w:sz w:val="24"/>
          <w:lang w:val="fr-BE"/>
        </w:rPr>
        <w:t>evenus des ménages pauvres ont augmenté plus rapidement que les revenus médians. Les dernières données provenant des estimations rapides d’Eurostat</w:t>
      </w:r>
      <w:r>
        <w:rPr>
          <w:rStyle w:val="FootnoteReference"/>
          <w:rFonts w:ascii="Times New Roman" w:hAnsi="Times New Roman"/>
          <w:noProof/>
          <w:sz w:val="24"/>
        </w:rPr>
        <w:footnoteReference w:id="8"/>
      </w:r>
      <w:r>
        <w:rPr>
          <w:rFonts w:ascii="Times New Roman" w:hAnsi="Times New Roman"/>
          <w:noProof/>
          <w:sz w:val="24"/>
          <w:lang w:val="fr-BE"/>
        </w:rPr>
        <w:t xml:space="preserve"> semblent indiquer que cette baisse des taux de pauvreté devrait se poursuivre. Toutefois, le taux de risque</w:t>
      </w:r>
      <w:r>
        <w:rPr>
          <w:rFonts w:ascii="Times New Roman" w:hAnsi="Times New Roman"/>
          <w:noProof/>
          <w:sz w:val="24"/>
          <w:lang w:val="fr-BE"/>
        </w:rPr>
        <w:t xml:space="preserve"> de pauvreté pour les personnes vivant dans des ménages à très faible intensité de travail a augmenté pour la quatrième année consécutive et atteint à présent le niveau record de 62,3 %. Cette évolution indique des lacunes persistantes dans l’adéquation de</w:t>
      </w:r>
      <w:r>
        <w:rPr>
          <w:rFonts w:ascii="Times New Roman" w:hAnsi="Times New Roman"/>
          <w:noProof/>
          <w:sz w:val="24"/>
          <w:lang w:val="fr-BE"/>
        </w:rPr>
        <w:t>s prestations sociales dans plusieurs pays et a été mise en évidence comme une tendance que le Comité de la protection sociale</w:t>
      </w:r>
      <w:r>
        <w:rPr>
          <w:rFonts w:ascii="Times New Roman" w:hAnsi="Times New Roman"/>
          <w:noProof/>
          <w:sz w:val="24"/>
          <w:vertAlign w:val="superscript"/>
        </w:rPr>
        <w:footnoteReference w:id="9"/>
      </w:r>
      <w:r>
        <w:rPr>
          <w:rFonts w:ascii="Times New Roman" w:hAnsi="Times New Roman"/>
          <w:noProof/>
          <w:sz w:val="24"/>
          <w:lang w:val="fr-BE"/>
        </w:rPr>
        <w:t xml:space="preserve"> doit surveiller.</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Malgré la diminution globale de la proportion de personnes exposées au risque de pauvreté, la pauvreté des trav</w:t>
      </w:r>
      <w:r>
        <w:rPr>
          <w:rFonts w:ascii="Times New Roman" w:hAnsi="Times New Roman"/>
          <w:b/>
          <w:noProof/>
          <w:sz w:val="24"/>
          <w:lang w:val="fr-BE"/>
        </w:rPr>
        <w:t xml:space="preserve">ailleurs reste élevée. </w:t>
      </w:r>
      <w:r>
        <w:rPr>
          <w:rFonts w:ascii="Times New Roman" w:hAnsi="Times New Roman"/>
          <w:noProof/>
          <w:sz w:val="24"/>
          <w:lang w:val="fr-BE"/>
        </w:rPr>
        <w:t>En 2017, 9,6 % de la population active avait un revenu du ménage inférieur à 60 % du revenu médian national, un chiffre qui n’a pas changé par rapport à 2016 et qui reste bien au-dessus du taux de 2008 (8,5 %). À ce jour, les augment</w:t>
      </w:r>
      <w:r>
        <w:rPr>
          <w:rFonts w:ascii="Times New Roman" w:hAnsi="Times New Roman"/>
          <w:noProof/>
          <w:sz w:val="24"/>
          <w:lang w:val="fr-BE"/>
        </w:rPr>
        <w:t>ations ont touché à la fois les travailleurs à temps partiel et les travailleurs à plein temps, bien que les premiers restent beaucoup plus exposés au risque de pauvreté (15,8 % contre 8,0 %). La tendance a touché en particulier les jeunes travailleurs (de</w:t>
      </w:r>
      <w:r>
        <w:rPr>
          <w:rFonts w:ascii="Times New Roman" w:hAnsi="Times New Roman"/>
          <w:noProof/>
          <w:sz w:val="24"/>
          <w:lang w:val="fr-BE"/>
        </w:rPr>
        <w:t xml:space="preserve"> moins de 30 ans), qui font face à un risque plus élevé et croissant par rapport aux travailleurs âgés de 30 ans et plus.</w:t>
      </w:r>
      <w:r>
        <w:rPr>
          <w:rFonts w:ascii="Times New Roman" w:hAnsi="Times New Roman"/>
          <w:b/>
          <w:noProof/>
          <w:sz w:val="24"/>
          <w:lang w:val="fr-BE"/>
        </w:rPr>
        <w:t xml:space="preserve"> </w:t>
      </w:r>
      <w:r>
        <w:rPr>
          <w:rFonts w:ascii="Times New Roman" w:hAnsi="Times New Roman"/>
          <w:noProof/>
          <w:sz w:val="24"/>
          <w:lang w:val="fr-BE"/>
        </w:rPr>
        <w:t>La pauvreté des travailleurs a été mise en évidence comme une tendance que le Comité de la protection sociale doit surveiller tant à c</w:t>
      </w:r>
      <w:r>
        <w:rPr>
          <w:rFonts w:ascii="Times New Roman" w:hAnsi="Times New Roman"/>
          <w:noProof/>
          <w:sz w:val="24"/>
          <w:lang w:val="fr-BE"/>
        </w:rPr>
        <w:t>ourt qu’à long terme</w:t>
      </w:r>
      <w:r>
        <w:rPr>
          <w:rFonts w:ascii="Times New Roman" w:hAnsi="Times New Roman"/>
          <w:noProof/>
          <w:sz w:val="24"/>
          <w:vertAlign w:val="superscript"/>
        </w:rPr>
        <w:footnoteReference w:id="10"/>
      </w:r>
      <w:r>
        <w:rPr>
          <w:rFonts w:ascii="Times New Roman" w:hAnsi="Times New Roman"/>
          <w:noProof/>
          <w:sz w:val="24"/>
          <w:lang w:val="fr-BE"/>
        </w:rPr>
        <w:t xml:space="preserve">.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Les données sur la pauvreté des personnes les plus vulnérables font état d’améliorations modestes, ce qui implique une inversion de tendance. </w:t>
      </w:r>
      <w:r>
        <w:rPr>
          <w:rFonts w:ascii="Times New Roman" w:hAnsi="Times New Roman"/>
          <w:noProof/>
          <w:sz w:val="24"/>
          <w:lang w:val="fr-BE"/>
        </w:rPr>
        <w:t>L’écart de pauvreté, qui mesure à quelle distance du seuil de pauvreté se trouvent les per</w:t>
      </w:r>
      <w:r>
        <w:rPr>
          <w:rFonts w:ascii="Times New Roman" w:hAnsi="Times New Roman"/>
          <w:noProof/>
          <w:sz w:val="24"/>
          <w:lang w:val="fr-BE"/>
        </w:rPr>
        <w:t>sonnes exposées au risque de pauvreté, s’est réduit en 2017. Il a légèrement diminué, passant de 25 % à 24,7 %, tout en restant bien supérieur aux niveaux d’avant-crise. Cela semble indiquer que la situation relative des revenus des plus vulnérables s’amél</w:t>
      </w:r>
      <w:r>
        <w:rPr>
          <w:rFonts w:ascii="Times New Roman" w:hAnsi="Times New Roman"/>
          <w:noProof/>
          <w:sz w:val="24"/>
          <w:lang w:val="fr-BE"/>
        </w:rPr>
        <w:t>iore légèrement. Pour les personnes sans emploi, le risque de pauvreté a diminué pour la première fois depuis la crise, mais, à 48 %, il reste proche des niveaux record.</w:t>
      </w:r>
    </w:p>
    <w:p w:rsidR="00723CC0" w:rsidRDefault="00242021">
      <w:pPr>
        <w:spacing w:line="360" w:lineRule="auto"/>
        <w:jc w:val="both"/>
        <w:rPr>
          <w:rFonts w:ascii="Times New Roman" w:hAnsi="Times New Roman"/>
          <w:b/>
          <w:noProof/>
          <w:sz w:val="24"/>
          <w:lang w:val="fr-BE"/>
        </w:rPr>
      </w:pPr>
      <w:r>
        <w:rPr>
          <w:rFonts w:ascii="Times New Roman" w:hAnsi="Times New Roman"/>
          <w:b/>
          <w:noProof/>
          <w:sz w:val="24"/>
          <w:lang w:val="fr-BE"/>
        </w:rPr>
        <w:t>Malgré les améliorations globales, le risque de pauvreté ou d’exclusion sociale auquel</w:t>
      </w:r>
      <w:r>
        <w:rPr>
          <w:rFonts w:ascii="Times New Roman" w:hAnsi="Times New Roman"/>
          <w:b/>
          <w:noProof/>
          <w:sz w:val="24"/>
          <w:lang w:val="fr-BE"/>
        </w:rPr>
        <w:t xml:space="preserve"> les enfants sont exposés reste élevé. </w:t>
      </w:r>
      <w:r>
        <w:rPr>
          <w:rFonts w:ascii="Times New Roman" w:hAnsi="Times New Roman"/>
          <w:noProof/>
          <w:sz w:val="24"/>
          <w:lang w:val="fr-BE"/>
        </w:rPr>
        <w:t>Le taux de risque de pauvreté ou d’exclusion sociale des enfants (de 0 à 17 ans) continue de baisser, passant de 26,4 % à 24,5 % en 2017, soit bien en deçà du niveau d’avant-crise. Toutefois, 62,9 % des enfants de par</w:t>
      </w:r>
      <w:r>
        <w:rPr>
          <w:rFonts w:ascii="Times New Roman" w:hAnsi="Times New Roman"/>
          <w:noProof/>
          <w:sz w:val="24"/>
          <w:lang w:val="fr-BE"/>
        </w:rPr>
        <w:t>ents peu qualifiés restent exposés au risque de pauvreté ou d’exclusion sociale, contre seulement 9 % pour les enfants de parents hautement qualifiés. La proportion d’enfants de parents nés en dehors de l’UE qui sont exposés au risque de pauvreté ou d’excl</w:t>
      </w:r>
      <w:r>
        <w:rPr>
          <w:rFonts w:ascii="Times New Roman" w:hAnsi="Times New Roman"/>
          <w:noProof/>
          <w:sz w:val="24"/>
          <w:lang w:val="fr-BE"/>
        </w:rPr>
        <w:t xml:space="preserve">usion sociale n’a cessé d’augmenter depuis la fin de la crise, pour s’élever à 34,5 % en 2017; ce taux est plus de deux fois supérieur à celui des enfants de parents autochtones. L’un des principaux facteurs de pauvreté chez les enfants est l’augmentation </w:t>
      </w:r>
      <w:r>
        <w:rPr>
          <w:rFonts w:ascii="Times New Roman" w:hAnsi="Times New Roman"/>
          <w:noProof/>
          <w:sz w:val="24"/>
          <w:lang w:val="fr-BE"/>
        </w:rPr>
        <w:t>du nombre de familles monoparentales, dont la part est passée de 4,4 % de la population de l’UE en 2011 à 4,8 % en 2016 (mais a fléchi à 4,3 % en 2017). Le taux de risque de pauvreté des enfants issus de familles monoparentales est deux fois plus élevé que</w:t>
      </w:r>
      <w:r>
        <w:rPr>
          <w:rFonts w:ascii="Times New Roman" w:hAnsi="Times New Roman"/>
          <w:noProof/>
          <w:sz w:val="24"/>
          <w:lang w:val="fr-BE"/>
        </w:rPr>
        <w:t xml:space="preserve"> le taux moyen des enfants en général, et cet écart continue d’augmenter.</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Le revenu des ménages continue de croître, mais à un rythme moins rapide que celui de l’ensemble de l’économie. </w:t>
      </w:r>
      <w:r>
        <w:rPr>
          <w:rFonts w:ascii="Times New Roman" w:hAnsi="Times New Roman"/>
          <w:noProof/>
          <w:sz w:val="24"/>
          <w:lang w:val="fr-BE"/>
        </w:rPr>
        <w:t>Alors que le revenu disponible brut des ménages a augmenté quatre anné</w:t>
      </w:r>
      <w:r>
        <w:rPr>
          <w:rFonts w:ascii="Times New Roman" w:hAnsi="Times New Roman"/>
          <w:noProof/>
          <w:sz w:val="24"/>
          <w:lang w:val="fr-BE"/>
        </w:rPr>
        <w:t>es de suite jusqu’en 2017 et qu’il dépasse désormais largement le niveau de 2008, l’augmentation annuelle reste inférieure à la croissance du PIB (le revenu disponible brut des ménages a augmenté de moins de 1 % en 2017, tandis que le PIB réel par habitant</w:t>
      </w:r>
      <w:r>
        <w:rPr>
          <w:rFonts w:ascii="Times New Roman" w:hAnsi="Times New Roman"/>
          <w:noProof/>
          <w:sz w:val="24"/>
          <w:lang w:val="fr-BE"/>
        </w:rPr>
        <w:t xml:space="preserve"> a augmenté de 2,2 % au cours de la même année). Cela montre que la croissance du revenu des ménages ne suit pas le rythme de la croissance globale des revenus dans l’économie. Comme indiqué à la section 3.4, le revenu disponible brut des ménages par habit</w:t>
      </w:r>
      <w:r>
        <w:rPr>
          <w:rFonts w:ascii="Times New Roman" w:hAnsi="Times New Roman"/>
          <w:noProof/>
          <w:sz w:val="24"/>
          <w:lang w:val="fr-BE"/>
        </w:rPr>
        <w:t>ant, en termes réels, reste inférieur aux niveaux d’avant-crise dans plusieurs États membres.</w:t>
      </w:r>
    </w:p>
    <w:p w:rsidR="00723CC0" w:rsidRDefault="00242021">
      <w:pPr>
        <w:spacing w:line="360" w:lineRule="auto"/>
        <w:jc w:val="both"/>
        <w:rPr>
          <w:rFonts w:ascii="Times New Roman" w:hAnsi="Times New Roman" w:cs="Times New Roman"/>
          <w:iCs/>
          <w:noProof/>
          <w:sz w:val="24"/>
          <w:szCs w:val="24"/>
          <w:highlight w:val="yellow"/>
          <w:lang w:val="fr-BE"/>
        </w:rPr>
      </w:pPr>
      <w:r>
        <w:rPr>
          <w:rFonts w:ascii="Times New Roman" w:hAnsi="Times New Roman"/>
          <w:b/>
          <w:noProof/>
          <w:sz w:val="24"/>
          <w:lang w:val="fr-BE"/>
        </w:rPr>
        <w:t>Les augmentations des inégalités de revenus dans les années postérieures à la crise ont commencé à s’inverser en 2017, sans toutefois que cela compense les augmen</w:t>
      </w:r>
      <w:r>
        <w:rPr>
          <w:rFonts w:ascii="Times New Roman" w:hAnsi="Times New Roman"/>
          <w:b/>
          <w:noProof/>
          <w:sz w:val="24"/>
          <w:lang w:val="fr-BE"/>
        </w:rPr>
        <w:t xml:space="preserve">tations antérieures. </w:t>
      </w:r>
      <w:r>
        <w:rPr>
          <w:rFonts w:ascii="Times New Roman" w:hAnsi="Times New Roman"/>
          <w:noProof/>
          <w:sz w:val="24"/>
          <w:lang w:val="fr-BE"/>
        </w:rPr>
        <w:t>En moyenne, les 20 % de ménages les plus riches dans les États membres de l’UE ont un revenu qui est plus de cinq fois supérieur à celui des 20 % de ménages les plus pauvres. Le rapport S80/S20 est passé de 5,0 à 5,2 entre 2008 et 2016</w:t>
      </w:r>
      <w:r>
        <w:rPr>
          <w:rFonts w:ascii="Times New Roman" w:hAnsi="Times New Roman"/>
          <w:noProof/>
          <w:sz w:val="24"/>
          <w:lang w:val="fr-BE"/>
        </w:rPr>
        <w:t>, en raison notamment d’une situation défavorable sur le marché du travail et de la stagnation des revenus, en particulier dans la partie la plus basse de l’échelle des revenus. En 2017, ce rapport a commencé à diminuer pour redescendre à 5,1 en moyenne da</w:t>
      </w:r>
      <w:r>
        <w:rPr>
          <w:rFonts w:ascii="Times New Roman" w:hAnsi="Times New Roman"/>
          <w:noProof/>
          <w:sz w:val="24"/>
          <w:lang w:val="fr-BE"/>
        </w:rPr>
        <w:t>ns l’UE. Les estimations rapides d’Eurostat semblent indiquer que la baisse devrait se poursuivre.</w:t>
      </w:r>
    </w:p>
    <w:p w:rsidR="00723CC0" w:rsidRDefault="00242021">
      <w:pPr>
        <w:spacing w:line="360" w:lineRule="auto"/>
        <w:jc w:val="both"/>
        <w:rPr>
          <w:rFonts w:ascii="Times New Roman" w:hAnsi="Times New Roman"/>
          <w:noProof/>
          <w:sz w:val="24"/>
          <w:lang w:val="fr-BE"/>
        </w:rPr>
      </w:pPr>
      <w:r>
        <w:rPr>
          <w:rFonts w:ascii="Times New Roman" w:hAnsi="Times New Roman"/>
          <w:noProof/>
          <w:sz w:val="24"/>
          <w:lang w:val="fr-BE"/>
        </w:rPr>
        <w:t xml:space="preserve"> </w:t>
      </w:r>
    </w:p>
    <w:p w:rsidR="00723CC0" w:rsidRDefault="00242021">
      <w:pPr>
        <w:rPr>
          <w:noProof/>
          <w:lang w:val="fr-BE"/>
        </w:rPr>
      </w:pPr>
      <w:r>
        <w:rPr>
          <w:noProof/>
          <w:lang w:val="fr-BE"/>
        </w:rPr>
        <w:br w:type="page"/>
      </w:r>
    </w:p>
    <w:p w:rsidR="00723CC0" w:rsidRDefault="00242021">
      <w:pPr>
        <w:pStyle w:val="Heading1"/>
        <w:rPr>
          <w:noProof/>
          <w:lang w:val="fr-BE"/>
        </w:rPr>
      </w:pPr>
      <w:bookmarkStart w:id="17" w:name="_Toc527539778"/>
      <w:bookmarkStart w:id="18" w:name="_Toc530495145"/>
      <w:r>
        <w:rPr>
          <w:noProof/>
          <w:lang w:val="fr-BE"/>
        </w:rPr>
        <w:t>2. </w:t>
      </w:r>
      <w:r>
        <w:rPr>
          <w:noProof/>
          <w:lang w:val="fr-BE"/>
        </w:rPr>
        <w:tab/>
        <w:t>INSTANTANÉS DU TABLEAU DE BORD SOCIAL</w:t>
      </w:r>
      <w:bookmarkEnd w:id="17"/>
      <w:bookmarkEnd w:id="18"/>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noProof/>
          <w:sz w:val="24"/>
          <w:lang w:val="fr-BE"/>
        </w:rPr>
        <w:t>Le socle européen des droits sociaux, coulé dans une proclamation interinstitutionnelle signée par le Parlement</w:t>
      </w:r>
      <w:r>
        <w:rPr>
          <w:rFonts w:ascii="Times New Roman" w:hAnsi="Times New Roman"/>
          <w:noProof/>
          <w:sz w:val="24"/>
          <w:lang w:val="fr-BE"/>
        </w:rPr>
        <w:t xml:space="preserve"> européen, le Conseil et la Commission le 17 novembre 2017, énonce un certain nombre de principes et de droits essentiels qui visent à favoriser un fonctionnement efficace et équitable des marchés du travail et des systèmes de protection sociale. Il est co</w:t>
      </w:r>
      <w:r>
        <w:rPr>
          <w:rFonts w:ascii="Times New Roman" w:hAnsi="Times New Roman"/>
          <w:noProof/>
          <w:sz w:val="24"/>
          <w:lang w:val="fr-BE"/>
        </w:rPr>
        <w:t>nçu pour indiquer la direction à suivre pour renouer avec la convergence vers de meilleures conditions socio-économiques dans les États membres.</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Le socle européen des droits sociaux est accompagné d’un tableau de bord social qui permet de suivre les résult</w:t>
      </w:r>
      <w:r>
        <w:rPr>
          <w:rFonts w:ascii="Times New Roman" w:hAnsi="Times New Roman"/>
          <w:noProof/>
          <w:sz w:val="24"/>
          <w:lang w:val="fr-BE"/>
        </w:rPr>
        <w:t>ats et de déceler des tendances dans les États membres</w:t>
      </w:r>
      <w:r>
        <w:rPr>
          <w:rStyle w:val="FootnoteReference"/>
          <w:rFonts w:ascii="Times New Roman" w:hAnsi="Times New Roman"/>
          <w:noProof/>
          <w:sz w:val="24"/>
        </w:rPr>
        <w:footnoteReference w:id="11"/>
      </w:r>
      <w:r>
        <w:rPr>
          <w:rFonts w:ascii="Times New Roman" w:hAnsi="Times New Roman"/>
          <w:noProof/>
          <w:sz w:val="24"/>
          <w:lang w:val="fr-BE"/>
        </w:rPr>
        <w:t>. Le tableau de bord fournit un certain nombre d’indicateurs clés et secondaires permettant d’examiner, pour les indicateurs choisis, les résultats obtenus par les États membres en matière sociale et d</w:t>
      </w:r>
      <w:r>
        <w:rPr>
          <w:rFonts w:ascii="Times New Roman" w:hAnsi="Times New Roman"/>
          <w:noProof/>
          <w:sz w:val="24"/>
          <w:lang w:val="fr-BE"/>
        </w:rPr>
        <w:t>’emploi dans trois grands domaines («dimensions») définis dans le cadre du socle: primo, l’égalité des chances et l’accès au marché du travail; secundo, des marchés du travail dynamiques et des conditions de travail équitables; tertio, le soutien des pouvo</w:t>
      </w:r>
      <w:r>
        <w:rPr>
          <w:rFonts w:ascii="Times New Roman" w:hAnsi="Times New Roman"/>
          <w:noProof/>
          <w:sz w:val="24"/>
          <w:lang w:val="fr-BE"/>
        </w:rPr>
        <w:t>irs publics/la protection et l’inclusion sociales. Depuis l’édition 2018, le rapport conjoint sur l’emploi comprend un tableau de bord social, dont les résultats (en ce qui concerne les indicateurs clés) sont résumés dans le présent chapitre. Cette analyse</w:t>
      </w:r>
      <w:r>
        <w:rPr>
          <w:rFonts w:ascii="Times New Roman" w:hAnsi="Times New Roman"/>
          <w:noProof/>
          <w:sz w:val="24"/>
          <w:lang w:val="fr-BE"/>
        </w:rPr>
        <w:t xml:space="preserve"> s’inscrit dans le cadre plus large de la réforme présentée au chapitre 3.</w:t>
      </w:r>
    </w:p>
    <w:p w:rsidR="00723CC0" w:rsidRDefault="00723CC0">
      <w:pPr>
        <w:autoSpaceDE w:val="0"/>
        <w:autoSpaceDN w:val="0"/>
        <w:adjustRightInd w:val="0"/>
        <w:spacing w:line="360" w:lineRule="auto"/>
        <w:ind w:left="720" w:hanging="720"/>
        <w:jc w:val="both"/>
        <w:rPr>
          <w:rFonts w:ascii="Times New Roman" w:hAnsi="Times New Roman" w:cs="Times New Roman"/>
          <w:bCs/>
          <w:noProof/>
          <w:sz w:val="24"/>
          <w:szCs w:val="24"/>
          <w:lang w:val="fr-BE"/>
        </w:rPr>
      </w:pPr>
    </w:p>
    <w:p w:rsidR="00723CC0" w:rsidRDefault="00242021">
      <w:pPr>
        <w:pStyle w:val="Heading3"/>
        <w:rPr>
          <w:noProof/>
          <w:lang w:val="fr-BE"/>
        </w:rPr>
      </w:pPr>
      <w:bookmarkStart w:id="19" w:name="_Toc527539779"/>
      <w:bookmarkStart w:id="20" w:name="_Toc530495146"/>
      <w:r>
        <w:rPr>
          <w:noProof/>
          <w:lang w:val="fr-BE"/>
        </w:rPr>
        <w:t>2.1</w:t>
      </w:r>
      <w:r>
        <w:rPr>
          <w:noProof/>
          <w:lang w:val="fr-BE"/>
        </w:rPr>
        <w:tab/>
        <w:t>Le tableau de bord expliqué</w:t>
      </w:r>
      <w:bookmarkEnd w:id="19"/>
      <w:bookmarkEnd w:id="20"/>
      <w:r>
        <w:rPr>
          <w:noProof/>
          <w:lang w:val="fr-BE"/>
        </w:rPr>
        <w:tab/>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Le tableau de bord social est un outil essentiel de suivi des résultats en matière sociale et de l’emploi ainsi que de la convergence vers de </w:t>
      </w:r>
      <w:r>
        <w:rPr>
          <w:rFonts w:ascii="Times New Roman" w:hAnsi="Times New Roman"/>
          <w:b/>
          <w:noProof/>
          <w:sz w:val="24"/>
          <w:lang w:val="fr-BE"/>
        </w:rPr>
        <w:t>meilleures conditions de vie et de travail.</w:t>
      </w:r>
      <w:r>
        <w:rPr>
          <w:rFonts w:ascii="Times New Roman" w:hAnsi="Times New Roman"/>
          <w:noProof/>
          <w:sz w:val="24"/>
          <w:lang w:val="fr-BE"/>
        </w:rPr>
        <w:t xml:space="preserve"> Concrètement, il permet de suivre la situation des États membres dans des dimensions mesurables du socle, complétant les instruments de surveillance existants, dont le relevé des résultats en matière d’emploi et </w:t>
      </w:r>
      <w:r>
        <w:rPr>
          <w:rFonts w:ascii="Times New Roman" w:hAnsi="Times New Roman"/>
          <w:noProof/>
          <w:sz w:val="24"/>
          <w:lang w:val="fr-BE"/>
        </w:rPr>
        <w:t>le suivi des résultats dans le domaine de la protection sociale</w:t>
      </w:r>
      <w:r>
        <w:rPr>
          <w:rStyle w:val="FootnoteReference"/>
          <w:rFonts w:ascii="Times New Roman" w:hAnsi="Times New Roman"/>
          <w:noProof/>
          <w:sz w:val="24"/>
        </w:rPr>
        <w:footnoteReference w:id="12"/>
      </w:r>
      <w:r>
        <w:rPr>
          <w:rFonts w:ascii="Times New Roman" w:hAnsi="Times New Roman"/>
          <w:noProof/>
          <w:sz w:val="24"/>
          <w:lang w:val="fr-BE"/>
        </w:rPr>
        <w:t>. Il se compose de 14 indicateurs clés qui servent à évaluer les tendances sociales et en matière d’emploi en général</w:t>
      </w:r>
      <w:r>
        <w:rPr>
          <w:rStyle w:val="FootnoteReference"/>
          <w:rFonts w:ascii="Times New Roman" w:hAnsi="Times New Roman"/>
          <w:noProof/>
          <w:sz w:val="24"/>
        </w:rPr>
        <w:footnoteReference w:id="13"/>
      </w:r>
      <w:r>
        <w:rPr>
          <w:rFonts w:ascii="Times New Roman" w:hAnsi="Times New Roman"/>
          <w:noProof/>
          <w:sz w:val="24"/>
          <w:lang w:val="fr-BE"/>
        </w:rPr>
        <w:t>:</w:t>
      </w:r>
    </w:p>
    <w:p w:rsidR="00723CC0" w:rsidRDefault="00242021">
      <w:pPr>
        <w:pStyle w:val="ListParagraph"/>
        <w:numPr>
          <w:ilvl w:val="0"/>
          <w:numId w:val="1"/>
        </w:numPr>
        <w:spacing w:line="360" w:lineRule="auto"/>
        <w:jc w:val="both"/>
        <w:rPr>
          <w:rFonts w:ascii="Times New Roman" w:hAnsi="Times New Roman" w:cs="Times New Roman"/>
          <w:i/>
          <w:iCs/>
          <w:noProof/>
          <w:sz w:val="24"/>
          <w:szCs w:val="24"/>
          <w:lang w:val="fr-BE"/>
        </w:rPr>
      </w:pPr>
      <w:r>
        <w:rPr>
          <w:rFonts w:ascii="Times New Roman" w:hAnsi="Times New Roman"/>
          <w:i/>
          <w:noProof/>
          <w:sz w:val="24"/>
          <w:lang w:val="fr-BE"/>
        </w:rPr>
        <w:t>Égalité des chances et accès au marché du travail:</w:t>
      </w:r>
    </w:p>
    <w:p w:rsidR="00723CC0" w:rsidRDefault="00242021">
      <w:pPr>
        <w:pStyle w:val="ListParagraph"/>
        <w:numPr>
          <w:ilvl w:val="1"/>
          <w:numId w:val="3"/>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 xml:space="preserve">Proportion de jeunes </w:t>
      </w:r>
      <w:r>
        <w:rPr>
          <w:rFonts w:ascii="Times New Roman" w:hAnsi="Times New Roman"/>
          <w:noProof/>
          <w:sz w:val="24"/>
          <w:lang w:val="fr-BE"/>
        </w:rPr>
        <w:t>de 18 à 24 ans ayant quitté prématurément le système d’éducation et de formation</w:t>
      </w:r>
    </w:p>
    <w:p w:rsidR="00723CC0" w:rsidRDefault="00242021">
      <w:pPr>
        <w:pStyle w:val="ListParagraph"/>
        <w:numPr>
          <w:ilvl w:val="1"/>
          <w:numId w:val="3"/>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Écart du taux d’emploi entre les hommes et les femmes âgés de 20 à 64 ans</w:t>
      </w:r>
    </w:p>
    <w:p w:rsidR="00723CC0" w:rsidRDefault="00242021">
      <w:pPr>
        <w:pStyle w:val="ListParagraph"/>
        <w:numPr>
          <w:ilvl w:val="1"/>
          <w:numId w:val="3"/>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Inégalité de revenus mesurée par le rapport interquintile S80/S20</w:t>
      </w:r>
    </w:p>
    <w:p w:rsidR="00723CC0" w:rsidRDefault="00242021">
      <w:pPr>
        <w:pStyle w:val="ListParagraph"/>
        <w:numPr>
          <w:ilvl w:val="1"/>
          <w:numId w:val="3"/>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Taux de risque de pauvreté ou d’exc</w:t>
      </w:r>
      <w:r>
        <w:rPr>
          <w:rFonts w:ascii="Times New Roman" w:hAnsi="Times New Roman"/>
          <w:noProof/>
          <w:sz w:val="24"/>
          <w:lang w:val="fr-BE"/>
        </w:rPr>
        <w:t>lusion sociale (AROPE)</w:t>
      </w:r>
    </w:p>
    <w:p w:rsidR="00723CC0" w:rsidRDefault="00242021">
      <w:pPr>
        <w:pStyle w:val="ListParagraph"/>
        <w:numPr>
          <w:ilvl w:val="1"/>
          <w:numId w:val="3"/>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Jeunes sans emploi qui ne suivent ni études ni formation (taux NEET), groupe des 15-24 ans</w:t>
      </w:r>
    </w:p>
    <w:p w:rsidR="00723CC0" w:rsidRDefault="00242021">
      <w:pPr>
        <w:pStyle w:val="ListParagraph"/>
        <w:numPr>
          <w:ilvl w:val="0"/>
          <w:numId w:val="1"/>
        </w:numPr>
        <w:spacing w:before="240" w:after="0" w:line="360" w:lineRule="auto"/>
        <w:contextualSpacing w:val="0"/>
        <w:jc w:val="both"/>
        <w:rPr>
          <w:rFonts w:ascii="Times New Roman" w:hAnsi="Times New Roman" w:cs="Times New Roman"/>
          <w:i/>
          <w:iCs/>
          <w:noProof/>
          <w:sz w:val="24"/>
          <w:szCs w:val="24"/>
          <w:lang w:val="fr-BE"/>
        </w:rPr>
      </w:pPr>
      <w:r>
        <w:rPr>
          <w:rFonts w:ascii="Times New Roman" w:hAnsi="Times New Roman"/>
          <w:i/>
          <w:noProof/>
          <w:sz w:val="24"/>
          <w:lang w:val="fr-BE"/>
        </w:rPr>
        <w:t>Marchés du travail dynamiques et conditions de travail équitables:</w:t>
      </w:r>
    </w:p>
    <w:p w:rsidR="00723CC0" w:rsidRDefault="00242021">
      <w:pPr>
        <w:pStyle w:val="ListParagraph"/>
        <w:numPr>
          <w:ilvl w:val="1"/>
          <w:numId w:val="4"/>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Taux d’emploi (personnes âgées de 20 à 64 ans)</w:t>
      </w:r>
    </w:p>
    <w:p w:rsidR="00723CC0" w:rsidRDefault="00242021">
      <w:pPr>
        <w:pStyle w:val="ListParagraph"/>
        <w:numPr>
          <w:ilvl w:val="1"/>
          <w:numId w:val="4"/>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Taux de chômage (personnes â</w:t>
      </w:r>
      <w:r>
        <w:rPr>
          <w:rFonts w:ascii="Times New Roman" w:hAnsi="Times New Roman"/>
          <w:noProof/>
          <w:sz w:val="24"/>
          <w:lang w:val="fr-BE"/>
        </w:rPr>
        <w:t>gées de 15 à 74 ans)</w:t>
      </w:r>
    </w:p>
    <w:p w:rsidR="00723CC0" w:rsidRDefault="00242021">
      <w:pPr>
        <w:pStyle w:val="ListParagraph"/>
        <w:numPr>
          <w:ilvl w:val="1"/>
          <w:numId w:val="4"/>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Taux de chômage de longue durée, (personnes âgées de 15 à 74 ans)</w:t>
      </w:r>
    </w:p>
    <w:p w:rsidR="00723CC0" w:rsidRDefault="00242021">
      <w:pPr>
        <w:pStyle w:val="ListParagraph"/>
        <w:numPr>
          <w:ilvl w:val="1"/>
          <w:numId w:val="4"/>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Revenu disponible brut des ménages en termes réels, par habitant</w:t>
      </w:r>
      <w:r>
        <w:rPr>
          <w:rStyle w:val="FootnoteReference"/>
          <w:rFonts w:ascii="Times New Roman" w:hAnsi="Times New Roman"/>
          <w:noProof/>
          <w:sz w:val="24"/>
        </w:rPr>
        <w:footnoteReference w:id="14"/>
      </w:r>
    </w:p>
    <w:p w:rsidR="00723CC0" w:rsidRDefault="00242021">
      <w:pPr>
        <w:pStyle w:val="ListParagraph"/>
        <w:numPr>
          <w:ilvl w:val="1"/>
          <w:numId w:val="4"/>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Rémunération nette d’un travailleur à plein temps célibataire et sans enfant percevant un salaire moyen</w:t>
      </w:r>
      <w:r>
        <w:rPr>
          <w:rStyle w:val="FootnoteReference"/>
          <w:rFonts w:ascii="Times New Roman" w:hAnsi="Times New Roman"/>
          <w:noProof/>
          <w:sz w:val="24"/>
        </w:rPr>
        <w:footnoteReference w:id="15"/>
      </w:r>
    </w:p>
    <w:p w:rsidR="00723CC0" w:rsidRDefault="00242021">
      <w:pPr>
        <w:pStyle w:val="ListParagraph"/>
        <w:numPr>
          <w:ilvl w:val="0"/>
          <w:numId w:val="2"/>
        </w:numPr>
        <w:spacing w:before="240" w:after="0" w:line="360" w:lineRule="auto"/>
        <w:contextualSpacing w:val="0"/>
        <w:jc w:val="both"/>
        <w:rPr>
          <w:rFonts w:ascii="Times New Roman" w:hAnsi="Times New Roman" w:cs="Times New Roman"/>
          <w:i/>
          <w:iCs/>
          <w:noProof/>
          <w:sz w:val="24"/>
          <w:szCs w:val="24"/>
          <w:lang w:val="fr-BE"/>
        </w:rPr>
      </w:pPr>
      <w:r>
        <w:rPr>
          <w:rFonts w:ascii="Times New Roman" w:hAnsi="Times New Roman"/>
          <w:i/>
          <w:noProof/>
          <w:sz w:val="24"/>
          <w:lang w:val="fr-BE"/>
        </w:rPr>
        <w:t>Soutien des pouvoirs publics/Protection et inclusion sociales:</w:t>
      </w:r>
    </w:p>
    <w:p w:rsidR="00723CC0" w:rsidRDefault="00242021">
      <w:pPr>
        <w:pStyle w:val="ListParagraph"/>
        <w:numPr>
          <w:ilvl w:val="0"/>
          <w:numId w:val="5"/>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Incidence des transferts sociaux (autres que les pensions) sur la réduction de la pauvreté</w:t>
      </w:r>
      <w:r>
        <w:rPr>
          <w:rStyle w:val="FootnoteReference"/>
          <w:rFonts w:ascii="Times New Roman" w:hAnsi="Times New Roman"/>
          <w:noProof/>
          <w:sz w:val="24"/>
        </w:rPr>
        <w:footnoteReference w:id="16"/>
      </w:r>
    </w:p>
    <w:p w:rsidR="00723CC0" w:rsidRDefault="00242021">
      <w:pPr>
        <w:pStyle w:val="ListParagraph"/>
        <w:numPr>
          <w:ilvl w:val="0"/>
          <w:numId w:val="5"/>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Enfants âgés de moins de 3 ans dans des structures d’accueil formelles</w:t>
      </w:r>
    </w:p>
    <w:p w:rsidR="00723CC0" w:rsidRDefault="00242021">
      <w:pPr>
        <w:pStyle w:val="ListParagraph"/>
        <w:numPr>
          <w:ilvl w:val="0"/>
          <w:numId w:val="5"/>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 xml:space="preserve">Besoins en soins médicaux </w:t>
      </w:r>
      <w:r>
        <w:rPr>
          <w:rFonts w:ascii="Times New Roman" w:hAnsi="Times New Roman"/>
          <w:noProof/>
          <w:sz w:val="24"/>
          <w:lang w:val="fr-BE"/>
        </w:rPr>
        <w:t>non satisfaits déclarés par l’intéressé</w:t>
      </w:r>
    </w:p>
    <w:p w:rsidR="00723CC0" w:rsidRDefault="00242021">
      <w:pPr>
        <w:pStyle w:val="ListParagraph"/>
        <w:numPr>
          <w:ilvl w:val="0"/>
          <w:numId w:val="5"/>
        </w:num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Part de la population possédant des compétences numériques générales de base ou supérieures.</w:t>
      </w:r>
    </w:p>
    <w:p w:rsidR="00723CC0" w:rsidRDefault="00242021">
      <w:p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b/>
          <w:noProof/>
          <w:sz w:val="24"/>
          <w:lang w:val="fr-BE"/>
        </w:rPr>
        <w:t>Les indicateurs clés du tableau de bord sont analysés au moyen d’une méthode commune approuvée par le Comité de l’emploi et</w:t>
      </w:r>
      <w:r>
        <w:rPr>
          <w:rFonts w:ascii="Times New Roman" w:hAnsi="Times New Roman"/>
          <w:b/>
          <w:noProof/>
          <w:sz w:val="24"/>
          <w:lang w:val="fr-BE"/>
        </w:rPr>
        <w:t xml:space="preserve"> le Comité de la protection sociale</w:t>
      </w:r>
      <w:r>
        <w:rPr>
          <w:noProof/>
          <w:lang w:val="fr-BE"/>
        </w:rPr>
        <w:t xml:space="preserve"> </w:t>
      </w:r>
      <w:r>
        <w:rPr>
          <w:rFonts w:ascii="Times New Roman" w:hAnsi="Times New Roman"/>
          <w:noProof/>
          <w:sz w:val="24"/>
          <w:lang w:val="fr-BE"/>
        </w:rPr>
        <w:t>(voir annexe 3 pour plus de détails). Suivant cette méthode, on évalue la situation et les évolutions dans les États membres en examinant les niveaux et les variations annuelles</w:t>
      </w:r>
      <w:r>
        <w:rPr>
          <w:rStyle w:val="FootnoteReference"/>
          <w:rFonts w:ascii="Times New Roman" w:hAnsi="Times New Roman"/>
          <w:noProof/>
          <w:sz w:val="24"/>
        </w:rPr>
        <w:footnoteReference w:id="17"/>
      </w:r>
      <w:r>
        <w:rPr>
          <w:rFonts w:ascii="Times New Roman" w:hAnsi="Times New Roman"/>
          <w:noProof/>
          <w:sz w:val="24"/>
          <w:lang w:val="fr-BE"/>
        </w:rPr>
        <w:t xml:space="preserve"> de chacun des indicateurs clés du tableau</w:t>
      </w:r>
      <w:r>
        <w:rPr>
          <w:rFonts w:ascii="Times New Roman" w:hAnsi="Times New Roman"/>
          <w:noProof/>
          <w:sz w:val="24"/>
          <w:lang w:val="fr-BE"/>
        </w:rPr>
        <w:t xml:space="preserve"> de bord social.</w:t>
      </w:r>
      <w:r>
        <w:rPr>
          <w:rFonts w:ascii="Times New Roman" w:hAnsi="Times New Roman"/>
          <w:b/>
          <w:noProof/>
          <w:sz w:val="24"/>
          <w:lang w:val="fr-BE"/>
        </w:rPr>
        <w:t xml:space="preserve"> </w:t>
      </w:r>
      <w:r>
        <w:rPr>
          <w:rFonts w:ascii="Times New Roman" w:hAnsi="Times New Roman"/>
          <w:noProof/>
          <w:sz w:val="24"/>
          <w:lang w:val="fr-BE"/>
        </w:rPr>
        <w:t>Les niveaux et les variations sont classés en fonction de leur écart par rapport aux moyennes UE (non pondérées) respectives. Les résultats des États concernant les niveaux et les variations sont ensuite combinés (au moyen d’une matrice pr</w:t>
      </w:r>
      <w:r>
        <w:rPr>
          <w:rFonts w:ascii="Times New Roman" w:hAnsi="Times New Roman"/>
          <w:noProof/>
          <w:sz w:val="24"/>
          <w:lang w:val="fr-BE"/>
        </w:rPr>
        <w:t>édéfinie), de sorte que chaque État membre est classé dans l’une des sept catégories suivantes («meilleurs éléments», «mieux que la moyenne», «bien, mais à surveiller», «autour de la moyenne», «faible, mais en voie d’amélioration», «à surveiller» et «situa</w:t>
      </w:r>
      <w:r>
        <w:rPr>
          <w:rFonts w:ascii="Times New Roman" w:hAnsi="Times New Roman"/>
          <w:noProof/>
          <w:sz w:val="24"/>
          <w:lang w:val="fr-BE"/>
        </w:rPr>
        <w:t xml:space="preserve">tions critiques»). Sur cette base, le tableau 1 contient un résumé des résultats du tableau de bord, établi sur la base des derniers chiffres disponibles pour chaque indicateur. </w:t>
      </w:r>
    </w:p>
    <w:p w:rsidR="00723CC0" w:rsidRDefault="00242021">
      <w:pPr>
        <w:autoSpaceDE w:val="0"/>
        <w:autoSpaceDN w:val="0"/>
        <w:adjustRightInd w:val="0"/>
        <w:spacing w:line="360" w:lineRule="auto"/>
        <w:jc w:val="both"/>
        <w:rPr>
          <w:rFonts w:ascii="Times New Roman" w:hAnsi="Times New Roman"/>
          <w:noProof/>
          <w:sz w:val="24"/>
          <w:lang w:val="fr-BE"/>
        </w:rPr>
      </w:pPr>
      <w:r>
        <w:rPr>
          <w:rFonts w:ascii="Times New Roman" w:hAnsi="Times New Roman"/>
          <w:b/>
          <w:noProof/>
          <w:sz w:val="24"/>
          <w:lang w:val="fr-BE"/>
        </w:rPr>
        <w:t>Une lecture attentive et réfléchie du tableau est recommandée.</w:t>
      </w:r>
      <w:r>
        <w:rPr>
          <w:rFonts w:ascii="Times New Roman" w:hAnsi="Times New Roman"/>
          <w:noProof/>
          <w:sz w:val="24"/>
          <w:lang w:val="fr-BE"/>
        </w:rPr>
        <w:t xml:space="preserve"> À cette fin, u</w:t>
      </w:r>
      <w:r>
        <w:rPr>
          <w:rFonts w:ascii="Times New Roman" w:hAnsi="Times New Roman"/>
          <w:noProof/>
          <w:sz w:val="24"/>
          <w:lang w:val="fr-BE"/>
        </w:rPr>
        <w:t>ne analyse détaillée des quatorze indicateurs, y compris des tendances à plus long terme et d’indicateurs supplémentaires, le cas échéant, est présentée au chapitre 3. En outre, les prochains rapports par pays contiendront une analyse approfondie de toutes</w:t>
      </w:r>
      <w:r>
        <w:rPr>
          <w:rFonts w:ascii="Times New Roman" w:hAnsi="Times New Roman"/>
          <w:noProof/>
          <w:sz w:val="24"/>
          <w:lang w:val="fr-BE"/>
        </w:rPr>
        <w:t xml:space="preserve"> les «situations critiques» et préciseront le contexte socio-économique et politique, ce qui doit permettre de mieux définir les défis spécifiques des pays dans le cadre du Semestre européen. Avec l’analyse approfondie contenue dans le relevé des résultats</w:t>
      </w:r>
      <w:r>
        <w:rPr>
          <w:rFonts w:ascii="Times New Roman" w:hAnsi="Times New Roman"/>
          <w:noProof/>
          <w:sz w:val="24"/>
          <w:lang w:val="fr-BE"/>
        </w:rPr>
        <w:t xml:space="preserve"> en matière d’emploi et le suivi des résultats dans le domaine de la protection sociale, ces rapports serviront de base d’analyse à la Commission en vue de l’élaboration de propositions de recommandations par pays, le cas échéant.</w:t>
      </w:r>
    </w:p>
    <w:p w:rsidR="00723CC0" w:rsidRDefault="00723CC0">
      <w:pPr>
        <w:autoSpaceDE w:val="0"/>
        <w:autoSpaceDN w:val="0"/>
        <w:adjustRightInd w:val="0"/>
        <w:spacing w:line="360" w:lineRule="auto"/>
        <w:jc w:val="both"/>
        <w:rPr>
          <w:rFonts w:ascii="Times New Roman" w:eastAsia="MS Mincho" w:hAnsi="Times New Roman" w:cs="Times New Roman"/>
          <w:noProof/>
          <w:sz w:val="24"/>
          <w:szCs w:val="24"/>
          <w:lang w:val="fr-BE"/>
        </w:rPr>
      </w:pPr>
    </w:p>
    <w:p w:rsidR="00723CC0" w:rsidRDefault="00242021">
      <w:pPr>
        <w:pStyle w:val="Heading3"/>
        <w:rPr>
          <w:b/>
          <w:noProof/>
          <w:color w:val="4F81BD" w:themeColor="accent1"/>
          <w:sz w:val="26"/>
          <w:szCs w:val="26"/>
          <w:lang w:val="fr-BE"/>
        </w:rPr>
      </w:pPr>
      <w:bookmarkStart w:id="21" w:name="_Toc527539780"/>
      <w:bookmarkStart w:id="22" w:name="_Toc530495147"/>
      <w:r>
        <w:rPr>
          <w:noProof/>
          <w:lang w:val="fr-BE"/>
        </w:rPr>
        <w:t>2.2</w:t>
      </w:r>
      <w:r>
        <w:rPr>
          <w:noProof/>
          <w:lang w:val="fr-BE"/>
        </w:rPr>
        <w:tab/>
        <w:t>Données du tableau d</w:t>
      </w:r>
      <w:r>
        <w:rPr>
          <w:noProof/>
          <w:lang w:val="fr-BE"/>
        </w:rPr>
        <w:t>e bord social</w:t>
      </w:r>
      <w:bookmarkEnd w:id="21"/>
      <w:bookmarkEnd w:id="22"/>
    </w:p>
    <w:p w:rsidR="00723CC0" w:rsidRDefault="00242021">
      <w:p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b/>
          <w:noProof/>
          <w:sz w:val="24"/>
          <w:lang w:val="fr-BE"/>
        </w:rPr>
        <w:t>Il ressort de l’analyse du tableau de bord que le redressement du marché du travail et de la situation sociale dans l’ensemble de l’Union s’est poursuivi</w:t>
      </w:r>
      <w:r>
        <w:rPr>
          <w:rStyle w:val="FootnoteReference"/>
          <w:rFonts w:ascii="Times New Roman" w:hAnsi="Times New Roman"/>
          <w:b/>
          <w:noProof/>
          <w:sz w:val="24"/>
        </w:rPr>
        <w:footnoteReference w:id="18"/>
      </w:r>
      <w:r>
        <w:rPr>
          <w:rFonts w:ascii="Times New Roman" w:hAnsi="Times New Roman"/>
          <w:b/>
          <w:noProof/>
          <w:sz w:val="24"/>
          <w:lang w:val="fr-BE"/>
        </w:rPr>
        <w:t xml:space="preserve">. </w:t>
      </w:r>
      <w:r>
        <w:rPr>
          <w:rFonts w:ascii="Times New Roman" w:hAnsi="Times New Roman"/>
          <w:noProof/>
          <w:sz w:val="24"/>
          <w:lang w:val="fr-BE"/>
        </w:rPr>
        <w:t>En moyenne à l’échelle de l’Union</w:t>
      </w:r>
      <w:r>
        <w:rPr>
          <w:rStyle w:val="FootnoteReference"/>
          <w:rFonts w:ascii="Times New Roman" w:hAnsi="Times New Roman"/>
          <w:noProof/>
          <w:sz w:val="24"/>
        </w:rPr>
        <w:footnoteReference w:id="19"/>
      </w:r>
      <w:r>
        <w:rPr>
          <w:rFonts w:ascii="Times New Roman" w:hAnsi="Times New Roman"/>
          <w:noProof/>
          <w:sz w:val="24"/>
          <w:lang w:val="fr-BE"/>
        </w:rPr>
        <w:t xml:space="preserve">, 13 indicateurs clés sur 14 ont enregistré une </w:t>
      </w:r>
      <w:r>
        <w:rPr>
          <w:rFonts w:ascii="Times New Roman" w:hAnsi="Times New Roman"/>
          <w:noProof/>
          <w:sz w:val="24"/>
          <w:lang w:val="fr-BE"/>
        </w:rPr>
        <w:t>amélioration par rapport à la dernière année disponible (2017 ou 2016 selon les données) et un seul (incidence des transferts sociaux sur la réduction de la pauvreté) a affiché une légère détérioration, qui correspond toutefois à une diminution de l’incide</w:t>
      </w:r>
      <w:r>
        <w:rPr>
          <w:rFonts w:ascii="Times New Roman" w:hAnsi="Times New Roman"/>
          <w:noProof/>
          <w:sz w:val="24"/>
          <w:lang w:val="fr-BE"/>
        </w:rPr>
        <w:t xml:space="preserve">nce des stabilisateurs automatiques en période de croissance économique. Les progrès les plus importants ont concerné les taux de chômage (global et de longue durée), qui ont baissé dans tous les États membres en 2017, une seule «situation critique» ayant </w:t>
      </w:r>
      <w:r>
        <w:rPr>
          <w:rFonts w:ascii="Times New Roman" w:hAnsi="Times New Roman"/>
          <w:noProof/>
          <w:sz w:val="24"/>
          <w:lang w:val="fr-BE"/>
        </w:rPr>
        <w:t>été relevée. L’évolution du taux d’emploi et du taux de risque de pauvreté ou d’exclusion sociale a également été globalement positive, puisque la grande majorité des États membres a enregistré une amélioration par rapport à l’année précédente.</w:t>
      </w:r>
    </w:p>
    <w:p w:rsidR="00723CC0" w:rsidRDefault="00242021">
      <w:p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b/>
          <w:noProof/>
          <w:sz w:val="24"/>
          <w:lang w:val="fr-BE"/>
        </w:rPr>
        <w:t xml:space="preserve">La plupart </w:t>
      </w:r>
      <w:r>
        <w:rPr>
          <w:rFonts w:ascii="Times New Roman" w:hAnsi="Times New Roman"/>
          <w:b/>
          <w:noProof/>
          <w:sz w:val="24"/>
          <w:lang w:val="fr-BE"/>
        </w:rPr>
        <w:t xml:space="preserve">des États membres ont des défis à relever pour au moins un indicateur clé, mais la somme des défis à relever a diminué par rapport à l’année dernière. </w:t>
      </w:r>
      <w:r>
        <w:rPr>
          <w:rFonts w:ascii="Times New Roman" w:hAnsi="Times New Roman"/>
          <w:noProof/>
          <w:sz w:val="24"/>
          <w:lang w:val="fr-BE"/>
        </w:rPr>
        <w:t xml:space="preserve">La plupart des États membres (à part l’Allemagne, la France, les Pays-Bas, la Finlande et la Suède) sont </w:t>
      </w:r>
      <w:r>
        <w:rPr>
          <w:rFonts w:ascii="Times New Roman" w:hAnsi="Times New Roman"/>
          <w:noProof/>
          <w:sz w:val="24"/>
          <w:lang w:val="fr-BE"/>
        </w:rPr>
        <w:t>épinglés au moins une fois dans les trois catégories les plus médiocres, à savoir «situations critiques», «à surveiller» et «faible, mais en voie d’amélioration». En ce qui concerne uniquement les «situations critiques» (dans lesquelles les indicateurs son</w:t>
      </w:r>
      <w:r>
        <w:rPr>
          <w:rFonts w:ascii="Times New Roman" w:hAnsi="Times New Roman"/>
          <w:noProof/>
          <w:sz w:val="24"/>
          <w:lang w:val="fr-BE"/>
        </w:rPr>
        <w:t>t bien en deçà de la moyenne et ne s’améliorent pas suffisamment vite ou continuent de se détériorer), le nombre d’États membres épinglés est passé de 14 dans le rapport conjoint sur l’emploi de 2018 (qui comptait moins d’indicateurs) à 13 dans le cadre du</w:t>
      </w:r>
      <w:r>
        <w:rPr>
          <w:rFonts w:ascii="Times New Roman" w:hAnsi="Times New Roman"/>
          <w:noProof/>
          <w:sz w:val="24"/>
          <w:lang w:val="fr-BE"/>
        </w:rPr>
        <w:t xml:space="preserve"> présent exercice (l’Estonie, Malte et le Portugal ont quitté cette catégorie, tandis que la Lettonie et la Hongrie l’ont rejointe). Le nombre de défis à relever décèle une amélioration globale de la situation. Dans les 14 domaines évalués, on compte au to</w:t>
      </w:r>
      <w:r>
        <w:rPr>
          <w:rFonts w:ascii="Times New Roman" w:hAnsi="Times New Roman"/>
          <w:noProof/>
          <w:sz w:val="24"/>
          <w:lang w:val="fr-BE"/>
        </w:rPr>
        <w:t>tal 117 cas classés dans les catégories «situations critiques», «à surveiller» ou «faible mais en voie d’amélioration», c’est-à-dire quelque 31 % du nombre total d’évaluations (contre 33 % dans le rapport conjoint sur l’emploi 2018); 39 de ces cas sont des</w:t>
      </w:r>
      <w:r>
        <w:rPr>
          <w:rFonts w:ascii="Times New Roman" w:hAnsi="Times New Roman"/>
          <w:noProof/>
          <w:sz w:val="24"/>
          <w:lang w:val="fr-BE"/>
        </w:rPr>
        <w:t xml:space="preserve"> «situations critiques», ce qui correspond à 10 % de l’ensemble des évaluations (contre 13 % dans le rapport conjoint sur l’emploi 2018)</w:t>
      </w:r>
      <w:r>
        <w:rPr>
          <w:rStyle w:val="FootnoteReference"/>
          <w:rFonts w:ascii="Times New Roman" w:hAnsi="Times New Roman"/>
          <w:noProof/>
          <w:sz w:val="24"/>
        </w:rPr>
        <w:footnoteReference w:id="20"/>
      </w:r>
      <w:r>
        <w:rPr>
          <w:rFonts w:ascii="Times New Roman" w:hAnsi="Times New Roman"/>
          <w:noProof/>
          <w:sz w:val="24"/>
          <w:lang w:val="fr-BE"/>
        </w:rPr>
        <w:t xml:space="preserve">. </w:t>
      </w:r>
    </w:p>
    <w:p w:rsidR="00723CC0" w:rsidRDefault="00242021">
      <w:p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En examinant les trois grandes dimensions relevant du tableau de bord, on remarque, comme dans le rapport conjoint s</w:t>
      </w:r>
      <w:r>
        <w:rPr>
          <w:rFonts w:ascii="Times New Roman" w:hAnsi="Times New Roman"/>
          <w:noProof/>
          <w:sz w:val="24"/>
          <w:lang w:val="fr-BE"/>
        </w:rPr>
        <w:t xml:space="preserve">ur l’emploi 2018, que les situations faisant problème apparaissent plus souvent dans le domaine </w:t>
      </w:r>
      <w:r>
        <w:rPr>
          <w:rFonts w:ascii="Times New Roman" w:hAnsi="Times New Roman"/>
          <w:b/>
          <w:noProof/>
          <w:sz w:val="24"/>
          <w:lang w:val="fr-BE"/>
        </w:rPr>
        <w:t>«soutien des pouvoirs publics/protection et inclusion sociales»</w:t>
      </w:r>
      <w:r>
        <w:rPr>
          <w:rFonts w:ascii="Times New Roman" w:hAnsi="Times New Roman"/>
          <w:noProof/>
          <w:sz w:val="24"/>
          <w:lang w:val="fr-BE"/>
        </w:rPr>
        <w:t>, avec une moyenne de 9,3 cas (dont 3,5 «situations critiques») par indicateur. L’indicateur de l</w:t>
      </w:r>
      <w:r>
        <w:rPr>
          <w:rFonts w:ascii="Times New Roman" w:hAnsi="Times New Roman"/>
          <w:noProof/>
          <w:sz w:val="24"/>
          <w:lang w:val="fr-BE"/>
        </w:rPr>
        <w:t>’</w:t>
      </w:r>
      <w:r>
        <w:rPr>
          <w:rFonts w:ascii="Times New Roman" w:hAnsi="Times New Roman"/>
          <w:b/>
          <w:noProof/>
          <w:sz w:val="24"/>
          <w:lang w:val="fr-BE"/>
        </w:rPr>
        <w:t>incidence des transferts sociaux sur la réduction de la pauvreté</w:t>
      </w:r>
      <w:r>
        <w:rPr>
          <w:rFonts w:ascii="Times New Roman" w:hAnsi="Times New Roman"/>
          <w:noProof/>
          <w:sz w:val="24"/>
          <w:lang w:val="fr-BE"/>
        </w:rPr>
        <w:t xml:space="preserve"> semble poser le plus de problèmes puisqu’il révèle des difficultés dans 11 États membres (5 se trouvant dans la catégorie la plus basse). </w:t>
      </w:r>
    </w:p>
    <w:p w:rsidR="00723CC0" w:rsidRDefault="00242021">
      <w:p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Suivent les dimensions «</w:t>
      </w:r>
      <w:r>
        <w:rPr>
          <w:rFonts w:ascii="Times New Roman" w:hAnsi="Times New Roman"/>
          <w:b/>
          <w:noProof/>
          <w:sz w:val="24"/>
          <w:lang w:val="fr-BE"/>
        </w:rPr>
        <w:t>égalité des chances et accè</w:t>
      </w:r>
      <w:r>
        <w:rPr>
          <w:rFonts w:ascii="Times New Roman" w:hAnsi="Times New Roman"/>
          <w:b/>
          <w:noProof/>
          <w:sz w:val="24"/>
          <w:lang w:val="fr-BE"/>
        </w:rPr>
        <w:t>s au marché du travail</w:t>
      </w:r>
      <w:r>
        <w:rPr>
          <w:rFonts w:ascii="Times New Roman" w:hAnsi="Times New Roman"/>
          <w:noProof/>
          <w:sz w:val="24"/>
          <w:lang w:val="fr-BE"/>
        </w:rPr>
        <w:t>» et «</w:t>
      </w:r>
      <w:r>
        <w:rPr>
          <w:rFonts w:ascii="Times New Roman" w:hAnsi="Times New Roman"/>
          <w:b/>
          <w:noProof/>
          <w:sz w:val="24"/>
          <w:lang w:val="fr-BE"/>
        </w:rPr>
        <w:t>marchés du travail dynamiques et conditions de travail équitables</w:t>
      </w:r>
      <w:r>
        <w:rPr>
          <w:rFonts w:ascii="Times New Roman" w:hAnsi="Times New Roman"/>
          <w:noProof/>
          <w:sz w:val="24"/>
          <w:lang w:val="fr-BE"/>
        </w:rPr>
        <w:t>», avec une moyenne respective de 8,6 et 7,4 cas posant des problèmes par indicateur (respectivement 3,2 et 1,8 «situations critiques»). Dans le premier domaine, c</w:t>
      </w:r>
      <w:r>
        <w:rPr>
          <w:rFonts w:ascii="Times New Roman" w:hAnsi="Times New Roman"/>
          <w:noProof/>
          <w:sz w:val="24"/>
          <w:lang w:val="fr-BE"/>
        </w:rPr>
        <w:t>’est l’indicateur «</w:t>
      </w:r>
      <w:r>
        <w:rPr>
          <w:rFonts w:ascii="Times New Roman" w:hAnsi="Times New Roman"/>
          <w:b/>
          <w:noProof/>
          <w:sz w:val="24"/>
          <w:lang w:val="fr-BE"/>
        </w:rPr>
        <w:t>jeunes ayant quitté prématurément l’éducation et la formation</w:t>
      </w:r>
      <w:r>
        <w:rPr>
          <w:rFonts w:ascii="Times New Roman" w:hAnsi="Times New Roman"/>
          <w:noProof/>
          <w:sz w:val="24"/>
          <w:lang w:val="fr-BE"/>
        </w:rPr>
        <w:t>» qui dévoile le plus de résultats insatisfaisants (10). Dans le second, la «</w:t>
      </w:r>
      <w:r>
        <w:rPr>
          <w:rFonts w:ascii="Times New Roman" w:hAnsi="Times New Roman"/>
          <w:b/>
          <w:noProof/>
          <w:sz w:val="24"/>
          <w:lang w:val="fr-BE"/>
        </w:rPr>
        <w:t>rémunération nette d’un travailleur à plein temps célibataire et sans enfant percevant un salaire m</w:t>
      </w:r>
      <w:r>
        <w:rPr>
          <w:rFonts w:ascii="Times New Roman" w:hAnsi="Times New Roman"/>
          <w:b/>
          <w:noProof/>
          <w:sz w:val="24"/>
          <w:lang w:val="fr-BE"/>
        </w:rPr>
        <w:t>oyen</w:t>
      </w:r>
      <w:r>
        <w:rPr>
          <w:rFonts w:ascii="Times New Roman" w:hAnsi="Times New Roman"/>
          <w:noProof/>
          <w:sz w:val="24"/>
          <w:lang w:val="fr-BE"/>
        </w:rPr>
        <w:t xml:space="preserve">» est l’indicateur qui fait problème dans le plus grand nombre d’États (12). </w:t>
      </w:r>
    </w:p>
    <w:p w:rsidR="00723CC0" w:rsidRDefault="00242021">
      <w:p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b/>
          <w:noProof/>
          <w:sz w:val="24"/>
          <w:lang w:val="fr-BE"/>
        </w:rPr>
        <w:t>Comme l’an dernier, la situation des États membres et la gravité de leurs défis respectifs varient considérablement.</w:t>
      </w:r>
      <w:r>
        <w:rPr>
          <w:rFonts w:ascii="Times New Roman" w:hAnsi="Times New Roman"/>
          <w:noProof/>
          <w:sz w:val="24"/>
          <w:lang w:val="fr-BE"/>
        </w:rPr>
        <w:t xml:space="preserve"> La Grèce, la Roumanie et l’Italie continuent de présenter</w:t>
      </w:r>
      <w:r>
        <w:rPr>
          <w:rFonts w:ascii="Times New Roman" w:hAnsi="Times New Roman"/>
          <w:noProof/>
          <w:sz w:val="24"/>
          <w:lang w:val="fr-BE"/>
        </w:rPr>
        <w:t xml:space="preserve"> des cas «critiques», «à surveiller» ou «faibles, mais en voie d’amélioration» pour dix indicateurs ou plus, des «situations critiques» étant constatées pour respectivement 7, 4 et 6 indicateurs (voir tableau 1). Pour ces pays, les situations à problème so</w:t>
      </w:r>
      <w:r>
        <w:rPr>
          <w:rFonts w:ascii="Times New Roman" w:hAnsi="Times New Roman"/>
          <w:noProof/>
          <w:sz w:val="24"/>
          <w:lang w:val="fr-BE"/>
        </w:rPr>
        <w:t>nt réparties de manière uniforme entre les trois domaines (la Grèce et l’Italie sont classées une fois dans la catégorie «mieux que la moyenne», respectivement pour le taux de jeunes ayant quitté prématurément l’éducation et la formation et pour les besoin</w:t>
      </w:r>
      <w:r>
        <w:rPr>
          <w:rFonts w:ascii="Times New Roman" w:hAnsi="Times New Roman"/>
          <w:noProof/>
          <w:sz w:val="24"/>
          <w:lang w:val="fr-BE"/>
        </w:rPr>
        <w:t>s en soins médicaux non satisfaits déclarés par l’intéressé, et la Roumanie y est mentionnée deux fois, pour le taux de chômage et pour la croissance du revenu disponible brut des ménages par habitant). Ces pays sont suivis, en nombre total de situations à</w:t>
      </w:r>
      <w:r>
        <w:rPr>
          <w:rFonts w:ascii="Times New Roman" w:hAnsi="Times New Roman"/>
          <w:noProof/>
          <w:sz w:val="24"/>
          <w:lang w:val="fr-BE"/>
        </w:rPr>
        <w:t xml:space="preserve"> améliorer, par la Croatie et l’Espagne (9 défis à relever chacune), la Bulgarie (8 défis), Chypre, la Lettonie et le Portugal (6 défis chacun). Inversement, les Pays-Bas sont classés «meilleurs éléments» ou «mieux que la moyenne» pour 11 indicateurs clés;</w:t>
      </w:r>
      <w:r>
        <w:rPr>
          <w:rFonts w:ascii="Times New Roman" w:hAnsi="Times New Roman"/>
          <w:noProof/>
          <w:sz w:val="24"/>
          <w:lang w:val="fr-BE"/>
        </w:rPr>
        <w:t xml:space="preserve"> ils sont suivis par la Tchéquie et la Suède (10 indicateurs chacune), l’Allemagne, l’Autriche et la Slovénie (8 indicateurs chacune). </w:t>
      </w:r>
    </w:p>
    <w:p w:rsidR="00723CC0" w:rsidRDefault="00242021">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lang w:val="fr-BE"/>
        </w:rPr>
        <w:t xml:space="preserve">En ce qui concerne </w:t>
      </w:r>
      <w:r>
        <w:rPr>
          <w:rFonts w:ascii="Times New Roman" w:hAnsi="Times New Roman"/>
          <w:b/>
          <w:noProof/>
          <w:sz w:val="24"/>
          <w:lang w:val="fr-BE"/>
        </w:rPr>
        <w:t>l’égalité des chances et l’accès au marché du travail</w:t>
      </w:r>
      <w:r>
        <w:rPr>
          <w:rFonts w:ascii="Times New Roman" w:hAnsi="Times New Roman"/>
          <w:noProof/>
          <w:sz w:val="24"/>
          <w:lang w:val="fr-BE"/>
        </w:rPr>
        <w:t>, les améliorations les plus nettes ont été enre</w:t>
      </w:r>
      <w:r>
        <w:rPr>
          <w:rFonts w:ascii="Times New Roman" w:hAnsi="Times New Roman"/>
          <w:noProof/>
          <w:sz w:val="24"/>
          <w:lang w:val="fr-BE"/>
        </w:rPr>
        <w:t>gistrées, en moyenne, pour les taux de risque de pauvreté ou d’exclusion sociale et les taux de jeunes sans emploi qui ne suivent ni études ni formation, tandis que les progrès ont été plus mitigés en ce qui concerne l’abandon scolaire, l’écart du taux d’e</w:t>
      </w:r>
      <w:r>
        <w:rPr>
          <w:rFonts w:ascii="Times New Roman" w:hAnsi="Times New Roman"/>
          <w:noProof/>
          <w:sz w:val="24"/>
          <w:lang w:val="fr-BE"/>
        </w:rPr>
        <w:t xml:space="preserve">mploi entre les hommes et les femmes et l’inégalité de revenus (toutefois, le dernier indicateur affiche une diminution pour la première fois depuis la fin de la crise). </w:t>
      </w:r>
      <w:r>
        <w:rPr>
          <w:rFonts w:ascii="Times New Roman" w:hAnsi="Times New Roman"/>
          <w:noProof/>
          <w:sz w:val="24"/>
        </w:rPr>
        <w:t>Examen par indicateur:</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l’Espagne, l’Italie et la Roumanie font face à une situation cr</w:t>
      </w:r>
      <w:r>
        <w:rPr>
          <w:rFonts w:ascii="Times New Roman" w:hAnsi="Times New Roman"/>
          <w:noProof/>
          <w:sz w:val="24"/>
          <w:lang w:val="fr-BE"/>
        </w:rPr>
        <w:t>itique en ce qui concerne les jeunes ayant quitté prématurément le système d’éducation et de formation, alors que la Croatie, l’Irlande, la Pologne et la Slovénie sont les meilleurs éléments dans ce domaine;</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 xml:space="preserve">la Grèce, l’Italie et la Roumanie sont dans une </w:t>
      </w:r>
      <w:r>
        <w:rPr>
          <w:rFonts w:ascii="Times New Roman" w:hAnsi="Times New Roman"/>
          <w:noProof/>
          <w:sz w:val="24"/>
          <w:lang w:val="fr-BE"/>
        </w:rPr>
        <w:t>situation critique en ce qui concerne l’écart du taux d’emploi entre les hommes et les femmes, alors que la Finlande, la Lituanie et la Suède sont les meilleurs éléments dans ce domaine;</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la Bulgarie, l’Espagne, la Lettonie et la Lituanie font face à une si</w:t>
      </w:r>
      <w:r>
        <w:rPr>
          <w:rFonts w:ascii="Times New Roman" w:hAnsi="Times New Roman"/>
          <w:noProof/>
          <w:sz w:val="24"/>
          <w:lang w:val="fr-BE"/>
        </w:rPr>
        <w:t xml:space="preserve">tuation critique du point de vue de l’inégalité des revenus, tandis que la Tchéquie, la Finlande, la Slovénie et la Slovaquie obtiennent les meilleurs résultats dans ce domaine; </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 xml:space="preserve">la situation en ce qui concerne le risque de pauvreté ou d’exclusion sociale </w:t>
      </w:r>
      <w:r>
        <w:rPr>
          <w:rFonts w:ascii="Times New Roman" w:hAnsi="Times New Roman"/>
          <w:noProof/>
          <w:sz w:val="24"/>
          <w:lang w:val="fr-BE"/>
        </w:rPr>
        <w:t xml:space="preserve">est critique en Bulgarie et en Grèce, alors que la Tchéquie et la Finlande sont les meilleurs éléments; </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Chypre, la Croatie, la Grèce et l’Italie sont confrontées à une situation critique en ce qui concerne les NEET, alors que l’Autriche, la Tchéquie, l’Al</w:t>
      </w:r>
      <w:r>
        <w:rPr>
          <w:rFonts w:ascii="Times New Roman" w:hAnsi="Times New Roman"/>
          <w:noProof/>
          <w:sz w:val="24"/>
          <w:lang w:val="fr-BE"/>
        </w:rPr>
        <w:t>lemagne, les Pays-Bas, la Slovénie et la Suède obtiennent les meilleurs résultats.</w:t>
      </w:r>
    </w:p>
    <w:p w:rsidR="00723CC0" w:rsidRDefault="00242021">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lang w:val="fr-BE"/>
        </w:rPr>
        <w:t xml:space="preserve">En ce qui concerne les </w:t>
      </w:r>
      <w:r>
        <w:rPr>
          <w:rFonts w:ascii="Times New Roman" w:hAnsi="Times New Roman"/>
          <w:b/>
          <w:noProof/>
          <w:sz w:val="24"/>
          <w:lang w:val="fr-BE"/>
        </w:rPr>
        <w:t>marchés du travail dynamiques et conditions de travail équitables dans l’Union européenne</w:t>
      </w:r>
      <w:r>
        <w:rPr>
          <w:rFonts w:ascii="Times New Roman" w:hAnsi="Times New Roman"/>
          <w:noProof/>
          <w:sz w:val="24"/>
          <w:lang w:val="fr-BE"/>
        </w:rPr>
        <w:t>, en moyenne, la situation s’est améliorée au cours de l’anné</w:t>
      </w:r>
      <w:r>
        <w:rPr>
          <w:rFonts w:ascii="Times New Roman" w:hAnsi="Times New Roman"/>
          <w:noProof/>
          <w:sz w:val="24"/>
          <w:lang w:val="fr-BE"/>
        </w:rPr>
        <w:t>e écoulée pour l’ensemble des indicateurs, notamment pour les taux d’emploi et de chômage (globaux et de longue durée), le revenu disponible brut des ménages (RDBM) par habitant et la rémunération nette d’un travailleur à plein temps célibataire et sans en</w:t>
      </w:r>
      <w:r>
        <w:rPr>
          <w:rFonts w:ascii="Times New Roman" w:hAnsi="Times New Roman"/>
          <w:noProof/>
          <w:sz w:val="24"/>
          <w:lang w:val="fr-BE"/>
        </w:rPr>
        <w:t xml:space="preserve">fant percevant un salaire moyen. </w:t>
      </w:r>
      <w:r>
        <w:rPr>
          <w:rFonts w:ascii="Times New Roman" w:hAnsi="Times New Roman"/>
          <w:noProof/>
          <w:sz w:val="24"/>
        </w:rPr>
        <w:t>Examen par indicateur:</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la Croatie, la Grèce l’Italie et l’Espagne sont toujours confrontées à une situation critique en ce qui concerne leur taux d’emploi, alors que la Tchéquie, l’Estonie, l’Allemagne, les Pays-Bas, la Suè</w:t>
      </w:r>
      <w:r>
        <w:rPr>
          <w:rFonts w:ascii="Times New Roman" w:hAnsi="Times New Roman"/>
          <w:noProof/>
          <w:sz w:val="24"/>
          <w:lang w:val="fr-BE"/>
        </w:rPr>
        <w:t>de et le Royaume-Uni sont les meilleurs éléments;</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aucun pays n’est en situation critique pour le taux de chômage (Chypre, la Croatie, la Grèce et l’Espagne ont un résultat «faible, mais en voie d’amélioration», tandis que l’Italie est «à surveiller»); la T</w:t>
      </w:r>
      <w:r>
        <w:rPr>
          <w:rFonts w:ascii="Times New Roman" w:hAnsi="Times New Roman"/>
          <w:noProof/>
          <w:sz w:val="24"/>
          <w:lang w:val="fr-BE"/>
        </w:rPr>
        <w:t>chéquie est le meilleur élément;</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 xml:space="preserve">l’Italie fait face à une situation critique en ce qui concerne le taux de chômage de longue durée (aucun pays n’a été classé, suivant la méthode, dans la catégorie des «meilleurs éléments», mais 14 pays sont classés «mieux </w:t>
      </w:r>
      <w:r>
        <w:rPr>
          <w:rFonts w:ascii="Times New Roman" w:hAnsi="Times New Roman"/>
          <w:noProof/>
          <w:sz w:val="24"/>
          <w:lang w:val="fr-BE"/>
        </w:rPr>
        <w:t xml:space="preserve">que la moyenne»); </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 xml:space="preserve">la croissance du RDBM par habitant est considérée comme une situation critique en Grèce et à Chypre, alors que les meilleurs résultats en la matière sont obtenus en Bulgarie et en Pologne; </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la situation en matière de rémunération nette d</w:t>
      </w:r>
      <w:r>
        <w:rPr>
          <w:rFonts w:ascii="Times New Roman" w:hAnsi="Times New Roman"/>
          <w:noProof/>
          <w:sz w:val="24"/>
          <w:lang w:val="fr-BE"/>
        </w:rPr>
        <w:t>’un travailleur à plein temps célibataire et sans enfant percevant un salaire moyen est jugée critique en Hongrie et en Slovaquie, tandis que l’Autriche, l’Allemagne, le Luxembourg, les Pays-Bas et le Royaume-Uni sont les «meilleurs éléments» en la matière</w:t>
      </w:r>
      <w:r>
        <w:rPr>
          <w:rFonts w:ascii="Times New Roman" w:hAnsi="Times New Roman"/>
          <w:noProof/>
          <w:sz w:val="24"/>
          <w:lang w:val="fr-BE"/>
        </w:rPr>
        <w:t>.</w:t>
      </w:r>
    </w:p>
    <w:p w:rsidR="00723CC0" w:rsidRDefault="00242021">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lang w:val="fr-BE"/>
        </w:rPr>
        <w:t xml:space="preserve">En ce qui concerne </w:t>
      </w:r>
      <w:r>
        <w:rPr>
          <w:rFonts w:ascii="Times New Roman" w:hAnsi="Times New Roman"/>
          <w:b/>
          <w:noProof/>
          <w:sz w:val="24"/>
          <w:lang w:val="fr-BE"/>
        </w:rPr>
        <w:t>le soutien des pouvoirs publics/la protection et l’inclusion sociales</w:t>
      </w:r>
      <w:r>
        <w:rPr>
          <w:rFonts w:ascii="Times New Roman" w:hAnsi="Times New Roman"/>
          <w:noProof/>
          <w:sz w:val="24"/>
          <w:lang w:val="fr-BE"/>
        </w:rPr>
        <w:t>, la situation s’est améliorée au cours de l’année écoulée du point de vue de la disponibilité des services d’accueil des enfants, des besoins en soins médicaux non satisfaits déclarés par l’intéressé et des compétences numériques, mais elle s’est détérior</w:t>
      </w:r>
      <w:r>
        <w:rPr>
          <w:rFonts w:ascii="Times New Roman" w:hAnsi="Times New Roman"/>
          <w:noProof/>
          <w:sz w:val="24"/>
          <w:lang w:val="fr-BE"/>
        </w:rPr>
        <w:t xml:space="preserve">ée du point de vue de l’incidence des transferts sociaux sur la réduction de la pauvreté, comme cela a été mentionné ci-dessus. </w:t>
      </w:r>
      <w:r>
        <w:rPr>
          <w:rFonts w:ascii="Times New Roman" w:hAnsi="Times New Roman"/>
          <w:noProof/>
          <w:sz w:val="24"/>
        </w:rPr>
        <w:t>Examen par indicateur:</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la Bulgarie, la Grèce, l’Italie, la Lettonie et la Roumanie sont confrontées à une situation critique qua</w:t>
      </w:r>
      <w:r>
        <w:rPr>
          <w:rFonts w:ascii="Times New Roman" w:hAnsi="Times New Roman"/>
          <w:noProof/>
          <w:sz w:val="24"/>
          <w:lang w:val="fr-BE"/>
        </w:rPr>
        <w:t xml:space="preserve">nt à la capacité de leurs transferts sociaux de réduire le risque de pauvreté. À l’inverse, le Danemark, la Finlande, la Hongrie et la Suède sont les meilleurs éléments; </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la Bulgarie, la Tchéquie, la Grèce, la Pologne et la Slovaquie sont en situation crit</w:t>
      </w:r>
      <w:r>
        <w:rPr>
          <w:rFonts w:ascii="Times New Roman" w:hAnsi="Times New Roman"/>
          <w:noProof/>
          <w:sz w:val="24"/>
          <w:lang w:val="fr-BE"/>
        </w:rPr>
        <w:t>ique en ce qui concerne la proportion d’enfants âgés de moins de trois ans dans des structures d’accueil formelles, alors que la France, le Luxembourg, les Pays-Bas et le Portugal sont les meilleurs éléments en la matière;</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la Lettonie est classée en «situa</w:t>
      </w:r>
      <w:r>
        <w:rPr>
          <w:rFonts w:ascii="Times New Roman" w:hAnsi="Times New Roman"/>
          <w:noProof/>
          <w:sz w:val="24"/>
          <w:lang w:val="fr-BE"/>
        </w:rPr>
        <w:t>tion critique» pour les besoins en soins médicaux non satisfaits déclarés par l’intéressé (aucun pays n’a été classé, suivant la méthode, dans la catégorie des «meilleurs éléments», mais 12 pays sont classés «mieux que la moyenne»);</w:t>
      </w:r>
    </w:p>
    <w:p w:rsidR="00723CC0" w:rsidRDefault="00242021">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lang w:val="fr-BE"/>
        </w:rPr>
      </w:pPr>
      <w:r>
        <w:rPr>
          <w:rFonts w:ascii="Times New Roman" w:hAnsi="Times New Roman"/>
          <w:noProof/>
          <w:sz w:val="24"/>
          <w:lang w:val="fr-BE"/>
        </w:rPr>
        <w:t>la Bulgarie, la Croatie</w:t>
      </w:r>
      <w:r>
        <w:rPr>
          <w:rFonts w:ascii="Times New Roman" w:hAnsi="Times New Roman"/>
          <w:noProof/>
          <w:sz w:val="24"/>
          <w:lang w:val="fr-BE"/>
        </w:rPr>
        <w:t xml:space="preserve"> et la Roumanie font face à une situation critique en ce qui concerne les niveaux de compétences numériques, tandis que la Finlande, le Luxembourg, les Pays-Bas et la Suède obtiennent les meilleurs résultats.</w:t>
      </w:r>
    </w:p>
    <w:p w:rsidR="00723CC0" w:rsidRDefault="00723CC0">
      <w:pPr>
        <w:autoSpaceDE w:val="0"/>
        <w:autoSpaceDN w:val="0"/>
        <w:adjustRightInd w:val="0"/>
        <w:spacing w:line="240" w:lineRule="auto"/>
        <w:jc w:val="both"/>
        <w:rPr>
          <w:rFonts w:ascii="Times New Roman" w:eastAsia="MS Mincho" w:hAnsi="Times New Roman" w:cs="Times New Roman"/>
          <w:noProof/>
          <w:sz w:val="24"/>
          <w:szCs w:val="24"/>
          <w:lang w:val="fr-BE"/>
        </w:rPr>
      </w:pPr>
    </w:p>
    <w:p w:rsidR="00723CC0" w:rsidRDefault="00723CC0">
      <w:pPr>
        <w:autoSpaceDE w:val="0"/>
        <w:autoSpaceDN w:val="0"/>
        <w:adjustRightInd w:val="0"/>
        <w:spacing w:line="240" w:lineRule="auto"/>
        <w:jc w:val="both"/>
        <w:rPr>
          <w:rFonts w:ascii="Times New Roman" w:eastAsia="MS Mincho" w:hAnsi="Times New Roman" w:cs="Times New Roman"/>
          <w:noProof/>
          <w:sz w:val="24"/>
          <w:szCs w:val="24"/>
          <w:lang w:val="fr-BE"/>
        </w:rPr>
      </w:pPr>
    </w:p>
    <w:p w:rsidR="00723CC0" w:rsidRDefault="00723CC0">
      <w:pPr>
        <w:autoSpaceDE w:val="0"/>
        <w:autoSpaceDN w:val="0"/>
        <w:adjustRightInd w:val="0"/>
        <w:spacing w:line="240" w:lineRule="auto"/>
        <w:jc w:val="both"/>
        <w:rPr>
          <w:rFonts w:ascii="Times New Roman" w:eastAsia="MS Mincho" w:hAnsi="Times New Roman" w:cs="Times New Roman"/>
          <w:noProof/>
          <w:sz w:val="24"/>
          <w:szCs w:val="24"/>
          <w:lang w:val="fr-BE"/>
        </w:rPr>
        <w:sectPr w:rsidR="00723CC0">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20"/>
          <w:docGrid w:linePitch="360"/>
        </w:sectPr>
      </w:pPr>
    </w:p>
    <w:p w:rsidR="00723CC0" w:rsidRDefault="00242021">
      <w:pPr>
        <w:autoSpaceDE w:val="0"/>
        <w:autoSpaceDN w:val="0"/>
        <w:adjustRightInd w:val="0"/>
        <w:spacing w:line="240" w:lineRule="auto"/>
        <w:jc w:val="both"/>
        <w:rPr>
          <w:rFonts w:ascii="Times New Roman" w:hAnsi="Times New Roman" w:cs="Times New Roman"/>
          <w:b/>
          <w:bCs/>
          <w:noProof/>
          <w:sz w:val="24"/>
          <w:szCs w:val="24"/>
          <w:lang w:val="fr-BE"/>
        </w:rPr>
      </w:pPr>
      <w:r>
        <w:rPr>
          <w:rFonts w:ascii="Times New Roman" w:hAnsi="Times New Roman"/>
          <w:b/>
          <w:noProof/>
          <w:sz w:val="24"/>
          <w:lang w:val="fr-BE"/>
        </w:rPr>
        <w:t xml:space="preserve">Tableau </w:t>
      </w:r>
      <w:r>
        <w:rPr>
          <w:rFonts w:ascii="Times New Roman" w:hAnsi="Times New Roman" w:cs="Times New Roman"/>
          <w:b/>
          <w:bCs/>
          <w:noProof/>
          <w:sz w:val="24"/>
          <w:szCs w:val="24"/>
        </w:rPr>
        <w:fldChar w:fldCharType="begin" w:fldLock="1"/>
      </w:r>
      <w:r>
        <w:rPr>
          <w:rFonts w:ascii="Times New Roman" w:hAnsi="Times New Roman" w:cs="Times New Roman"/>
          <w:b/>
          <w:bCs/>
          <w:noProof/>
          <w:sz w:val="24"/>
          <w:szCs w:val="24"/>
          <w:lang w:val="fr-BE"/>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lang w:val="fr-BE"/>
        </w:rPr>
        <w:t>1</w:t>
      </w:r>
      <w:r>
        <w:rPr>
          <w:rFonts w:ascii="Times New Roman" w:hAnsi="Times New Roman" w:cs="Times New Roman"/>
          <w:b/>
          <w:bCs/>
          <w:noProof/>
          <w:sz w:val="24"/>
          <w:szCs w:val="24"/>
        </w:rPr>
        <w:fldChar w:fldCharType="end"/>
      </w:r>
      <w:r>
        <w:rPr>
          <w:rFonts w:ascii="Times New Roman" w:hAnsi="Times New Roman"/>
          <w:b/>
          <w:noProof/>
          <w:sz w:val="24"/>
          <w:lang w:val="fr-BE"/>
        </w:rPr>
        <w:t>.</w:t>
      </w:r>
      <w:r>
        <w:rPr>
          <w:rFonts w:ascii="Times New Roman" w:hAnsi="Times New Roman"/>
          <w:noProof/>
          <w:sz w:val="24"/>
          <w:lang w:val="fr-BE"/>
        </w:rPr>
        <w:t xml:space="preserve"> </w:t>
      </w:r>
      <w:r>
        <w:rPr>
          <w:rFonts w:ascii="Times New Roman" w:hAnsi="Times New Roman"/>
          <w:b/>
          <w:noProof/>
          <w:sz w:val="24"/>
          <w:lang w:val="fr-BE"/>
        </w:rPr>
        <w:t xml:space="preserve">Résumé des indicateurs clés du tableau de bord social </w:t>
      </w:r>
    </w:p>
    <w:p w:rsidR="00723CC0" w:rsidRDefault="00242021">
      <w:pPr>
        <w:autoSpaceDE w:val="0"/>
        <w:autoSpaceDN w:val="0"/>
        <w:adjustRightInd w:val="0"/>
        <w:spacing w:after="0" w:line="240" w:lineRule="auto"/>
        <w:jc w:val="both"/>
        <w:rPr>
          <w:rFonts w:ascii="Times New Roman" w:hAnsi="Times New Roman" w:cs="Times New Roman"/>
          <w:b/>
          <w:bCs/>
          <w:noProof/>
          <w:sz w:val="24"/>
          <w:szCs w:val="24"/>
        </w:rPr>
      </w:pPr>
      <w:r>
        <w:rPr>
          <w:noProof/>
          <w:lang w:val="en-GB" w:eastAsia="en-GB" w:bidi="ar-SA"/>
        </w:rPr>
        <w:drawing>
          <wp:inline distT="0" distB="0" distL="0" distR="0">
            <wp:extent cx="8892540" cy="3521301"/>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8892540" cy="3521301"/>
                    </a:xfrm>
                    <a:prstGeom prst="rect">
                      <a:avLst/>
                    </a:prstGeom>
                    <a:noFill/>
                    <a:ln>
                      <a:noFill/>
                    </a:ln>
                  </pic:spPr>
                </pic:pic>
              </a:graphicData>
            </a:graphic>
          </wp:inline>
        </w:drawing>
      </w:r>
    </w:p>
    <w:p w:rsidR="00723CC0" w:rsidRDefault="00723CC0">
      <w:pPr>
        <w:autoSpaceDE w:val="0"/>
        <w:autoSpaceDN w:val="0"/>
        <w:adjustRightInd w:val="0"/>
        <w:spacing w:after="0" w:line="240" w:lineRule="auto"/>
        <w:jc w:val="both"/>
        <w:rPr>
          <w:rFonts w:ascii="Times New Roman" w:hAnsi="Times New Roman" w:cs="Times New Roman"/>
          <w:b/>
          <w:bCs/>
          <w:noProof/>
          <w:sz w:val="24"/>
          <w:szCs w:val="24"/>
        </w:rPr>
      </w:pPr>
    </w:p>
    <w:p w:rsidR="00723CC0" w:rsidRDefault="00242021">
      <w:pPr>
        <w:spacing w:after="240"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Remarque: au 26 octobre 2018: le rapport interquintile de revenu, le taux de risque de pauvreté ou d’exclusion sociale (AROPE), l’incidence </w:t>
      </w:r>
      <w:r>
        <w:rPr>
          <w:rFonts w:ascii="Times New Roman" w:hAnsi="Times New Roman"/>
          <w:noProof/>
          <w:sz w:val="20"/>
          <w:lang w:val="fr-BE"/>
        </w:rPr>
        <w:t>des transferts sociaux sur la réduction de la pauvreté et les besoins en soins médicaux déclarés par l’intéressé n’étaient pas disponibles pour l’Irlande et le Royaume-Uni; les chiffres de la croissance du RDBM par habitant n’étaient pas disponibles pour l</w:t>
      </w:r>
      <w:r>
        <w:rPr>
          <w:rFonts w:ascii="Times New Roman" w:hAnsi="Times New Roman"/>
          <w:noProof/>
          <w:sz w:val="20"/>
          <w:lang w:val="fr-BE"/>
        </w:rPr>
        <w:t>a Croatie et Malte; la rémunération nette d’un travailleur à plein temps célibataire et sans enfant percevant un salaire moyen n’était pas disponible pour Chypre; le niveau de compétences numériques des personnes n’était pas disponible pour l’Italie. Les r</w:t>
      </w:r>
      <w:r>
        <w:rPr>
          <w:rFonts w:ascii="Times New Roman" w:hAnsi="Times New Roman"/>
          <w:noProof/>
          <w:sz w:val="20"/>
          <w:lang w:val="fr-BE"/>
        </w:rPr>
        <w:t>uptures de séries et autres mises en évidence statistiques sont mentionnées aux annexes 1 et 2.</w:t>
      </w:r>
    </w:p>
    <w:p w:rsidR="00723CC0" w:rsidRDefault="00723CC0">
      <w:pPr>
        <w:rPr>
          <w:noProof/>
          <w:lang w:val="fr-BE"/>
        </w:rPr>
        <w:sectPr w:rsidR="00723CC0">
          <w:headerReference w:type="even" r:id="rId25"/>
          <w:headerReference w:type="default" r:id="rId26"/>
          <w:footerReference w:type="even" r:id="rId27"/>
          <w:footerReference w:type="default" r:id="rId28"/>
          <w:headerReference w:type="first" r:id="rId29"/>
          <w:footerReference w:type="first" r:id="rId30"/>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88"/>
      </w:tblGrid>
      <w:tr w:rsidR="00723CC0">
        <w:tc>
          <w:tcPr>
            <w:tcW w:w="9288" w:type="dxa"/>
          </w:tcPr>
          <w:p w:rsidR="00723CC0" w:rsidRDefault="00242021">
            <w:pPr>
              <w:spacing w:after="120"/>
              <w:jc w:val="both"/>
              <w:rPr>
                <w:rFonts w:ascii="Times New Roman" w:hAnsi="Times New Roman" w:cs="Times New Roman"/>
                <w:b/>
                <w:i/>
                <w:noProof/>
                <w:sz w:val="24"/>
                <w:szCs w:val="24"/>
                <w:lang w:val="fr-BE"/>
              </w:rPr>
            </w:pPr>
            <w:r>
              <w:rPr>
                <w:rFonts w:ascii="Times New Roman" w:hAnsi="Times New Roman"/>
                <w:b/>
                <w:i/>
                <w:noProof/>
                <w:sz w:val="24"/>
                <w:lang w:val="fr-BE"/>
              </w:rPr>
              <w:t xml:space="preserve">Encadré 1. Définition des références — état des lieux </w:t>
            </w:r>
          </w:p>
          <w:p w:rsidR="00723CC0" w:rsidRDefault="00242021">
            <w:pPr>
              <w:spacing w:after="120"/>
              <w:jc w:val="both"/>
              <w:rPr>
                <w:rFonts w:ascii="Times New Roman" w:hAnsi="Times New Roman" w:cs="Times New Roman"/>
                <w:noProof/>
                <w:sz w:val="24"/>
                <w:szCs w:val="24"/>
                <w:lang w:val="fr-BE"/>
              </w:rPr>
            </w:pPr>
            <w:r>
              <w:rPr>
                <w:rFonts w:ascii="Times New Roman" w:hAnsi="Times New Roman"/>
                <w:noProof/>
                <w:sz w:val="24"/>
                <w:lang w:val="fr-BE"/>
              </w:rPr>
              <w:t>L’importance des évaluations comparatives en</w:t>
            </w:r>
            <w:r>
              <w:rPr>
                <w:rFonts w:ascii="Times New Roman" w:hAnsi="Times New Roman"/>
                <w:noProof/>
                <w:sz w:val="24"/>
                <w:lang w:val="fr-BE"/>
              </w:rPr>
              <w:t xml:space="preserve"> tant qu’instrument destiné à soutenir les réformes structurelles et favoriser le nivellement par le haut dans le domaine social et de l’emploi a été reconnue dans le rapport des cinq présidents de juin 2015</w:t>
            </w:r>
            <w:r>
              <w:rPr>
                <w:rStyle w:val="FootnoteReference"/>
                <w:rFonts w:ascii="Times New Roman" w:hAnsi="Times New Roman"/>
                <w:noProof/>
                <w:sz w:val="24"/>
              </w:rPr>
              <w:footnoteReference w:id="21"/>
            </w:r>
            <w:r>
              <w:rPr>
                <w:rFonts w:ascii="Times New Roman" w:hAnsi="Times New Roman"/>
                <w:noProof/>
                <w:sz w:val="24"/>
                <w:lang w:val="fr-BE"/>
              </w:rPr>
              <w:t xml:space="preserve">, et de nouveau soulignée dans le document de </w:t>
            </w:r>
            <w:r>
              <w:rPr>
                <w:rFonts w:ascii="Times New Roman" w:hAnsi="Times New Roman"/>
                <w:noProof/>
                <w:sz w:val="24"/>
                <w:lang w:val="fr-BE"/>
              </w:rPr>
              <w:t>réflexion sur l’approfondissement de l’UEM de mai 2017</w:t>
            </w:r>
            <w:r>
              <w:rPr>
                <w:rStyle w:val="FootnoteReference"/>
                <w:rFonts w:ascii="Times New Roman" w:hAnsi="Times New Roman"/>
                <w:noProof/>
                <w:sz w:val="24"/>
              </w:rPr>
              <w:footnoteReference w:id="22"/>
            </w:r>
            <w:r>
              <w:rPr>
                <w:rFonts w:ascii="Times New Roman" w:hAnsi="Times New Roman"/>
                <w:noProof/>
                <w:sz w:val="24"/>
                <w:lang w:val="fr-BE"/>
              </w:rPr>
              <w:t>. La communication du 26 avril 2017 sur la mise en place d’un socle européen des droits sociaux</w:t>
            </w:r>
            <w:r>
              <w:rPr>
                <w:rStyle w:val="FootnoteReference"/>
                <w:rFonts w:ascii="Times New Roman" w:hAnsi="Times New Roman"/>
                <w:noProof/>
                <w:sz w:val="24"/>
              </w:rPr>
              <w:footnoteReference w:id="23"/>
            </w:r>
            <w:r>
              <w:rPr>
                <w:rFonts w:ascii="Times New Roman" w:hAnsi="Times New Roman"/>
                <w:noProof/>
                <w:sz w:val="24"/>
                <w:lang w:val="fr-BE"/>
              </w:rPr>
              <w:t xml:space="preserve"> considérait l’évaluation comparative comme un moyen essentiel de soutenir la mise en œuvre du socle dans</w:t>
            </w:r>
            <w:r>
              <w:rPr>
                <w:rFonts w:ascii="Times New Roman" w:hAnsi="Times New Roman"/>
                <w:noProof/>
                <w:sz w:val="24"/>
                <w:lang w:val="fr-BE"/>
              </w:rPr>
              <w:t xml:space="preserve"> le cadre du Semestre européen. Depuis lors, des exercices d’évaluation fondés sur des critères de référence ont vu le jour dans divers domaines et ont fait l’objet de discussions avec les États Membres. </w:t>
            </w:r>
          </w:p>
          <w:p w:rsidR="00723CC0" w:rsidRDefault="00242021">
            <w:pPr>
              <w:spacing w:after="120"/>
              <w:jc w:val="both"/>
              <w:rPr>
                <w:rFonts w:ascii="Times New Roman" w:hAnsi="Times New Roman" w:cs="Times New Roman"/>
                <w:noProof/>
                <w:sz w:val="24"/>
                <w:szCs w:val="24"/>
                <w:lang w:val="fr-BE"/>
              </w:rPr>
            </w:pPr>
            <w:r>
              <w:rPr>
                <w:rFonts w:ascii="Times New Roman" w:hAnsi="Times New Roman"/>
                <w:noProof/>
                <w:sz w:val="24"/>
                <w:lang w:val="fr-BE"/>
              </w:rPr>
              <w:t xml:space="preserve">En particulier, le comité de l’emploi et le comité </w:t>
            </w:r>
            <w:r>
              <w:rPr>
                <w:rFonts w:ascii="Times New Roman" w:hAnsi="Times New Roman"/>
                <w:noProof/>
                <w:sz w:val="24"/>
                <w:lang w:val="fr-BE"/>
              </w:rPr>
              <w:t>de la protection sociale se sont mis d’accord sur une méthode commune en trois étapes: 1) définir les principaux défis et établir une série d’indicateurs de résultat de haut niveau applicables au domaine d’action considéré; 2) indicateurs de performance pe</w:t>
            </w:r>
            <w:r>
              <w:rPr>
                <w:rFonts w:ascii="Times New Roman" w:hAnsi="Times New Roman"/>
                <w:noProof/>
                <w:sz w:val="24"/>
                <w:lang w:val="fr-BE"/>
              </w:rPr>
              <w:t>rmettant de comparer les performances; 3) déterminer des leviers stratégiques, qui sont accompagnés de principes généraux d’orientation politique et, le cas échéant, d’indicateurs spécifiques. À ce stade, les valeurs de référence des leviers stratégiques n</w:t>
            </w:r>
            <w:r>
              <w:rPr>
                <w:rFonts w:ascii="Times New Roman" w:hAnsi="Times New Roman"/>
                <w:noProof/>
                <w:sz w:val="24"/>
                <w:lang w:val="fr-BE"/>
              </w:rPr>
              <w:t xml:space="preserve">e sont pas fixées, dans la mesure où l’objectif est de permettre des comparaisons entre les États membres. </w:t>
            </w:r>
          </w:p>
          <w:p w:rsidR="00723CC0" w:rsidRDefault="00242021">
            <w:pPr>
              <w:spacing w:after="120"/>
              <w:jc w:val="both"/>
              <w:rPr>
                <w:rFonts w:ascii="Times New Roman" w:hAnsi="Times New Roman" w:cs="Times New Roman"/>
                <w:noProof/>
                <w:sz w:val="24"/>
                <w:szCs w:val="24"/>
                <w:lang w:val="fr-BE"/>
              </w:rPr>
            </w:pPr>
            <w:r>
              <w:rPr>
                <w:rFonts w:ascii="Times New Roman" w:hAnsi="Times New Roman"/>
                <w:noProof/>
                <w:sz w:val="24"/>
                <w:lang w:val="fr-BE"/>
              </w:rPr>
              <w:t xml:space="preserve">Le cadre d’évaluation comparative sur les prestations de chômage et les politiques actives du marché du travail a été utilisé pour la première fois </w:t>
            </w:r>
            <w:r>
              <w:rPr>
                <w:rFonts w:ascii="Times New Roman" w:hAnsi="Times New Roman"/>
                <w:noProof/>
                <w:sz w:val="24"/>
                <w:lang w:val="fr-BE"/>
              </w:rPr>
              <w:t>dans le cadre du Semestre européen 2018. Dans ce contexte, une analyse comparative des caractéristiques de conception spécifiques et des performances des systèmes de prestations de chômage, notamment en ce qui concerne les questions d’admissibilité et d’ad</w:t>
            </w:r>
            <w:r>
              <w:rPr>
                <w:rFonts w:ascii="Times New Roman" w:hAnsi="Times New Roman"/>
                <w:noProof/>
                <w:sz w:val="24"/>
                <w:lang w:val="fr-BE"/>
              </w:rPr>
              <w:t xml:space="preserve">équation, a été incluse dans le rapport conjoint sur l’emploi 2018 et dans les rapports par pays. À la suite de leur approbation par le Comité de l’emploi, des éléments du cadre liés à la composante d’activation des systèmes de prestations de chômage (par </w:t>
            </w:r>
            <w:r>
              <w:rPr>
                <w:rFonts w:ascii="Times New Roman" w:hAnsi="Times New Roman"/>
                <w:noProof/>
                <w:sz w:val="24"/>
                <w:lang w:val="fr-BE"/>
              </w:rPr>
              <w:t>exemple, les conditions de disponibilité pour le travail liées à l’octroi des prestations de chômage) et aux services du marché du travail destinés à aider les demandeurs d’emploi relèvent désormais du Semestre européen 2019 et sont exposés dans le présent</w:t>
            </w:r>
            <w:r>
              <w:rPr>
                <w:rFonts w:ascii="Times New Roman" w:hAnsi="Times New Roman"/>
                <w:noProof/>
                <w:sz w:val="24"/>
                <w:lang w:val="fr-BE"/>
              </w:rPr>
              <w:t xml:space="preserve"> rapport. </w:t>
            </w:r>
          </w:p>
          <w:p w:rsidR="00723CC0" w:rsidRDefault="00242021">
            <w:pPr>
              <w:spacing w:after="120"/>
              <w:jc w:val="both"/>
              <w:rPr>
                <w:rFonts w:eastAsia="Arial"/>
                <w:noProof/>
                <w:szCs w:val="24"/>
                <w:lang w:val="fr-BE"/>
              </w:rPr>
            </w:pPr>
            <w:r>
              <w:rPr>
                <w:rFonts w:ascii="Times New Roman" w:hAnsi="Times New Roman"/>
                <w:noProof/>
                <w:sz w:val="24"/>
                <w:lang w:val="fr-BE"/>
              </w:rPr>
              <w:t>Après approbation par le Comité de la protection sociale, le Semestre européen 2019 veille également à l’intégration complète du cadre d’évaluation comparative des prestations de revenu minimum, englobant à la fois l’adéquation, le champ d’appli</w:t>
            </w:r>
            <w:r>
              <w:rPr>
                <w:rFonts w:ascii="Times New Roman" w:hAnsi="Times New Roman"/>
                <w:noProof/>
                <w:sz w:val="24"/>
                <w:lang w:val="fr-BE"/>
              </w:rPr>
              <w:t>cation et les éléments d’activation des systèmes de revenu minimum, y compris en ce qui concerne leur rapport avec les services en nature (soins de santé, éducation et logement). Enfin, ce cycle du Semestre s’appuie, pour la première fois, sur les résultat</w:t>
            </w:r>
            <w:r>
              <w:rPr>
                <w:rFonts w:ascii="Times New Roman" w:hAnsi="Times New Roman"/>
                <w:noProof/>
                <w:sz w:val="24"/>
                <w:lang w:val="fr-BE"/>
              </w:rPr>
              <w:t xml:space="preserve">s du cadre d’évaluation comparative des compétences et de l’apprentissage des adultes, qui a été convenu avec le Comité de l’emploi en octobre 2018. Les comités compétents étudient actuellement la possibilité d’élaborer des cadres d’évaluation comparative </w:t>
            </w:r>
            <w:r>
              <w:rPr>
                <w:rFonts w:ascii="Times New Roman" w:hAnsi="Times New Roman"/>
                <w:noProof/>
                <w:sz w:val="24"/>
                <w:lang w:val="fr-BE"/>
              </w:rPr>
              <w:t>supplémentaires portant, par exemple, sur l’adéquation des retraites, qui serviront lors des futurs cycles du Semestre européen.</w:t>
            </w:r>
          </w:p>
        </w:tc>
      </w:tr>
    </w:tbl>
    <w:p w:rsidR="00723CC0" w:rsidRDefault="00723CC0">
      <w:pPr>
        <w:rPr>
          <w:rFonts w:cs="Times New Roman"/>
          <w:b/>
          <w:i/>
          <w:noProof/>
          <w:lang w:val="fr-BE"/>
        </w:rPr>
      </w:pPr>
    </w:p>
    <w:p w:rsidR="00723CC0" w:rsidRDefault="00242021">
      <w:pPr>
        <w:pStyle w:val="Heading1"/>
        <w:ind w:left="720" w:hanging="720"/>
        <w:rPr>
          <w:noProof/>
          <w:lang w:val="fr-BE"/>
        </w:rPr>
      </w:pPr>
      <w:bookmarkStart w:id="23" w:name="_Toc527539781"/>
      <w:r>
        <w:rPr>
          <w:noProof/>
          <w:lang w:val="fr-BE"/>
        </w:rPr>
        <w:br w:type="page"/>
      </w:r>
      <w:bookmarkStart w:id="24" w:name="_Toc530495148"/>
      <w:r>
        <w:rPr>
          <w:noProof/>
          <w:lang w:val="fr-BE"/>
        </w:rPr>
        <w:t xml:space="preserve">3. </w:t>
      </w:r>
      <w:r>
        <w:rPr>
          <w:noProof/>
          <w:lang w:val="fr-BE"/>
        </w:rPr>
        <w:tab/>
        <w:t>EMPLOI ET RÉFORMES SOCIALES – ACTION DES ÉTATS MEMBRES ET RÉSULTATS</w:t>
      </w:r>
      <w:bookmarkEnd w:id="24"/>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noProof/>
          <w:sz w:val="24"/>
          <w:lang w:val="fr-BE"/>
        </w:rPr>
        <w:t>Le présent chapitre donne un aperçu de l’évolution r</w:t>
      </w:r>
      <w:r>
        <w:rPr>
          <w:rFonts w:ascii="Times New Roman" w:hAnsi="Times New Roman"/>
          <w:noProof/>
          <w:sz w:val="24"/>
          <w:lang w:val="fr-BE"/>
        </w:rPr>
        <w:t>écente des indicateurs clés en matière sociale et d’emploi, ainsi que des mesures adoptées récemment par les États membres dans les domaines prioritaires déterminés par les lignes directrices de l’UE pour l’emploi</w:t>
      </w:r>
      <w:r>
        <w:rPr>
          <w:rStyle w:val="FootnoteReference"/>
          <w:rFonts w:ascii="Times New Roman" w:hAnsi="Times New Roman"/>
          <w:noProof/>
          <w:sz w:val="24"/>
        </w:rPr>
        <w:footnoteReference w:id="24"/>
      </w:r>
      <w:r>
        <w:rPr>
          <w:rFonts w:ascii="Times New Roman" w:hAnsi="Times New Roman"/>
          <w:noProof/>
          <w:sz w:val="24"/>
          <w:lang w:val="fr-BE"/>
        </w:rPr>
        <w:t xml:space="preserve">, telles qu’elles ont été adoptées par le </w:t>
      </w:r>
      <w:r>
        <w:rPr>
          <w:rFonts w:ascii="Times New Roman" w:hAnsi="Times New Roman"/>
          <w:noProof/>
          <w:sz w:val="24"/>
          <w:lang w:val="fr-BE"/>
        </w:rPr>
        <w:t>Conseil en 2018. Pour chaque ligne directrice, l’évolution récente d’une sélection d’indicateurs clés est présentée, suivie des mesures adoptées par les États membres. En ce qui concerne ces dernières, l’analyse s’appuie sur les programmes nationaux de réf</w:t>
      </w:r>
      <w:r>
        <w:rPr>
          <w:rFonts w:ascii="Times New Roman" w:hAnsi="Times New Roman"/>
          <w:noProof/>
          <w:sz w:val="24"/>
          <w:lang w:val="fr-BE"/>
        </w:rPr>
        <w:t>orme 2018 des États membres et sur les sources de la Commission européenne</w:t>
      </w:r>
      <w:r>
        <w:rPr>
          <w:rStyle w:val="FootnoteReference"/>
          <w:rFonts w:ascii="Times New Roman" w:hAnsi="Times New Roman"/>
          <w:noProof/>
          <w:sz w:val="24"/>
        </w:rPr>
        <w:footnoteReference w:id="25"/>
      </w:r>
      <w:r>
        <w:rPr>
          <w:rFonts w:ascii="Times New Roman" w:hAnsi="Times New Roman"/>
          <w:noProof/>
          <w:sz w:val="24"/>
          <w:lang w:val="fr-BE"/>
        </w:rPr>
        <w:t>. Sauf indication contraire, seules les mesures exécutées après juin 2017 sont présentées dans le rapport. Une analyse approfondie de l’évolution récente du marché du travail figure</w:t>
      </w:r>
      <w:r>
        <w:rPr>
          <w:rFonts w:ascii="Times New Roman" w:hAnsi="Times New Roman"/>
          <w:noProof/>
          <w:sz w:val="24"/>
          <w:lang w:val="fr-BE"/>
        </w:rPr>
        <w:t xml:space="preserve"> dans le rapport 2018 sur l’évolution du marché du travail et des rémunérations</w:t>
      </w:r>
      <w:r>
        <w:rPr>
          <w:rStyle w:val="FootnoteReference"/>
          <w:rFonts w:ascii="Times New Roman" w:hAnsi="Times New Roman"/>
          <w:noProof/>
          <w:sz w:val="24"/>
        </w:rPr>
        <w:footnoteReference w:id="26"/>
      </w:r>
      <w:r>
        <w:rPr>
          <w:rFonts w:ascii="Times New Roman" w:hAnsi="Times New Roman"/>
          <w:noProof/>
          <w:sz w:val="24"/>
          <w:lang w:val="fr-BE"/>
        </w:rPr>
        <w:t xml:space="preserve"> et dans le rapport 2018 sur l’évolution de l’emploi et de la situation sociale en Europe</w:t>
      </w:r>
      <w:r>
        <w:rPr>
          <w:rStyle w:val="FootnoteReference"/>
          <w:rFonts w:ascii="Times New Roman" w:hAnsi="Times New Roman"/>
          <w:noProof/>
          <w:sz w:val="24"/>
        </w:rPr>
        <w:footnoteReference w:id="27"/>
      </w:r>
      <w:r>
        <w:rPr>
          <w:rFonts w:ascii="Times New Roman" w:hAnsi="Times New Roman"/>
          <w:noProof/>
          <w:sz w:val="24"/>
          <w:lang w:val="fr-BE"/>
        </w:rPr>
        <w:t>.</w:t>
      </w:r>
    </w:p>
    <w:p w:rsidR="00723CC0" w:rsidRDefault="00723CC0">
      <w:pPr>
        <w:spacing w:line="360" w:lineRule="auto"/>
        <w:jc w:val="both"/>
        <w:rPr>
          <w:rFonts w:ascii="Times New Roman" w:hAnsi="Times New Roman" w:cs="Times New Roman"/>
          <w:noProof/>
          <w:sz w:val="24"/>
          <w:szCs w:val="24"/>
          <w:lang w:val="fr-BE"/>
        </w:rPr>
      </w:pPr>
    </w:p>
    <w:p w:rsidR="00723CC0" w:rsidRDefault="00242021">
      <w:pPr>
        <w:pStyle w:val="Heading3"/>
        <w:rPr>
          <w:b/>
          <w:i w:val="0"/>
          <w:noProof/>
          <w:lang w:val="fr-BE"/>
        </w:rPr>
      </w:pPr>
      <w:bookmarkStart w:id="25" w:name="_Toc527539782"/>
      <w:bookmarkStart w:id="26" w:name="_Toc530495149"/>
      <w:r>
        <w:rPr>
          <w:b/>
          <w:i w:val="0"/>
          <w:noProof/>
          <w:lang w:val="fr-BE"/>
        </w:rPr>
        <w:t xml:space="preserve">3.1 </w:t>
      </w:r>
      <w:r>
        <w:rPr>
          <w:noProof/>
          <w:lang w:val="fr-BE"/>
        </w:rPr>
        <w:tab/>
      </w:r>
      <w:r>
        <w:rPr>
          <w:b/>
          <w:i w:val="0"/>
          <w:noProof/>
          <w:lang w:val="fr-BE"/>
        </w:rPr>
        <w:t>Ligne directrice nº 5: Stimuler la demande de travail</w:t>
      </w:r>
      <w:bookmarkEnd w:id="25"/>
      <w:bookmarkEnd w:id="26"/>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noProof/>
          <w:sz w:val="24"/>
          <w:lang w:val="fr-BE"/>
        </w:rPr>
        <w:t>La présente section port</w:t>
      </w:r>
      <w:r>
        <w:rPr>
          <w:rFonts w:ascii="Times New Roman" w:hAnsi="Times New Roman"/>
          <w:noProof/>
          <w:sz w:val="24"/>
          <w:lang w:val="fr-BE"/>
        </w:rPr>
        <w:t xml:space="preserve">e sur la mise en œuvre de la ligne directrice pour l’emploi nº 5, qui recommande aux États membres de mettre en place un cadre soutenant la demande de travail et propice à la création d’emplois. Elle permet dans un premier temps de présenter un aperçu des </w:t>
      </w:r>
      <w:r>
        <w:rPr>
          <w:rFonts w:ascii="Times New Roman" w:hAnsi="Times New Roman"/>
          <w:noProof/>
          <w:sz w:val="24"/>
          <w:lang w:val="fr-BE"/>
        </w:rPr>
        <w:t>taux de chômage et d’emploi par État membre, qui complète l’analyse effectuée à l’échelle de l’Union au chapitre 1, afin de mettre en évidence la pertinence de l’enjeu que représente la création d’emplois d’un pays à l’autre. Dans un second temps, elle per</w:t>
      </w:r>
      <w:r>
        <w:rPr>
          <w:rFonts w:ascii="Times New Roman" w:hAnsi="Times New Roman"/>
          <w:noProof/>
          <w:sz w:val="24"/>
          <w:lang w:val="fr-BE"/>
        </w:rPr>
        <w:t>met l’examen de la dynamique du travail indépendant, utilisée comme révélateur de l’esprit d’entreprise et comme source de croissance de l’emploi en soi (les aspects du travail indépendant liés aux nouvelles formes de travail sont examinés à la section 3.3</w:t>
      </w:r>
      <w:r>
        <w:rPr>
          <w:rFonts w:ascii="Times New Roman" w:hAnsi="Times New Roman"/>
          <w:noProof/>
          <w:sz w:val="24"/>
          <w:lang w:val="fr-BE"/>
        </w:rPr>
        <w:t>). L’analyse porte enfin sur l’évolution des salaires et de la pression fiscale, qui sont les principaux déterminants macroéconomiques des décisions de recrutement. La section 3.1.2 traite des mesures adoptées par les États membres dans ces domaines en vue</w:t>
      </w:r>
      <w:r>
        <w:rPr>
          <w:rFonts w:ascii="Times New Roman" w:hAnsi="Times New Roman"/>
          <w:noProof/>
          <w:sz w:val="24"/>
          <w:lang w:val="fr-BE"/>
        </w:rPr>
        <w:t xml:space="preserve"> de soutenir la demande de travail, y compris les subventions à l’embauche.</w:t>
      </w:r>
    </w:p>
    <w:p w:rsidR="00723CC0" w:rsidRDefault="00242021">
      <w:pPr>
        <w:pStyle w:val="Heading3"/>
        <w:rPr>
          <w:noProof/>
          <w:lang w:val="fr-BE"/>
        </w:rPr>
      </w:pPr>
      <w:bookmarkStart w:id="27" w:name="_Toc527539783"/>
      <w:bookmarkStart w:id="28" w:name="_Toc530495150"/>
      <w:r>
        <w:rPr>
          <w:noProof/>
          <w:lang w:val="fr-BE"/>
        </w:rPr>
        <w:t>3.1.1</w:t>
      </w:r>
      <w:r>
        <w:rPr>
          <w:noProof/>
          <w:lang w:val="fr-BE"/>
        </w:rPr>
        <w:tab/>
        <w:t>Indicateurs clés</w:t>
      </w:r>
      <w:bookmarkEnd w:id="27"/>
      <w:bookmarkEnd w:id="28"/>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La baisse du chômage s’est accélérée en 2017. </w:t>
      </w:r>
      <w:r>
        <w:rPr>
          <w:rFonts w:ascii="Times New Roman" w:hAnsi="Times New Roman"/>
          <w:noProof/>
          <w:sz w:val="24"/>
          <w:lang w:val="fr-BE"/>
        </w:rPr>
        <w:t>Pour la première fois depuis la crise, le taux de chômage a baissé dans tous les États membres de l’UE. La dimi</w:t>
      </w:r>
      <w:r>
        <w:rPr>
          <w:rFonts w:ascii="Times New Roman" w:hAnsi="Times New Roman"/>
          <w:noProof/>
          <w:sz w:val="24"/>
          <w:lang w:val="fr-BE"/>
        </w:rPr>
        <w:t>nution a été supérieure à la moyenne en particulier dans certains États membres accablés par des taux de chômage très élevés – ainsi la Grèce, l’Espagne, la Croatie et le Portugal ont tous connu une baisse de 2 points de pourcentage ou plus –, ce qui indiq</w:t>
      </w:r>
      <w:r>
        <w:rPr>
          <w:rFonts w:ascii="Times New Roman" w:hAnsi="Times New Roman"/>
          <w:noProof/>
          <w:sz w:val="24"/>
          <w:lang w:val="fr-BE"/>
        </w:rPr>
        <w:t>ue une nette tendance à la convergence</w:t>
      </w:r>
      <w:r>
        <w:rPr>
          <w:rStyle w:val="FootnoteReference"/>
          <w:rFonts w:ascii="Times New Roman" w:hAnsi="Times New Roman"/>
          <w:noProof/>
          <w:sz w:val="24"/>
        </w:rPr>
        <w:footnoteReference w:id="28"/>
      </w:r>
      <w:r>
        <w:rPr>
          <w:rFonts w:ascii="Times New Roman" w:hAnsi="Times New Roman"/>
          <w:noProof/>
          <w:sz w:val="24"/>
          <w:lang w:val="fr-BE"/>
        </w:rPr>
        <w:t xml:space="preserve"> vers des taux de chômage plus faibles. Néanmoins, le chômage a également fortement baissé dans certains pays ayant un faible taux de chômage – de plus de 1 point en Tchéquie, aux Pays-Bas et en Pologne. Comme le mont</w:t>
      </w:r>
      <w:r>
        <w:rPr>
          <w:rFonts w:ascii="Times New Roman" w:hAnsi="Times New Roman"/>
          <w:noProof/>
          <w:sz w:val="24"/>
          <w:lang w:val="fr-BE"/>
        </w:rPr>
        <w:t>re le graphique 4 (qui combine les niveaux et les variations selon la méthode convenue d’évaluation des indicateurs clés du tableau de bord social</w:t>
      </w:r>
      <w:r>
        <w:rPr>
          <w:rStyle w:val="FootnoteReference"/>
          <w:rFonts w:ascii="Times New Roman" w:hAnsi="Times New Roman"/>
          <w:noProof/>
          <w:sz w:val="24"/>
        </w:rPr>
        <w:footnoteReference w:id="29"/>
      </w:r>
      <w:r>
        <w:rPr>
          <w:rFonts w:ascii="Times New Roman" w:hAnsi="Times New Roman"/>
          <w:noProof/>
          <w:sz w:val="24"/>
          <w:lang w:val="fr-BE"/>
        </w:rPr>
        <w:t xml:space="preserve">), la dispersion des taux de chômage est restée importante en 2017, avec des valeurs allant d’environ 3 % en </w:t>
      </w:r>
      <w:r>
        <w:rPr>
          <w:rFonts w:ascii="Times New Roman" w:hAnsi="Times New Roman"/>
          <w:noProof/>
          <w:sz w:val="24"/>
          <w:lang w:val="fr-BE"/>
        </w:rPr>
        <w:t>Tchéquie à 21,5 % en Grèce. Le taux de chômage reste également élevé en Italie, l’amélioration relevée par rapport à 2016 n’étant que limitée. En dépit de la baisse régulière constatée depuis 2013, dans de nombreux États membres, le taux de chômage reste n</w:t>
      </w:r>
      <w:r>
        <w:rPr>
          <w:rFonts w:ascii="Times New Roman" w:hAnsi="Times New Roman"/>
          <w:noProof/>
          <w:sz w:val="24"/>
          <w:lang w:val="fr-BE"/>
        </w:rPr>
        <w:t xml:space="preserve">ettement supérieur à celui de 2008 (graphique 5), en particulier en Croatie, en Grèce, à Chypre, en Italie et en Espagne. Au contraire, en Allemagne, en Hongrie et en Pologne, le taux de chômage en 2017 était de plus de 2 points de pourcentage inférieur à </w:t>
      </w:r>
      <w:r>
        <w:rPr>
          <w:rFonts w:ascii="Times New Roman" w:hAnsi="Times New Roman"/>
          <w:noProof/>
          <w:sz w:val="24"/>
          <w:lang w:val="fr-BE"/>
        </w:rPr>
        <w:t>celui d’avant la crise.</w:t>
      </w:r>
    </w:p>
    <w:p w:rsidR="00723CC0" w:rsidRDefault="00242021">
      <w:pPr>
        <w:pStyle w:val="caption1"/>
        <w:keepNext/>
        <w:spacing w:line="240" w:lineRule="auto"/>
        <w:rPr>
          <w:rFonts w:ascii="Times New Roman" w:hAnsi="Times New Roman"/>
          <w:noProof/>
          <w:sz w:val="24"/>
          <w:szCs w:val="24"/>
          <w:highlight w:val="yellow"/>
          <w:lang w:val="fr-BE"/>
        </w:rPr>
      </w:pPr>
      <w:bookmarkStart w:id="29" w:name="_Ref528664534"/>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4</w:t>
      </w:r>
      <w:r>
        <w:rPr>
          <w:rFonts w:ascii="Times New Roman" w:hAnsi="Times New Roman"/>
          <w:noProof/>
          <w:sz w:val="24"/>
          <w:szCs w:val="24"/>
        </w:rPr>
        <w:fldChar w:fldCharType="end"/>
      </w:r>
      <w:bookmarkEnd w:id="29"/>
      <w:r>
        <w:rPr>
          <w:rFonts w:ascii="Times New Roman" w:hAnsi="Times New Roman"/>
          <w:noProof/>
          <w:sz w:val="24"/>
          <w:lang w:val="fr-BE"/>
        </w:rPr>
        <w:t>: Taux de chômage (15-74 ans) et variation annuelle (indicateur clé du tableau de bord social)</w:t>
      </w:r>
    </w:p>
    <w:p w:rsidR="00723CC0" w:rsidRDefault="00242021">
      <w:pPr>
        <w:keepNext/>
        <w:spacing w:line="240" w:lineRule="auto"/>
        <w:rPr>
          <w:rFonts w:ascii="Times New Roman" w:hAnsi="Times New Roman" w:cs="Times New Roman"/>
          <w:b/>
          <w:iCs/>
          <w:noProof/>
          <w:sz w:val="24"/>
          <w:szCs w:val="24"/>
          <w:highlight w:val="yellow"/>
        </w:rPr>
      </w:pPr>
      <w:r>
        <w:rPr>
          <w:rFonts w:ascii="Times New Roman" w:hAnsi="Times New Roman" w:cs="Times New Roman"/>
          <w:b/>
          <w:iCs/>
          <w:noProof/>
          <w:sz w:val="24"/>
          <w:szCs w:val="24"/>
          <w:lang w:val="en-GB" w:eastAsia="en-GB" w:bidi="ar-SA"/>
        </w:rPr>
        <w:drawing>
          <wp:inline distT="0" distB="0" distL="0" distR="0">
            <wp:extent cx="5581816" cy="407612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593989" cy="4085009"/>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Eurostat, EFT. Période: niveaux de 2017 et variations annuelles par rapport à 2016. </w:t>
      </w:r>
      <w:r>
        <w:rPr>
          <w:rFonts w:ascii="Times New Roman" w:hAnsi="Times New Roman"/>
          <w:noProof/>
          <w:sz w:val="20"/>
          <w:lang w:val="fr-BE"/>
        </w:rPr>
        <w:t>Remarque: les axes sont centrés sur la moyenne non pondérée de l’UE. La légende est présentée en annexe.</w:t>
      </w:r>
    </w:p>
    <w:p w:rsidR="00723CC0" w:rsidRDefault="00723CC0">
      <w:pPr>
        <w:pStyle w:val="caption1"/>
        <w:keepNext/>
        <w:spacing w:line="240" w:lineRule="auto"/>
        <w:rPr>
          <w:rFonts w:ascii="Times New Roman" w:eastAsiaTheme="minorHAnsi" w:hAnsi="Times New Roman"/>
          <w:bCs w:val="0"/>
          <w:iCs/>
          <w:noProof/>
          <w:sz w:val="24"/>
          <w:szCs w:val="24"/>
          <w:lang w:val="fr-BE"/>
        </w:rPr>
      </w:pPr>
    </w:p>
    <w:p w:rsidR="00723CC0" w:rsidRDefault="00242021">
      <w:pPr>
        <w:pStyle w:val="caption1"/>
        <w:keepNext/>
        <w:spacing w:line="240" w:lineRule="auto"/>
        <w:rPr>
          <w:rFonts w:ascii="Times New Roman" w:hAnsi="Times New Roman"/>
          <w:noProof/>
          <w:sz w:val="24"/>
          <w:szCs w:val="24"/>
          <w:highlight w:val="yellow"/>
          <w:lang w:val="fr-BE"/>
        </w:rPr>
      </w:pPr>
      <w:bookmarkStart w:id="30" w:name="_Ref528664545"/>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5</w:t>
      </w:r>
      <w:r>
        <w:rPr>
          <w:rFonts w:ascii="Times New Roman" w:hAnsi="Times New Roman"/>
          <w:noProof/>
          <w:sz w:val="24"/>
          <w:szCs w:val="24"/>
        </w:rPr>
        <w:fldChar w:fldCharType="end"/>
      </w:r>
      <w:bookmarkEnd w:id="30"/>
      <w:r>
        <w:rPr>
          <w:rFonts w:ascii="Times New Roman" w:hAnsi="Times New Roman"/>
          <w:noProof/>
          <w:sz w:val="24"/>
          <w:lang w:val="fr-BE"/>
        </w:rPr>
        <w:t>: Taux de chômage (15-74 ans), comparaison pluriannuelle</w:t>
      </w:r>
    </w:p>
    <w:p w:rsidR="00723CC0" w:rsidRDefault="00242021">
      <w:pPr>
        <w:spacing w:after="0" w:line="360" w:lineRule="auto"/>
        <w:jc w:val="both"/>
        <w:rPr>
          <w:rFonts w:ascii="Times New Roman" w:hAnsi="Times New Roman" w:cs="Times New Roman"/>
          <w:b/>
          <w:iCs/>
          <w:noProof/>
          <w:sz w:val="24"/>
          <w:szCs w:val="24"/>
          <w:highlight w:val="yellow"/>
        </w:rPr>
      </w:pPr>
      <w:r>
        <w:rPr>
          <w:rFonts w:ascii="Times New Roman" w:hAnsi="Times New Roman" w:cs="Times New Roman"/>
          <w:b/>
          <w:iCs/>
          <w:noProof/>
          <w:sz w:val="24"/>
          <w:szCs w:val="24"/>
          <w:lang w:val="en-GB" w:eastAsia="en-GB" w:bidi="ar-SA"/>
        </w:rPr>
        <w:drawing>
          <wp:inline distT="0" distB="0" distL="0" distR="0">
            <wp:extent cx="6055811" cy="2814761"/>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6057753" cy="2815663"/>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EFT.</w:t>
      </w:r>
    </w:p>
    <w:p w:rsidR="00723CC0" w:rsidRDefault="00723CC0">
      <w:pPr>
        <w:spacing w:line="360" w:lineRule="auto"/>
        <w:jc w:val="both"/>
        <w:rPr>
          <w:rFonts w:ascii="Times New Roman" w:hAnsi="Times New Roman" w:cs="Times New Roman"/>
          <w:b/>
          <w:iCs/>
          <w:noProof/>
          <w:sz w:val="24"/>
          <w:szCs w:val="24"/>
          <w:highlight w:val="yellow"/>
          <w:lang w:val="fr-BE"/>
        </w:rPr>
      </w:pPr>
    </w:p>
    <w:p w:rsidR="00723CC0" w:rsidRDefault="00242021">
      <w:pPr>
        <w:spacing w:line="360" w:lineRule="auto"/>
        <w:jc w:val="both"/>
        <w:rPr>
          <w:rFonts w:ascii="Times New Roman" w:hAnsi="Times New Roman" w:cs="Times New Roman"/>
          <w:iCs/>
          <w:noProof/>
          <w:sz w:val="24"/>
          <w:szCs w:val="24"/>
          <w:highlight w:val="yellow"/>
          <w:lang w:val="fr-BE"/>
        </w:rPr>
      </w:pPr>
      <w:r>
        <w:rPr>
          <w:rFonts w:ascii="Times New Roman" w:hAnsi="Times New Roman"/>
          <w:b/>
          <w:noProof/>
          <w:sz w:val="24"/>
          <w:lang w:val="fr-BE"/>
        </w:rPr>
        <w:t xml:space="preserve">Bien que les taux d’emploi aient enregistré de fortes augmentations, des disparités considérables subsistent. </w:t>
      </w:r>
      <w:r>
        <w:rPr>
          <w:rFonts w:ascii="Times New Roman" w:hAnsi="Times New Roman"/>
          <w:noProof/>
          <w:sz w:val="24"/>
          <w:lang w:val="fr-BE"/>
        </w:rPr>
        <w:t>Tous les États membres ont enregistré des augmentations, à l’exception du Danemark</w:t>
      </w:r>
      <w:r>
        <w:rPr>
          <w:rStyle w:val="FootnoteReference"/>
          <w:rFonts w:ascii="Times New Roman" w:hAnsi="Times New Roman"/>
          <w:noProof/>
          <w:sz w:val="24"/>
        </w:rPr>
        <w:footnoteReference w:id="30"/>
      </w:r>
      <w:r>
        <w:rPr>
          <w:rFonts w:ascii="Times New Roman" w:hAnsi="Times New Roman"/>
          <w:noProof/>
          <w:sz w:val="24"/>
          <w:lang w:val="fr-BE"/>
        </w:rPr>
        <w:t xml:space="preserve"> (où l’on observe une diminution de 0,5 point de pourcentage, p</w:t>
      </w:r>
      <w:r>
        <w:rPr>
          <w:rFonts w:ascii="Times New Roman" w:hAnsi="Times New Roman"/>
          <w:noProof/>
          <w:sz w:val="24"/>
          <w:lang w:val="fr-BE"/>
        </w:rPr>
        <w:t>artant toutefois d’un niveau très élevé). Comme le montre le graphique 6, les taux d’emploi ne convergent que partiellement: les États membres caractérisés par des taux d’emploi faibles sont généralement confrontés à une croissance un peu plus rapide que l</w:t>
      </w:r>
      <w:r>
        <w:rPr>
          <w:rFonts w:ascii="Times New Roman" w:hAnsi="Times New Roman"/>
          <w:noProof/>
          <w:sz w:val="24"/>
          <w:lang w:val="fr-BE"/>
        </w:rPr>
        <w:t>a moyenne, mais la situation reste disparate. Les taux d’emploi (pour la tranche d’âge des 20 à 64 ans) divergent considérablement, allant de 57,8 % en Grèce à 81,8 % en Suède en 2017. En bas de l’échelle, le taux d’emploi reste nettement inférieur à la mo</w:t>
      </w:r>
      <w:r>
        <w:rPr>
          <w:rFonts w:ascii="Times New Roman" w:hAnsi="Times New Roman"/>
          <w:noProof/>
          <w:sz w:val="24"/>
          <w:lang w:val="fr-BE"/>
        </w:rPr>
        <w:t>yenne de l’UE dans certains des pays les plus durement touchés par la crise, à savoir la Grèce, la Croatie, l’Italie et l’Espagne (signalés comme connaissant des «situations critiques»). Neuf pays ont déjà dépassé l’objectif de 75 %, les six «meilleurs élé</w:t>
      </w:r>
      <w:r>
        <w:rPr>
          <w:rFonts w:ascii="Times New Roman" w:hAnsi="Times New Roman"/>
          <w:noProof/>
          <w:sz w:val="24"/>
          <w:lang w:val="fr-BE"/>
        </w:rPr>
        <w:t>ments» (la Suède, l’Allemagne, l’Estonie, la Tchéquie, le Royaume-Uni et les Pays-Bas) présentant même des taux avoisinant ou dépassant 78 %.</w:t>
      </w:r>
    </w:p>
    <w:p w:rsidR="00723CC0" w:rsidRDefault="00723CC0">
      <w:pPr>
        <w:spacing w:line="240" w:lineRule="auto"/>
        <w:jc w:val="both"/>
        <w:rPr>
          <w:rFonts w:ascii="Times New Roman" w:hAnsi="Times New Roman" w:cs="Times New Roman"/>
          <w:b/>
          <w:noProof/>
          <w:sz w:val="24"/>
          <w:szCs w:val="24"/>
          <w:highlight w:val="yellow"/>
          <w:lang w:val="fr-BE"/>
        </w:rPr>
      </w:pPr>
    </w:p>
    <w:p w:rsidR="00723CC0" w:rsidRDefault="00242021">
      <w:pPr>
        <w:pStyle w:val="caption1"/>
        <w:keepNext/>
        <w:spacing w:line="240" w:lineRule="auto"/>
        <w:rPr>
          <w:rFonts w:ascii="Times New Roman" w:hAnsi="Times New Roman"/>
          <w:noProof/>
          <w:sz w:val="24"/>
          <w:szCs w:val="24"/>
          <w:highlight w:val="yellow"/>
          <w:lang w:val="fr-BE"/>
        </w:rPr>
      </w:pPr>
      <w:bookmarkStart w:id="31" w:name="_Ref528664559"/>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6</w:t>
      </w:r>
      <w:r>
        <w:rPr>
          <w:rFonts w:ascii="Times New Roman" w:hAnsi="Times New Roman"/>
          <w:noProof/>
          <w:sz w:val="24"/>
          <w:szCs w:val="24"/>
        </w:rPr>
        <w:fldChar w:fldCharType="end"/>
      </w:r>
      <w:bookmarkEnd w:id="31"/>
      <w:r>
        <w:rPr>
          <w:rFonts w:ascii="Times New Roman" w:hAnsi="Times New Roman"/>
          <w:noProof/>
          <w:sz w:val="24"/>
          <w:lang w:val="fr-BE"/>
        </w:rPr>
        <w:t xml:space="preserve">: Taux d’emploi (20-64 ans) et variation annuelle (indicateur clé du tableau </w:t>
      </w:r>
      <w:r>
        <w:rPr>
          <w:rFonts w:ascii="Times New Roman" w:hAnsi="Times New Roman"/>
          <w:noProof/>
          <w:sz w:val="24"/>
          <w:lang w:val="fr-BE"/>
        </w:rPr>
        <w:t>de bord social)</w:t>
      </w:r>
    </w:p>
    <w:p w:rsidR="00723CC0" w:rsidRDefault="00242021">
      <w:pPr>
        <w:keepNext/>
        <w:spacing w:line="240" w:lineRule="auto"/>
        <w:rPr>
          <w:rFonts w:ascii="Times New Roman" w:hAnsi="Times New Roman" w:cs="Times New Roman"/>
          <w:b/>
          <w:iCs/>
          <w:noProof/>
          <w:sz w:val="24"/>
          <w:szCs w:val="24"/>
          <w:highlight w:val="yellow"/>
        </w:rPr>
      </w:pPr>
      <w:r>
        <w:rPr>
          <w:rFonts w:ascii="Times New Roman" w:hAnsi="Times New Roman" w:cs="Times New Roman"/>
          <w:b/>
          <w:iCs/>
          <w:noProof/>
          <w:sz w:val="24"/>
          <w:szCs w:val="24"/>
          <w:lang w:val="en-GB" w:eastAsia="en-GB" w:bidi="ar-SA"/>
        </w:rPr>
        <w:drawing>
          <wp:inline distT="0" distB="0" distL="0" distR="0">
            <wp:extent cx="4794637" cy="385484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4794548" cy="3854776"/>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EFT. Période: niveaux de 2017 et variations annuelles par rapport à 2016. Remarque: les axes sont centrés sur la moyenne non pondérée de l’UE. La légende est présentée en annexe.</w:t>
      </w:r>
    </w:p>
    <w:p w:rsidR="00723CC0" w:rsidRDefault="00723CC0">
      <w:pPr>
        <w:spacing w:line="360" w:lineRule="auto"/>
        <w:jc w:val="both"/>
        <w:rPr>
          <w:rFonts w:ascii="Times New Roman" w:hAnsi="Times New Roman"/>
          <w:b/>
          <w:noProof/>
          <w:sz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Les taux d’emploi moyens dans l’UE sont en constante augmentation depuis 2013 et se situent à présent bien au-dessus du niveau record d’avant la crise. </w:t>
      </w:r>
      <w:r>
        <w:rPr>
          <w:rFonts w:ascii="Times New Roman" w:hAnsi="Times New Roman"/>
          <w:noProof/>
          <w:sz w:val="24"/>
          <w:lang w:val="fr-BE"/>
        </w:rPr>
        <w:t xml:space="preserve">La Hongrie et Malte, qui affichaient les taux d’emploi les plus bas de l’UE en 2008, ont connu les plus </w:t>
      </w:r>
      <w:r>
        <w:rPr>
          <w:rFonts w:ascii="Times New Roman" w:hAnsi="Times New Roman"/>
          <w:noProof/>
          <w:sz w:val="24"/>
          <w:lang w:val="fr-BE"/>
        </w:rPr>
        <w:t>fortes hausses à long terme (respectivement + 11,8 points de pourcentage et + 13,8 points en 2017) et se situent désormais légèrement au-dessus de la moyenne de l’UE. Toutefois, les disparités demeurent importantes. En particulier, comme les taux de chômag</w:t>
      </w:r>
      <w:r>
        <w:rPr>
          <w:rFonts w:ascii="Times New Roman" w:hAnsi="Times New Roman"/>
          <w:noProof/>
          <w:sz w:val="24"/>
          <w:lang w:val="fr-BE"/>
        </w:rPr>
        <w:t>e, les taux d’emploi restent en deçà des niveaux de 2008 dans les pays les plus touchés par la crise, tels que la Grèce, l’Italie, la Croatie, l’Espagne, Chypre et l’Irlande (graphique 7).</w:t>
      </w:r>
    </w:p>
    <w:p w:rsidR="00723CC0" w:rsidRDefault="00723CC0">
      <w:pPr>
        <w:spacing w:line="360" w:lineRule="auto"/>
        <w:contextualSpacing/>
        <w:jc w:val="both"/>
        <w:rPr>
          <w:rFonts w:ascii="Times New Roman" w:hAnsi="Times New Roman" w:cs="Times New Roman"/>
          <w:iCs/>
          <w:noProof/>
          <w:sz w:val="24"/>
          <w:szCs w:val="24"/>
          <w:highlight w:val="yellow"/>
          <w:lang w:val="fr-BE"/>
        </w:rPr>
      </w:pPr>
    </w:p>
    <w:p w:rsidR="00723CC0" w:rsidRDefault="00242021">
      <w:pPr>
        <w:pStyle w:val="caption1"/>
        <w:keepNext/>
        <w:spacing w:line="240" w:lineRule="auto"/>
        <w:rPr>
          <w:rFonts w:ascii="Times New Roman" w:hAnsi="Times New Roman"/>
          <w:noProof/>
          <w:sz w:val="24"/>
          <w:szCs w:val="24"/>
          <w:lang w:val="fr-BE"/>
        </w:rPr>
      </w:pPr>
      <w:bookmarkStart w:id="32" w:name="_Ref528664570"/>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7</w:t>
      </w:r>
      <w:r>
        <w:rPr>
          <w:rFonts w:ascii="Times New Roman" w:hAnsi="Times New Roman"/>
          <w:noProof/>
          <w:sz w:val="24"/>
          <w:szCs w:val="24"/>
        </w:rPr>
        <w:fldChar w:fldCharType="end"/>
      </w:r>
      <w:bookmarkEnd w:id="32"/>
      <w:r>
        <w:rPr>
          <w:rFonts w:ascii="Times New Roman" w:hAnsi="Times New Roman"/>
          <w:noProof/>
          <w:sz w:val="24"/>
          <w:lang w:val="fr-BE"/>
        </w:rPr>
        <w:t>: Taux d’emploi (20-64 ans), c</w:t>
      </w:r>
      <w:r>
        <w:rPr>
          <w:rFonts w:ascii="Times New Roman" w:hAnsi="Times New Roman"/>
          <w:noProof/>
          <w:sz w:val="24"/>
          <w:lang w:val="fr-BE"/>
        </w:rPr>
        <w:t>omparaison pluriannuelle</w:t>
      </w:r>
    </w:p>
    <w:p w:rsidR="00723CC0" w:rsidRDefault="00242021">
      <w:pPr>
        <w:keepNext/>
        <w:spacing w:after="0"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extent cx="5224007" cy="24091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5229208" cy="2411596"/>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EFT.</w:t>
      </w:r>
    </w:p>
    <w:p w:rsidR="00723CC0" w:rsidRDefault="00723CC0">
      <w:pPr>
        <w:spacing w:line="360" w:lineRule="auto"/>
        <w:jc w:val="both"/>
        <w:rPr>
          <w:rFonts w:ascii="Times New Roman" w:hAnsi="Times New Roman"/>
          <w:b/>
          <w:noProof/>
          <w:sz w:val="24"/>
          <w:szCs w:val="24"/>
          <w:highlight w:val="yellow"/>
          <w:lang w:val="fr-BE"/>
        </w:rPr>
      </w:pPr>
    </w:p>
    <w:p w:rsidR="00723CC0" w:rsidRDefault="00242021">
      <w:pPr>
        <w:spacing w:line="360" w:lineRule="auto"/>
        <w:jc w:val="both"/>
        <w:rPr>
          <w:rFonts w:ascii="Times New Roman" w:hAnsi="Times New Roman"/>
          <w:noProof/>
          <w:sz w:val="24"/>
          <w:szCs w:val="24"/>
          <w:lang w:val="fr-BE"/>
        </w:rPr>
      </w:pPr>
      <w:r>
        <w:rPr>
          <w:rFonts w:ascii="Times New Roman" w:hAnsi="Times New Roman"/>
          <w:b/>
          <w:noProof/>
          <w:sz w:val="24"/>
          <w:lang w:val="fr-BE"/>
        </w:rPr>
        <w:t xml:space="preserve">La croissance soutenue de l’emploi n’a pas affecté la tendance à la baisse à long terme du travail indépendant. </w:t>
      </w:r>
      <w:r>
        <w:rPr>
          <w:rFonts w:ascii="Times New Roman" w:hAnsi="Times New Roman"/>
          <w:noProof/>
          <w:sz w:val="24"/>
          <w:lang w:val="fr-BE"/>
        </w:rPr>
        <w:t xml:space="preserve">En chiffres absolus, le travail indépendant a diminué de 0,5 % en 2017 (après une légère </w:t>
      </w:r>
      <w:r>
        <w:rPr>
          <w:rFonts w:ascii="Times New Roman" w:hAnsi="Times New Roman"/>
          <w:noProof/>
          <w:sz w:val="24"/>
          <w:lang w:val="fr-BE"/>
        </w:rPr>
        <w:t>augmentation en 2016</w:t>
      </w:r>
      <w:r>
        <w:rPr>
          <w:rStyle w:val="FootnoteReference"/>
          <w:rFonts w:ascii="Times New Roman" w:hAnsi="Times New Roman"/>
          <w:noProof/>
          <w:sz w:val="24"/>
        </w:rPr>
        <w:footnoteReference w:id="31"/>
      </w:r>
      <w:r>
        <w:rPr>
          <w:rFonts w:ascii="Times New Roman" w:hAnsi="Times New Roman"/>
          <w:noProof/>
          <w:sz w:val="24"/>
          <w:lang w:val="fr-BE"/>
        </w:rPr>
        <w:t>). Il a continué à baisser également en termes relatifs, représentant 13,7 % de l’emploi total en 2017 (contre 14,0 % en 2016 et 14,4 % en 2013). La part des hommes travailleurs indépendants par rapport au nombre total d’hommes en acti</w:t>
      </w:r>
      <w:r>
        <w:rPr>
          <w:rFonts w:ascii="Times New Roman" w:hAnsi="Times New Roman"/>
          <w:noProof/>
          <w:sz w:val="24"/>
          <w:lang w:val="fr-BE"/>
        </w:rPr>
        <w:t>vité, qui est de 17,2 %, reste beaucoup plus élevée que la part correspondante pour les femmes (9,7 %). Les tendances observées en matière de travail indépendant sont moins négatives si le secteur primaire et l’industrie manufacturière sont exclus. En part</w:t>
      </w:r>
      <w:r>
        <w:rPr>
          <w:rFonts w:ascii="Times New Roman" w:hAnsi="Times New Roman"/>
          <w:noProof/>
          <w:sz w:val="24"/>
          <w:lang w:val="fr-BE"/>
        </w:rPr>
        <w:t>iculier, le travail indépendant a augmenté constamment au cours des dix dernières années dans la plupart des secteurs liés aux services.</w:t>
      </w:r>
    </w:p>
    <w:p w:rsidR="00723CC0" w:rsidRDefault="00242021">
      <w:pPr>
        <w:spacing w:line="360" w:lineRule="auto"/>
        <w:jc w:val="both"/>
        <w:rPr>
          <w:rFonts w:ascii="Times New Roman" w:hAnsi="Times New Roman"/>
          <w:noProof/>
          <w:sz w:val="24"/>
          <w:szCs w:val="24"/>
          <w:lang w:val="fr-BE"/>
        </w:rPr>
      </w:pPr>
      <w:r>
        <w:rPr>
          <w:rFonts w:ascii="Times New Roman" w:hAnsi="Times New Roman"/>
          <w:b/>
          <w:noProof/>
          <w:sz w:val="24"/>
          <w:lang w:val="fr-BE"/>
        </w:rPr>
        <w:t>Les chiffres globaux découlent d’évolutions divergentes des États membres, des secteurs et des sous-groupes.</w:t>
      </w:r>
      <w:r>
        <w:rPr>
          <w:rFonts w:ascii="Times New Roman" w:hAnsi="Times New Roman"/>
          <w:noProof/>
          <w:sz w:val="24"/>
          <w:lang w:val="fr-BE"/>
        </w:rPr>
        <w:t xml:space="preserve"> Les tendan</w:t>
      </w:r>
      <w:r>
        <w:rPr>
          <w:rFonts w:ascii="Times New Roman" w:hAnsi="Times New Roman"/>
          <w:noProof/>
          <w:sz w:val="24"/>
          <w:lang w:val="fr-BE"/>
        </w:rPr>
        <w:t>ces en matière de travail indépendant ne semblent toutefois pas liées aux résultats dans le domaine de l’emploi à l’échelon des États membres ou des secteurs. L’évolution selon les différentes catégories d’âge et de niveau de formation reflète dans une lar</w:t>
      </w:r>
      <w:r>
        <w:rPr>
          <w:rFonts w:ascii="Times New Roman" w:hAnsi="Times New Roman"/>
          <w:noProof/>
          <w:sz w:val="24"/>
          <w:lang w:val="fr-BE"/>
        </w:rPr>
        <w:t>ge mesure celle de la composition de la main-d’œuvre: le travail indépendant a continué de chuter chez les personnes âgées de 15-49 ans, alors qu’il a nettement augmenté chez les 50-64 ans et les 65 ans et plus (respectivement + 1,2 % et + 4,0 %). Le nivea</w:t>
      </w:r>
      <w:r>
        <w:rPr>
          <w:rFonts w:ascii="Times New Roman" w:hAnsi="Times New Roman"/>
          <w:noProof/>
          <w:sz w:val="24"/>
          <w:lang w:val="fr-BE"/>
        </w:rPr>
        <w:t>u d’éducation constitue également un facteur important: en 2017, le nombre de travailleurs indépendants a ainsi diminué de 3,2 % chez les personnes diplômées du premier cycle du secondaire alors qu’il a augmenté de 1 % chez les personnes diplômées de l’ens</w:t>
      </w:r>
      <w:r>
        <w:rPr>
          <w:rFonts w:ascii="Times New Roman" w:hAnsi="Times New Roman"/>
          <w:noProof/>
          <w:sz w:val="24"/>
          <w:lang w:val="fr-BE"/>
        </w:rPr>
        <w:t>eignement supérieur. Enfin, une augmentation du nombre de travailleurs indépendants nés en dehors de l’Union a été enregistrée. Les aspects liés au travail indépendant en tant que forme de travail atypique sont examinés en détail dans la section 3.3.</w:t>
      </w:r>
    </w:p>
    <w:p w:rsidR="00723CC0" w:rsidRDefault="00242021">
      <w:pPr>
        <w:spacing w:line="360" w:lineRule="auto"/>
        <w:jc w:val="both"/>
        <w:rPr>
          <w:rFonts w:ascii="Times New Roman" w:hAnsi="Times New Roman" w:cs="Times New Roman"/>
          <w:noProof/>
          <w:sz w:val="24"/>
          <w:szCs w:val="24"/>
          <w:highlight w:val="lightGray"/>
          <w:lang w:val="fr-BE"/>
        </w:rPr>
      </w:pPr>
      <w:r>
        <w:rPr>
          <w:rFonts w:ascii="Times New Roman" w:hAnsi="Times New Roman"/>
          <w:b/>
          <w:noProof/>
          <w:sz w:val="24"/>
          <w:lang w:val="fr-BE"/>
        </w:rPr>
        <w:t xml:space="preserve">La </w:t>
      </w:r>
      <w:r>
        <w:rPr>
          <w:rFonts w:ascii="Times New Roman" w:hAnsi="Times New Roman"/>
          <w:b/>
          <w:noProof/>
          <w:sz w:val="24"/>
          <w:lang w:val="fr-BE"/>
        </w:rPr>
        <w:t>croissance des salaires reste modérée dans la plupart des États membres.</w:t>
      </w:r>
      <w:r>
        <w:rPr>
          <w:rFonts w:ascii="Times New Roman" w:hAnsi="Times New Roman"/>
          <w:noProof/>
          <w:sz w:val="24"/>
          <w:lang w:val="fr-BE"/>
        </w:rPr>
        <w:t xml:space="preserve"> La croissance des salaires nominaux est restée modérée dans l’UE au cours de la reprise, mais a commencé à se redresser en 2017, la rémunération par salarié ayant augmenté de 2,1 %. L</w:t>
      </w:r>
      <w:r>
        <w:rPr>
          <w:rFonts w:ascii="Times New Roman" w:hAnsi="Times New Roman"/>
          <w:noProof/>
          <w:sz w:val="24"/>
          <w:lang w:val="fr-BE"/>
        </w:rPr>
        <w:t xml:space="preserve">es différences entre pays sont considérables, les salaires augmentant généralement plus rapidement dans les États membres où les niveaux salariaux sont moins élevés et dans ceux qui ne font pas partie de la zone euro. La hausse de la rémunération nominale </w:t>
      </w:r>
      <w:r>
        <w:rPr>
          <w:rFonts w:ascii="Times New Roman" w:hAnsi="Times New Roman"/>
          <w:noProof/>
          <w:sz w:val="24"/>
          <w:lang w:val="fr-BE"/>
        </w:rPr>
        <w:t>par salarié était la plus élevée en Roumanie (16,0 %), en Lituanie (9,1 %), en Hongrie (7,9 %), en Lettonie (7,9 %) et en Bulgarie (7,5 %), ce qui montre une convergence des salaires entre l’Europe orientale et l’Europe occidentale. En bas de l’échelle, le</w:t>
      </w:r>
      <w:r>
        <w:rPr>
          <w:rFonts w:ascii="Times New Roman" w:hAnsi="Times New Roman"/>
          <w:noProof/>
          <w:sz w:val="24"/>
          <w:lang w:val="fr-BE"/>
        </w:rPr>
        <w:t>s salaires nominaux ont baissé en Finlande (-1,1 %) et en Croatie (-1,1 %) et sont restés stables en Espagne, en Italie et en Grèce.</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En termes réels, la croissance des salaires a ralenti en 2017 par rapport à 2016. </w:t>
      </w:r>
      <w:r>
        <w:rPr>
          <w:rFonts w:ascii="Times New Roman" w:hAnsi="Times New Roman"/>
          <w:noProof/>
          <w:sz w:val="24"/>
          <w:lang w:val="fr-BE"/>
        </w:rPr>
        <w:t>Dans l’Union européenne, les salaires rée</w:t>
      </w:r>
      <w:r>
        <w:rPr>
          <w:rFonts w:ascii="Times New Roman" w:hAnsi="Times New Roman"/>
          <w:noProof/>
          <w:sz w:val="24"/>
          <w:lang w:val="fr-BE"/>
        </w:rPr>
        <w:t>ls à la consommation (c’est-à-dire les salaires corrigés de la variation des prix à la consommation) ont augmenté de 0,5 % en 2017 contre 1,2 % en 2016. Dans la zone euro, les salaires réels ont pratiquement stagné (+ 0,2 %). Un recul a été enregistré dans</w:t>
      </w:r>
      <w:r>
        <w:rPr>
          <w:rFonts w:ascii="Times New Roman" w:hAnsi="Times New Roman"/>
          <w:noProof/>
          <w:sz w:val="24"/>
          <w:lang w:val="fr-BE"/>
        </w:rPr>
        <w:t xml:space="preserve"> huit pays, à savoir l’Espagne, l’Italie, la Grèce, la Croatie, le Portugal, les Pays-Bas, l’Autriche et la Finlande. Le ralentissement par rapport à 2016 a été en partie dû à l’augmentation des prix à la consommation, qui n’a pas été contrebalancée par la</w:t>
      </w:r>
      <w:r>
        <w:rPr>
          <w:rFonts w:ascii="Times New Roman" w:hAnsi="Times New Roman"/>
          <w:noProof/>
          <w:sz w:val="24"/>
          <w:lang w:val="fr-BE"/>
        </w:rPr>
        <w:t xml:space="preserve"> hausse des rémunérations. Toutefois, même lorsqu’on examine les salaires réels à la production (corrigés du déflateur du PIB), la situation est pratiquement inchangée, car la progression des salaires réels n’est que légère dans l’UE en 2017 (0,7 %), une b</w:t>
      </w:r>
      <w:r>
        <w:rPr>
          <w:rFonts w:ascii="Times New Roman" w:hAnsi="Times New Roman"/>
          <w:noProof/>
          <w:sz w:val="24"/>
          <w:lang w:val="fr-BE"/>
        </w:rPr>
        <w:t>aisse étant enregistrée dans dix pays (graphique 8).</w:t>
      </w:r>
    </w:p>
    <w:p w:rsidR="00723CC0" w:rsidRDefault="00242021">
      <w:pPr>
        <w:pStyle w:val="caption1"/>
        <w:keepNext/>
        <w:spacing w:line="240" w:lineRule="auto"/>
        <w:rPr>
          <w:rFonts w:ascii="Times New Roman" w:hAnsi="Times New Roman"/>
          <w:noProof/>
          <w:sz w:val="24"/>
          <w:szCs w:val="24"/>
          <w:lang w:val="fr-BE"/>
        </w:rPr>
      </w:pPr>
      <w:bookmarkStart w:id="33" w:name="_Ref527648255"/>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8</w:t>
      </w:r>
      <w:r>
        <w:rPr>
          <w:rFonts w:ascii="Times New Roman" w:hAnsi="Times New Roman"/>
          <w:noProof/>
          <w:sz w:val="24"/>
          <w:szCs w:val="24"/>
        </w:rPr>
        <w:fldChar w:fldCharType="end"/>
      </w:r>
      <w:bookmarkEnd w:id="33"/>
      <w:r>
        <w:rPr>
          <w:rFonts w:ascii="Times New Roman" w:hAnsi="Times New Roman"/>
          <w:noProof/>
          <w:sz w:val="24"/>
          <w:lang w:val="fr-BE"/>
        </w:rPr>
        <w:t>: Rémunération réelle par salarié, corrigée de l’IPCH et du déflateur du PIB, variation annuelle en % en 2017</w:t>
      </w:r>
    </w:p>
    <w:p w:rsidR="00723CC0" w:rsidRDefault="00242021">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621275" cy="407106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5619744" cy="4069958"/>
                    </a:xfrm>
                    <a:prstGeom prst="rect">
                      <a:avLst/>
                    </a:prstGeom>
                    <a:noFill/>
                  </pic:spPr>
                </pic:pic>
              </a:graphicData>
            </a:graphic>
          </wp:inline>
        </w:drawing>
      </w:r>
    </w:p>
    <w:p w:rsidR="00723CC0" w:rsidRDefault="00242021">
      <w:pPr>
        <w:spacing w:line="240" w:lineRule="auto"/>
        <w:jc w:val="both"/>
        <w:rPr>
          <w:rFonts w:ascii="Times New Roman" w:eastAsia="Calibri" w:hAnsi="Times New Roman" w:cs="Times New Roman"/>
          <w:bCs/>
          <w:noProof/>
          <w:sz w:val="20"/>
          <w:szCs w:val="20"/>
          <w:lang w:val="fr-BE"/>
        </w:rPr>
      </w:pPr>
      <w:r>
        <w:rPr>
          <w:rFonts w:ascii="Times New Roman" w:hAnsi="Times New Roman"/>
          <w:noProof/>
          <w:sz w:val="20"/>
          <w:lang w:val="fr-BE"/>
        </w:rPr>
        <w:t>Source: Commission européenne, base de données AMECO.</w:t>
      </w:r>
    </w:p>
    <w:p w:rsidR="00723CC0" w:rsidRDefault="00723CC0">
      <w:pPr>
        <w:spacing w:line="360" w:lineRule="auto"/>
        <w:jc w:val="both"/>
        <w:rPr>
          <w:rFonts w:ascii="Times New Roman" w:hAnsi="Times New Roman" w:cs="Times New Roman"/>
          <w:b/>
          <w:noProof/>
          <w:sz w:val="24"/>
          <w:szCs w:val="24"/>
          <w:highlight w:val="lightGray"/>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En 2017, la croissance des salaires réels est restée inférieure à celle de la productivité dans la plupart des États membres. </w:t>
      </w:r>
      <w:r>
        <w:rPr>
          <w:rFonts w:ascii="Times New Roman" w:hAnsi="Times New Roman"/>
          <w:noProof/>
          <w:sz w:val="24"/>
          <w:lang w:val="fr-BE"/>
        </w:rPr>
        <w:t>Cette tendance se confirme également sur une période de trois ans (figure 9) et dans une perspective à plus long terme (graphique </w:t>
      </w:r>
      <w:r>
        <w:rPr>
          <w:rFonts w:ascii="Times New Roman" w:hAnsi="Times New Roman"/>
          <w:noProof/>
          <w:sz w:val="24"/>
          <w:lang w:val="fr-BE"/>
        </w:rPr>
        <w:t>10). Dans neuf pays (la Belgique, Chypre, la Croatie, la Finlande, la Grèce, l’Italie, les Pays-Bas, le Portugal et l’Espagne), la croissance des salaires réels a été négative au cours de la période 2015-2017. Mesurée sur un plus long terme (2000-2017), l’</w:t>
      </w:r>
      <w:r>
        <w:rPr>
          <w:rFonts w:ascii="Times New Roman" w:hAnsi="Times New Roman"/>
          <w:noProof/>
          <w:sz w:val="24"/>
          <w:lang w:val="fr-BE"/>
        </w:rPr>
        <w:t>évolution moyenne des salaires réels a également été en retrait par rapport à celle de la productivité. Au Portugal et en Italie, les salaires restent, en termes réels, inférieurs au niveau des salaires en l’an 2000. Récemment, la tendance s’est inversée d</w:t>
      </w:r>
      <w:r>
        <w:rPr>
          <w:rFonts w:ascii="Times New Roman" w:hAnsi="Times New Roman"/>
          <w:noProof/>
          <w:sz w:val="24"/>
          <w:lang w:val="fr-BE"/>
        </w:rPr>
        <w:t>ans la plupart des États membres d’Europe centrale et orientale où, au cours des trois dernières années, la croissance des salaires réels (corrigée du déflateur du PIB) a dépassé celle de la productivité, en partie du fait du processus de rattrapage vers l</w:t>
      </w:r>
      <w:r>
        <w:rPr>
          <w:rFonts w:ascii="Times New Roman" w:hAnsi="Times New Roman"/>
          <w:noProof/>
          <w:sz w:val="24"/>
          <w:lang w:val="fr-BE"/>
        </w:rPr>
        <w:t>e niveau des pays à revenus élevés. En 2017, le plus grand excédent de croissance des salaires réels par rapport à celle de la productivité a été observé dans les États membres baltes, en Bulgarie et en Slovaquie.</w:t>
      </w:r>
    </w:p>
    <w:p w:rsidR="00723CC0" w:rsidRDefault="00242021">
      <w:pPr>
        <w:pStyle w:val="caption1"/>
        <w:keepNext/>
        <w:spacing w:line="240" w:lineRule="auto"/>
        <w:rPr>
          <w:rFonts w:ascii="Times New Roman" w:hAnsi="Times New Roman"/>
          <w:noProof/>
          <w:sz w:val="24"/>
          <w:szCs w:val="24"/>
          <w:lang w:val="fr-BE"/>
        </w:rPr>
      </w:pPr>
      <w:bookmarkStart w:id="34" w:name="_Ref528664594"/>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9</w:t>
      </w:r>
      <w:r>
        <w:rPr>
          <w:rFonts w:ascii="Times New Roman" w:hAnsi="Times New Roman"/>
          <w:noProof/>
          <w:sz w:val="24"/>
          <w:szCs w:val="24"/>
        </w:rPr>
        <w:fldChar w:fldCharType="end"/>
      </w:r>
      <w:bookmarkEnd w:id="34"/>
      <w:r>
        <w:rPr>
          <w:rFonts w:ascii="Times New Roman" w:hAnsi="Times New Roman"/>
          <w:noProof/>
          <w:sz w:val="24"/>
          <w:lang w:val="fr-BE"/>
        </w:rPr>
        <w:t>: Rému</w:t>
      </w:r>
      <w:r>
        <w:rPr>
          <w:rFonts w:ascii="Times New Roman" w:hAnsi="Times New Roman"/>
          <w:noProof/>
          <w:sz w:val="24"/>
          <w:lang w:val="fr-BE"/>
        </w:rPr>
        <w:t>nération réelle par salarié et productivité, taux de croissance moyens 2015-2016-2017</w:t>
      </w:r>
    </w:p>
    <w:p w:rsidR="00723CC0" w:rsidRDefault="00242021">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3880237" cy="331569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3881474" cy="3316751"/>
                    </a:xfrm>
                    <a:prstGeom prst="rect">
                      <a:avLst/>
                    </a:prstGeom>
                    <a:noFill/>
                  </pic:spPr>
                </pic:pic>
              </a:graphicData>
            </a:graphic>
          </wp:inline>
        </w:drawing>
      </w:r>
    </w:p>
    <w:p w:rsidR="00723CC0" w:rsidRDefault="00242021">
      <w:pPr>
        <w:jc w:val="both"/>
        <w:rPr>
          <w:rFonts w:ascii="Times New Roman" w:eastAsia="Calibri" w:hAnsi="Times New Roman" w:cs="Times New Roman"/>
          <w:bCs/>
          <w:noProof/>
          <w:sz w:val="20"/>
          <w:szCs w:val="20"/>
          <w:lang w:val="fr-BE"/>
        </w:rPr>
      </w:pPr>
      <w:r>
        <w:rPr>
          <w:rFonts w:ascii="Times New Roman" w:hAnsi="Times New Roman"/>
          <w:b/>
          <w:i/>
          <w:noProof/>
          <w:sz w:val="20"/>
          <w:lang w:val="fr-BE"/>
        </w:rPr>
        <w:t>Source:</w:t>
      </w:r>
      <w:r>
        <w:rPr>
          <w:rFonts w:ascii="Times New Roman" w:hAnsi="Times New Roman"/>
          <w:noProof/>
          <w:sz w:val="20"/>
          <w:lang w:val="fr-BE"/>
        </w:rPr>
        <w:t xml:space="preserve"> Eurostat, comptes nationaux (calculs internes, d’après le «Rapport annuel 2018 sur l’évolution du marché du travail et des rémunérations en Europe»).</w:t>
      </w:r>
    </w:p>
    <w:p w:rsidR="00723CC0" w:rsidRDefault="00723CC0">
      <w:pPr>
        <w:spacing w:line="240" w:lineRule="auto"/>
        <w:jc w:val="both"/>
        <w:rPr>
          <w:rFonts w:ascii="Times New Roman" w:hAnsi="Times New Roman" w:cs="Times New Roman"/>
          <w:b/>
          <w:noProof/>
          <w:sz w:val="24"/>
          <w:szCs w:val="24"/>
          <w:lang w:val="fr-BE"/>
        </w:rPr>
      </w:pPr>
    </w:p>
    <w:p w:rsidR="00723CC0" w:rsidRDefault="00242021">
      <w:pPr>
        <w:spacing w:line="240" w:lineRule="auto"/>
        <w:jc w:val="both"/>
        <w:rPr>
          <w:rFonts w:ascii="Times New Roman" w:hAnsi="Times New Roman"/>
          <w:b/>
          <w:noProof/>
          <w:sz w:val="24"/>
          <w:lang w:val="fr-BE"/>
        </w:rPr>
      </w:pPr>
      <w:bookmarkStart w:id="35" w:name="_Ref528664600"/>
      <w:r>
        <w:rPr>
          <w:rFonts w:ascii="Times New Roman" w:hAnsi="Times New Roman"/>
          <w:b/>
          <w:noProof/>
          <w:sz w:val="24"/>
          <w:lang w:val="fr-BE"/>
        </w:rPr>
        <w:t>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10</w:t>
      </w:r>
      <w:r>
        <w:rPr>
          <w:rFonts w:ascii="Times New Roman" w:hAnsi="Times New Roman"/>
          <w:b/>
          <w:noProof/>
          <w:sz w:val="24"/>
          <w:szCs w:val="24"/>
        </w:rPr>
        <w:fldChar w:fldCharType="end"/>
      </w:r>
      <w:bookmarkEnd w:id="35"/>
      <w:r>
        <w:rPr>
          <w:rFonts w:ascii="Times New Roman" w:hAnsi="Times New Roman"/>
          <w:b/>
          <w:noProof/>
          <w:sz w:val="24"/>
          <w:lang w:val="fr-BE"/>
        </w:rPr>
        <w:t>: Évolution des salaires et de la productivité, variation moyenne 2000-2017, en %</w:t>
      </w:r>
    </w:p>
    <w:p w:rsidR="00723CC0" w:rsidRDefault="00242021">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820353" cy="265573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5829404" cy="2659865"/>
                    </a:xfrm>
                    <a:prstGeom prst="rect">
                      <a:avLst/>
                    </a:prstGeom>
                    <a:noFill/>
                  </pic:spPr>
                </pic:pic>
              </a:graphicData>
            </a:graphic>
          </wp:inline>
        </w:drawing>
      </w:r>
    </w:p>
    <w:p w:rsidR="00723CC0" w:rsidRDefault="00242021">
      <w:pPr>
        <w:spacing w:line="36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comptes nationaux (calculs internes).</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La croissance des salaires reste inférieure au résultat attendu sur la base des</w:t>
      </w:r>
      <w:r>
        <w:rPr>
          <w:rFonts w:ascii="Times New Roman" w:hAnsi="Times New Roman"/>
          <w:b/>
          <w:noProof/>
          <w:sz w:val="24"/>
          <w:lang w:val="fr-BE"/>
        </w:rPr>
        <w:t xml:space="preserve"> taux de chômage actuels.</w:t>
      </w:r>
      <w:r>
        <w:rPr>
          <w:rFonts w:ascii="Times New Roman" w:hAnsi="Times New Roman"/>
          <w:noProof/>
          <w:sz w:val="24"/>
          <w:lang w:val="fr-BE"/>
        </w:rPr>
        <w:t xml:space="preserve"> Au cours de la reprise, la croissance des salaires a été globalement modérée et ne semble pas avoir réagi à la baisse du taux de chômage, contrairement à ce qui avait été observé lors des cycles économiques précédents. Ce phénomèn</w:t>
      </w:r>
      <w:r>
        <w:rPr>
          <w:rFonts w:ascii="Times New Roman" w:hAnsi="Times New Roman"/>
          <w:noProof/>
          <w:sz w:val="24"/>
          <w:lang w:val="fr-BE"/>
        </w:rPr>
        <w:t>e a été appelé «l’aplatissement» apparent de la courbe de Phillips, qui illustre la relation entre la croissance salariale et le chômage. Comme le montre le graphique 11 pour la zone euro, il donne à penser que les salaires sont devenus moins réactifs au t</w:t>
      </w:r>
      <w:r>
        <w:rPr>
          <w:rFonts w:ascii="Times New Roman" w:hAnsi="Times New Roman"/>
          <w:noProof/>
          <w:sz w:val="24"/>
          <w:lang w:val="fr-BE"/>
        </w:rPr>
        <w:t>aux de chômage global dans l’économie.</w:t>
      </w:r>
    </w:p>
    <w:p w:rsidR="00723CC0" w:rsidRDefault="00242021">
      <w:pPr>
        <w:keepNext/>
        <w:spacing w:line="240" w:lineRule="auto"/>
        <w:jc w:val="both"/>
        <w:rPr>
          <w:rFonts w:ascii="Times New Roman" w:hAnsi="Times New Roman" w:cs="Times New Roman"/>
          <w:b/>
          <w:noProof/>
          <w:sz w:val="24"/>
          <w:szCs w:val="24"/>
          <w:lang w:val="fr-BE"/>
        </w:rPr>
      </w:pPr>
      <w:bookmarkStart w:id="36" w:name="_Ref527648288"/>
      <w:r>
        <w:rPr>
          <w:rFonts w:ascii="Times New Roman" w:hAnsi="Times New Roman"/>
          <w:b/>
          <w:noProof/>
          <w:sz w:val="24"/>
          <w:lang w:val="fr-BE"/>
        </w:rPr>
        <w:t>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11</w:t>
      </w:r>
      <w:r>
        <w:rPr>
          <w:rFonts w:ascii="Times New Roman" w:hAnsi="Times New Roman"/>
          <w:b/>
          <w:noProof/>
          <w:sz w:val="24"/>
          <w:szCs w:val="24"/>
        </w:rPr>
        <w:fldChar w:fldCharType="end"/>
      </w:r>
      <w:bookmarkEnd w:id="36"/>
      <w:r>
        <w:rPr>
          <w:rFonts w:ascii="Times New Roman" w:hAnsi="Times New Roman"/>
          <w:b/>
          <w:noProof/>
          <w:sz w:val="24"/>
          <w:lang w:val="fr-BE"/>
        </w:rPr>
        <w:t>: Courbe de Phillips pour la zone euro: taux de croissance de la rémunération par salarié, 2000-2017</w:t>
      </w:r>
    </w:p>
    <w:p w:rsidR="00723CC0" w:rsidRDefault="00242021">
      <w:pPr>
        <w:keepNext/>
        <w:spacing w:line="240" w:lineRule="auto"/>
        <w:rPr>
          <w:rFonts w:ascii="Times New Roman" w:hAnsi="Times New Roman" w:cs="Times New Roman"/>
          <w:b/>
          <w:iCs/>
          <w:noProof/>
          <w:sz w:val="24"/>
          <w:szCs w:val="24"/>
        </w:rPr>
      </w:pPr>
      <w:r>
        <w:rPr>
          <w:noProof/>
          <w:lang w:val="en-GB" w:eastAsia="en-GB" w:bidi="ar-SA"/>
        </w:rPr>
        <w:drawing>
          <wp:inline distT="0" distB="0" distL="0" distR="0">
            <wp:extent cx="5377563" cy="30907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83787" cy="3094336"/>
                    </a:xfrm>
                    <a:prstGeom prst="rect">
                      <a:avLst/>
                    </a:prstGeom>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Base de données AMECO de la DG «Affaires économiques et financières» </w:t>
      </w:r>
      <w:r>
        <w:rPr>
          <w:rFonts w:ascii="Times New Roman" w:hAnsi="Times New Roman"/>
          <w:noProof/>
          <w:sz w:val="20"/>
          <w:lang w:val="fr-BE"/>
        </w:rPr>
        <w:t>et Eurostat, EFT (calculs internes d’après le «Rapport annuel 2018 sur l’évolution du marché du travail et des rémunérations en Europe»).</w:t>
      </w:r>
    </w:p>
    <w:p w:rsidR="00723CC0" w:rsidRDefault="00723CC0">
      <w:pPr>
        <w:spacing w:line="360" w:lineRule="auto"/>
        <w:jc w:val="both"/>
        <w:rPr>
          <w:rFonts w:ascii="Times New Roman" w:hAnsi="Times New Roman" w:cs="Times New Roman"/>
          <w:b/>
          <w:noProof/>
          <w:sz w:val="24"/>
          <w:szCs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La croissance modérée des salaires nominaux au cours de la reprise s’explique par la faiblesse de l’inflation et de l</w:t>
      </w:r>
      <w:r>
        <w:rPr>
          <w:rFonts w:ascii="Times New Roman" w:hAnsi="Times New Roman"/>
          <w:b/>
          <w:noProof/>
          <w:sz w:val="24"/>
          <w:lang w:val="fr-BE"/>
        </w:rPr>
        <w:t>a croissance de la productivité, l’effet de certaines réformes du marché du travail et les réserves qui subsistent sur le marché du travail.</w:t>
      </w:r>
      <w:r>
        <w:rPr>
          <w:rFonts w:ascii="Times New Roman" w:hAnsi="Times New Roman"/>
          <w:noProof/>
          <w:sz w:val="24"/>
          <w:lang w:val="fr-BE"/>
        </w:rPr>
        <w:t xml:space="preserve"> Une partie importante de la modération des salaires nominaux peut s’expliquer par la faiblesse de l’inflation (1,5 </w:t>
      </w:r>
      <w:r>
        <w:rPr>
          <w:rFonts w:ascii="Times New Roman" w:hAnsi="Times New Roman"/>
          <w:noProof/>
          <w:sz w:val="24"/>
          <w:lang w:val="fr-BE"/>
        </w:rPr>
        <w:t>% en moyenne durant de la reprise, entre 2010 et 2017, contre 2,2 % pour la période 2000-2007). Dans le même temps, la croissance de la productivité réelle a légèrement augmenté (0,7 % en moyenne sur la période 2010-2017, contre 0,4 % avant la crise), mais</w:t>
      </w:r>
      <w:r>
        <w:rPr>
          <w:rFonts w:ascii="Times New Roman" w:hAnsi="Times New Roman"/>
          <w:noProof/>
          <w:sz w:val="24"/>
          <w:lang w:val="fr-BE"/>
        </w:rPr>
        <w:t xml:space="preserve"> elle s’est accompagnée d’un taux de chômage sensiblement plus élevé (11,7 % dans la période d’après-crise, contre 8,7 % avant la crise). Dans l’ensemble, des estimations récentes laissent à penser que l’inflation, la productivité et les réserves du marché</w:t>
      </w:r>
      <w:r>
        <w:rPr>
          <w:rFonts w:ascii="Times New Roman" w:hAnsi="Times New Roman"/>
          <w:noProof/>
          <w:sz w:val="24"/>
          <w:lang w:val="fr-BE"/>
        </w:rPr>
        <w:t xml:space="preserve"> du travail expliquent en grande partie la récente modération salariale (FMI, 2017</w:t>
      </w:r>
      <w:r>
        <w:rPr>
          <w:rStyle w:val="FootnoteReference"/>
          <w:rFonts w:ascii="Times New Roman" w:hAnsi="Times New Roman"/>
          <w:noProof/>
          <w:sz w:val="24"/>
        </w:rPr>
        <w:footnoteReference w:id="32"/>
      </w:r>
      <w:r>
        <w:rPr>
          <w:rFonts w:ascii="Times New Roman" w:hAnsi="Times New Roman"/>
          <w:noProof/>
          <w:sz w:val="24"/>
          <w:lang w:val="fr-BE"/>
        </w:rPr>
        <w:t>, Commission européenne, 2018</w:t>
      </w:r>
      <w:r>
        <w:rPr>
          <w:rStyle w:val="FootnoteReference"/>
          <w:rFonts w:ascii="Times New Roman" w:hAnsi="Times New Roman"/>
          <w:noProof/>
          <w:sz w:val="24"/>
        </w:rPr>
        <w:footnoteReference w:id="33"/>
      </w:r>
      <w:r>
        <w:rPr>
          <w:rFonts w:ascii="Times New Roman" w:hAnsi="Times New Roman"/>
          <w:noProof/>
          <w:sz w:val="24"/>
          <w:lang w:val="fr-BE"/>
        </w:rPr>
        <w:t>). Les réserves latentes du marché du travail, notamment un accroissement de la part des travailleurs à temps partiel sous-employés, peuvent co</w:t>
      </w:r>
      <w:r>
        <w:rPr>
          <w:rFonts w:ascii="Times New Roman" w:hAnsi="Times New Roman"/>
          <w:noProof/>
          <w:sz w:val="24"/>
          <w:lang w:val="fr-BE"/>
        </w:rPr>
        <w:t>ntribuer à la modération salariale dans certains États membres ayant un faible taux de chômage.</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Les rémunérations nettes convergent en Europe, la croissance observée étant rapide en Europe centrale et orientale et lente en Europe occidentale et méridionale</w:t>
      </w:r>
      <w:r>
        <w:rPr>
          <w:rFonts w:ascii="Times New Roman" w:hAnsi="Times New Roman"/>
          <w:b/>
          <w:noProof/>
          <w:sz w:val="24"/>
          <w:lang w:val="fr-BE"/>
        </w:rPr>
        <w:t>, en particulier dans les pays les plus touchés par la crise.</w:t>
      </w:r>
      <w:r>
        <w:rPr>
          <w:rFonts w:ascii="Times New Roman" w:hAnsi="Times New Roman"/>
          <w:noProof/>
          <w:sz w:val="24"/>
          <w:lang w:val="fr-BE"/>
        </w:rPr>
        <w:t xml:space="preserve"> La convergence des niveaux de revenu du travail est essentielle pour garantir que tous les citoyens de l’UE bénéficient d’un niveau de vie décent, comme préconisé dans le socle européen des droi</w:t>
      </w:r>
      <w:r>
        <w:rPr>
          <w:rFonts w:ascii="Times New Roman" w:hAnsi="Times New Roman"/>
          <w:noProof/>
          <w:sz w:val="24"/>
          <w:lang w:val="fr-BE"/>
        </w:rPr>
        <w:t>ts sociaux. Les faits montrent que ce processus de convergence est en cours, quoiqu’à un rythme peu soutenu, car des écarts importants subsistent d’un État membre à l’autre. En prenant comme référence un célibataire sans enfants percevant le salaire moyen,</w:t>
      </w:r>
      <w:r>
        <w:rPr>
          <w:rFonts w:ascii="Times New Roman" w:hAnsi="Times New Roman"/>
          <w:noProof/>
          <w:sz w:val="24"/>
          <w:lang w:val="fr-BE"/>
        </w:rPr>
        <w:t xml:space="preserve"> sur une période de trois ans (2013-2016), les rémunérations nettes</w:t>
      </w:r>
      <w:r>
        <w:rPr>
          <w:rStyle w:val="FootnoteReference"/>
          <w:rFonts w:ascii="Times New Roman" w:hAnsi="Times New Roman"/>
          <w:noProof/>
          <w:sz w:val="24"/>
        </w:rPr>
        <w:footnoteReference w:id="34"/>
      </w:r>
      <w:r>
        <w:rPr>
          <w:rFonts w:ascii="Times New Roman" w:hAnsi="Times New Roman"/>
          <w:noProof/>
          <w:sz w:val="24"/>
          <w:lang w:val="fr-BE"/>
        </w:rPr>
        <w:t xml:space="preserve"> ont le plus augmenté dans certains pays qui se caractérisent par les niveaux de salaires les plus bas. C’est la raison pour laquelle la Bulgarie, la Roumanie, la Lettonie, la Lituanie et </w:t>
      </w:r>
      <w:r>
        <w:rPr>
          <w:rFonts w:ascii="Times New Roman" w:hAnsi="Times New Roman"/>
          <w:noProof/>
          <w:sz w:val="24"/>
          <w:lang w:val="fr-BE"/>
        </w:rPr>
        <w:t>l’Estonie sont classés parmi les pays «faibles mais en voie d’amélioration». La Slovaquie et la Hongrie, qui ont pourtant connu elles aussi des augmentations supérieures à la moyenne, relèvent des «situations critiques», leur progression étant plus lente q</w:t>
      </w:r>
      <w:r>
        <w:rPr>
          <w:rFonts w:ascii="Times New Roman" w:hAnsi="Times New Roman"/>
          <w:noProof/>
          <w:sz w:val="24"/>
          <w:lang w:val="fr-BE"/>
        </w:rPr>
        <w:t>u’ailleurs. À l’opposé, la croissance des rémunérations nettes a été modérée (comprise entre 0,7 % et 2,1 %) dans tous les pays considérés comme les «meilleurs éléments» (Luxembourg, Royaume-Uni, Pays-Bas, Allemagne et Autriche). Les rémunérations nettes o</w:t>
      </w:r>
      <w:r>
        <w:rPr>
          <w:rFonts w:ascii="Times New Roman" w:hAnsi="Times New Roman"/>
          <w:noProof/>
          <w:sz w:val="24"/>
          <w:lang w:val="fr-BE"/>
        </w:rPr>
        <w:t>nt diminué ou n’ont pas augmenté au Portugal, en Grèce et en Belgique.</w:t>
      </w:r>
      <w:r>
        <w:rPr>
          <w:rFonts w:ascii="Times New Roman" w:hAnsi="Times New Roman"/>
          <w:noProof/>
          <w:sz w:val="24"/>
          <w:lang w:val="fr-BE"/>
        </w:rPr>
        <w:br w:type="page"/>
      </w:r>
    </w:p>
    <w:p w:rsidR="00723CC0" w:rsidRDefault="00723CC0">
      <w:pPr>
        <w:spacing w:line="360" w:lineRule="auto"/>
        <w:jc w:val="both"/>
        <w:rPr>
          <w:rFonts w:ascii="Times New Roman" w:hAnsi="Times New Roman" w:cs="Times New Roman"/>
          <w:b/>
          <w:noProof/>
          <w:sz w:val="24"/>
          <w:szCs w:val="24"/>
          <w:lang w:val="fr-BE"/>
        </w:rPr>
      </w:pPr>
    </w:p>
    <w:p w:rsidR="00723CC0" w:rsidRDefault="00242021">
      <w:pPr>
        <w:pStyle w:val="caption1"/>
        <w:keepNext/>
        <w:spacing w:line="240" w:lineRule="auto"/>
        <w:rPr>
          <w:rFonts w:ascii="Times New Roman" w:hAnsi="Times New Roman"/>
          <w:noProof/>
          <w:sz w:val="24"/>
          <w:szCs w:val="24"/>
          <w:highlight w:val="yellow"/>
          <w:lang w:val="fr-BE"/>
        </w:rPr>
      </w:pPr>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12</w:t>
      </w:r>
      <w:r>
        <w:rPr>
          <w:rFonts w:ascii="Times New Roman" w:hAnsi="Times New Roman"/>
          <w:noProof/>
          <w:sz w:val="24"/>
          <w:szCs w:val="24"/>
        </w:rPr>
        <w:fldChar w:fldCharType="end"/>
      </w:r>
      <w:r>
        <w:rPr>
          <w:rFonts w:ascii="Times New Roman" w:hAnsi="Times New Roman"/>
          <w:noProof/>
          <w:sz w:val="24"/>
          <w:lang w:val="fr-BE"/>
        </w:rPr>
        <w:t>: Rémunérations nettes et variation annuelle – moyenne sur trois ans (indicateur clé du tableau de bord social)</w:t>
      </w:r>
    </w:p>
    <w:p w:rsidR="00723CC0" w:rsidRDefault="00242021">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827945" cy="45720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5835552" cy="4577967"/>
                    </a:xfrm>
                    <a:prstGeom prst="rect">
                      <a:avLst/>
                    </a:prstGeom>
                    <a:noFill/>
                  </pic:spPr>
                </pic:pic>
              </a:graphicData>
            </a:graphic>
          </wp:inline>
        </w:drawing>
      </w:r>
    </w:p>
    <w:p w:rsidR="00723CC0" w:rsidRDefault="00242021">
      <w:pPr>
        <w:spacing w:line="240" w:lineRule="auto"/>
        <w:jc w:val="both"/>
        <w:rPr>
          <w:rFonts w:ascii="Times New Roman" w:hAnsi="Times New Roman"/>
          <w:noProof/>
          <w:sz w:val="20"/>
          <w:lang w:val="fr-BE"/>
        </w:rPr>
      </w:pPr>
      <w:r>
        <w:rPr>
          <w:rFonts w:ascii="Times New Roman" w:hAnsi="Times New Roman"/>
          <w:noProof/>
          <w:sz w:val="20"/>
          <w:lang w:val="fr-BE"/>
        </w:rPr>
        <w:t>Source: OCDE (calculs internes).</w:t>
      </w:r>
      <w:r>
        <w:rPr>
          <w:rFonts w:ascii="Times New Roman" w:hAnsi="Times New Roman"/>
          <w:noProof/>
          <w:sz w:val="20"/>
          <w:lang w:val="fr-BE"/>
        </w:rPr>
        <w:t xml:space="preserve"> Période: niveaux de 2016 (moyenne sur 3 ans) et variations annuelles moyennes au cours de la période 2013-2016. Remarque: les axes sont centrés sur la moyenne non pondérée de l’UE. La légende est présentée en annexe. Les États membres marqués d’un astéris</w:t>
      </w:r>
      <w:r>
        <w:rPr>
          <w:rFonts w:ascii="Times New Roman" w:hAnsi="Times New Roman"/>
          <w:noProof/>
          <w:sz w:val="20"/>
          <w:lang w:val="fr-BE"/>
        </w:rPr>
        <w:t>que sont ceux dans lesquels le coût salarial unitaire nominal dépasse le seuil fixé au titre de la procédure concernant les déséquilibres macroéconomiques (PDM). L’indicateur du tableau de bord de la PDM est la variation des coûts salariaux unitaires nomin</w:t>
      </w:r>
      <w:r>
        <w:rPr>
          <w:rFonts w:ascii="Times New Roman" w:hAnsi="Times New Roman"/>
          <w:noProof/>
          <w:sz w:val="20"/>
          <w:lang w:val="fr-BE"/>
        </w:rPr>
        <w:t>aux sur trois ans, en pourcentage. Le seuil est fixé à 9 % pour les pays de la zone euro et à 12 % pour les pays hors zone euro. Données non disponibles pour Chypre.</w:t>
      </w:r>
    </w:p>
    <w:p w:rsidR="00723CC0" w:rsidRDefault="00723CC0">
      <w:pPr>
        <w:spacing w:line="240" w:lineRule="auto"/>
        <w:jc w:val="both"/>
        <w:rPr>
          <w:rFonts w:ascii="Times New Roman" w:hAnsi="Times New Roman" w:cs="Times New Roman"/>
          <w:noProof/>
          <w:sz w:val="24"/>
          <w:szCs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Le taux de risque de pauvreté parmi les personnes qui travaillent reste nettement supérie</w:t>
      </w:r>
      <w:r>
        <w:rPr>
          <w:rFonts w:ascii="Times New Roman" w:hAnsi="Times New Roman"/>
          <w:b/>
          <w:noProof/>
          <w:sz w:val="24"/>
          <w:lang w:val="fr-BE"/>
        </w:rPr>
        <w:t>ur aux niveaux antérieurs à la crise et ne diminue que lentement</w:t>
      </w:r>
      <w:r>
        <w:rPr>
          <w:noProof/>
          <w:lang w:val="fr-BE"/>
        </w:rPr>
        <w:t>.</w:t>
      </w:r>
      <w:r>
        <w:rPr>
          <w:rFonts w:ascii="Times New Roman" w:hAnsi="Times New Roman"/>
          <w:noProof/>
          <w:sz w:val="24"/>
          <w:lang w:val="fr-BE"/>
        </w:rPr>
        <w:t xml:space="preserve"> La part des personnes qui, bien qu’elles aient un emploi, disposent d’un revenu disponible équivalent inférieur au seuil de risque de pauvreté est passée de 8,6 % en 2008 à 9,0 % en 2013 pui</w:t>
      </w:r>
      <w:r>
        <w:rPr>
          <w:rFonts w:ascii="Times New Roman" w:hAnsi="Times New Roman"/>
          <w:noProof/>
          <w:sz w:val="24"/>
          <w:lang w:val="fr-BE"/>
        </w:rPr>
        <w:t>s à 9,6 % en 2017. Le niveau le plus élevé a été enregistré en Roumanie (17,4 %), suivie par le Luxembourg, l’Espagne, la Grèce et l’Italie, qui présentent tous des taux supérieurs à 12 %. À l’opposé, le taux de risque de pauvreté parmi les personnes qui t</w:t>
      </w:r>
      <w:r>
        <w:rPr>
          <w:rFonts w:ascii="Times New Roman" w:hAnsi="Times New Roman"/>
          <w:noProof/>
          <w:sz w:val="24"/>
          <w:lang w:val="fr-BE"/>
        </w:rPr>
        <w:t>ravaillent est inférieur à 5 % en Finlande, en Tchéquie et en Irlande. Le taux de risque de pauvreté parmi les personnes qui travaillent a continué à augmenter dans plusieurs États membres en 2017, notamment (de plus de 0,5 point de pourcentage), en Hongri</w:t>
      </w:r>
      <w:r>
        <w:rPr>
          <w:rFonts w:ascii="Times New Roman" w:hAnsi="Times New Roman"/>
          <w:noProof/>
          <w:sz w:val="24"/>
          <w:lang w:val="fr-BE"/>
        </w:rPr>
        <w:t>e, en Italie, en Lettonie, en Slovénie, en Belgique et aux Pays-Bas (voir également la section 3.4).</w:t>
      </w:r>
    </w:p>
    <w:p w:rsidR="00723CC0" w:rsidRDefault="00242021">
      <w:pPr>
        <w:pStyle w:val="caption1"/>
        <w:keepNext/>
        <w:spacing w:line="240" w:lineRule="auto"/>
        <w:rPr>
          <w:rFonts w:ascii="Times New Roman" w:hAnsi="Times New Roman"/>
          <w:noProof/>
          <w:sz w:val="24"/>
          <w:szCs w:val="24"/>
          <w:highlight w:val="yellow"/>
          <w:lang w:val="fr-BE"/>
        </w:rPr>
      </w:pPr>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13</w:t>
      </w:r>
      <w:r>
        <w:rPr>
          <w:rFonts w:ascii="Times New Roman" w:hAnsi="Times New Roman"/>
          <w:noProof/>
          <w:sz w:val="24"/>
          <w:szCs w:val="24"/>
        </w:rPr>
        <w:fldChar w:fldCharType="end"/>
      </w:r>
      <w:r>
        <w:rPr>
          <w:rFonts w:ascii="Times New Roman" w:hAnsi="Times New Roman"/>
          <w:noProof/>
          <w:sz w:val="24"/>
          <w:lang w:val="fr-BE"/>
        </w:rPr>
        <w:t>: Taux de risque de pauvreté parmi les personnes qui travaillent, comparaison pluriannuelle</w:t>
      </w:r>
    </w:p>
    <w:p w:rsidR="00723CC0" w:rsidRDefault="00242021">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890516" cy="2737932"/>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5890700" cy="2738018"/>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Remarq</w:t>
      </w:r>
      <w:r>
        <w:rPr>
          <w:rFonts w:ascii="Times New Roman" w:hAnsi="Times New Roman"/>
          <w:noProof/>
          <w:sz w:val="20"/>
          <w:lang w:val="fr-BE"/>
        </w:rPr>
        <w:t>ue: pour la Croatie, les données datent de 2010 et non de 2008. Pour l’Irlande et le Royaume-Uni, elles datent de 2016 et non de 2017.</w:t>
      </w:r>
    </w:p>
    <w:p w:rsidR="00723CC0" w:rsidRDefault="00723CC0">
      <w:pPr>
        <w:spacing w:line="360" w:lineRule="auto"/>
        <w:jc w:val="both"/>
        <w:rPr>
          <w:rFonts w:ascii="Times New Roman" w:hAnsi="Times New Roman" w:cs="Times New Roman"/>
          <w:b/>
          <w:noProof/>
          <w:sz w:val="24"/>
          <w:szCs w:val="24"/>
          <w:lang w:val="fr-BE"/>
        </w:rPr>
      </w:pPr>
    </w:p>
    <w:p w:rsidR="00723CC0" w:rsidRDefault="00242021">
      <w:pPr>
        <w:spacing w:line="360" w:lineRule="auto"/>
        <w:jc w:val="both"/>
        <w:rPr>
          <w:rFonts w:ascii="Times New Roman" w:hAnsi="Times New Roman" w:cs="Times New Roman"/>
          <w:b/>
          <w:noProof/>
          <w:sz w:val="24"/>
          <w:szCs w:val="24"/>
          <w:lang w:val="fr-BE"/>
        </w:rPr>
      </w:pPr>
      <w:r>
        <w:rPr>
          <w:rFonts w:ascii="Times New Roman" w:hAnsi="Times New Roman"/>
          <w:b/>
          <w:noProof/>
          <w:sz w:val="24"/>
          <w:lang w:val="fr-BE"/>
        </w:rPr>
        <w:t xml:space="preserve">La dispersion salariale semble globalement stable en Europe. </w:t>
      </w:r>
      <w:r>
        <w:rPr>
          <w:rFonts w:ascii="Times New Roman" w:hAnsi="Times New Roman"/>
          <w:noProof/>
          <w:sz w:val="24"/>
          <w:lang w:val="fr-BE"/>
        </w:rPr>
        <w:t xml:space="preserve">La croissance des salaires, en particulier au bas de </w:t>
      </w:r>
      <w:r>
        <w:rPr>
          <w:rFonts w:ascii="Times New Roman" w:hAnsi="Times New Roman"/>
          <w:noProof/>
          <w:sz w:val="24"/>
          <w:lang w:val="fr-BE"/>
        </w:rPr>
        <w:t>l’échelle salariale, joue un rôle important dans la réduction des inégalités de revenus et du risque de pauvreté parmi les personnes qui travaillent. La dispersion des rémunérations brutes, mesurée par le rapport entre les 5</w:t>
      </w:r>
      <w:r>
        <w:rPr>
          <w:rFonts w:ascii="Times New Roman" w:hAnsi="Times New Roman"/>
          <w:noProof/>
          <w:sz w:val="24"/>
          <w:vertAlign w:val="superscript"/>
          <w:lang w:val="fr-BE"/>
        </w:rPr>
        <w:t>e</w:t>
      </w:r>
      <w:r>
        <w:rPr>
          <w:rFonts w:ascii="Times New Roman" w:hAnsi="Times New Roman"/>
          <w:noProof/>
          <w:sz w:val="24"/>
          <w:lang w:val="fr-BE"/>
        </w:rPr>
        <w:t xml:space="preserve"> et 1</w:t>
      </w:r>
      <w:r>
        <w:rPr>
          <w:rFonts w:ascii="Times New Roman" w:hAnsi="Times New Roman"/>
          <w:noProof/>
          <w:sz w:val="24"/>
          <w:vertAlign w:val="superscript"/>
          <w:lang w:val="fr-BE"/>
        </w:rPr>
        <w:t>er</w:t>
      </w:r>
      <w:r>
        <w:rPr>
          <w:rFonts w:ascii="Times New Roman" w:hAnsi="Times New Roman"/>
          <w:noProof/>
          <w:sz w:val="24"/>
          <w:lang w:val="fr-BE"/>
        </w:rPr>
        <w:t xml:space="preserve"> déciles (D5/D1), s’est </w:t>
      </w:r>
      <w:r>
        <w:rPr>
          <w:rFonts w:ascii="Times New Roman" w:hAnsi="Times New Roman"/>
          <w:noProof/>
          <w:sz w:val="24"/>
          <w:lang w:val="fr-BE"/>
        </w:rPr>
        <w:t>échelonnée entre 1,43 en Finlande et 1,90 en Tchéquie en 2016. La fixation institutionnelle des salaires peut avoir une incidence sur la dispersion de ceux-ci. En particulier, davantage de pouvoir de négociation collective tend à être associé à une moindre</w:t>
      </w:r>
      <w:r>
        <w:rPr>
          <w:rFonts w:ascii="Times New Roman" w:hAnsi="Times New Roman"/>
          <w:noProof/>
          <w:sz w:val="24"/>
          <w:lang w:val="fr-BE"/>
        </w:rPr>
        <w:t xml:space="preserve"> inégalité des rémunérations (Commission européenne, 2018</w:t>
      </w:r>
      <w:r>
        <w:rPr>
          <w:rStyle w:val="FootnoteReference"/>
          <w:rFonts w:ascii="Times New Roman" w:hAnsi="Times New Roman"/>
          <w:noProof/>
          <w:sz w:val="24"/>
        </w:rPr>
        <w:footnoteReference w:id="35"/>
      </w:r>
      <w:r>
        <w:rPr>
          <w:rFonts w:ascii="Times New Roman" w:hAnsi="Times New Roman"/>
          <w:noProof/>
          <w:sz w:val="24"/>
          <w:lang w:val="fr-BE"/>
        </w:rPr>
        <w:t>). La portée des négociations collectives varie considérablement en Europe, reflet des différences dans les traditions et les institutions nationales. En 2015, le pourcentage de travailleurs concern</w:t>
      </w:r>
      <w:r>
        <w:rPr>
          <w:rFonts w:ascii="Times New Roman" w:hAnsi="Times New Roman"/>
          <w:noProof/>
          <w:sz w:val="24"/>
          <w:lang w:val="fr-BE"/>
        </w:rPr>
        <w:t>és par le droit de négociation s’est échelonné de 98 % (en Autriche) à 7,1 % (en Lituanie).</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Dans la plupart des États membres, le salaire minimum légal constitue la limite inférieure de la distribution des salaires.</w:t>
      </w:r>
      <w:r>
        <w:rPr>
          <w:rFonts w:ascii="Times New Roman" w:hAnsi="Times New Roman"/>
          <w:noProof/>
          <w:sz w:val="24"/>
          <w:lang w:val="fr-BE"/>
        </w:rPr>
        <w:t xml:space="preserve"> Le salaire minimum peut accroître la par</w:t>
      </w:r>
      <w:r>
        <w:rPr>
          <w:rFonts w:ascii="Times New Roman" w:hAnsi="Times New Roman"/>
          <w:noProof/>
          <w:sz w:val="24"/>
          <w:lang w:val="fr-BE"/>
        </w:rPr>
        <w:t xml:space="preserve">ticipation au marché du travail de certains groupes et soutenir la demande agrégée par l’augmentation du revenu des familles percevant des salaires peu élevés, qui ont une plus grande propension à consommer. Dans le même temps, le salaire minimum augmente </w:t>
      </w:r>
      <w:r>
        <w:rPr>
          <w:rFonts w:ascii="Times New Roman" w:hAnsi="Times New Roman"/>
          <w:noProof/>
          <w:sz w:val="24"/>
          <w:lang w:val="fr-BE"/>
        </w:rPr>
        <w:t>le coût de l’embauche des travailleurs à bas salaire, ce qui risque de nuire aux possibilités d’emploi des groupes généralement peu rémunérés (par exemple, les jeunes et les travailleurs peu qualifiés), en fonction de la structure de l’économie et de la si</w:t>
      </w:r>
      <w:r>
        <w:rPr>
          <w:rFonts w:ascii="Times New Roman" w:hAnsi="Times New Roman"/>
          <w:noProof/>
          <w:sz w:val="24"/>
          <w:lang w:val="fr-BE"/>
        </w:rPr>
        <w:t>tuation macroéconomique. Un salaire minimum légal est fixé à l’échelon national dans la plupart des États membres, à l’exception de l’Autriche, de Chypre, du Danemark, de la Finlande, de l’Italie et de la Suède. Le niveau absolu du salaire minimum n’est pa</w:t>
      </w:r>
      <w:r>
        <w:rPr>
          <w:rFonts w:ascii="Times New Roman" w:hAnsi="Times New Roman"/>
          <w:noProof/>
          <w:sz w:val="24"/>
          <w:lang w:val="fr-BE"/>
        </w:rPr>
        <w:t>s une mesure très utile à des fins de comparaison internationale, car il ne prend pas en compte les différences de productivité de la main-d’œuvre et de prix entre les pays. Il est donc plus utile d’analyser le salaire minimum au regard du salaire moyen ou</w:t>
      </w:r>
      <w:r>
        <w:rPr>
          <w:rFonts w:ascii="Times New Roman" w:hAnsi="Times New Roman"/>
          <w:noProof/>
          <w:sz w:val="24"/>
          <w:lang w:val="fr-BE"/>
        </w:rPr>
        <w:t xml:space="preserve"> du salaire médian d’un pays. Le graphique 14 montre le salaire minimum en pourcentage du salaire médian dans les États membres de l’UE, tel que calculé par l’OCDE. C’est en France, en Slovénie, au Portugal, en Roumanie et au Luxembourg qu’on observe les r</w:t>
      </w:r>
      <w:r>
        <w:rPr>
          <w:rFonts w:ascii="Times New Roman" w:hAnsi="Times New Roman"/>
          <w:noProof/>
          <w:sz w:val="24"/>
          <w:lang w:val="fr-BE"/>
        </w:rPr>
        <w:t>apports les plus élevés entre le salaire minimum légal et le salaire médian. Les niveaux les plus bas sont observés en Espagne, en Tchéquie, en Estonie, aux Pays-Bas et en Irlande. Comme l’incidence potentielle sur l’emploi et les conditions de vie est plu</w:t>
      </w:r>
      <w:r>
        <w:rPr>
          <w:rFonts w:ascii="Times New Roman" w:hAnsi="Times New Roman"/>
          <w:noProof/>
          <w:sz w:val="24"/>
          <w:lang w:val="fr-BE"/>
        </w:rPr>
        <w:t>s élevée lorsqu’une grande part de la main-d’œuvre bénéficie du salaire minimum, cet indicateur devrait également être pris en considération dans l’examen des options stratégiques à l’échelon national. Des mesures ciblées visant à réduire le risque de pauv</w:t>
      </w:r>
      <w:r>
        <w:rPr>
          <w:rFonts w:ascii="Times New Roman" w:hAnsi="Times New Roman"/>
          <w:noProof/>
          <w:sz w:val="24"/>
          <w:lang w:val="fr-BE"/>
        </w:rPr>
        <w:t>reté parmi les personnes qui travaillent, telles que des prestations liées à l’emploi, devraient également être envisagées.</w:t>
      </w:r>
    </w:p>
    <w:p w:rsidR="00723CC0" w:rsidRDefault="00723CC0">
      <w:pPr>
        <w:rPr>
          <w:rFonts w:ascii="Times New Roman" w:hAnsi="Times New Roman"/>
          <w:b/>
          <w:noProof/>
          <w:sz w:val="24"/>
          <w:szCs w:val="24"/>
          <w:lang w:val="fr-BE"/>
        </w:rPr>
      </w:pPr>
    </w:p>
    <w:p w:rsidR="00723CC0" w:rsidRDefault="00242021">
      <w:pPr>
        <w:keepNext/>
        <w:rPr>
          <w:noProof/>
          <w:sz w:val="24"/>
          <w:szCs w:val="24"/>
          <w:lang w:val="fr-BE"/>
        </w:rPr>
      </w:pPr>
      <w:bookmarkStart w:id="37" w:name="_Ref528664646"/>
      <w:r>
        <w:rPr>
          <w:rFonts w:ascii="Times New Roman" w:hAnsi="Times New Roman"/>
          <w:b/>
          <w:noProof/>
          <w:sz w:val="24"/>
          <w:lang w:val="fr-BE"/>
        </w:rPr>
        <w:t>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14</w:t>
      </w:r>
      <w:r>
        <w:rPr>
          <w:rFonts w:ascii="Times New Roman" w:hAnsi="Times New Roman"/>
          <w:b/>
          <w:noProof/>
          <w:sz w:val="24"/>
          <w:szCs w:val="24"/>
        </w:rPr>
        <w:fldChar w:fldCharType="end"/>
      </w:r>
      <w:bookmarkEnd w:id="37"/>
      <w:r>
        <w:rPr>
          <w:rFonts w:ascii="Times New Roman" w:hAnsi="Times New Roman"/>
          <w:b/>
          <w:noProof/>
          <w:sz w:val="24"/>
          <w:lang w:val="fr-BE"/>
        </w:rPr>
        <w:t>: Salaire minimum en proportion de la rémunération médiane et de la rémunération moyenne des t</w:t>
      </w:r>
      <w:r>
        <w:rPr>
          <w:rFonts w:ascii="Times New Roman" w:hAnsi="Times New Roman"/>
          <w:b/>
          <w:noProof/>
          <w:sz w:val="24"/>
          <w:lang w:val="fr-BE"/>
        </w:rPr>
        <w:t>ravailleurs à plein temps (2017)</w:t>
      </w:r>
    </w:p>
    <w:p w:rsidR="00723CC0" w:rsidRDefault="00242021">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4842344" cy="243309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4858829" cy="2441382"/>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4"/>
          <w:szCs w:val="24"/>
          <w:highlight w:val="yellow"/>
          <w:lang w:val="fr-BE"/>
        </w:rPr>
      </w:pPr>
      <w:r>
        <w:rPr>
          <w:rFonts w:ascii="Times New Roman" w:hAnsi="Times New Roman"/>
          <w:noProof/>
          <w:sz w:val="20"/>
          <w:lang w:val="fr-BE"/>
        </w:rPr>
        <w:t xml:space="preserve">Source: OCDE. Remarques: L’Autriche, Chypre, le Danemark, la Finlande, l’Italie et la Suède n’ont pas de salaire minimum légal à l’échelon national. Pour la Bulgarie, la Croatie et Malte, aucune information n’est fournie </w:t>
      </w:r>
      <w:r>
        <w:rPr>
          <w:rFonts w:ascii="Times New Roman" w:hAnsi="Times New Roman"/>
          <w:noProof/>
          <w:sz w:val="20"/>
          <w:lang w:val="fr-BE"/>
        </w:rPr>
        <w:t xml:space="preserve">par l’OCDE. Il ressort des données d’Eurostat qu’en 2017, le salaire minimum mensuel correspond à 47,8 % de la valeur moyenne du salaire mensuel en Bulgarie, à 40,6 % en Croatie et à 43,6 % à Malte (industrie, construction et services; non comparables aux </w:t>
      </w:r>
      <w:r>
        <w:rPr>
          <w:rFonts w:ascii="Times New Roman" w:hAnsi="Times New Roman"/>
          <w:noProof/>
          <w:sz w:val="20"/>
          <w:lang w:val="fr-BE"/>
        </w:rPr>
        <w:t>chiffres de l’OCDE).</w:t>
      </w:r>
    </w:p>
    <w:p w:rsidR="00723CC0" w:rsidRDefault="00723CC0">
      <w:pPr>
        <w:spacing w:line="360" w:lineRule="auto"/>
        <w:jc w:val="both"/>
        <w:rPr>
          <w:rFonts w:ascii="Times New Roman" w:hAnsi="Times New Roman"/>
          <w:b/>
          <w:noProof/>
          <w:sz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La pression fiscale sur le travail en Europe a progressivement diminué ces dernières années, mais des différences importantes subsistent d’un État membre à l’autre. </w:t>
      </w:r>
      <w:r>
        <w:rPr>
          <w:rFonts w:ascii="Times New Roman" w:hAnsi="Times New Roman"/>
          <w:noProof/>
          <w:sz w:val="24"/>
          <w:lang w:val="fr-BE"/>
        </w:rPr>
        <w:t xml:space="preserve">En 2017, le coin fiscal pour un travailleur célibataire percevant le </w:t>
      </w:r>
      <w:r>
        <w:rPr>
          <w:rFonts w:ascii="Times New Roman" w:hAnsi="Times New Roman"/>
          <w:noProof/>
          <w:sz w:val="24"/>
          <w:lang w:val="fr-BE"/>
        </w:rPr>
        <w:t>salaire moyen allait de moins de 30 % en Irlande et à Malte à environ 50 % en Belgique, en Allemagne, en Hongrie, en Italie, en France et en Autriche. Pour les travailleurs à faible revenu (c’est-à-dire ceux dont la rémunération est inférieure ou égale à 6</w:t>
      </w:r>
      <w:r>
        <w:rPr>
          <w:rFonts w:ascii="Times New Roman" w:hAnsi="Times New Roman"/>
          <w:noProof/>
          <w:sz w:val="24"/>
          <w:lang w:val="fr-BE"/>
        </w:rPr>
        <w:t>7 % du salaire moyen), le coin fiscal allait d’environ 20 % à Malte et en Irlande à plus de 45 % en Belgique, en Hongrie et en Allemagne. Différents schémas se dégagent selon les pays en ce qui concerne la progressivité des taux d’imposition et l’effet red</w:t>
      </w:r>
      <w:r>
        <w:rPr>
          <w:rFonts w:ascii="Times New Roman" w:hAnsi="Times New Roman"/>
          <w:noProof/>
          <w:sz w:val="24"/>
          <w:lang w:val="fr-BE"/>
        </w:rPr>
        <w:t xml:space="preserve">istributif du système d’imposition (voir la section 3.4). En 2017, les réductions les plus importantes du coin fiscal pour les travailleurs célibataires percevant le salaire moyen ont été enregistrées en Hongrie (-2,1 points de pourcentage), au Luxembourg </w:t>
      </w:r>
      <w:r>
        <w:rPr>
          <w:rFonts w:ascii="Times New Roman" w:hAnsi="Times New Roman"/>
          <w:noProof/>
          <w:sz w:val="24"/>
          <w:lang w:val="fr-BE"/>
        </w:rPr>
        <w:t xml:space="preserve">(-1,8 point) et en Finlande (-1,2 point), la hausse la plus importante ayant été notée en Bulgarie (+ 0,6 point). Entre 2013 et 2017, le coin fiscal moyen non pondéré a diminué de 0,5 point de pourcentage dans l’UE (et de 0,8 point pour les travailleurs à </w:t>
      </w:r>
      <w:r>
        <w:rPr>
          <w:rFonts w:ascii="Times New Roman" w:hAnsi="Times New Roman"/>
          <w:noProof/>
          <w:sz w:val="24"/>
          <w:lang w:val="fr-BE"/>
        </w:rPr>
        <w:t>faible revenu, avec d’importantes réductions en Italie, en Hongrie, en France, en Belgique, en Roumanie et aux Pays-Bas). Au cours de la même période, on observe une certaine convergence du niveau du coin fiscal, la différence entre le plus élevé et le plu</w:t>
      </w:r>
      <w:r>
        <w:rPr>
          <w:rFonts w:ascii="Times New Roman" w:hAnsi="Times New Roman"/>
          <w:noProof/>
          <w:sz w:val="24"/>
          <w:lang w:val="fr-BE"/>
        </w:rPr>
        <w:t>s faible, mesurés sur le salaire moyen, diminuant de 2,1 points de pourcentage, et de 2,9 points pour les travailleurs à faible revenu. Cela est principalement dû aux réductions importantes dans certains des pays ayant les taux les plus élevés (Belgique, A</w:t>
      </w:r>
      <w:r>
        <w:rPr>
          <w:rFonts w:ascii="Times New Roman" w:hAnsi="Times New Roman"/>
          <w:noProof/>
          <w:sz w:val="24"/>
          <w:lang w:val="fr-BE"/>
        </w:rPr>
        <w:t>utriche, Hongrie, ainsi que l’Italie et la France, où elles n’ont concerné que les seuls travailleurs à faible revenu). D’importantes réductions du coin fiscal ont également été observées en Roumanie et aux Pays-Bas. Les augmentations de la pression fiscal</w:t>
      </w:r>
      <w:r>
        <w:rPr>
          <w:rFonts w:ascii="Times New Roman" w:hAnsi="Times New Roman"/>
          <w:noProof/>
          <w:sz w:val="24"/>
          <w:lang w:val="fr-BE"/>
        </w:rPr>
        <w:t>e au cours de la même période ont été moins prononcées, mais, en Tchéquie, en Slovénie et au Portugal, elles ont touché en particulier les travailleurs à faible revenu</w:t>
      </w:r>
      <w:r>
        <w:rPr>
          <w:rStyle w:val="FootnoteReference"/>
          <w:rFonts w:ascii="Times New Roman" w:hAnsi="Times New Roman"/>
          <w:noProof/>
          <w:sz w:val="24"/>
        </w:rPr>
        <w:footnoteReference w:id="36"/>
      </w:r>
      <w:r>
        <w:rPr>
          <w:rFonts w:ascii="Times New Roman" w:hAnsi="Times New Roman"/>
          <w:noProof/>
          <w:sz w:val="24"/>
          <w:lang w:val="fr-BE"/>
        </w:rPr>
        <w:t>.</w:t>
      </w:r>
    </w:p>
    <w:p w:rsidR="00723CC0" w:rsidRDefault="00242021">
      <w:pPr>
        <w:pStyle w:val="caption1"/>
        <w:keepNext/>
        <w:spacing w:line="240" w:lineRule="auto"/>
        <w:rPr>
          <w:rFonts w:ascii="Times New Roman" w:hAnsi="Times New Roman"/>
          <w:noProof/>
          <w:sz w:val="24"/>
          <w:szCs w:val="24"/>
          <w:lang w:val="fr-BE"/>
        </w:rPr>
      </w:pPr>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15</w:t>
      </w:r>
      <w:r>
        <w:rPr>
          <w:rFonts w:ascii="Times New Roman" w:hAnsi="Times New Roman"/>
          <w:noProof/>
          <w:sz w:val="24"/>
          <w:szCs w:val="24"/>
        </w:rPr>
        <w:fldChar w:fldCharType="end"/>
      </w:r>
      <w:r>
        <w:rPr>
          <w:rFonts w:ascii="Times New Roman" w:hAnsi="Times New Roman"/>
          <w:noProof/>
          <w:sz w:val="24"/>
          <w:lang w:val="fr-BE"/>
        </w:rPr>
        <w:t>: Coin fiscal sur le travail, niveau 2017 et vari</w:t>
      </w:r>
      <w:r>
        <w:rPr>
          <w:rFonts w:ascii="Times New Roman" w:hAnsi="Times New Roman"/>
          <w:noProof/>
          <w:sz w:val="24"/>
          <w:lang w:val="fr-BE"/>
        </w:rPr>
        <w:t>ation 2013/2017</w:t>
      </w:r>
    </w:p>
    <w:p w:rsidR="00723CC0" w:rsidRDefault="00242021">
      <w:pPr>
        <w:pStyle w:val="caption1"/>
        <w:keepNext/>
        <w:spacing w:line="240" w:lineRule="auto"/>
        <w:rPr>
          <w:rFonts w:ascii="Times New Roman" w:hAnsi="Times New Roman"/>
          <w:noProof/>
          <w:sz w:val="24"/>
          <w:szCs w:val="24"/>
        </w:rPr>
      </w:pPr>
      <w:r>
        <w:rPr>
          <w:rFonts w:ascii="Times New Roman" w:hAnsi="Times New Roman"/>
          <w:noProof/>
          <w:sz w:val="24"/>
          <w:szCs w:val="24"/>
          <w:lang w:val="en-GB" w:eastAsia="en-GB" w:bidi="ar-SA"/>
        </w:rPr>
        <w:drawing>
          <wp:inline distT="0" distB="0" distL="0" distR="0">
            <wp:extent cx="5419691" cy="32466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5422853" cy="3248548"/>
                    </a:xfrm>
                    <a:prstGeom prst="rect">
                      <a:avLst/>
                    </a:prstGeom>
                    <a:noFill/>
                  </pic:spPr>
                </pic:pic>
              </a:graphicData>
            </a:graphic>
          </wp:inline>
        </w:drawing>
      </w:r>
    </w:p>
    <w:p w:rsidR="00723CC0" w:rsidRDefault="00242021">
      <w:pPr>
        <w:pStyle w:val="caption1"/>
        <w:keepNext/>
        <w:spacing w:line="240" w:lineRule="auto"/>
        <w:rPr>
          <w:rFonts w:ascii="Times New Roman" w:hAnsi="Times New Roman"/>
          <w:noProof/>
          <w:sz w:val="24"/>
          <w:szCs w:val="24"/>
        </w:rPr>
      </w:pPr>
      <w:r>
        <w:rPr>
          <w:rFonts w:ascii="Times New Roman" w:hAnsi="Times New Roman"/>
          <w:noProof/>
          <w:sz w:val="24"/>
          <w:szCs w:val="24"/>
          <w:lang w:val="en-GB" w:eastAsia="en-GB" w:bidi="ar-SA"/>
        </w:rPr>
        <w:drawing>
          <wp:inline distT="0" distB="0" distL="0" distR="0">
            <wp:extent cx="5422790" cy="228738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5420954" cy="2286610"/>
                    </a:xfrm>
                    <a:prstGeom prst="rect">
                      <a:avLst/>
                    </a:prstGeom>
                    <a:noFill/>
                  </pic:spPr>
                </pic:pic>
              </a:graphicData>
            </a:graphic>
          </wp:inline>
        </w:drawing>
      </w:r>
    </w:p>
    <w:p w:rsidR="00723CC0" w:rsidRDefault="00242021">
      <w:pPr>
        <w:spacing w:line="240" w:lineRule="auto"/>
        <w:jc w:val="both"/>
        <w:rPr>
          <w:rFonts w:ascii="Times New Roman" w:hAnsi="Times New Roman"/>
          <w:noProof/>
          <w:sz w:val="20"/>
          <w:lang w:val="fr-BE"/>
        </w:rPr>
      </w:pPr>
      <w:r>
        <w:rPr>
          <w:rFonts w:ascii="Times New Roman" w:hAnsi="Times New Roman"/>
          <w:noProof/>
          <w:sz w:val="20"/>
          <w:lang w:val="fr-BE"/>
        </w:rPr>
        <w:t>Source: Base de données sur les impôts et les prestations, Commission européenne/OCDE. Remarque: les données correspondent à des ménages à revenu unique (sans enfants). Aucune donnée récente n’est disponible pour Chypre. Données mises à</w:t>
      </w:r>
      <w:r>
        <w:rPr>
          <w:rFonts w:ascii="Times New Roman" w:hAnsi="Times New Roman"/>
          <w:noProof/>
          <w:sz w:val="20"/>
          <w:lang w:val="fr-BE"/>
        </w:rPr>
        <w:t xml:space="preserve"> jour au 11 avril 2018.</w:t>
      </w:r>
    </w:p>
    <w:p w:rsidR="00723CC0" w:rsidRDefault="00723CC0">
      <w:pPr>
        <w:spacing w:line="240" w:lineRule="auto"/>
        <w:jc w:val="both"/>
        <w:rPr>
          <w:rFonts w:ascii="Times New Roman" w:hAnsi="Times New Roman" w:cs="Times New Roman"/>
          <w:noProof/>
          <w:sz w:val="20"/>
          <w:szCs w:val="20"/>
          <w:lang w:val="fr-BE"/>
        </w:rPr>
      </w:pPr>
    </w:p>
    <w:p w:rsidR="00723CC0" w:rsidRDefault="00242021">
      <w:pPr>
        <w:pStyle w:val="Heading3"/>
        <w:rPr>
          <w:noProof/>
          <w:lang w:val="fr-BE"/>
        </w:rPr>
      </w:pPr>
      <w:bookmarkStart w:id="38" w:name="_Toc527539784"/>
      <w:bookmarkStart w:id="39" w:name="_Toc530495151"/>
      <w:r>
        <w:rPr>
          <w:noProof/>
          <w:lang w:val="fr-BE"/>
        </w:rPr>
        <w:t>3.1.2</w:t>
      </w:r>
      <w:r>
        <w:rPr>
          <w:noProof/>
          <w:lang w:val="fr-BE"/>
        </w:rPr>
        <w:tab/>
        <w:t>Stratégies adoptées</w:t>
      </w:r>
      <w:bookmarkEnd w:id="38"/>
      <w:bookmarkEnd w:id="39"/>
    </w:p>
    <w:p w:rsidR="00723CC0" w:rsidRDefault="00242021">
      <w:pPr>
        <w:spacing w:line="360" w:lineRule="auto"/>
        <w:jc w:val="both"/>
        <w:rPr>
          <w:rFonts w:ascii="Times New Roman" w:hAnsi="Times New Roman"/>
          <w:noProof/>
          <w:sz w:val="24"/>
          <w:szCs w:val="24"/>
          <w:lang w:val="fr-BE"/>
        </w:rPr>
      </w:pPr>
      <w:r>
        <w:rPr>
          <w:rFonts w:ascii="Times New Roman" w:hAnsi="Times New Roman"/>
          <w:b/>
          <w:noProof/>
          <w:sz w:val="24"/>
          <w:lang w:val="fr-BE"/>
        </w:rPr>
        <w:t xml:space="preserve">Plusieurs États membres ont eu recours à des subventions à l’emploi pour la création d’emplois, dont l’ampleur diminue toutefois légèrement à mesure que le marché du travail reprend de la vigueur. </w:t>
      </w:r>
      <w:r>
        <w:rPr>
          <w:rFonts w:ascii="Times New Roman" w:hAnsi="Times New Roman"/>
          <w:noProof/>
          <w:sz w:val="24"/>
          <w:lang w:val="fr-BE"/>
        </w:rPr>
        <w:t>La plupa</w:t>
      </w:r>
      <w:r>
        <w:rPr>
          <w:rFonts w:ascii="Times New Roman" w:hAnsi="Times New Roman"/>
          <w:noProof/>
          <w:sz w:val="24"/>
          <w:lang w:val="fr-BE"/>
        </w:rPr>
        <w:t>rt des mesures prises dans ce domaine ciblent des groupes spécifiques confrontés à des problèmes d’intégration au marché du travail (par exemple les jeunes, les personnes âgées, les chômeurs de longue durée, les migrants, etc.) et consistent en des incitat</w:t>
      </w:r>
      <w:r>
        <w:rPr>
          <w:rFonts w:ascii="Times New Roman" w:hAnsi="Times New Roman"/>
          <w:noProof/>
          <w:sz w:val="24"/>
          <w:lang w:val="fr-BE"/>
        </w:rPr>
        <w:t>ions financières aux employeurs pour l’embauche de travailleurs ciblés.</w:t>
      </w:r>
      <w:r>
        <w:rPr>
          <w:rFonts w:ascii="Times New Roman" w:hAnsi="Times New Roman"/>
          <w:b/>
          <w:noProof/>
          <w:sz w:val="24"/>
          <w:lang w:val="fr-BE"/>
        </w:rPr>
        <w:t xml:space="preserve"> </w:t>
      </w:r>
      <w:r>
        <w:rPr>
          <w:rFonts w:ascii="Times New Roman" w:hAnsi="Times New Roman"/>
          <w:noProof/>
          <w:sz w:val="24"/>
          <w:lang w:val="fr-BE"/>
        </w:rPr>
        <w:t>Des subventions à l’embauche ciblées ont été introduites ou confirmées par plusieurs États membres (plus de détails à la section 3.2). Quelques pays ont également adopté des subvention</w:t>
      </w:r>
      <w:r>
        <w:rPr>
          <w:rFonts w:ascii="Times New Roman" w:hAnsi="Times New Roman"/>
          <w:noProof/>
          <w:sz w:val="24"/>
          <w:lang w:val="fr-BE"/>
        </w:rPr>
        <w:t>s à l’embauche pour un public plus large, assorties de conditions d’admissibilité plus souples voire inconditionnelles, généralement dans le but de promouvoir les emplois à durée indéterminée. En Grèce, des cycles supplémentaires de travaux publics ont été</w:t>
      </w:r>
      <w:r>
        <w:rPr>
          <w:rFonts w:ascii="Times New Roman" w:hAnsi="Times New Roman"/>
          <w:noProof/>
          <w:sz w:val="24"/>
          <w:lang w:val="fr-BE"/>
        </w:rPr>
        <w:t xml:space="preserve"> lancés en 2017 dans 51 communes et de nouveaux programmes sont en cours d’élaboration; en outre, un nouveau programme de travaux publics en matière de protection contre les incendies de forêt a été lancé en mai 2018. En octobre 2017, la Grèce a également </w:t>
      </w:r>
      <w:r>
        <w:rPr>
          <w:rFonts w:ascii="Times New Roman" w:hAnsi="Times New Roman"/>
          <w:noProof/>
          <w:sz w:val="24"/>
          <w:lang w:val="fr-BE"/>
        </w:rPr>
        <w:t>adopté un programme subventionnant les salaires des travailleurs sous contrat de prestation de services indépendants lorsque ces travailleurs sont embauchés comme salariés.</w:t>
      </w:r>
      <w:r>
        <w:rPr>
          <w:noProof/>
          <w:lang w:val="fr-BE"/>
        </w:rPr>
        <w:t xml:space="preserve"> </w:t>
      </w:r>
      <w:r>
        <w:rPr>
          <w:rFonts w:ascii="Times New Roman" w:hAnsi="Times New Roman"/>
          <w:noProof/>
          <w:sz w:val="24"/>
          <w:lang w:val="fr-BE"/>
        </w:rPr>
        <w:t xml:space="preserve">Enfin, un programme de subventions aux entreprises en faveur de l’emploi de 15 000 </w:t>
      </w:r>
      <w:r>
        <w:rPr>
          <w:rFonts w:ascii="Times New Roman" w:hAnsi="Times New Roman"/>
          <w:noProof/>
          <w:sz w:val="24"/>
          <w:lang w:val="fr-BE"/>
        </w:rPr>
        <w:t>chômeurs âgés de 30 à 49 ans a été lancé récemment. En France, les contrats subventionnés ont encore diminué en 2018, passant de 310 000 à 200 000, et ils sont désormais réservés aux personnes les plus vulnérables du secteur non marchand, notamment les jeu</w:t>
      </w:r>
      <w:r>
        <w:rPr>
          <w:rFonts w:ascii="Times New Roman" w:hAnsi="Times New Roman"/>
          <w:noProof/>
          <w:sz w:val="24"/>
          <w:lang w:val="fr-BE"/>
        </w:rPr>
        <w:t xml:space="preserve">nes et les chômeurs de longue durée. À compter de 2018, les régimes de contrats subventionnés existants ont été revus et renommés </w:t>
      </w:r>
      <w:r>
        <w:rPr>
          <w:rFonts w:ascii="Times New Roman" w:hAnsi="Times New Roman"/>
          <w:i/>
          <w:noProof/>
          <w:sz w:val="24"/>
          <w:lang w:val="fr-BE"/>
        </w:rPr>
        <w:t>Parcours Emploi Compétence</w:t>
      </w:r>
      <w:r>
        <w:rPr>
          <w:rFonts w:ascii="Times New Roman" w:hAnsi="Times New Roman"/>
          <w:noProof/>
          <w:sz w:val="24"/>
          <w:lang w:val="fr-BE"/>
        </w:rPr>
        <w:t>, la dimension de conseil et de formation étant renforcée. Dans ce contexte, une prime d’embauche ci</w:t>
      </w:r>
      <w:r>
        <w:rPr>
          <w:rFonts w:ascii="Times New Roman" w:hAnsi="Times New Roman"/>
          <w:noProof/>
          <w:sz w:val="24"/>
          <w:lang w:val="fr-BE"/>
        </w:rPr>
        <w:t xml:space="preserve">blée appelée </w:t>
      </w:r>
      <w:r>
        <w:rPr>
          <w:rFonts w:ascii="Times New Roman" w:hAnsi="Times New Roman"/>
          <w:i/>
          <w:noProof/>
          <w:sz w:val="24"/>
          <w:lang w:val="fr-BE"/>
        </w:rPr>
        <w:t>Emplois francs</w:t>
      </w:r>
      <w:r>
        <w:rPr>
          <w:rFonts w:ascii="Times New Roman" w:hAnsi="Times New Roman"/>
          <w:noProof/>
          <w:sz w:val="24"/>
          <w:lang w:val="fr-BE"/>
        </w:rPr>
        <w:t xml:space="preserve"> destinée au recrutement de demandeurs d’emploi issus des quartiers urbains les plus défavorisés (</w:t>
      </w:r>
      <w:r>
        <w:rPr>
          <w:rFonts w:ascii="Times New Roman" w:hAnsi="Times New Roman"/>
          <w:i/>
          <w:noProof/>
          <w:sz w:val="24"/>
          <w:lang w:val="fr-BE"/>
        </w:rPr>
        <w:t>Quartiers «Politique de la ville»</w:t>
      </w:r>
      <w:r>
        <w:rPr>
          <w:rFonts w:ascii="Times New Roman" w:hAnsi="Times New Roman"/>
          <w:noProof/>
          <w:sz w:val="24"/>
          <w:lang w:val="fr-BE"/>
        </w:rPr>
        <w:t xml:space="preserve">) est testée depuis avril 2018 dans dix territoires; elle n’est assortie d’aucune autre condition </w:t>
      </w:r>
      <w:r>
        <w:rPr>
          <w:rFonts w:ascii="Times New Roman" w:hAnsi="Times New Roman"/>
          <w:noProof/>
          <w:sz w:val="24"/>
          <w:lang w:val="fr-BE"/>
        </w:rPr>
        <w:t>que celle d’être un demandeur d’emploi résidant dans un des quartiers concernés. En outre, dans le cadre du nouveau plan de lutte contre la pauvreté, il a été décidé de prendre des mesures supplémentaires pour intégrer les personnes en difficulté sociale e</w:t>
      </w:r>
      <w:r>
        <w:rPr>
          <w:rFonts w:ascii="Times New Roman" w:hAnsi="Times New Roman"/>
          <w:noProof/>
          <w:sz w:val="24"/>
          <w:lang w:val="fr-BE"/>
        </w:rPr>
        <w:t>t ayant des difficultés d’emploi sur le marché du travail (</w:t>
      </w:r>
      <w:r>
        <w:rPr>
          <w:rFonts w:ascii="Times New Roman" w:hAnsi="Times New Roman"/>
          <w:i/>
          <w:noProof/>
          <w:sz w:val="24"/>
          <w:lang w:val="fr-BE"/>
        </w:rPr>
        <w:t>Insertion par l’activité économique</w:t>
      </w:r>
      <w:r>
        <w:rPr>
          <w:rFonts w:ascii="Times New Roman" w:hAnsi="Times New Roman"/>
          <w:noProof/>
          <w:sz w:val="24"/>
          <w:lang w:val="fr-BE"/>
        </w:rPr>
        <w:t xml:space="preserve">). L’Italie a introduit une réduction structurelle des cotisations pour les employeurs qui embauchent des jeunes ou des chômeurs de longue durée dans les régions </w:t>
      </w:r>
      <w:r>
        <w:rPr>
          <w:rFonts w:ascii="Times New Roman" w:hAnsi="Times New Roman"/>
          <w:noProof/>
          <w:sz w:val="24"/>
          <w:lang w:val="fr-BE"/>
        </w:rPr>
        <w:t>du Sud, de manière permanente ou en apprentissage. Le Portugal a mis en place un ensemble de mesures financières d’incitation à l’embauche permanente, sous la forme d’exonérations partielles des cotisations de sécurité sociale pour certains groupes vulnéra</w:t>
      </w:r>
      <w:r>
        <w:rPr>
          <w:rFonts w:ascii="Times New Roman" w:hAnsi="Times New Roman"/>
          <w:noProof/>
          <w:sz w:val="24"/>
          <w:lang w:val="fr-BE"/>
        </w:rPr>
        <w:t>bles (les jeunes, les chômeurs de longue durée, les personnes âgées). En Hongrie, le FSE contribue à renforcer le potentiel d’emploi des entreprises sociales grâce à des mesures incitatives et à des subventions pour la création d’emplois.</w:t>
      </w:r>
    </w:p>
    <w:p w:rsidR="00723CC0" w:rsidRDefault="00242021">
      <w:pPr>
        <w:spacing w:line="360" w:lineRule="auto"/>
        <w:jc w:val="both"/>
        <w:rPr>
          <w:rFonts w:ascii="Times New Roman" w:hAnsi="Times New Roman" w:cs="Times New Roman"/>
          <w:noProof/>
          <w:sz w:val="24"/>
          <w:szCs w:val="24"/>
          <w:highlight w:val="yellow"/>
          <w:lang w:val="fr-BE"/>
        </w:rPr>
      </w:pPr>
      <w:r>
        <w:rPr>
          <w:rFonts w:ascii="Times New Roman" w:hAnsi="Times New Roman"/>
          <w:b/>
          <w:noProof/>
          <w:sz w:val="24"/>
          <w:lang w:val="fr-BE"/>
        </w:rPr>
        <w:t>Certains États me</w:t>
      </w:r>
      <w:r>
        <w:rPr>
          <w:rFonts w:ascii="Times New Roman" w:hAnsi="Times New Roman"/>
          <w:b/>
          <w:noProof/>
          <w:sz w:val="24"/>
          <w:lang w:val="fr-BE"/>
        </w:rPr>
        <w:t xml:space="preserve">mbres prennent actuellement des mesures pour promouvoir l’esprit d’entreprise et les jeunes entreprises. </w:t>
      </w:r>
      <w:r>
        <w:rPr>
          <w:rFonts w:ascii="Times New Roman" w:hAnsi="Times New Roman"/>
          <w:noProof/>
          <w:sz w:val="24"/>
          <w:lang w:val="fr-BE"/>
        </w:rPr>
        <w:t>En Grèce, des subventions sont accordées pour une première embauche de salariés par de jeunes travailleurs indépendants ou des entreprises dirigées par</w:t>
      </w:r>
      <w:r>
        <w:rPr>
          <w:rFonts w:ascii="Times New Roman" w:hAnsi="Times New Roman"/>
          <w:noProof/>
          <w:sz w:val="24"/>
          <w:lang w:val="fr-BE"/>
        </w:rPr>
        <w:t xml:space="preserve"> des jeunes. En Lettonie, une nouvelle loi définit les grands principes et les modalités de travail des entreprises sociales. Un soutien sera apporté à environ 200 entreprises sociales. En outre, le seuil de chiffre d’affaires pour les redevables de la tax</w:t>
      </w:r>
      <w:r>
        <w:rPr>
          <w:rFonts w:ascii="Times New Roman" w:hAnsi="Times New Roman"/>
          <w:noProof/>
          <w:sz w:val="24"/>
          <w:lang w:val="fr-BE"/>
        </w:rPr>
        <w:t xml:space="preserve">e sur les microentreprises a été ramené de 100 000 EUR à 40 000 EUR et un taux unique de 15 % a été maintenu dont 80 % du montant perçu est affecté aux cotisations obligatoires du système public d’assurance. En Hongrie, depuis l’automne 2017, une facilité </w:t>
      </w:r>
      <w:r>
        <w:rPr>
          <w:rFonts w:ascii="Times New Roman" w:hAnsi="Times New Roman"/>
          <w:noProof/>
          <w:sz w:val="24"/>
          <w:lang w:val="fr-BE"/>
        </w:rPr>
        <w:t>de prêt (pouvant être combinée à plusieurs autres instruments de subvention) est disponible pour aider les particuliers à s’installer comme entrepreneurs ou pour promouvoir le développement des activités de marché des entreprises sociales. En Pologne, le g</w:t>
      </w:r>
      <w:r>
        <w:rPr>
          <w:rFonts w:ascii="Times New Roman" w:hAnsi="Times New Roman"/>
          <w:noProof/>
          <w:sz w:val="24"/>
          <w:lang w:val="fr-BE"/>
        </w:rPr>
        <w:t>ouvernement a adopté un projet de loi visant à réduire les cotisations de sécurité sociale des petites entreprises, dites «petites contributions au ZUS». En Slovaquie, une nouvelle législation a été adoptée concernant les conditions de l’aide publique en f</w:t>
      </w:r>
      <w:r>
        <w:rPr>
          <w:rFonts w:ascii="Times New Roman" w:hAnsi="Times New Roman"/>
          <w:noProof/>
          <w:sz w:val="24"/>
          <w:lang w:val="fr-BE"/>
        </w:rPr>
        <w:t xml:space="preserve">aveur de l’économie sociale et des entreprises sociales. En Finlande, à partir de 2018, il est possible de percevoir la prestation de chômage sous la forme d’une subvention au démarrage d’une nouvelle entreprise en tant qu’entrepreneur à temps partiel. En </w:t>
      </w:r>
      <w:r>
        <w:rPr>
          <w:rFonts w:ascii="Times New Roman" w:hAnsi="Times New Roman"/>
          <w:noProof/>
          <w:sz w:val="24"/>
          <w:lang w:val="fr-BE"/>
        </w:rPr>
        <w:t>outre, des discussions sont en cours sur la manière de faciliter la création d’entreprises par les chômeurs. Des mesures ont également été prises dans de nombreux États membres pour faire en sorte que les travailleurs indépendants jouissent de droits socia</w:t>
      </w:r>
      <w:r>
        <w:rPr>
          <w:rFonts w:ascii="Times New Roman" w:hAnsi="Times New Roman"/>
          <w:noProof/>
          <w:sz w:val="24"/>
          <w:lang w:val="fr-BE"/>
        </w:rPr>
        <w:t>ux adéquats (voir la section 3.3 sur la segmentation du marché du travail).</w:t>
      </w:r>
    </w:p>
    <w:p w:rsidR="00723CC0" w:rsidRDefault="00242021">
      <w:pPr>
        <w:spacing w:after="120" w:line="360" w:lineRule="auto"/>
        <w:jc w:val="both"/>
        <w:rPr>
          <w:rFonts w:ascii="Times New Roman" w:hAnsi="Times New Roman" w:cs="Times New Roman"/>
          <w:noProof/>
          <w:sz w:val="24"/>
          <w:szCs w:val="24"/>
          <w:lang w:val="fr-BE"/>
        </w:rPr>
      </w:pPr>
      <w:r>
        <w:rPr>
          <w:rFonts w:ascii="Times New Roman" w:hAnsi="Times New Roman"/>
          <w:b/>
          <w:noProof/>
          <w:sz w:val="24"/>
          <w:lang w:val="fr-BE"/>
        </w:rPr>
        <w:t>Certains États membres ont réduit les coûts de main-d’œuvre par une diminution du coin fiscal, souvent en ciblant les revenus les plus modestes</w:t>
      </w:r>
      <w:r>
        <w:rPr>
          <w:noProof/>
          <w:lang w:val="fr-BE"/>
        </w:rPr>
        <w:t>.</w:t>
      </w:r>
      <w:r>
        <w:rPr>
          <w:rFonts w:ascii="Times New Roman" w:hAnsi="Times New Roman"/>
          <w:noProof/>
          <w:sz w:val="24"/>
          <w:lang w:val="fr-BE"/>
        </w:rPr>
        <w:t xml:space="preserve"> La diminution du coin fiscal concernant surtout les bas salaires a été obtenue principalement au moyen de réformes axées sur l’imposition du revenu des personnes physiques, souvent par une augmentation des exonérations fiscales (la part du revenu qui est </w:t>
      </w:r>
      <w:r>
        <w:rPr>
          <w:rFonts w:ascii="Times New Roman" w:hAnsi="Times New Roman"/>
          <w:noProof/>
          <w:sz w:val="24"/>
          <w:lang w:val="fr-BE"/>
        </w:rPr>
        <w:t>exonérée d’impôts) ou par l’introduction d’une certaine progressivité dans l’ensemble du système. Par exemple, une réforme majeure a été adoptée en Lituanie, qui a modifié la loi sur l’impôt sur le revenu des personnes physiques, remplacé le taux forfaitai</w:t>
      </w:r>
      <w:r>
        <w:rPr>
          <w:rFonts w:ascii="Times New Roman" w:hAnsi="Times New Roman"/>
          <w:noProof/>
          <w:sz w:val="24"/>
          <w:lang w:val="fr-BE"/>
        </w:rPr>
        <w:t xml:space="preserve">re applicable jusque-là par une imposition progressive et augmenté le montant des revenus exonérés d’impôt. En Lettonie, une réforme fiscale majeure entraîne le remplacement d’un taux d’imposition uniforme de 23 % sur le revenu des personnes physiques par </w:t>
      </w:r>
      <w:r>
        <w:rPr>
          <w:rFonts w:ascii="Times New Roman" w:hAnsi="Times New Roman"/>
          <w:noProof/>
          <w:sz w:val="24"/>
          <w:lang w:val="fr-BE"/>
        </w:rPr>
        <w:t>un système progressif. Le montant des revenus exonérés a aussi été revu à la hausse. L’Estonie a également introduit des revenus non imposables. Les Pays-Bas ont annoncé qu’une réforme de l’impôt sur le revenu des personnes physiques devait être mise en œu</w:t>
      </w:r>
      <w:r>
        <w:rPr>
          <w:rFonts w:ascii="Times New Roman" w:hAnsi="Times New Roman"/>
          <w:noProof/>
          <w:sz w:val="24"/>
          <w:lang w:val="fr-BE"/>
        </w:rPr>
        <w:t>vre au cours des années 2019 et 2020. Elle comprendra une réduction du nombre de tranches d’imposition de quatre à deux, parallèlement à une augmentation du crédit d’impôt général et du crédit d’impôt sur les revenus professionnels. La réforme devrait rédu</w:t>
      </w:r>
      <w:r>
        <w:rPr>
          <w:rFonts w:ascii="Times New Roman" w:hAnsi="Times New Roman"/>
          <w:noProof/>
          <w:sz w:val="24"/>
          <w:lang w:val="fr-BE"/>
        </w:rPr>
        <w:t>ire la charge fiscale globale sur le travail, en particulier pour les niveaux de revenus moyens à élevés. En Roumanie, le taux forfaitaire de l’impôt sur le revenu des personnes physiques a été réduit: il passe de 16 % à 10 % à partir de 2018, parallèlemen</w:t>
      </w:r>
      <w:r>
        <w:rPr>
          <w:rFonts w:ascii="Times New Roman" w:hAnsi="Times New Roman"/>
          <w:noProof/>
          <w:sz w:val="24"/>
          <w:lang w:val="fr-BE"/>
        </w:rPr>
        <w:t>t à des changements majeurs dans l’articulation des cotisations de sécurité sociale. Le Portugal a introduit des réformes de l’impôt sur le revenu des personnes physiques destinées à réduire la charge fiscale des personnes à revenu faible ou moyen, notamme</w:t>
      </w:r>
      <w:r>
        <w:rPr>
          <w:rFonts w:ascii="Times New Roman" w:hAnsi="Times New Roman"/>
          <w:noProof/>
          <w:sz w:val="24"/>
          <w:lang w:val="fr-BE"/>
        </w:rPr>
        <w:t>nt par une augmentation du nombre de tranches d’imposition. D’autres États membres ont engagé des réformes dont la portée est plus étroite. Par exemple, à Malte, un abattement sur l’impôt sur le revenu professionnel, compris entre 40 et 68 EUR pour les per</w:t>
      </w:r>
      <w:r>
        <w:rPr>
          <w:rFonts w:ascii="Times New Roman" w:hAnsi="Times New Roman"/>
          <w:noProof/>
          <w:sz w:val="24"/>
          <w:lang w:val="fr-BE"/>
        </w:rPr>
        <w:t>sonnes percevant moins de 60 000 EUR par an, a été adopté. Le Royaume-Uni a augmenté l’abattement individuel à 11 850 GBP (environ 13 400 EUR) par an et relevé le seuil fixé pour le taux marginal le plus élevé de 45 000 GBP (environ 50 850 EUR) à 46 350 GB</w:t>
      </w:r>
      <w:r>
        <w:rPr>
          <w:rFonts w:ascii="Times New Roman" w:hAnsi="Times New Roman"/>
          <w:noProof/>
          <w:sz w:val="24"/>
          <w:lang w:val="fr-BE"/>
        </w:rPr>
        <w:t xml:space="preserve">P (environ 52 400 EUR). Au Danemark, la convention fiscale de 2018 renforce l’incitation à travailler à plein temps, en ciblant en particulier les chômeurs et les travailleurs à temps partiel. À Chypre, la loi sur les prestations familiales a été modifiée </w:t>
      </w:r>
      <w:r>
        <w:rPr>
          <w:rFonts w:ascii="Times New Roman" w:hAnsi="Times New Roman"/>
          <w:noProof/>
          <w:sz w:val="24"/>
          <w:lang w:val="fr-BE"/>
        </w:rPr>
        <w:t>pour augmenter le seuil de revenu admissible de 5 000 EUR pour chaque enfant supplémentaire au-delà des deux premiers.</w:t>
      </w:r>
    </w:p>
    <w:p w:rsidR="00723CC0" w:rsidRDefault="00242021">
      <w:pPr>
        <w:spacing w:after="120" w:line="360" w:lineRule="auto"/>
        <w:jc w:val="both"/>
        <w:rPr>
          <w:rFonts w:ascii="Times New Roman" w:hAnsi="Times New Roman" w:cs="Times New Roman"/>
          <w:noProof/>
          <w:sz w:val="24"/>
          <w:szCs w:val="24"/>
          <w:lang w:val="fr-BE"/>
        </w:rPr>
      </w:pPr>
      <w:r>
        <w:rPr>
          <w:rFonts w:ascii="Times New Roman" w:hAnsi="Times New Roman"/>
          <w:b/>
          <w:noProof/>
          <w:sz w:val="24"/>
          <w:lang w:val="fr-BE"/>
        </w:rPr>
        <w:t>Certains États membres ont également pris des mesures pour diminuer le coin fiscal en procédant à des réductions des cotisations de sécur</w:t>
      </w:r>
      <w:r>
        <w:rPr>
          <w:rFonts w:ascii="Times New Roman" w:hAnsi="Times New Roman"/>
          <w:b/>
          <w:noProof/>
          <w:sz w:val="24"/>
          <w:lang w:val="fr-BE"/>
        </w:rPr>
        <w:t>ité sociale.</w:t>
      </w:r>
      <w:r>
        <w:rPr>
          <w:rFonts w:ascii="Times New Roman" w:hAnsi="Times New Roman"/>
          <w:noProof/>
          <w:sz w:val="24"/>
          <w:lang w:val="fr-BE"/>
        </w:rPr>
        <w:t xml:space="preserve"> En France, la transformation du crédit d’impôt pour l’emploi et la compétitivité en réduction directe des cotisations de sécurité sociale sur les salaires inférieurs ou égaux à 2,5 fois le salaire minimum doit être mise en œuvre en 2019 (et co</w:t>
      </w:r>
      <w:r>
        <w:rPr>
          <w:rFonts w:ascii="Times New Roman" w:hAnsi="Times New Roman"/>
          <w:noProof/>
          <w:sz w:val="24"/>
          <w:lang w:val="fr-BE"/>
        </w:rPr>
        <w:t>mplétée par un renforcement des réductions pour les plus bas salaires, reporté à octobre 2019). En Croatie, l’assiette de calcul de la contribution de l’employeur à la sécurité sociale a été réduite de 50 % pour les travailleurs salariés depuis plus de dou</w:t>
      </w:r>
      <w:r>
        <w:rPr>
          <w:rFonts w:ascii="Times New Roman" w:hAnsi="Times New Roman"/>
          <w:noProof/>
          <w:sz w:val="24"/>
          <w:lang w:val="fr-BE"/>
        </w:rPr>
        <w:t>ze mois au salaire minimum. La Belgique a adopté une réduction des cotisations de sécurité sociale pour certains types de travail posté dans le secteur de la construction.</w:t>
      </w:r>
      <w:r>
        <w:rPr>
          <w:noProof/>
          <w:lang w:val="fr-BE"/>
        </w:rPr>
        <w:t xml:space="preserve"> </w:t>
      </w:r>
      <w:r>
        <w:rPr>
          <w:rFonts w:ascii="Times New Roman" w:hAnsi="Times New Roman"/>
          <w:noProof/>
          <w:sz w:val="24"/>
          <w:lang w:val="fr-BE"/>
        </w:rPr>
        <w:t>D’une manière plus générale, le système de participation aux bénéfices dans le secte</w:t>
      </w:r>
      <w:r>
        <w:rPr>
          <w:rFonts w:ascii="Times New Roman" w:hAnsi="Times New Roman"/>
          <w:noProof/>
          <w:sz w:val="24"/>
          <w:lang w:val="fr-BE"/>
        </w:rPr>
        <w:t>ur privé a été remplacé par une nouvelle prime (sous la forme d’un montant ou d’un pourcentage du salaire) qui ne peut excéder 30 % du salaire brut total. L’employeur est exonéré de cotisations sociales sur ces primes, le travailleur devant s’acquitter d’u</w:t>
      </w:r>
      <w:r>
        <w:rPr>
          <w:rFonts w:ascii="Times New Roman" w:hAnsi="Times New Roman"/>
          <w:noProof/>
          <w:sz w:val="24"/>
          <w:lang w:val="fr-BE"/>
        </w:rPr>
        <w:t>ne contribution de solidarité de 13,07 %.</w:t>
      </w:r>
    </w:p>
    <w:p w:rsidR="00723CC0" w:rsidRDefault="00242021">
      <w:pPr>
        <w:spacing w:after="120" w:line="360" w:lineRule="auto"/>
        <w:jc w:val="both"/>
        <w:rPr>
          <w:rFonts w:ascii="Times New Roman" w:hAnsi="Times New Roman"/>
          <w:noProof/>
          <w:sz w:val="24"/>
          <w:lang w:val="fr-BE"/>
        </w:rPr>
      </w:pPr>
      <w:r>
        <w:rPr>
          <w:rFonts w:ascii="Times New Roman" w:hAnsi="Times New Roman"/>
          <w:b/>
          <w:noProof/>
          <w:sz w:val="24"/>
          <w:lang w:val="fr-BE"/>
        </w:rPr>
        <w:t>Les cadres de fixation des salaires ont fait l’objet de réformes majeures au cours des dernières années.</w:t>
      </w:r>
      <w:r>
        <w:rPr>
          <w:rFonts w:ascii="Times New Roman" w:hAnsi="Times New Roman"/>
          <w:noProof/>
          <w:sz w:val="24"/>
          <w:lang w:val="fr-BE"/>
        </w:rPr>
        <w:t xml:space="preserve"> En Grèce, après la sortie du programme du MES en août 2018, deux principes de négociation collective suspendu</w:t>
      </w:r>
      <w:r>
        <w:rPr>
          <w:rFonts w:ascii="Times New Roman" w:hAnsi="Times New Roman"/>
          <w:noProof/>
          <w:sz w:val="24"/>
          <w:lang w:val="fr-BE"/>
        </w:rPr>
        <w:t>s en 2011 ont été réintroduits: la possibilité d’étendre administrativement les accords sectoriels aux parties non signataires et le principe de faveur (en cas de conflit de conventions collectives, par exemple entre la convention sectorielle et la convent</w:t>
      </w:r>
      <w:r>
        <w:rPr>
          <w:rFonts w:ascii="Times New Roman" w:hAnsi="Times New Roman"/>
          <w:noProof/>
          <w:sz w:val="24"/>
          <w:lang w:val="fr-BE"/>
        </w:rPr>
        <w:t>ion d’entreprise, la situation la plus favorable pour le travailleur prévaut). En Croatie, le projet de loi sur les salaires dans la fonction publique a défini le cadre du système de classes de paiement et des échelons de paiement, ainsi que de l’évaluatio</w:t>
      </w:r>
      <w:r>
        <w:rPr>
          <w:rFonts w:ascii="Times New Roman" w:hAnsi="Times New Roman"/>
          <w:noProof/>
          <w:sz w:val="24"/>
          <w:lang w:val="fr-BE"/>
        </w:rPr>
        <w:t>n de l’efficacité du travail. La France, s’appuyant sur des réformes précédentes, a affiné la définition du périmètre de chaque niveau de négociation collective. À l’avenir, la négociation au niveau sectoriel l’emportera sur le droit du travail national po</w:t>
      </w:r>
      <w:r>
        <w:rPr>
          <w:rFonts w:ascii="Times New Roman" w:hAnsi="Times New Roman"/>
          <w:noProof/>
          <w:sz w:val="24"/>
          <w:lang w:val="fr-BE"/>
        </w:rPr>
        <w:t xml:space="preserve">ur établir le cadre et les conditions d’utilisation des contrats à durée déterminée, des contrats basés sur des projets et de la période d’essai (voir également la section 3.3). Les accords à l’échelon de l’entreprise peuvent être moins favorables que les </w:t>
      </w:r>
      <w:r>
        <w:rPr>
          <w:rFonts w:ascii="Times New Roman" w:hAnsi="Times New Roman"/>
          <w:noProof/>
          <w:sz w:val="24"/>
          <w:lang w:val="fr-BE"/>
        </w:rPr>
        <w:t>accords de branche, à l’exception de 13 domaines de négociation définis, dont le salaire minimum sectoriel, les accords de branche étant applicables en l’absence d’accord conclu à l’échelon de l’entreprise. En outre, les «accords de compétitivité», conclus</w:t>
      </w:r>
      <w:r>
        <w:rPr>
          <w:rFonts w:ascii="Times New Roman" w:hAnsi="Times New Roman"/>
          <w:noProof/>
          <w:sz w:val="24"/>
          <w:lang w:val="fr-BE"/>
        </w:rPr>
        <w:t xml:space="preserve"> à la majorité à l’échelon de l’entreprise afin de préserver l’emploi, voient désormais leur portée étendue au-delà des conditions de temps de travail pour inclure également la rémunération, et permettent par ailleurs aux entreprises de licencier, pour des</w:t>
      </w:r>
      <w:r>
        <w:rPr>
          <w:rFonts w:ascii="Times New Roman" w:hAnsi="Times New Roman"/>
          <w:noProof/>
          <w:sz w:val="24"/>
          <w:lang w:val="fr-BE"/>
        </w:rPr>
        <w:t xml:space="preserve"> motifs réels et sérieux, les salariés qui refusent de tels accords. En Italie, en mars 2018, un accord entre les principaux syndicats et les organisations d’employeurs a ouvert la voie à un renforcement de la négociation collective en définissant des crit</w:t>
      </w:r>
      <w:r>
        <w:rPr>
          <w:rFonts w:ascii="Times New Roman" w:hAnsi="Times New Roman"/>
          <w:noProof/>
          <w:sz w:val="24"/>
          <w:lang w:val="fr-BE"/>
        </w:rPr>
        <w:t>ères permettant de mesurer la représentativité des associations de partenaires sociaux. À Chypre, un nouvel accord sur l’indice d’ajustement des prix au coût de la vie est entré en vigueur en 2018, entraînant une augmentation limitée des salaires et défini</w:t>
      </w:r>
      <w:r>
        <w:rPr>
          <w:rFonts w:ascii="Times New Roman" w:hAnsi="Times New Roman"/>
          <w:noProof/>
          <w:sz w:val="24"/>
          <w:lang w:val="fr-BE"/>
        </w:rPr>
        <w:t xml:space="preserve">ssant des critères sur la fréquence et la nature des ajustements périodiques. En Lettonie, de nouvelles conditions sont fixées pour la rémunération des heures supplémentaires, avec la participation des partenaires sociaux, parallèlement à des négociations </w:t>
      </w:r>
      <w:r>
        <w:rPr>
          <w:rFonts w:ascii="Times New Roman" w:hAnsi="Times New Roman"/>
          <w:noProof/>
          <w:sz w:val="24"/>
          <w:lang w:val="fr-BE"/>
        </w:rPr>
        <w:t>sur le salaire minimum sectoriel. Au Portugal, une série de mesures, actuellement en cours d’examen au Parlement, a été convenue avec les partenaires sociaux afin d’améliorer le champ d’application des négociations collectives. En particulier, les «banques</w:t>
      </w:r>
      <w:r>
        <w:rPr>
          <w:rFonts w:ascii="Times New Roman" w:hAnsi="Times New Roman"/>
          <w:noProof/>
          <w:sz w:val="24"/>
          <w:lang w:val="fr-BE"/>
        </w:rPr>
        <w:t xml:space="preserve"> d’heures» ne seraient plus convenues sur une base individuelle, mais dans le cadre de négociations collectives ou d’accords de groupe, à conclure après consultation des travailleurs (voir également la section 3.3). En Espagne, les partenaires sociaux ont </w:t>
      </w:r>
      <w:r>
        <w:rPr>
          <w:rFonts w:ascii="Times New Roman" w:hAnsi="Times New Roman"/>
          <w:noProof/>
          <w:sz w:val="24"/>
          <w:lang w:val="fr-BE"/>
        </w:rPr>
        <w:t>conclu en juin 2018 un accord salarial préliminaire pour 2018 qui prévoit une augmentation générale de 2 % (légèrement supérieure au taux d’inflation prévu) et de 1 % supplémentaire en fonction des résultats, de la productivité et des taux d’absentéisme de</w:t>
      </w:r>
      <w:r>
        <w:rPr>
          <w:rFonts w:ascii="Times New Roman" w:hAnsi="Times New Roman"/>
          <w:noProof/>
          <w:sz w:val="24"/>
          <w:lang w:val="fr-BE"/>
        </w:rPr>
        <w:t xml:space="preserve"> l’entreprise/du secteur. La Roumanie a rendu la négociation salariale obligatoire pour toutes les entreprises. L’Irlande a introduit la possibilité de négociation collective pour certaines catégories de travailleurs indépendants et la Slovaquie a réintrod</w:t>
      </w:r>
      <w:r>
        <w:rPr>
          <w:rFonts w:ascii="Times New Roman" w:hAnsi="Times New Roman"/>
          <w:noProof/>
          <w:sz w:val="24"/>
          <w:lang w:val="fr-BE"/>
        </w:rPr>
        <w:t>uit l’application, dans des conditions spécifiques, de conventions collectives conclues à un échelon supérieur aux employeurs qui n’adhèrent pas à ces conventions, sans le consentement de ceux-ci.</w:t>
      </w:r>
    </w:p>
    <w:p w:rsidR="00723CC0" w:rsidRDefault="00242021">
      <w:pPr>
        <w:spacing w:after="120" w:line="360" w:lineRule="auto"/>
        <w:jc w:val="both"/>
        <w:rPr>
          <w:rFonts w:ascii="Times New Roman" w:hAnsi="Times New Roman" w:cs="Times New Roman"/>
          <w:noProof/>
          <w:sz w:val="24"/>
          <w:szCs w:val="24"/>
          <w:lang w:val="fr-BE"/>
        </w:rPr>
      </w:pPr>
      <w:r>
        <w:rPr>
          <w:rFonts w:ascii="Times New Roman" w:hAnsi="Times New Roman"/>
          <w:b/>
          <w:noProof/>
          <w:sz w:val="24"/>
          <w:lang w:val="fr-BE"/>
        </w:rPr>
        <w:t>La situation sur le marché du travail s’améliorant, le sala</w:t>
      </w:r>
      <w:r>
        <w:rPr>
          <w:rFonts w:ascii="Times New Roman" w:hAnsi="Times New Roman"/>
          <w:b/>
          <w:noProof/>
          <w:sz w:val="24"/>
          <w:lang w:val="fr-BE"/>
        </w:rPr>
        <w:t>ire minimum a été augmenté dans plusieurs pays, tandis que des mesures ont également été prises afin de rendre le cadre de fixation du salaire minimum plus prévisible</w:t>
      </w:r>
      <w:r>
        <w:rPr>
          <w:noProof/>
          <w:lang w:val="fr-BE"/>
        </w:rPr>
        <w:t>.</w:t>
      </w:r>
      <w:r>
        <w:rPr>
          <w:rFonts w:ascii="Times New Roman" w:hAnsi="Times New Roman"/>
          <w:noProof/>
          <w:sz w:val="24"/>
          <w:lang w:val="fr-BE"/>
        </w:rPr>
        <w:t xml:space="preserve"> Le salaire minimum légal a augmenté dans tous les pays dans lesquels des changements ont</w:t>
      </w:r>
      <w:r>
        <w:rPr>
          <w:rFonts w:ascii="Times New Roman" w:hAnsi="Times New Roman"/>
          <w:noProof/>
          <w:sz w:val="24"/>
          <w:lang w:val="fr-BE"/>
        </w:rPr>
        <w:t xml:space="preserve"> eu lieu entre 2017 et 2018, à l’exception de l’Allemagne, de la Grèce, du Luxembourg et de la Belgique, où une diminution en termes réels a été observée</w:t>
      </w:r>
      <w:r>
        <w:rPr>
          <w:rStyle w:val="FootnoteReference"/>
          <w:rFonts w:ascii="Times New Roman" w:hAnsi="Times New Roman"/>
          <w:noProof/>
          <w:sz w:val="24"/>
        </w:rPr>
        <w:footnoteReference w:id="37"/>
      </w:r>
      <w:r>
        <w:rPr>
          <w:rFonts w:ascii="Times New Roman" w:hAnsi="Times New Roman"/>
          <w:noProof/>
          <w:sz w:val="24"/>
          <w:lang w:val="fr-BE"/>
        </w:rPr>
        <w:t>. Ces dernières années, des groupes d’experts ont participé à la fixation du salaire minimum dans un n</w:t>
      </w:r>
      <w:r>
        <w:rPr>
          <w:rFonts w:ascii="Times New Roman" w:hAnsi="Times New Roman"/>
          <w:noProof/>
          <w:sz w:val="24"/>
          <w:lang w:val="fr-BE"/>
        </w:rPr>
        <w:t xml:space="preserve">ombre croissant de pays, dont l’Allemagne et l’Irlande. Malte mettra en place un tel groupe en 2018 et la possibilité de faire intervenir des experts est discutée en Bulgarie et en Roumanie. L’Estonie a adopté une augmentation du salaire minimum de 30 EUR </w:t>
      </w:r>
      <w:r>
        <w:rPr>
          <w:rFonts w:ascii="Times New Roman" w:hAnsi="Times New Roman"/>
          <w:noProof/>
          <w:sz w:val="24"/>
          <w:lang w:val="fr-BE"/>
        </w:rPr>
        <w:t>en 2018 pour porter ce salaire à 500 EUR, tout en ancrant la formule de calcul des augmentations futures aux prévisions officielles de la productivité du travail et de la croissance économique. L’Irlande a augmenté le salaire minimum national de 30 cents à</w:t>
      </w:r>
      <w:r>
        <w:rPr>
          <w:rFonts w:ascii="Times New Roman" w:hAnsi="Times New Roman"/>
          <w:noProof/>
          <w:sz w:val="24"/>
          <w:lang w:val="fr-BE"/>
        </w:rPr>
        <w:t xml:space="preserve"> 9,55 EUR/heure, suivant en cela l’avis de la </w:t>
      </w:r>
      <w:r>
        <w:rPr>
          <w:rFonts w:ascii="Times New Roman" w:hAnsi="Times New Roman"/>
          <w:i/>
          <w:noProof/>
          <w:sz w:val="24"/>
          <w:lang w:val="fr-BE"/>
        </w:rPr>
        <w:t>Low Pay Commission</w:t>
      </w:r>
      <w:r>
        <w:rPr>
          <w:rFonts w:ascii="Times New Roman" w:hAnsi="Times New Roman"/>
          <w:noProof/>
          <w:sz w:val="24"/>
          <w:lang w:val="fr-BE"/>
        </w:rPr>
        <w:t>, qui a également tenu compte de l’évolution de la compétitivité et de l’incidence sur l’emploi. En Espagne, une loi (convenue avec les partenaires sociaux) a augmenté le salaire minimum en 20</w:t>
      </w:r>
      <w:r>
        <w:rPr>
          <w:rFonts w:ascii="Times New Roman" w:hAnsi="Times New Roman"/>
          <w:noProof/>
          <w:sz w:val="24"/>
          <w:lang w:val="fr-BE"/>
        </w:rPr>
        <w:t>18 de 4 % par rapport à 2017 et de nouvelles augmentations ont été proposées pour 2019. En Croatie, outre l’augmentation du salaire minimum et la réduction des cotisations d’assurance maladie versées par les employeurs, un nouveau règlement dispose que les</w:t>
      </w:r>
      <w:r>
        <w:rPr>
          <w:rFonts w:ascii="Times New Roman" w:hAnsi="Times New Roman"/>
          <w:noProof/>
          <w:sz w:val="24"/>
          <w:lang w:val="fr-BE"/>
        </w:rPr>
        <w:t xml:space="preserve"> rémunérations complémentaires (liées au travail supplémentaire, au travail de nuit ou au travail pendant les vacances) sont exclues de la définition du salaire minimum. La Lettonie a introduit une augmentation du salaire minimum, le portant de 380 EUR par</w:t>
      </w:r>
      <w:r>
        <w:rPr>
          <w:rFonts w:ascii="Times New Roman" w:hAnsi="Times New Roman"/>
          <w:noProof/>
          <w:sz w:val="24"/>
          <w:lang w:val="fr-BE"/>
        </w:rPr>
        <w:t xml:space="preserve"> mois à 430 EUR par mois à partir de 2018. En Hongrie, le salaire minimum a été augmenté de 8 % à 138 000 HUF, soit environ 440 EUR, en 2018 (+ 12 % pour les travailleurs qualifiés). En Slovaquie, au 1</w:t>
      </w:r>
      <w:r>
        <w:rPr>
          <w:rFonts w:ascii="Times New Roman" w:hAnsi="Times New Roman"/>
          <w:noProof/>
          <w:sz w:val="24"/>
          <w:vertAlign w:val="superscript"/>
          <w:lang w:val="fr-BE"/>
        </w:rPr>
        <w:t>er </w:t>
      </w:r>
      <w:r>
        <w:rPr>
          <w:rFonts w:ascii="Times New Roman" w:hAnsi="Times New Roman"/>
          <w:noProof/>
          <w:sz w:val="24"/>
          <w:lang w:val="fr-BE"/>
        </w:rPr>
        <w:t>janvier 2019, le salaire minimum sera porté à 520 EU</w:t>
      </w:r>
      <w:r>
        <w:rPr>
          <w:rFonts w:ascii="Times New Roman" w:hAnsi="Times New Roman"/>
          <w:noProof/>
          <w:sz w:val="24"/>
          <w:lang w:val="fr-BE"/>
        </w:rPr>
        <w:t>R, venant de 480 EUR. Le Royaume-Uni a relevé le salaire minimum vital national (à 7,83 GBP/heure, environ 6,9 EUR) en avril 2018, ainsi que le salaire minimum national pour les jeunes travailleurs. Le salaire minimum pour les jeunes travailleurs a égaleme</w:t>
      </w:r>
      <w:r>
        <w:rPr>
          <w:rFonts w:ascii="Times New Roman" w:hAnsi="Times New Roman"/>
          <w:noProof/>
          <w:sz w:val="24"/>
          <w:lang w:val="fr-BE"/>
        </w:rPr>
        <w:t>nt été augmenté aux Pays-Bas, tandis que l’Allemagne a instauré un salaire minimum pour les travailleurs intérimaires. Enfin, la Bulgarie a adopté la loi de ratification de la convention 131 de l’OIT en vue de parvenir à un consensus avec les partenaires s</w:t>
      </w:r>
      <w:r>
        <w:rPr>
          <w:rFonts w:ascii="Times New Roman" w:hAnsi="Times New Roman"/>
          <w:noProof/>
          <w:sz w:val="24"/>
          <w:lang w:val="fr-BE"/>
        </w:rPr>
        <w:t>ociaux sur la mise en place d’un mécanisme transparent de fixation du salaire minimum.</w:t>
      </w:r>
    </w:p>
    <w:p w:rsidR="00723CC0" w:rsidRDefault="00242021">
      <w:pPr>
        <w:rPr>
          <w:rFonts w:ascii="Times New Roman" w:eastAsiaTheme="majorEastAsia" w:hAnsi="Times New Roman" w:cs="Times New Roman"/>
          <w:b/>
          <w:bCs/>
          <w:noProof/>
          <w:sz w:val="24"/>
          <w:lang w:val="fr-BE"/>
        </w:rPr>
      </w:pPr>
      <w:r>
        <w:rPr>
          <w:noProof/>
          <w:lang w:val="fr-BE"/>
        </w:rPr>
        <w:br w:type="page"/>
      </w:r>
    </w:p>
    <w:p w:rsidR="00723CC0" w:rsidRDefault="00242021">
      <w:pPr>
        <w:pStyle w:val="Heading3"/>
        <w:numPr>
          <w:ilvl w:val="1"/>
          <w:numId w:val="10"/>
        </w:numPr>
        <w:ind w:left="426"/>
        <w:jc w:val="both"/>
        <w:rPr>
          <w:rFonts w:cs="Times New Roman"/>
          <w:b/>
          <w:i w:val="0"/>
          <w:noProof/>
          <w:lang w:val="fr-BE"/>
        </w:rPr>
      </w:pPr>
      <w:bookmarkStart w:id="40" w:name="_Toc527539785"/>
      <w:bookmarkStart w:id="41" w:name="_Toc530495152"/>
      <w:r>
        <w:rPr>
          <w:b/>
          <w:i w:val="0"/>
          <w:noProof/>
          <w:lang w:val="fr-BE"/>
        </w:rPr>
        <w:t>Ligne directrice nº 6: Renforcer l’offre de travail et améliorer l’accès à l’emploi, les qualifications et les compétences</w:t>
      </w:r>
      <w:bookmarkEnd w:id="40"/>
      <w:bookmarkEnd w:id="41"/>
    </w:p>
    <w:p w:rsidR="00723CC0" w:rsidRDefault="00723CC0">
      <w:pPr>
        <w:rPr>
          <w:noProof/>
          <w:lang w:val="fr-BE"/>
        </w:rPr>
      </w:pPr>
    </w:p>
    <w:p w:rsidR="00723CC0" w:rsidRDefault="00242021">
      <w:pPr>
        <w:spacing w:before="120" w:after="240" w:line="360" w:lineRule="auto"/>
        <w:jc w:val="both"/>
        <w:rPr>
          <w:rFonts w:ascii="Times New Roman" w:eastAsia="Calibri" w:hAnsi="Times New Roman" w:cs="Times New Roman"/>
          <w:noProof/>
          <w:sz w:val="24"/>
          <w:szCs w:val="24"/>
          <w:lang w:val="fr-BE"/>
        </w:rPr>
      </w:pPr>
      <w:r>
        <w:rPr>
          <w:rFonts w:ascii="Times New Roman" w:hAnsi="Times New Roman"/>
          <w:noProof/>
          <w:sz w:val="24"/>
          <w:lang w:val="fr-BE"/>
        </w:rPr>
        <w:t>La présente section porte sur la mise en œu</w:t>
      </w:r>
      <w:r>
        <w:rPr>
          <w:rFonts w:ascii="Times New Roman" w:hAnsi="Times New Roman"/>
          <w:noProof/>
          <w:sz w:val="24"/>
          <w:lang w:val="fr-BE"/>
        </w:rPr>
        <w:t>vre de la ligne directrice pour l’emploi n° 6, qui recommande aux États membres de mettre en place un cadre soutenant l’offre de travail, les qualifications et les compétences. Elle permet de présenter des indicateurs relatifs au niveau d’enseignement et d</w:t>
      </w:r>
      <w:r>
        <w:rPr>
          <w:rFonts w:ascii="Times New Roman" w:hAnsi="Times New Roman"/>
          <w:noProof/>
          <w:sz w:val="24"/>
          <w:lang w:val="fr-BE"/>
        </w:rPr>
        <w:t>e formation, les résultats et leur incidence sur le développement des compétences et l’employabilité de la main-d’œuvre, et d’examiner ensuite les résultats sur le marché du travail concernant différentes catégories sous-représentées sur le marché du trava</w:t>
      </w:r>
      <w:r>
        <w:rPr>
          <w:rFonts w:ascii="Times New Roman" w:hAnsi="Times New Roman"/>
          <w:noProof/>
          <w:sz w:val="24"/>
          <w:lang w:val="fr-BE"/>
        </w:rPr>
        <w:t>il (par exemple, les jeunes, les travailleurs âgés, les femmes, les personnes issues de l’immigration et les personnes handicapées). La section 3.2.2 rend compte des mesures adoptées par les États membres dans ces domaines et des mesures ciblant ces groupe</w:t>
      </w:r>
      <w:r>
        <w:rPr>
          <w:rFonts w:ascii="Times New Roman" w:hAnsi="Times New Roman"/>
          <w:noProof/>
          <w:sz w:val="24"/>
          <w:lang w:val="fr-BE"/>
        </w:rPr>
        <w:t>s défavorisés.</w:t>
      </w:r>
    </w:p>
    <w:p w:rsidR="00723CC0" w:rsidRDefault="00723CC0">
      <w:pPr>
        <w:spacing w:before="120" w:after="240" w:line="360" w:lineRule="auto"/>
        <w:jc w:val="both"/>
        <w:rPr>
          <w:rFonts w:ascii="Times New Roman" w:eastAsia="Calibri" w:hAnsi="Times New Roman" w:cs="Times New Roman"/>
          <w:noProof/>
          <w:sz w:val="24"/>
          <w:szCs w:val="24"/>
          <w:lang w:val="fr-BE"/>
        </w:rPr>
      </w:pPr>
    </w:p>
    <w:p w:rsidR="00723CC0" w:rsidRDefault="00242021">
      <w:pPr>
        <w:pStyle w:val="Heading3"/>
        <w:rPr>
          <w:noProof/>
          <w:lang w:val="fr-BE"/>
        </w:rPr>
      </w:pPr>
      <w:bookmarkStart w:id="42" w:name="_Toc527539786"/>
      <w:bookmarkStart w:id="43" w:name="_Toc530495153"/>
      <w:r>
        <w:rPr>
          <w:noProof/>
          <w:lang w:val="fr-BE"/>
        </w:rPr>
        <w:t>3.2.1</w:t>
      </w:r>
      <w:r>
        <w:rPr>
          <w:noProof/>
          <w:lang w:val="fr-BE"/>
        </w:rPr>
        <w:tab/>
        <w:t>Indicateurs clés</w:t>
      </w:r>
      <w:bookmarkEnd w:id="42"/>
      <w:bookmarkEnd w:id="43"/>
    </w:p>
    <w:p w:rsidR="00723CC0" w:rsidRDefault="00242021">
      <w:pPr>
        <w:spacing w:before="120" w:after="240" w:line="360" w:lineRule="auto"/>
        <w:jc w:val="both"/>
        <w:rPr>
          <w:rFonts w:ascii="Times New Roman" w:eastAsia="Calibri" w:hAnsi="Times New Roman" w:cs="Times New Roman"/>
          <w:noProof/>
          <w:sz w:val="24"/>
          <w:szCs w:val="24"/>
          <w:lang w:val="fr-BE"/>
        </w:rPr>
      </w:pPr>
      <w:r>
        <w:rPr>
          <w:rFonts w:ascii="Times New Roman" w:hAnsi="Times New Roman"/>
          <w:b/>
          <w:noProof/>
          <w:sz w:val="24"/>
          <w:lang w:val="fr-BE"/>
        </w:rPr>
        <w:t xml:space="preserve">La part des jeunes ayant quitté prématurément le système d’éducation et de formation a continué à diminuer au fil des ans, bien que la tendance à la baisse ait récemment ralenti et que de grandes différences persistent entre les États membres. </w:t>
      </w:r>
      <w:r>
        <w:rPr>
          <w:rFonts w:ascii="Times New Roman" w:hAnsi="Times New Roman"/>
          <w:noProof/>
          <w:sz w:val="24"/>
          <w:lang w:val="fr-BE"/>
        </w:rPr>
        <w:t>De manière g</w:t>
      </w:r>
      <w:r>
        <w:rPr>
          <w:rFonts w:ascii="Times New Roman" w:hAnsi="Times New Roman"/>
          <w:noProof/>
          <w:sz w:val="24"/>
          <w:lang w:val="fr-BE"/>
        </w:rPr>
        <w:t xml:space="preserve">énérale, la moyenne du taux des jeunes ayant quitté prématurément le système d’éducation et de formation dans l’UE a diminué, passant de 14,7 % en 2008 à 11,9 % en 2013, puis à 10,6 % en 2017. La situation est restée quasiment stable par rapport à l’année </w:t>
      </w:r>
      <w:r>
        <w:rPr>
          <w:rFonts w:ascii="Times New Roman" w:hAnsi="Times New Roman"/>
          <w:noProof/>
          <w:sz w:val="24"/>
          <w:lang w:val="fr-BE"/>
        </w:rPr>
        <w:t>précédente, puisque la moyenne de l’UE s’établissait alors à 10,7 %. Dix-huit États membres ont atteint la valeur cible de l’UE (&lt; 10 %), l’Allemagne (10,1 %), le Royaume-Uni (10,6 %) et l’Estonie (10,8 %) étant en passe d’atteindre cet objectif. Lorsqu’on</w:t>
      </w:r>
      <w:r>
        <w:rPr>
          <w:rFonts w:ascii="Times New Roman" w:hAnsi="Times New Roman"/>
          <w:noProof/>
          <w:sz w:val="24"/>
          <w:lang w:val="fr-BE"/>
        </w:rPr>
        <w:t xml:space="preserve"> observe les tendances récentes, un certain degré de convergence entre les États membres est visible en 2017 (graphique 16): on note non seulement une baisse considérable (supérieure à 1 point de pourcentage) du taux de jeunes ayant quitté prématurément le</w:t>
      </w:r>
      <w:r>
        <w:rPr>
          <w:rFonts w:ascii="Times New Roman" w:hAnsi="Times New Roman"/>
          <w:noProof/>
          <w:sz w:val="24"/>
          <w:lang w:val="fr-BE"/>
        </w:rPr>
        <w:t xml:space="preserve"> système d’éducation et de formation au Portugal, à Malte et en Bulgarie (tous signalés «faibles mais en amélioration») mais aussi de fortes augmentations en Slovaquie (+1,9 point de pourcentage), au Luxembourg (+1,8 point), au Danemark</w:t>
      </w:r>
      <w:r>
        <w:rPr>
          <w:rStyle w:val="FootnoteReference"/>
          <w:rFonts w:ascii="Times New Roman" w:hAnsi="Times New Roman"/>
          <w:noProof/>
          <w:sz w:val="24"/>
        </w:rPr>
        <w:footnoteReference w:id="38"/>
      </w:r>
      <w:r>
        <w:rPr>
          <w:rFonts w:ascii="Times New Roman" w:hAnsi="Times New Roman"/>
          <w:noProof/>
          <w:sz w:val="24"/>
          <w:lang w:val="fr-BE"/>
        </w:rPr>
        <w:t xml:space="preserve"> (+1,6 point) et à </w:t>
      </w:r>
      <w:r>
        <w:rPr>
          <w:rFonts w:ascii="Times New Roman" w:hAnsi="Times New Roman"/>
          <w:noProof/>
          <w:sz w:val="24"/>
          <w:lang w:val="fr-BE"/>
        </w:rPr>
        <w:t>Chypre (+1 point). Selon la classification du tableau de bord social, malgré quelque amélioration, la situation reste «critique» en Espagne (18,3 %) et en Roumanie (18,1 %) ainsi qu’en Italie (14 %), où le taux a légèrement augmenté.</w:t>
      </w:r>
    </w:p>
    <w:p w:rsidR="00723CC0" w:rsidRDefault="00242021">
      <w:pPr>
        <w:keepNext/>
        <w:spacing w:before="120" w:after="120" w:line="240" w:lineRule="auto"/>
        <w:jc w:val="both"/>
        <w:rPr>
          <w:rFonts w:ascii="Times New Roman" w:eastAsia="Calibri" w:hAnsi="Times New Roman" w:cs="Times New Roman"/>
          <w:b/>
          <w:noProof/>
          <w:sz w:val="24"/>
          <w:szCs w:val="24"/>
          <w:lang w:val="fr-BE"/>
        </w:rPr>
      </w:pPr>
      <w:bookmarkStart w:id="44" w:name="_Ref528664662"/>
      <w:r>
        <w:rPr>
          <w:rFonts w:ascii="Times New Roman" w:hAnsi="Times New Roman"/>
          <w:b/>
          <w:noProof/>
          <w:sz w:val="24"/>
          <w:lang w:val="fr-BE"/>
        </w:rPr>
        <w:t>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w:instrText>
      </w:r>
      <w:r>
        <w:rPr>
          <w:rFonts w:ascii="Times New Roman" w:hAnsi="Times New Roman"/>
          <w:b/>
          <w:noProof/>
          <w:sz w:val="24"/>
          <w:szCs w:val="24"/>
          <w:lang w:val="fr-BE"/>
        </w:rPr>
        <w:instrText xml:space="preserve">\* ARABIC </w:instrText>
      </w:r>
      <w:r>
        <w:rPr>
          <w:rFonts w:ascii="Times New Roman" w:hAnsi="Times New Roman"/>
          <w:b/>
          <w:noProof/>
          <w:sz w:val="24"/>
          <w:szCs w:val="24"/>
        </w:rPr>
        <w:fldChar w:fldCharType="separate"/>
      </w:r>
      <w:r>
        <w:rPr>
          <w:rFonts w:ascii="Times New Roman" w:hAnsi="Times New Roman"/>
          <w:b/>
          <w:noProof/>
          <w:sz w:val="24"/>
          <w:szCs w:val="24"/>
          <w:lang w:val="fr-BE"/>
        </w:rPr>
        <w:t>16</w:t>
      </w:r>
      <w:r>
        <w:rPr>
          <w:rFonts w:ascii="Times New Roman" w:hAnsi="Times New Roman"/>
          <w:b/>
          <w:noProof/>
          <w:sz w:val="24"/>
          <w:szCs w:val="24"/>
        </w:rPr>
        <w:fldChar w:fldCharType="end"/>
      </w:r>
      <w:bookmarkEnd w:id="44"/>
      <w:r>
        <w:rPr>
          <w:rFonts w:ascii="Times New Roman" w:hAnsi="Times New Roman"/>
          <w:b/>
          <w:noProof/>
          <w:sz w:val="24"/>
          <w:lang w:val="fr-BE"/>
        </w:rPr>
        <w:t>: Jeunes ayant quitté prématurément le système d’éducation et de formation (% de la population âgée de 18 à 24 ans) et variation annuelle (indicateur clé du tableau de bord social)</w:t>
      </w:r>
    </w:p>
    <w:p w:rsidR="00723CC0" w:rsidRDefault="00242021">
      <w:pPr>
        <w:keepNext/>
        <w:spacing w:before="120" w:after="120" w:line="36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078095" cy="4054475"/>
            <wp:effectExtent l="0" t="0" r="825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5078095" cy="4054475"/>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Période: niveaux de 2017 et variations a</w:t>
      </w:r>
      <w:r>
        <w:rPr>
          <w:rFonts w:ascii="Times New Roman" w:hAnsi="Times New Roman"/>
          <w:noProof/>
          <w:sz w:val="20"/>
          <w:lang w:val="fr-BE"/>
        </w:rPr>
        <w:t>nnuelles par rapport à 2016. Remarque: les axes sont centrés sur la moyenne non pondérée de l’UE. La légende est présentée en annexe.</w:t>
      </w:r>
    </w:p>
    <w:p w:rsidR="00723CC0" w:rsidRDefault="00723CC0">
      <w:pPr>
        <w:spacing w:before="120" w:after="240" w:line="360" w:lineRule="auto"/>
        <w:jc w:val="both"/>
        <w:rPr>
          <w:rFonts w:ascii="Times New Roman" w:eastAsia="Calibri" w:hAnsi="Times New Roman" w:cs="Times New Roman"/>
          <w:b/>
          <w:noProof/>
          <w:sz w:val="24"/>
          <w:szCs w:val="24"/>
          <w:lang w:val="fr-BE"/>
        </w:rPr>
      </w:pPr>
    </w:p>
    <w:p w:rsidR="00723CC0" w:rsidRDefault="00242021">
      <w:pPr>
        <w:spacing w:before="120" w:after="240" w:line="360" w:lineRule="auto"/>
        <w:jc w:val="both"/>
        <w:rPr>
          <w:rFonts w:ascii="Times New Roman" w:eastAsia="Calibri" w:hAnsi="Times New Roman" w:cs="Times New Roman"/>
          <w:noProof/>
          <w:sz w:val="24"/>
          <w:szCs w:val="24"/>
          <w:highlight w:val="green"/>
          <w:lang w:val="fr-BE"/>
        </w:rPr>
      </w:pPr>
      <w:r>
        <w:rPr>
          <w:rFonts w:ascii="Times New Roman" w:hAnsi="Times New Roman"/>
          <w:b/>
          <w:noProof/>
          <w:sz w:val="24"/>
          <w:lang w:val="fr-BE"/>
        </w:rPr>
        <w:t xml:space="preserve">Des améliorations à long terme significatives ont été enregistrées dans la plupart des États membres de l’UE, en </w:t>
      </w:r>
      <w:r>
        <w:rPr>
          <w:rFonts w:ascii="Times New Roman" w:hAnsi="Times New Roman"/>
          <w:b/>
          <w:noProof/>
          <w:sz w:val="24"/>
          <w:lang w:val="fr-BE"/>
        </w:rPr>
        <w:t>particulier dans ceux qui affichaient auparavant une part particulièrement élevée de jeunes ayant quitté prématurément le système d’éducation et de formation.</w:t>
      </w:r>
      <w:r>
        <w:rPr>
          <w:rFonts w:ascii="Times New Roman" w:hAnsi="Times New Roman"/>
          <w:noProof/>
          <w:sz w:val="24"/>
          <w:lang w:val="fr-BE"/>
        </w:rPr>
        <w:t xml:space="preserve"> De 2008 à 2017, tant l’Irlande que la Grèce ont été en mesure de réduire significativement leur t</w:t>
      </w:r>
      <w:r>
        <w:rPr>
          <w:rFonts w:ascii="Times New Roman" w:hAnsi="Times New Roman"/>
          <w:noProof/>
          <w:sz w:val="24"/>
          <w:lang w:val="fr-BE"/>
        </w:rPr>
        <w:t>aux de jeunes ayant quitté prématurément le système d’éducation et de formation, respectivement de 6,6 et 8,4 points de pourcentage, et les taux se situent actuellement dans ces pays bien en dessous de la valeur cible de l’UE. Dans le même temps, l’Espagne</w:t>
      </w:r>
      <w:r>
        <w:rPr>
          <w:rFonts w:ascii="Times New Roman" w:hAnsi="Times New Roman"/>
          <w:noProof/>
          <w:sz w:val="24"/>
          <w:lang w:val="fr-BE"/>
        </w:rPr>
        <w:t xml:space="preserve"> (18,3 %) et le Portugal (12,6 %) ont considérablement réduit leurs taux, respectivement de 13,4 et 22,3 points de pourcentage depuis 2008, mais ils n’ont pas encore atteint l’objectif. Parmi les pays ayant des niveaux élevés de jeunes qui quittent prématu</w:t>
      </w:r>
      <w:r>
        <w:rPr>
          <w:rFonts w:ascii="Times New Roman" w:hAnsi="Times New Roman"/>
          <w:noProof/>
          <w:sz w:val="24"/>
          <w:lang w:val="fr-BE"/>
        </w:rPr>
        <w:t>rément le système d’éducation et de formation, seule la Roumanie ne montre aucune évolution majeure au fil des ans; par ailleurs, la Slovaquie a enregistré une augmentation notable, de 3,3 points de pourcentage, tout en conservant un résultat inférieur à l</w:t>
      </w:r>
      <w:r>
        <w:rPr>
          <w:rFonts w:ascii="Times New Roman" w:hAnsi="Times New Roman"/>
          <w:noProof/>
          <w:sz w:val="24"/>
          <w:lang w:val="fr-BE"/>
        </w:rPr>
        <w:t>’objectif global de l’UE en 2017 (graphique 17).</w:t>
      </w:r>
    </w:p>
    <w:p w:rsidR="00723CC0" w:rsidRDefault="00242021">
      <w:pPr>
        <w:keepNext/>
        <w:spacing w:before="120" w:after="120" w:line="360" w:lineRule="auto"/>
        <w:jc w:val="both"/>
        <w:rPr>
          <w:rFonts w:ascii="Times New Roman" w:hAnsi="Times New Roman"/>
          <w:b/>
          <w:noProof/>
          <w:sz w:val="24"/>
          <w:szCs w:val="24"/>
          <w:lang w:val="fr-BE"/>
        </w:rPr>
      </w:pPr>
      <w:bookmarkStart w:id="45" w:name="_Ref528663054"/>
      <w:r>
        <w:rPr>
          <w:rFonts w:ascii="Times New Roman" w:hAnsi="Times New Roman"/>
          <w:b/>
          <w:noProof/>
          <w:sz w:val="24"/>
          <w:lang w:val="fr-BE"/>
        </w:rPr>
        <w:t>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17</w:t>
      </w:r>
      <w:r>
        <w:rPr>
          <w:rFonts w:ascii="Times New Roman" w:hAnsi="Times New Roman"/>
          <w:b/>
          <w:noProof/>
          <w:sz w:val="24"/>
          <w:szCs w:val="24"/>
        </w:rPr>
        <w:fldChar w:fldCharType="end"/>
      </w:r>
      <w:bookmarkEnd w:id="45"/>
      <w:r>
        <w:rPr>
          <w:rFonts w:ascii="Times New Roman" w:hAnsi="Times New Roman"/>
          <w:b/>
          <w:noProof/>
          <w:sz w:val="24"/>
          <w:lang w:val="fr-BE"/>
        </w:rPr>
        <w:t>: Jeunes ayant quitté prématurément le système d’éducation et de formation, 2008-2017 (%)</w:t>
      </w:r>
    </w:p>
    <w:p w:rsidR="00723CC0" w:rsidRDefault="00242021">
      <w:pPr>
        <w:keepNext/>
        <w:spacing w:before="120" w:after="120" w:line="36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693963" cy="2971783"/>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5698915" cy="2974368"/>
                    </a:xfrm>
                    <a:prstGeom prst="rect">
                      <a:avLst/>
                    </a:prstGeom>
                    <a:noFill/>
                  </pic:spPr>
                </pic:pic>
              </a:graphicData>
            </a:graphic>
          </wp:inline>
        </w:drawing>
      </w:r>
    </w:p>
    <w:p w:rsidR="00723CC0" w:rsidRDefault="00242021">
      <w:pPr>
        <w:spacing w:before="120" w:after="0" w:line="240" w:lineRule="auto"/>
        <w:jc w:val="both"/>
        <w:rPr>
          <w:rFonts w:ascii="Times New Roman" w:eastAsia="Calibri" w:hAnsi="Times New Roman" w:cs="Times New Roman"/>
          <w:noProof/>
          <w:sz w:val="20"/>
          <w:szCs w:val="20"/>
          <w:lang w:val="fr-BE"/>
        </w:rPr>
      </w:pPr>
      <w:r>
        <w:rPr>
          <w:rFonts w:ascii="Times New Roman" w:hAnsi="Times New Roman"/>
          <w:noProof/>
          <w:sz w:val="20"/>
          <w:lang w:val="fr-BE"/>
        </w:rPr>
        <w:t>Source: Eurostat, code des données en ligne: [edat_lfse_14].</w:t>
      </w:r>
    </w:p>
    <w:p w:rsidR="00723CC0" w:rsidRDefault="00723CC0">
      <w:pPr>
        <w:spacing w:after="0" w:line="240" w:lineRule="auto"/>
        <w:jc w:val="both"/>
        <w:rPr>
          <w:rFonts w:ascii="Times New Roman" w:eastAsia="Calibri" w:hAnsi="Times New Roman" w:cs="Times New Roman"/>
          <w:noProof/>
          <w:sz w:val="20"/>
          <w:szCs w:val="20"/>
          <w:highlight w:val="green"/>
          <w:lang w:val="fr-BE"/>
        </w:rPr>
      </w:pPr>
    </w:p>
    <w:p w:rsidR="00723CC0" w:rsidRDefault="00242021">
      <w:pPr>
        <w:spacing w:before="120" w:after="240" w:line="360" w:lineRule="auto"/>
        <w:jc w:val="both"/>
        <w:rPr>
          <w:rFonts w:ascii="Times New Roman" w:eastAsia="Calibri" w:hAnsi="Times New Roman" w:cs="Times New Roman"/>
          <w:i/>
          <w:noProof/>
          <w:sz w:val="24"/>
          <w:szCs w:val="24"/>
          <w:lang w:val="fr-BE"/>
        </w:rPr>
      </w:pPr>
      <w:r>
        <w:rPr>
          <w:rFonts w:ascii="Times New Roman" w:hAnsi="Times New Roman"/>
          <w:b/>
          <w:noProof/>
          <w:sz w:val="24"/>
          <w:lang w:val="fr-BE"/>
        </w:rPr>
        <w:t xml:space="preserve">En ce qui </w:t>
      </w:r>
      <w:r>
        <w:rPr>
          <w:rFonts w:ascii="Times New Roman" w:hAnsi="Times New Roman"/>
          <w:b/>
          <w:noProof/>
          <w:sz w:val="24"/>
          <w:lang w:val="fr-BE"/>
        </w:rPr>
        <w:t>concerne les taux de jeunes ayant quitté prématurément le système d’éducation et de formation, il existe toujours d’importantes différences entre les hommes et les femmes et entre les personnes nées dans l’UE et celles qui sont nées en dehors.</w:t>
      </w:r>
      <w:r>
        <w:rPr>
          <w:rFonts w:ascii="Times New Roman" w:hAnsi="Times New Roman"/>
          <w:noProof/>
          <w:sz w:val="24"/>
          <w:lang w:val="fr-BE"/>
        </w:rPr>
        <w:t xml:space="preserve"> Alors qu’en </w:t>
      </w:r>
      <w:r>
        <w:rPr>
          <w:rFonts w:ascii="Times New Roman" w:hAnsi="Times New Roman"/>
          <w:noProof/>
          <w:sz w:val="24"/>
          <w:lang w:val="fr-BE"/>
        </w:rPr>
        <w:t>moyenne, dans l’UE, 8,9 % des jeunes femmes quittaient prématurément le système d’éducation et de formation au début de 2017, la part des hommes était de 12,1 %. Cet écart entre les sexes est particulièrement prononcé au Danemark, au Luxembourg, en Italie,</w:t>
      </w:r>
      <w:r>
        <w:rPr>
          <w:rFonts w:ascii="Times New Roman" w:hAnsi="Times New Roman"/>
          <w:noProof/>
          <w:sz w:val="24"/>
          <w:lang w:val="fr-BE"/>
        </w:rPr>
        <w:t xml:space="preserve"> au Portugal, à Malte, en Estonie, en Lettonie et en Espagne (plus de 5 points de pourcentage), tandis que la Bulgarie, la Hongrie et la Slovaquie sont les seuls États membres dans lesquels il y a moins d’hommes que de femmes qui quittent prématurément le </w:t>
      </w:r>
      <w:r>
        <w:rPr>
          <w:rFonts w:ascii="Times New Roman" w:hAnsi="Times New Roman"/>
          <w:noProof/>
          <w:sz w:val="24"/>
          <w:lang w:val="fr-BE"/>
        </w:rPr>
        <w:t>système d’éducation et de formation. Dans le même temps, parmi les élèves qui quittent prématurément le système d’éducation et de formation, le nombre de ceux qui ne sont pas nés dans l’UE est bien supérieur à celui des élèves nés dans l’UE. En 2017, la mo</w:t>
      </w:r>
      <w:r>
        <w:rPr>
          <w:rFonts w:ascii="Times New Roman" w:hAnsi="Times New Roman"/>
          <w:noProof/>
          <w:sz w:val="24"/>
          <w:lang w:val="fr-BE"/>
        </w:rPr>
        <w:t>yenne de l’UE chez les personnes nées dans l’UE a été de 9,6 %; toutefois, pour les personnes nées en dehors de l’UE, elle a été deux fois plus élevée. Si le nombre d’élèves nés hors de l’UE et ayant quitté prématurément le système d’éducation et de format</w:t>
      </w:r>
      <w:r>
        <w:rPr>
          <w:rFonts w:ascii="Times New Roman" w:hAnsi="Times New Roman"/>
          <w:noProof/>
          <w:sz w:val="24"/>
          <w:lang w:val="fr-BE"/>
        </w:rPr>
        <w:t>ion est particulièrement faible en Irlande, au Luxembourg et aux Pays-Bas – il y est bien inférieur au critère de référence (10 %) –, il est extrêmement élevé en Espagne (31,9 %) et en Italie (30,1 %).</w:t>
      </w:r>
    </w:p>
    <w:p w:rsidR="00723CC0" w:rsidRDefault="00242021">
      <w:pPr>
        <w:spacing w:before="120" w:after="240" w:line="360" w:lineRule="auto"/>
        <w:jc w:val="both"/>
        <w:rPr>
          <w:rFonts w:ascii="Times New Roman" w:eastAsia="Calibri" w:hAnsi="Times New Roman" w:cs="Times New Roman"/>
          <w:noProof/>
          <w:sz w:val="24"/>
          <w:szCs w:val="24"/>
          <w:lang w:val="fr-BE"/>
        </w:rPr>
      </w:pPr>
      <w:r>
        <w:rPr>
          <w:rFonts w:ascii="Times New Roman" w:hAnsi="Times New Roman"/>
          <w:b/>
          <w:noProof/>
          <w:sz w:val="24"/>
          <w:lang w:val="fr-BE"/>
        </w:rPr>
        <w:t>Après plusieurs années de progrès constant, la proport</w:t>
      </w:r>
      <w:r>
        <w:rPr>
          <w:rFonts w:ascii="Times New Roman" w:hAnsi="Times New Roman"/>
          <w:b/>
          <w:noProof/>
          <w:sz w:val="24"/>
          <w:lang w:val="fr-BE"/>
        </w:rPr>
        <w:t>ion de personnes ayant une maîtrise insuffisante</w:t>
      </w:r>
      <w:r>
        <w:rPr>
          <w:rStyle w:val="FootnoteReference"/>
          <w:rFonts w:ascii="Times New Roman" w:hAnsi="Times New Roman"/>
          <w:b/>
          <w:noProof/>
          <w:sz w:val="24"/>
        </w:rPr>
        <w:footnoteReference w:id="39"/>
      </w:r>
      <w:r>
        <w:rPr>
          <w:rFonts w:ascii="Times New Roman" w:hAnsi="Times New Roman"/>
          <w:b/>
          <w:noProof/>
          <w:sz w:val="24"/>
          <w:lang w:val="fr-BE"/>
        </w:rPr>
        <w:t xml:space="preserve"> des compétences de base chez les jeunes de 15 ans est en augmentation.</w:t>
      </w:r>
      <w:r>
        <w:rPr>
          <w:rFonts w:ascii="Times New Roman" w:hAnsi="Times New Roman"/>
          <w:noProof/>
          <w:sz w:val="24"/>
          <w:lang w:val="fr-BE"/>
        </w:rPr>
        <w:t xml:space="preserve"> Le programme international 2015 de l’OCDE pour le suivi des acquis des élèves (PISA) montre qu’en moyenne, dans l’UE, la part des élève</w:t>
      </w:r>
      <w:r>
        <w:rPr>
          <w:rFonts w:ascii="Times New Roman" w:hAnsi="Times New Roman"/>
          <w:noProof/>
          <w:sz w:val="24"/>
          <w:lang w:val="fr-BE"/>
        </w:rPr>
        <w:t>s ayant un niveau inférieur au seuil de compétence de base est d’environ 20 % (19,7 % en lecture, 22,2 % en mathématiques et 20,6 % en sciences). Par rapport au précédent cycle PISA (2012)</w:t>
      </w:r>
      <w:r>
        <w:rPr>
          <w:rStyle w:val="FootnoteReference"/>
          <w:rFonts w:ascii="Times New Roman" w:hAnsi="Times New Roman"/>
          <w:noProof/>
          <w:sz w:val="24"/>
        </w:rPr>
        <w:footnoteReference w:id="40"/>
      </w:r>
      <w:r>
        <w:rPr>
          <w:rFonts w:ascii="Times New Roman" w:hAnsi="Times New Roman"/>
          <w:noProof/>
          <w:sz w:val="24"/>
          <w:lang w:val="fr-BE"/>
        </w:rPr>
        <w:t>, la situation s’est aggravée dans les trois domaines: de 1,9 point</w:t>
      </w:r>
      <w:r>
        <w:rPr>
          <w:rFonts w:ascii="Times New Roman" w:hAnsi="Times New Roman"/>
          <w:noProof/>
          <w:sz w:val="24"/>
          <w:lang w:val="fr-BE"/>
        </w:rPr>
        <w:t xml:space="preserve"> de pourcentage en lecture, de 0,1 point en mathématiques et de 4 points en sciences. Les élèves peu performants méritent un soutien supplémentaire, car ils sont les plus exposés au risque de chômage et d’exclusion sociale plus tard dans la vie. En 2015, l</w:t>
      </w:r>
      <w:r>
        <w:rPr>
          <w:rFonts w:ascii="Times New Roman" w:hAnsi="Times New Roman"/>
          <w:noProof/>
          <w:sz w:val="24"/>
          <w:lang w:val="fr-BE"/>
        </w:rPr>
        <w:t>e pourcentage d’élèves ayant de mauvais résultats en mathématiques dans l’UE s’élevait à 22,2 %, avec des différences frappantes entre les États membres. Alors que l’Estonie, la Finlande, le Danemark et l’Irlande comptaient moins de 15 % des élèves ayant d</w:t>
      </w:r>
      <w:r>
        <w:rPr>
          <w:rFonts w:ascii="Times New Roman" w:hAnsi="Times New Roman"/>
          <w:noProof/>
          <w:sz w:val="24"/>
          <w:lang w:val="fr-BE"/>
        </w:rPr>
        <w:t>e mauvais résultats en mathématiques, Chypre, la Bulgarie, la Roumanie, la Grèce et la Croatie étaient aux prises avec plus de 30 % d’élèves qui n’ont pas atteint le niveau de compétences de base en mathématiques (graphique 18).</w:t>
      </w:r>
    </w:p>
    <w:p w:rsidR="00723CC0" w:rsidRDefault="00242021">
      <w:pPr>
        <w:keepNext/>
        <w:spacing w:before="120" w:after="120" w:line="240" w:lineRule="auto"/>
        <w:jc w:val="both"/>
        <w:rPr>
          <w:rFonts w:ascii="Times New Roman" w:hAnsi="Times New Roman"/>
          <w:b/>
          <w:noProof/>
          <w:sz w:val="24"/>
          <w:szCs w:val="24"/>
          <w:lang w:val="fr-BE"/>
        </w:rPr>
      </w:pPr>
      <w:bookmarkStart w:id="46" w:name="_Ref528663086"/>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w:instrText>
      </w:r>
      <w:r>
        <w:rPr>
          <w:rFonts w:ascii="Times New Roman" w:hAnsi="Times New Roman"/>
          <w:b/>
          <w:noProof/>
          <w:sz w:val="24"/>
          <w:szCs w:val="24"/>
          <w:lang w:val="fr-BE"/>
        </w:rPr>
        <w:instrText xml:space="preserve">ABIC </w:instrText>
      </w:r>
      <w:r>
        <w:rPr>
          <w:rFonts w:ascii="Times New Roman" w:hAnsi="Times New Roman"/>
          <w:b/>
          <w:noProof/>
          <w:sz w:val="24"/>
          <w:szCs w:val="24"/>
        </w:rPr>
        <w:fldChar w:fldCharType="separate"/>
      </w:r>
      <w:r>
        <w:rPr>
          <w:rFonts w:ascii="Times New Roman" w:hAnsi="Times New Roman"/>
          <w:b/>
          <w:noProof/>
          <w:sz w:val="24"/>
          <w:szCs w:val="24"/>
          <w:lang w:val="fr-BE"/>
        </w:rPr>
        <w:t>18</w:t>
      </w:r>
      <w:r>
        <w:rPr>
          <w:rFonts w:ascii="Times New Roman" w:hAnsi="Times New Roman"/>
          <w:b/>
          <w:noProof/>
          <w:sz w:val="24"/>
          <w:szCs w:val="24"/>
        </w:rPr>
        <w:fldChar w:fldCharType="end"/>
      </w:r>
      <w:bookmarkEnd w:id="46"/>
      <w:r>
        <w:rPr>
          <w:rFonts w:ascii="Times New Roman" w:hAnsi="Times New Roman"/>
          <w:b/>
          <w:noProof/>
          <w:sz w:val="24"/>
          <w:lang w:val="fr-BE"/>
        </w:rPr>
        <w:t>: Pourcentage d’élèves peu performants en mathématiques, 2015</w:t>
      </w:r>
    </w:p>
    <w:p w:rsidR="00723CC0" w:rsidRDefault="00242021">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843121" cy="2050715"/>
            <wp:effectExtent l="0" t="0" r="571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5855124" cy="2054928"/>
                    </a:xfrm>
                    <a:prstGeom prst="rect">
                      <a:avLst/>
                    </a:prstGeom>
                    <a:noFill/>
                  </pic:spPr>
                </pic:pic>
              </a:graphicData>
            </a:graphic>
          </wp:inline>
        </w:drawing>
      </w:r>
    </w:p>
    <w:p w:rsidR="00723CC0" w:rsidRDefault="00242021">
      <w:pPr>
        <w:keepNext/>
        <w:suppressAutoHyphens/>
        <w:spacing w:after="100" w:afterAutospacing="1" w:line="240" w:lineRule="auto"/>
        <w:jc w:val="both"/>
        <w:rPr>
          <w:rFonts w:ascii="Times New Roman" w:eastAsia="Calibri" w:hAnsi="Times New Roman" w:cs="Times New Roman"/>
          <w:noProof/>
          <w:sz w:val="18"/>
          <w:szCs w:val="18"/>
          <w:highlight w:val="green"/>
          <w:lang w:val="fr-BE"/>
        </w:rPr>
      </w:pPr>
      <w:r>
        <w:rPr>
          <w:rFonts w:ascii="Times New Roman" w:hAnsi="Times New Roman"/>
          <w:noProof/>
          <w:color w:val="333333"/>
          <w:sz w:val="18"/>
          <w:lang w:val="fr-BE"/>
        </w:rPr>
        <w:t xml:space="preserve">Source: OCDE. Remarque: Les pays sont classés selon leur proportion (de faible à élevée) d’élèves ayant de mauvais résultats en mathématiques. Moyenne pondérée de l’UE calculée par </w:t>
      </w:r>
      <w:r>
        <w:rPr>
          <w:rFonts w:ascii="Times New Roman" w:hAnsi="Times New Roman"/>
          <w:noProof/>
          <w:color w:val="333333"/>
          <w:sz w:val="18"/>
          <w:lang w:val="fr-BE"/>
        </w:rPr>
        <w:t>la DG «Éducation, jeunesse, sport et culture».</w:t>
      </w:r>
    </w:p>
    <w:p w:rsidR="00723CC0" w:rsidRDefault="00242021">
      <w:pPr>
        <w:spacing w:before="120" w:after="240" w:line="360" w:lineRule="auto"/>
        <w:jc w:val="both"/>
        <w:rPr>
          <w:rFonts w:ascii="Times New Roman" w:eastAsia="Calibri" w:hAnsi="Times New Roman" w:cs="Times New Roman"/>
          <w:noProof/>
          <w:sz w:val="24"/>
          <w:szCs w:val="24"/>
          <w:lang w:val="fr-BE"/>
        </w:rPr>
      </w:pPr>
      <w:r>
        <w:rPr>
          <w:rFonts w:ascii="Times New Roman" w:hAnsi="Times New Roman"/>
          <w:b/>
          <w:noProof/>
          <w:sz w:val="24"/>
          <w:lang w:val="fr-BE"/>
        </w:rPr>
        <w:t xml:space="preserve">Les résultats scolaires sont fortement influencés par le statut socio-économique des élèves et leur origine migratoire. </w:t>
      </w:r>
      <w:r>
        <w:rPr>
          <w:rFonts w:ascii="Times New Roman" w:hAnsi="Times New Roman"/>
          <w:noProof/>
          <w:sz w:val="24"/>
          <w:lang w:val="fr-BE"/>
        </w:rPr>
        <w:t>Les élèves ayant un statut socio-économique inférieur ou issus de l’immigration sont surr</w:t>
      </w:r>
      <w:r>
        <w:rPr>
          <w:rFonts w:ascii="Times New Roman" w:hAnsi="Times New Roman"/>
          <w:noProof/>
          <w:sz w:val="24"/>
          <w:lang w:val="fr-BE"/>
        </w:rPr>
        <w:t>eprésentés dans le groupe des élèves peu performants et peinent à atteindre le seuil de compétences de base dans les trois domaines. Un examen plus approfondi de la situation des élèves ayant atteint les seuils de compétence de base dans les trois domaines</w:t>
      </w:r>
      <w:r>
        <w:rPr>
          <w:rFonts w:ascii="Times New Roman" w:hAnsi="Times New Roman"/>
          <w:noProof/>
          <w:sz w:val="24"/>
          <w:lang w:val="fr-BE"/>
        </w:rPr>
        <w:t xml:space="preserve"> dans des conditions défavorables montre que l’écart de performance entre les élèves nés dans l’UE et ceux qui sont nés en dehors de l’UE est de 23 points de pourcentage en moyenne dans l’UE, les élèves nés dans l’UE ayant de meilleurs résultats dans tous </w:t>
      </w:r>
      <w:r>
        <w:rPr>
          <w:rFonts w:ascii="Times New Roman" w:hAnsi="Times New Roman"/>
          <w:noProof/>
          <w:sz w:val="24"/>
          <w:lang w:val="fr-BE"/>
        </w:rPr>
        <w:t>les États membres à l’exception de Malte (comme l’illustre le graphique 19). Des différences très importantes sont enregistrées en Finlande, en Suède, en Autriche, en Allemagne et en France (entre 35 et 40 points de pourcentage), tandis que l’écart de perf</w:t>
      </w:r>
      <w:r>
        <w:rPr>
          <w:rFonts w:ascii="Times New Roman" w:hAnsi="Times New Roman"/>
          <w:noProof/>
          <w:sz w:val="24"/>
          <w:lang w:val="fr-BE"/>
        </w:rPr>
        <w:t xml:space="preserve">ormance est inférieur à 15 points de pourcentage à Chypre, au Royaume-Uni et au Portugal. Les mauvais résultats de l’éducation et les inégalités liés au milieu socio-économique constituent un obstacle majeur à l’amélioration du capital humain, ce qui peut </w:t>
      </w:r>
      <w:r>
        <w:rPr>
          <w:rFonts w:ascii="Times New Roman" w:hAnsi="Times New Roman"/>
          <w:noProof/>
          <w:sz w:val="24"/>
          <w:lang w:val="fr-BE"/>
        </w:rPr>
        <w:t>avoir des répercussions sur les niveaux de compétences.</w:t>
      </w:r>
    </w:p>
    <w:p w:rsidR="00723CC0" w:rsidRDefault="00242021">
      <w:pPr>
        <w:spacing w:before="120" w:after="240" w:line="360" w:lineRule="auto"/>
        <w:jc w:val="both"/>
        <w:rPr>
          <w:rFonts w:ascii="Times New Roman" w:eastAsia="Calibri" w:hAnsi="Times New Roman" w:cs="Times New Roman"/>
          <w:noProof/>
          <w:sz w:val="24"/>
          <w:szCs w:val="24"/>
          <w:lang w:val="fr-BE"/>
        </w:rPr>
      </w:pPr>
      <w:r>
        <w:rPr>
          <w:rFonts w:ascii="Times New Roman" w:hAnsi="Times New Roman"/>
          <w:b/>
          <w:noProof/>
          <w:color w:val="000000"/>
          <w:sz w:val="24"/>
          <w:lang w:val="fr-BE"/>
        </w:rPr>
        <w:t>L’intégration des Roms dans le système éducatif demeure un défi</w:t>
      </w:r>
      <w:r>
        <w:rPr>
          <w:rFonts w:ascii="Times New Roman" w:hAnsi="Times New Roman"/>
          <w:noProof/>
          <w:color w:val="000000"/>
          <w:sz w:val="24"/>
          <w:lang w:val="fr-BE"/>
        </w:rPr>
        <w:t xml:space="preserve"> en raison de plusieurs facteurs, notamment la ségrégation scolaire, un enseignement non inclusif et des obstacles induits par la grande </w:t>
      </w:r>
      <w:r>
        <w:rPr>
          <w:rFonts w:ascii="Times New Roman" w:hAnsi="Times New Roman"/>
          <w:noProof/>
          <w:color w:val="000000"/>
          <w:sz w:val="24"/>
          <w:lang w:val="fr-BE"/>
        </w:rPr>
        <w:t>pauvreté ou la ségrégation en matière de logement. Malgré les efforts déployés pour augmenter les taux de participation et réduire le décrochage scolaire, la promotion d’écoles mixtes sur le plan ethnique et de mesures de déségrégation reste très problémat</w:t>
      </w:r>
      <w:r>
        <w:rPr>
          <w:rFonts w:ascii="Times New Roman" w:hAnsi="Times New Roman"/>
          <w:noProof/>
          <w:color w:val="000000"/>
          <w:sz w:val="24"/>
          <w:lang w:val="fr-BE"/>
        </w:rPr>
        <w:t>ique. Il est à noter également qu’un grand nombre d’enfants roms en Hongrie, en Bulgarie, en Roumanie et en Slovaquie vivent dans un profond dénuement, sans accès aux services publics de base.</w:t>
      </w:r>
    </w:p>
    <w:p w:rsidR="00723CC0" w:rsidRDefault="00242021">
      <w:pPr>
        <w:keepNext/>
        <w:spacing w:before="120" w:after="120" w:line="240" w:lineRule="auto"/>
        <w:jc w:val="both"/>
        <w:rPr>
          <w:rFonts w:ascii="Times New Roman" w:hAnsi="Times New Roman"/>
          <w:b/>
          <w:noProof/>
          <w:sz w:val="24"/>
          <w:szCs w:val="24"/>
          <w:lang w:val="fr-BE"/>
        </w:rPr>
      </w:pPr>
      <w:bookmarkStart w:id="47" w:name="_Ref528663246"/>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19</w:t>
      </w:r>
      <w:r>
        <w:rPr>
          <w:rFonts w:ascii="Times New Roman" w:hAnsi="Times New Roman"/>
          <w:b/>
          <w:noProof/>
          <w:sz w:val="24"/>
          <w:szCs w:val="24"/>
        </w:rPr>
        <w:fldChar w:fldCharType="end"/>
      </w:r>
      <w:bookmarkEnd w:id="47"/>
      <w:r>
        <w:rPr>
          <w:rFonts w:ascii="Times New Roman" w:hAnsi="Times New Roman"/>
          <w:b/>
          <w:noProof/>
          <w:sz w:val="24"/>
          <w:lang w:val="fr-BE"/>
        </w:rPr>
        <w:t>: Pourcentage d’élèves att</w:t>
      </w:r>
      <w:r>
        <w:rPr>
          <w:rFonts w:ascii="Times New Roman" w:hAnsi="Times New Roman"/>
          <w:b/>
          <w:noProof/>
          <w:sz w:val="24"/>
          <w:lang w:val="fr-BE"/>
        </w:rPr>
        <w:t>eignant le seuil de compétences de base, par origine migratoire, 2015</w:t>
      </w:r>
    </w:p>
    <w:p w:rsidR="00723CC0" w:rsidRDefault="00242021">
      <w:pPr>
        <w:keepNext/>
        <w:spacing w:before="120" w:after="120" w:line="36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748793" cy="274418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5752097" cy="2745759"/>
                    </a:xfrm>
                    <a:prstGeom prst="rect">
                      <a:avLst/>
                    </a:prstGeom>
                    <a:noFill/>
                  </pic:spPr>
                </pic:pic>
              </a:graphicData>
            </a:graphic>
          </wp:inline>
        </w:drawing>
      </w:r>
    </w:p>
    <w:p w:rsidR="00723CC0" w:rsidRDefault="00242021">
      <w:pPr>
        <w:pStyle w:val="sourcenew"/>
        <w:jc w:val="both"/>
        <w:rPr>
          <w:rFonts w:ascii="Times New Roman" w:hAnsi="Times New Roman" w:cs="Times New Roman"/>
          <w:noProof/>
          <w:sz w:val="18"/>
          <w:szCs w:val="18"/>
          <w:lang w:val="fr-BE"/>
        </w:rPr>
      </w:pPr>
      <w:r>
        <w:rPr>
          <w:rFonts w:ascii="Times New Roman" w:hAnsi="Times New Roman"/>
          <w:noProof/>
          <w:sz w:val="18"/>
          <w:lang w:val="fr-BE"/>
        </w:rPr>
        <w:t>Source: OCDE (2018): «Résilience des élèves issus de l’immigration: les facteurs qui déterminent le bien-être», graphique 3.7.</w:t>
      </w:r>
    </w:p>
    <w:p w:rsidR="00723CC0" w:rsidRDefault="00242021">
      <w:pPr>
        <w:pStyle w:val="sourcenew"/>
        <w:jc w:val="both"/>
        <w:rPr>
          <w:rFonts w:ascii="Times New Roman" w:hAnsi="Times New Roman" w:cs="Times New Roman"/>
          <w:noProof/>
          <w:sz w:val="18"/>
          <w:szCs w:val="18"/>
          <w:lang w:val="fr-BE"/>
        </w:rPr>
      </w:pPr>
      <w:r>
        <w:rPr>
          <w:rFonts w:ascii="Times New Roman" w:hAnsi="Times New Roman"/>
          <w:noProof/>
          <w:sz w:val="18"/>
          <w:lang w:val="fr-BE"/>
        </w:rPr>
        <w:t>Remarques: les différences statistiquement significatives</w:t>
      </w:r>
      <w:r>
        <w:rPr>
          <w:rFonts w:ascii="Times New Roman" w:hAnsi="Times New Roman"/>
          <w:noProof/>
          <w:sz w:val="18"/>
          <w:lang w:val="fr-BE"/>
        </w:rPr>
        <w:t xml:space="preserve"> sont indiquées à côté du nom du pays/de l’économie. Seuls les pays disposant de valeurs valables pour les élèves issus de l’immigration sont indiqués. Pour la moyenne de l’UE, ce nombre ne concerne que le sous-ensemble de pays/économies disposant d’inform</w:t>
      </w:r>
      <w:r>
        <w:rPr>
          <w:rFonts w:ascii="Times New Roman" w:hAnsi="Times New Roman"/>
          <w:noProof/>
          <w:sz w:val="18"/>
          <w:lang w:val="fr-BE"/>
        </w:rPr>
        <w:t>ations valables sur les deux groupes d’élèves. Les élèves qui atteignent le seuil de compétence scolaire de base sont ceux qui atteignent au moins le seuil de compétence PISA dans deux des trois matières principales du programme PISA, à savoir les mathémat</w:t>
      </w:r>
      <w:r>
        <w:rPr>
          <w:rFonts w:ascii="Times New Roman" w:hAnsi="Times New Roman"/>
          <w:noProof/>
          <w:sz w:val="18"/>
          <w:lang w:val="fr-BE"/>
        </w:rPr>
        <w:t>iques, la lecture et les sciences. Les pays et les économies sont classés par ordre décroissant du pourcentage d’élèves immigrés de première génération atteignant les seuils de compétence de base dans les matières principales du programme PISA.</w:t>
      </w:r>
    </w:p>
    <w:p w:rsidR="00723CC0" w:rsidRDefault="00723CC0">
      <w:pPr>
        <w:pStyle w:val="sourcenew"/>
        <w:jc w:val="both"/>
        <w:rPr>
          <w:rFonts w:ascii="Times New Roman" w:hAnsi="Times New Roman" w:cs="Times New Roman"/>
          <w:noProof/>
          <w:sz w:val="18"/>
          <w:szCs w:val="18"/>
          <w:lang w:val="fr-BE"/>
        </w:rPr>
      </w:pPr>
    </w:p>
    <w:p w:rsidR="00723CC0" w:rsidRDefault="00242021">
      <w:pPr>
        <w:spacing w:before="120" w:after="240" w:line="360" w:lineRule="auto"/>
        <w:jc w:val="both"/>
        <w:rPr>
          <w:rFonts w:ascii="Times New Roman" w:eastAsia="Calibri" w:hAnsi="Times New Roman" w:cs="Times New Roman"/>
          <w:noProof/>
          <w:sz w:val="24"/>
          <w:szCs w:val="24"/>
          <w:lang w:val="fr-BE"/>
        </w:rPr>
      </w:pPr>
      <w:r>
        <w:rPr>
          <w:rFonts w:ascii="Times New Roman" w:hAnsi="Times New Roman"/>
          <w:b/>
          <w:noProof/>
          <w:sz w:val="24"/>
          <w:lang w:val="fr-BE"/>
        </w:rPr>
        <w:t>La proport</w:t>
      </w:r>
      <w:r>
        <w:rPr>
          <w:rFonts w:ascii="Times New Roman" w:hAnsi="Times New Roman"/>
          <w:b/>
          <w:noProof/>
          <w:sz w:val="24"/>
          <w:lang w:val="fr-BE"/>
        </w:rPr>
        <w:t>ion de personnes âgées de 30 à 34 ans qui terminent avec succès des études supérieures continue d’augmenter dans l’UE, l’objectif global de 40 % ayant presque été atteint.</w:t>
      </w:r>
      <w:r>
        <w:rPr>
          <w:rFonts w:ascii="Times New Roman" w:hAnsi="Times New Roman"/>
          <w:noProof/>
          <w:lang w:val="fr-BE"/>
        </w:rPr>
        <w:t xml:space="preserve"> </w:t>
      </w:r>
      <w:r>
        <w:rPr>
          <w:rFonts w:ascii="Times New Roman" w:hAnsi="Times New Roman"/>
          <w:noProof/>
          <w:sz w:val="24"/>
          <w:lang w:val="fr-BE"/>
        </w:rPr>
        <w:t>Dans l’UE, 39,9 % de la population âgée de 30 à 34 ans étaient titulaires d’un diplô</w:t>
      </w:r>
      <w:r>
        <w:rPr>
          <w:rFonts w:ascii="Times New Roman" w:hAnsi="Times New Roman"/>
          <w:noProof/>
          <w:sz w:val="24"/>
          <w:lang w:val="fr-BE"/>
        </w:rPr>
        <w:t xml:space="preserve">me de l’enseignement supérieur en 2017, conséquence d’une augmentation progressive ces dernières années. Le nombre de titulaires d’un tel diplôme a augmenté dans la plupart des États membres entre 2014 et 2017. Ce n’est qu’en Croatie, en Hongrie, et, dans </w:t>
      </w:r>
      <w:r>
        <w:rPr>
          <w:rFonts w:ascii="Times New Roman" w:hAnsi="Times New Roman"/>
          <w:noProof/>
          <w:sz w:val="24"/>
          <w:lang w:val="fr-BE"/>
        </w:rPr>
        <w:t>une moindre mesure, en Espagne et en Finlande que la part de la population possédant un diplôme de l’enseignement supérieur a baissé au cours de la même période. En revanche, une croissance remarquable, respectivement de 7,4, 6,5 et 6 points de pourcentage</w:t>
      </w:r>
      <w:r>
        <w:rPr>
          <w:rFonts w:ascii="Times New Roman" w:hAnsi="Times New Roman"/>
          <w:noProof/>
          <w:sz w:val="24"/>
          <w:lang w:val="fr-BE"/>
        </w:rPr>
        <w:t>, a été enregistrée en Slovaquie, en Grèce et en Tchéquie. Parmi les pays qui ont un taux de diplômés de l’enseignement supérieur inférieur à 40 %, seules la Roumanie, l’Italie et la Croatie n’ont pas atteint 30 % (graphique 20). Dans l’ensemble, 15 des 28</w:t>
      </w:r>
      <w:r>
        <w:rPr>
          <w:rFonts w:ascii="Times New Roman" w:hAnsi="Times New Roman"/>
          <w:noProof/>
          <w:sz w:val="24"/>
          <w:lang w:val="fr-BE"/>
        </w:rPr>
        <w:t xml:space="preserve"> États membres ont atteint leurs objectifs nationaux respectifs en 2017.</w:t>
      </w:r>
    </w:p>
    <w:p w:rsidR="00723CC0" w:rsidRDefault="00723CC0">
      <w:pPr>
        <w:spacing w:before="120" w:after="120" w:line="360" w:lineRule="auto"/>
        <w:jc w:val="both"/>
        <w:rPr>
          <w:rFonts w:ascii="Times New Roman" w:eastAsia="Calibri" w:hAnsi="Times New Roman" w:cs="Times New Roman"/>
          <w:noProof/>
          <w:sz w:val="24"/>
          <w:szCs w:val="24"/>
          <w:highlight w:val="green"/>
          <w:lang w:val="fr-BE"/>
        </w:rPr>
      </w:pPr>
    </w:p>
    <w:p w:rsidR="00723CC0" w:rsidRDefault="00242021">
      <w:pPr>
        <w:keepNext/>
        <w:spacing w:before="120" w:after="120" w:line="360" w:lineRule="auto"/>
        <w:jc w:val="both"/>
        <w:rPr>
          <w:rFonts w:ascii="Times New Roman" w:hAnsi="Times New Roman"/>
          <w:b/>
          <w:noProof/>
          <w:sz w:val="24"/>
          <w:szCs w:val="24"/>
          <w:lang w:val="fr-BE"/>
        </w:rPr>
      </w:pPr>
      <w:bookmarkStart w:id="48" w:name="_Ref528663190"/>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20</w:t>
      </w:r>
      <w:r>
        <w:rPr>
          <w:rFonts w:ascii="Times New Roman" w:hAnsi="Times New Roman"/>
          <w:b/>
          <w:noProof/>
          <w:sz w:val="24"/>
          <w:szCs w:val="24"/>
        </w:rPr>
        <w:fldChar w:fldCharType="end"/>
      </w:r>
      <w:bookmarkEnd w:id="48"/>
      <w:r>
        <w:rPr>
          <w:rFonts w:ascii="Times New Roman" w:hAnsi="Times New Roman"/>
          <w:b/>
          <w:noProof/>
          <w:sz w:val="24"/>
          <w:lang w:val="fr-BE"/>
        </w:rPr>
        <w:t>: Taux d’obtention d’un diplôme de l’enseignement supérieur, 2008, 2013, 2017 et objectif de la stratégie Europe 2020</w:t>
      </w:r>
    </w:p>
    <w:p w:rsidR="00723CC0" w:rsidRDefault="00242021">
      <w:pPr>
        <w:keepNext/>
        <w:spacing w:before="120" w:after="120" w:line="36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804452" cy="2659206"/>
            <wp:effectExtent l="0" t="0" r="635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5806233" cy="2660022"/>
                    </a:xfrm>
                    <a:prstGeom prst="rect">
                      <a:avLst/>
                    </a:prstGeom>
                    <a:noFill/>
                  </pic:spPr>
                </pic:pic>
              </a:graphicData>
            </a:graphic>
          </wp:inline>
        </w:drawing>
      </w:r>
    </w:p>
    <w:p w:rsidR="00723CC0" w:rsidRDefault="00242021">
      <w:pPr>
        <w:spacing w:before="120" w:after="120" w:line="240" w:lineRule="auto"/>
        <w:jc w:val="both"/>
        <w:rPr>
          <w:rFonts w:ascii="Times New Roman" w:eastAsia="Times New Roman" w:hAnsi="Times New Roman" w:cs="Times New Roman"/>
          <w:noProof/>
          <w:color w:val="333333"/>
          <w:sz w:val="18"/>
          <w:szCs w:val="18"/>
          <w:lang w:val="fr-BE"/>
        </w:rPr>
      </w:pPr>
      <w:r>
        <w:rPr>
          <w:rFonts w:ascii="Times New Roman" w:hAnsi="Times New Roman"/>
          <w:noProof/>
          <w:sz w:val="18"/>
          <w:lang w:val="fr-BE"/>
        </w:rPr>
        <w:t xml:space="preserve">Source: Eurostat, EFT [edat_lfse_03]. </w:t>
      </w:r>
      <w:r>
        <w:rPr>
          <w:rFonts w:ascii="Times New Roman" w:hAnsi="Times New Roman"/>
          <w:noProof/>
          <w:color w:val="333333"/>
          <w:sz w:val="18"/>
          <w:lang w:val="fr-BE"/>
        </w:rPr>
        <w:t>Les indicateurs portent sur la part de la population totale âgée de 30 à 34 ans ayant terminé avec succès des études supérieures (niveaux 8 et 5 de la CITE). Rupture de série en 2014 en raison de l’introduction de la n</w:t>
      </w:r>
      <w:r>
        <w:rPr>
          <w:rFonts w:ascii="Times New Roman" w:hAnsi="Times New Roman"/>
          <w:noProof/>
          <w:color w:val="333333"/>
          <w:sz w:val="18"/>
          <w:lang w:val="fr-BE"/>
        </w:rPr>
        <w:t>ouvelle classification CITE; les données de 2017 sont peu fiables pour le Luxembourg en raison de la petite taille de l’échantillon.</w:t>
      </w:r>
    </w:p>
    <w:p w:rsidR="00723CC0" w:rsidRDefault="00723CC0">
      <w:pPr>
        <w:spacing w:before="120" w:after="120" w:line="360" w:lineRule="auto"/>
        <w:jc w:val="both"/>
        <w:rPr>
          <w:rFonts w:ascii="Times New Roman" w:eastAsia="Calibri" w:hAnsi="Times New Roman" w:cs="Times New Roman"/>
          <w:i/>
          <w:noProof/>
          <w:sz w:val="16"/>
          <w:szCs w:val="16"/>
          <w:highlight w:val="green"/>
          <w:lang w:val="fr-BE"/>
        </w:rPr>
      </w:pPr>
    </w:p>
    <w:p w:rsidR="00723CC0" w:rsidRDefault="00242021">
      <w:pPr>
        <w:spacing w:before="120" w:after="240" w:line="360" w:lineRule="auto"/>
        <w:jc w:val="both"/>
        <w:rPr>
          <w:rFonts w:ascii="Times New Roman" w:eastAsia="Calibri" w:hAnsi="Times New Roman" w:cs="Times New Roman"/>
          <w:noProof/>
          <w:sz w:val="24"/>
          <w:szCs w:val="24"/>
          <w:lang w:val="fr-BE"/>
        </w:rPr>
      </w:pPr>
      <w:r>
        <w:rPr>
          <w:rFonts w:ascii="Times New Roman" w:hAnsi="Times New Roman"/>
          <w:b/>
          <w:noProof/>
          <w:sz w:val="24"/>
          <w:lang w:val="fr-BE"/>
        </w:rPr>
        <w:t xml:space="preserve">Les femmes affichent un taux de réussite dans l’enseignement supérieur plus élevé que les hommes et des écarts importants </w:t>
      </w:r>
      <w:r>
        <w:rPr>
          <w:rFonts w:ascii="Times New Roman" w:hAnsi="Times New Roman"/>
          <w:b/>
          <w:noProof/>
          <w:sz w:val="24"/>
          <w:lang w:val="fr-BE"/>
        </w:rPr>
        <w:t>existent entre les personnes nées dans l’UE et celles qui sont nées en dehors.</w:t>
      </w:r>
      <w:r>
        <w:rPr>
          <w:rFonts w:ascii="Times New Roman" w:hAnsi="Times New Roman"/>
          <w:noProof/>
          <w:sz w:val="24"/>
          <w:lang w:val="fr-BE"/>
        </w:rPr>
        <w:t xml:space="preserve"> En 2017, 44,9 % des femmes âgées de 30 à 34 ans possédaient un diplôme d’études supérieures contre 34,9 % des hommes. Cet écart s’est creusé ces 15 dernières années et il est pa</w:t>
      </w:r>
      <w:r>
        <w:rPr>
          <w:rFonts w:ascii="Times New Roman" w:hAnsi="Times New Roman"/>
          <w:noProof/>
          <w:sz w:val="24"/>
          <w:lang w:val="fr-BE"/>
        </w:rPr>
        <w:t>rticulièrement important en Lettonie, en Lituanie et en Slovénie, où le nombre de femmes titulaires d’un diplôme de l’enseignement supérieur dépasse de 20 points de pourcentage celui des hommes. Dans le même temps, dans presque tous les États membres, la p</w:t>
      </w:r>
      <w:r>
        <w:rPr>
          <w:rFonts w:ascii="Times New Roman" w:hAnsi="Times New Roman"/>
          <w:noProof/>
          <w:sz w:val="24"/>
          <w:lang w:val="fr-BE"/>
        </w:rPr>
        <w:t>art de la population titulaire d’un tel diplôme et née dans le pays ou ailleurs dans l’Union européenne est plus élevée que la part de ceux qui sont nés en dehors de l’UE. En moyenne, cet écart est d’environ 5,5 points de pourcentage, ce qui met en évidenc</w:t>
      </w:r>
      <w:r>
        <w:rPr>
          <w:rFonts w:ascii="Times New Roman" w:hAnsi="Times New Roman"/>
          <w:noProof/>
          <w:sz w:val="24"/>
          <w:lang w:val="fr-BE"/>
        </w:rPr>
        <w:t>e la persistance de difficultés en matière d’équité, d’accès à l’enseignement supérieur et de dimension sociale liée à ce niveau d’enseignement.</w:t>
      </w:r>
    </w:p>
    <w:p w:rsidR="00723CC0" w:rsidRDefault="00242021">
      <w:pPr>
        <w:spacing w:before="120" w:after="240" w:line="360" w:lineRule="auto"/>
        <w:jc w:val="both"/>
        <w:rPr>
          <w:rFonts w:ascii="Times New Roman" w:hAnsi="Times New Roman" w:cs="Times New Roman"/>
          <w:noProof/>
          <w:sz w:val="24"/>
          <w:szCs w:val="24"/>
          <w:lang w:val="fr-BE"/>
        </w:rPr>
      </w:pPr>
      <w:r>
        <w:rPr>
          <w:rFonts w:ascii="Times New Roman" w:hAnsi="Times New Roman"/>
          <w:b/>
          <w:noProof/>
          <w:sz w:val="24"/>
          <w:lang w:val="fr-BE"/>
        </w:rPr>
        <w:t>Environ un tiers des jeunes adultes de l’UE est titulaire d’une qualification liée à l’EFP.</w:t>
      </w:r>
      <w:r>
        <w:rPr>
          <w:rFonts w:ascii="Times New Roman" w:hAnsi="Times New Roman"/>
          <w:noProof/>
          <w:sz w:val="24"/>
          <w:lang w:val="fr-BE"/>
        </w:rPr>
        <w:t xml:space="preserve"> En 2016, 33 % des j</w:t>
      </w:r>
      <w:r>
        <w:rPr>
          <w:rFonts w:ascii="Times New Roman" w:hAnsi="Times New Roman"/>
          <w:noProof/>
          <w:sz w:val="24"/>
          <w:lang w:val="fr-BE"/>
        </w:rPr>
        <w:t>eunes adultes dans la tranche d’âge des 30-34 ans ont acquis un diplôme de deuxième cycle de l’enseignement secondaire à orientation professionnelle. Comme le montre le graphique 21, cette proportion dépasse 40 % dans des pays tels que la Slovaquie, la Hon</w:t>
      </w:r>
      <w:r>
        <w:rPr>
          <w:rFonts w:ascii="Times New Roman" w:hAnsi="Times New Roman"/>
          <w:noProof/>
          <w:sz w:val="24"/>
          <w:lang w:val="fr-BE"/>
        </w:rPr>
        <w:t>grie, l’Autriche, la Roumanie, l’Allemagne, la Tchéquie et la Croatie dont le modèle de transition de l’éducation à l’emploi est fortement ancré dans le système de formation professionnelle. Inversement, cette proportion est relativement plus faible (moins</w:t>
      </w:r>
      <w:r>
        <w:rPr>
          <w:rFonts w:ascii="Times New Roman" w:hAnsi="Times New Roman"/>
          <w:noProof/>
          <w:sz w:val="24"/>
          <w:lang w:val="fr-BE"/>
        </w:rPr>
        <w:t xml:space="preserve"> de 20 %) dans les pays dont le modèle est davantage centré sur l’enseignement supérieur (comme en Lituanie, en Suède, à Chypre et en Irlande) ou dans lesquels la diffusion de qualifications directement pertinentes sur le marché du travail est, comparative</w:t>
      </w:r>
      <w:r>
        <w:rPr>
          <w:rFonts w:ascii="Times New Roman" w:hAnsi="Times New Roman"/>
          <w:noProof/>
          <w:sz w:val="24"/>
          <w:lang w:val="fr-BE"/>
        </w:rPr>
        <w:t>ment, plus faible dans l’ensemble (comme à Malte, au Portugal, en Espagne, au Luxembourg et en Grèce).</w:t>
      </w:r>
    </w:p>
    <w:p w:rsidR="00723CC0" w:rsidRDefault="00242021">
      <w:pPr>
        <w:keepNext/>
        <w:spacing w:before="120" w:after="120" w:line="360" w:lineRule="auto"/>
        <w:jc w:val="both"/>
        <w:rPr>
          <w:rFonts w:ascii="Times New Roman" w:hAnsi="Times New Roman"/>
          <w:b/>
          <w:noProof/>
          <w:sz w:val="24"/>
          <w:szCs w:val="24"/>
          <w:lang w:val="fr-BE"/>
        </w:rPr>
      </w:pPr>
      <w:bookmarkStart w:id="49" w:name="_Ref528663285"/>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21</w:t>
      </w:r>
      <w:r>
        <w:rPr>
          <w:rFonts w:ascii="Times New Roman" w:hAnsi="Times New Roman"/>
          <w:b/>
          <w:noProof/>
          <w:sz w:val="24"/>
          <w:szCs w:val="24"/>
        </w:rPr>
        <w:fldChar w:fldCharType="end"/>
      </w:r>
      <w:bookmarkEnd w:id="49"/>
      <w:r>
        <w:rPr>
          <w:rFonts w:ascii="Times New Roman" w:hAnsi="Times New Roman"/>
          <w:b/>
          <w:noProof/>
          <w:sz w:val="24"/>
          <w:lang w:val="fr-BE"/>
        </w:rPr>
        <w:t>: De l’éducation à l’emploi: filières et systèmes de transition, 2016</w:t>
      </w:r>
    </w:p>
    <w:p w:rsidR="00723CC0" w:rsidRDefault="00242021">
      <w:pPr>
        <w:keepNext/>
        <w:spacing w:before="120" w:after="120" w:line="36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565913" cy="299368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5566061" cy="2993763"/>
                    </a:xfrm>
                    <a:prstGeom prst="rect">
                      <a:avLst/>
                    </a:prstGeom>
                    <a:noFill/>
                  </pic:spPr>
                </pic:pic>
              </a:graphicData>
            </a:graphic>
          </wp:inline>
        </w:drawing>
      </w:r>
    </w:p>
    <w:p w:rsidR="00723CC0" w:rsidRDefault="00242021">
      <w:pPr>
        <w:spacing w:after="0" w:line="240" w:lineRule="auto"/>
        <w:jc w:val="both"/>
        <w:rPr>
          <w:rFonts w:ascii="Times New Roman" w:hAnsi="Times New Roman" w:cs="Times New Roman"/>
          <w:iCs/>
          <w:noProof/>
          <w:sz w:val="20"/>
          <w:szCs w:val="20"/>
          <w:lang w:val="fr-BE"/>
        </w:rPr>
      </w:pPr>
      <w:r>
        <w:rPr>
          <w:rFonts w:ascii="Times New Roman" w:hAnsi="Times New Roman"/>
          <w:noProof/>
          <w:sz w:val="20"/>
          <w:lang w:val="fr-BE"/>
        </w:rPr>
        <w:t xml:space="preserve">Source: Eurostat, EFT. Code des données en </w:t>
      </w:r>
      <w:r>
        <w:rPr>
          <w:rFonts w:ascii="Times New Roman" w:hAnsi="Times New Roman"/>
          <w:noProof/>
          <w:sz w:val="20"/>
          <w:lang w:val="fr-BE"/>
        </w:rPr>
        <w:t>ligne: [lfso_16feduc].</w:t>
      </w:r>
    </w:p>
    <w:p w:rsidR="00723CC0" w:rsidRDefault="00242021">
      <w:pPr>
        <w:spacing w:line="240" w:lineRule="auto"/>
        <w:jc w:val="both"/>
        <w:rPr>
          <w:rFonts w:ascii="Times New Roman" w:hAnsi="Times New Roman" w:cs="Times New Roman"/>
          <w:iCs/>
          <w:noProof/>
          <w:sz w:val="20"/>
          <w:szCs w:val="20"/>
          <w:lang w:val="fr-BE"/>
        </w:rPr>
      </w:pPr>
      <w:r>
        <w:rPr>
          <w:rFonts w:ascii="Times New Roman" w:hAnsi="Times New Roman"/>
          <w:noProof/>
          <w:sz w:val="20"/>
          <w:lang w:val="fr-BE"/>
        </w:rPr>
        <w:t>Remarque: Les qualifications non liées aux EFP incluent les qualifications des niveaux CITE 0-2 ou une qualification de niveau moyen (CITE 3-4) à orientation générale; Les qualifications liées aux EFP des niveaux CITE 3-4 sont des qu</w:t>
      </w:r>
      <w:r>
        <w:rPr>
          <w:rFonts w:ascii="Times New Roman" w:hAnsi="Times New Roman"/>
          <w:noProof/>
          <w:sz w:val="20"/>
          <w:lang w:val="fr-BE"/>
        </w:rPr>
        <w:t>alifications à un niveau moyen (CITE 3-4) à orientation professionnelle; les qualifications CITE 5-8 correspondent à un niveau élevé de qualifications obtenues dans le système éducatif.</w:t>
      </w:r>
    </w:p>
    <w:p w:rsidR="00723CC0" w:rsidRDefault="00242021">
      <w:pPr>
        <w:spacing w:before="120" w:after="240"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Tout le monde n’a pas la même chance d’acquérir des compétences et qua</w:t>
      </w:r>
      <w:r>
        <w:rPr>
          <w:rFonts w:ascii="Times New Roman" w:hAnsi="Times New Roman"/>
          <w:b/>
          <w:noProof/>
          <w:sz w:val="24"/>
          <w:lang w:val="fr-BE"/>
        </w:rPr>
        <w:t>lifications précieuses sur le marché du travail.</w:t>
      </w:r>
      <w:r>
        <w:rPr>
          <w:rFonts w:ascii="Times New Roman" w:hAnsi="Times New Roman"/>
          <w:noProof/>
          <w:sz w:val="24"/>
          <w:lang w:val="fr-BE"/>
        </w:rPr>
        <w:t xml:space="preserve"> Dans certains pays, plus de la moitié des jeunes âgés de 30 à 34 ans déclarent ne pas avoir une qualification – qu’elle relève d’une filière professionnelle ou d’une filière d’enseignement – qui soit clairem</w:t>
      </w:r>
      <w:r>
        <w:rPr>
          <w:rFonts w:ascii="Times New Roman" w:hAnsi="Times New Roman"/>
          <w:noProof/>
          <w:sz w:val="24"/>
          <w:lang w:val="fr-BE"/>
        </w:rPr>
        <w:t>ent liée au marché du travail. Cela a une incidence sur l’intégration sur le marché du travail. Par exemple, comme le montre le graphique 22, si les diplômés de l’enseignement professionnel et de l’enseignement supérieur atteignent des taux d’emploi supéri</w:t>
      </w:r>
      <w:r>
        <w:rPr>
          <w:rFonts w:ascii="Times New Roman" w:hAnsi="Times New Roman"/>
          <w:noProof/>
          <w:sz w:val="24"/>
          <w:lang w:val="fr-BE"/>
        </w:rPr>
        <w:t>eurs ou égaux à 80 %, moins de 70 % des diplômés du deuxième cycle du secondaire dans une orientation générale ont un emploi après l’âge de 25 ans. Les personnes sans diplôme de l’enseignement secondaire supérieur sont encore plus défavorisées: moins de 60</w:t>
      </w:r>
      <w:r>
        <w:rPr>
          <w:rFonts w:ascii="Times New Roman" w:hAnsi="Times New Roman"/>
          <w:noProof/>
          <w:sz w:val="24"/>
          <w:lang w:val="fr-BE"/>
        </w:rPr>
        <w:t> % d’entre elles occupent un emploi si elles ont plus de 25 ans.</w:t>
      </w:r>
    </w:p>
    <w:p w:rsidR="00723CC0" w:rsidRDefault="00242021">
      <w:pPr>
        <w:spacing w:before="120" w:after="240" w:line="360" w:lineRule="auto"/>
        <w:jc w:val="both"/>
        <w:rPr>
          <w:rFonts w:ascii="Times New Roman" w:hAnsi="Times New Roman" w:cs="Times New Roman"/>
          <w:noProof/>
          <w:sz w:val="24"/>
          <w:szCs w:val="24"/>
          <w:lang w:val="fr-BE"/>
        </w:rPr>
      </w:pPr>
      <w:r>
        <w:rPr>
          <w:rFonts w:ascii="Times New Roman" w:hAnsi="Times New Roman"/>
          <w:b/>
          <w:noProof/>
          <w:sz w:val="24"/>
          <w:lang w:val="fr-BE"/>
        </w:rPr>
        <w:t>Posséder une qualification pertinente sur le marché du travail – qu’elle relève d’une filière professionnelle ou d’une filière d’enseignement – est de plus en plus important pour pouvoir s’ad</w:t>
      </w:r>
      <w:r>
        <w:rPr>
          <w:rFonts w:ascii="Times New Roman" w:hAnsi="Times New Roman"/>
          <w:b/>
          <w:noProof/>
          <w:sz w:val="24"/>
          <w:lang w:val="fr-BE"/>
        </w:rPr>
        <w:t xml:space="preserve">apter à une économie en mutation rapide et répondre à la demande d’un niveau de compétence élevé. </w:t>
      </w:r>
      <w:r>
        <w:rPr>
          <w:rFonts w:ascii="Times New Roman" w:hAnsi="Times New Roman"/>
          <w:noProof/>
          <w:sz w:val="24"/>
          <w:lang w:val="fr-BE"/>
        </w:rPr>
        <w:t>Le taux d’emploi des nouveaux diplômés de l’enseignement supérieur, qui s’élevait à 84,9 % en 2017, était de 0,9 point de pourcentage supérieur au taux d’empl</w:t>
      </w:r>
      <w:r>
        <w:rPr>
          <w:rFonts w:ascii="Times New Roman" w:hAnsi="Times New Roman"/>
          <w:noProof/>
          <w:sz w:val="24"/>
          <w:lang w:val="fr-BE"/>
        </w:rPr>
        <w:t>oi global des adultes en âge de travailler ayant le même niveau d’instruction. Dans quelques États membres seulement (Italie, Grèce, Croatie, Chypre, Slovénie et Espagne), les nouveaux diplômés de l’enseignement supérieur sont toujours désavantagés, même s</w:t>
      </w:r>
      <w:r>
        <w:rPr>
          <w:rFonts w:ascii="Times New Roman" w:hAnsi="Times New Roman"/>
          <w:noProof/>
          <w:sz w:val="24"/>
          <w:lang w:val="fr-BE"/>
        </w:rPr>
        <w:t>i la situation s’est améliorée dans tous ces pays, à l’exception de la Croatie. Le taux d’emploi des nouveaux diplômés ayant une qualification professionnelle de niveau moyen suit de près: il s’établissait à 76,6 %, soit 5,7 points de pourcentage de plus q</w:t>
      </w:r>
      <w:r>
        <w:rPr>
          <w:rFonts w:ascii="Times New Roman" w:hAnsi="Times New Roman"/>
          <w:noProof/>
          <w:sz w:val="24"/>
          <w:lang w:val="fr-BE"/>
        </w:rPr>
        <w:t xml:space="preserve">ue le taux d’emploi global des adultes en âge de travailler ayant un niveau d’instruction moyen, ce qui donne à penser que les nouveaux diplômés de l’EFP bénéficient d’une prime à l’emploi. À l’inverse, le taux d’emploi des personnes ne disposant que d’un </w:t>
      </w:r>
      <w:r>
        <w:rPr>
          <w:rFonts w:ascii="Times New Roman" w:hAnsi="Times New Roman"/>
          <w:noProof/>
          <w:sz w:val="24"/>
          <w:lang w:val="fr-BE"/>
        </w:rPr>
        <w:t>niveau moyen à orientation générale était de 64,1 %. Les jeunes adultes ne possédant qu’un faible niveau de qualification étaient encore plus désavantagés sur le marché du travail, avec un taux d’emploi de 56,4 % en 2017.</w:t>
      </w:r>
    </w:p>
    <w:p w:rsidR="00723CC0" w:rsidRDefault="00723CC0">
      <w:pPr>
        <w:spacing w:before="120" w:after="240" w:line="360" w:lineRule="auto"/>
        <w:jc w:val="both"/>
        <w:rPr>
          <w:rFonts w:ascii="Times New Roman" w:hAnsi="Times New Roman" w:cs="Times New Roman"/>
          <w:iCs/>
          <w:noProof/>
          <w:sz w:val="24"/>
          <w:szCs w:val="24"/>
          <w:lang w:val="fr-BE"/>
        </w:rPr>
      </w:pPr>
    </w:p>
    <w:p w:rsidR="00723CC0" w:rsidRDefault="00242021">
      <w:pPr>
        <w:keepNext/>
        <w:spacing w:before="120" w:after="120" w:line="360" w:lineRule="auto"/>
        <w:jc w:val="both"/>
        <w:rPr>
          <w:rFonts w:ascii="Times New Roman" w:hAnsi="Times New Roman"/>
          <w:b/>
          <w:noProof/>
          <w:sz w:val="24"/>
          <w:szCs w:val="24"/>
          <w:lang w:val="fr-BE"/>
        </w:rPr>
      </w:pPr>
      <w:bookmarkStart w:id="50" w:name="_Ref528663305"/>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2</w:t>
      </w:r>
      <w:r>
        <w:rPr>
          <w:rFonts w:ascii="Times New Roman" w:hAnsi="Times New Roman"/>
          <w:b/>
          <w:noProof/>
          <w:sz w:val="24"/>
          <w:szCs w:val="24"/>
          <w:lang w:val="fr-BE"/>
        </w:rPr>
        <w:t>2</w:t>
      </w:r>
      <w:r>
        <w:rPr>
          <w:rFonts w:ascii="Times New Roman" w:hAnsi="Times New Roman"/>
          <w:b/>
          <w:noProof/>
          <w:sz w:val="24"/>
          <w:szCs w:val="24"/>
        </w:rPr>
        <w:fldChar w:fldCharType="end"/>
      </w:r>
      <w:bookmarkEnd w:id="50"/>
      <w:r>
        <w:rPr>
          <w:rFonts w:ascii="Times New Roman" w:hAnsi="Times New Roman"/>
          <w:b/>
          <w:noProof/>
          <w:sz w:val="24"/>
          <w:lang w:val="fr-BE"/>
        </w:rPr>
        <w:t>: Taux d’emploi des jeunes diplômés par niveau d’éducation, 2017</w:t>
      </w:r>
    </w:p>
    <w:p w:rsidR="00723CC0" w:rsidRDefault="00242021">
      <w:pPr>
        <w:keepNext/>
        <w:spacing w:before="120" w:after="120" w:line="36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486400" cy="29389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5485936" cy="2938731"/>
                    </a:xfrm>
                    <a:prstGeom prst="rect">
                      <a:avLst/>
                    </a:prstGeom>
                    <a:noFill/>
                  </pic:spPr>
                </pic:pic>
              </a:graphicData>
            </a:graphic>
          </wp:inline>
        </w:drawing>
      </w:r>
    </w:p>
    <w:p w:rsidR="00723CC0" w:rsidRDefault="00242021">
      <w:pPr>
        <w:spacing w:line="240" w:lineRule="auto"/>
        <w:jc w:val="both"/>
        <w:rPr>
          <w:rFonts w:ascii="Times New Roman" w:hAnsi="Times New Roman" w:cs="Times New Roman"/>
          <w:iCs/>
          <w:noProof/>
          <w:sz w:val="20"/>
          <w:szCs w:val="20"/>
          <w:lang w:val="fr-BE"/>
        </w:rPr>
      </w:pPr>
      <w:r>
        <w:rPr>
          <w:rFonts w:ascii="Times New Roman" w:hAnsi="Times New Roman"/>
          <w:noProof/>
          <w:sz w:val="20"/>
          <w:lang w:val="fr-BE"/>
        </w:rPr>
        <w:t xml:space="preserve">Source: Eurostat, EFT. Remarque: jeunes adultes âgés de 20 à 34 ans. Les données sur les personnes peu qualifiées portent sur tous les jeunes adultes qui ne suivent ni enseignement ni </w:t>
      </w:r>
      <w:r>
        <w:rPr>
          <w:rFonts w:ascii="Times New Roman" w:hAnsi="Times New Roman"/>
          <w:noProof/>
          <w:sz w:val="20"/>
          <w:lang w:val="fr-BE"/>
        </w:rPr>
        <w:t>formation, peu importe le temps écoulé depuis la fin de leurs études. Les données sur les personnes moyennement et hautement qualifiées portent uniquement sur les personnes ayant obtenu leur diplôme d’un à trois ans avant l’enquête.</w:t>
      </w:r>
    </w:p>
    <w:p w:rsidR="00723CC0" w:rsidRDefault="00723CC0">
      <w:pPr>
        <w:keepNext/>
        <w:spacing w:before="120" w:after="120" w:line="360" w:lineRule="auto"/>
        <w:jc w:val="both"/>
        <w:rPr>
          <w:rFonts w:ascii="Times New Roman" w:hAnsi="Times New Roman" w:cs="Times New Roman"/>
          <w:iCs/>
          <w:noProof/>
          <w:sz w:val="20"/>
          <w:szCs w:val="20"/>
          <w:lang w:val="fr-BE"/>
        </w:rPr>
      </w:pPr>
    </w:p>
    <w:p w:rsidR="00723CC0" w:rsidRDefault="00242021">
      <w:pPr>
        <w:spacing w:before="120" w:after="240"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L’un des moyens d’amél</w:t>
      </w:r>
      <w:r>
        <w:rPr>
          <w:rFonts w:ascii="Times New Roman" w:hAnsi="Times New Roman"/>
          <w:b/>
          <w:noProof/>
          <w:sz w:val="24"/>
          <w:lang w:val="fr-BE"/>
        </w:rPr>
        <w:t>iorer les résultats des jeunes sur le marché du travail est de leur offrir la possibilité de se familiariser avec un environnement de travail réel</w:t>
      </w:r>
      <w:r>
        <w:rPr>
          <w:rFonts w:ascii="Times New Roman" w:hAnsi="Times New Roman"/>
          <w:noProof/>
          <w:sz w:val="24"/>
          <w:lang w:val="fr-BE"/>
        </w:rPr>
        <w:t xml:space="preserve">, ce qui peut passer par une formation par le travail en entreprise ou un apprentissage liés à leur programme </w:t>
      </w:r>
      <w:r>
        <w:rPr>
          <w:rFonts w:ascii="Times New Roman" w:hAnsi="Times New Roman"/>
          <w:noProof/>
          <w:sz w:val="24"/>
          <w:lang w:val="fr-BE"/>
        </w:rPr>
        <w:t>de formation. Ceux qui ont acquis une telle expérience au cours de leurs études peuvent trouver un travail plus facilement et peuvent même avoir la possibilité de postuler à des postes plus avancés. Cependant, comme le montre le graphique 23, moins de 50 %</w:t>
      </w:r>
      <w:r>
        <w:rPr>
          <w:rFonts w:ascii="Times New Roman" w:hAnsi="Times New Roman"/>
          <w:noProof/>
          <w:sz w:val="24"/>
          <w:lang w:val="fr-BE"/>
        </w:rPr>
        <w:t xml:space="preserve"> des titulaires d’une qualification de l’EFP déclarent avoir acquis une telle expérience au cours de leurs études. Une proportion encore plus faible avait acquis une expérience au travail en milieu professionnel plus importante grâce à un apprentissage. La</w:t>
      </w:r>
      <w:r>
        <w:rPr>
          <w:rFonts w:ascii="Times New Roman" w:hAnsi="Times New Roman"/>
          <w:noProof/>
          <w:sz w:val="24"/>
          <w:lang w:val="fr-BE"/>
        </w:rPr>
        <w:t xml:space="preserve"> plus grande proportion d’étudiants de l’EFP ayant accès à une formation par le travail (plus de 90 %) se trouve en Hongrie, aux Pays-Bas, en Finlande et en Suède.</w:t>
      </w:r>
    </w:p>
    <w:p w:rsidR="00723CC0" w:rsidRDefault="00723CC0">
      <w:pPr>
        <w:spacing w:line="360" w:lineRule="auto"/>
        <w:jc w:val="both"/>
        <w:rPr>
          <w:rFonts w:ascii="Times New Roman" w:hAnsi="Times New Roman" w:cs="Times New Roman"/>
          <w:iCs/>
          <w:noProof/>
          <w:sz w:val="24"/>
          <w:szCs w:val="24"/>
          <w:lang w:val="fr-BE"/>
        </w:rPr>
      </w:pPr>
    </w:p>
    <w:p w:rsidR="00723CC0" w:rsidRDefault="00242021">
      <w:pPr>
        <w:keepNext/>
        <w:spacing w:before="120" w:after="120" w:line="240" w:lineRule="auto"/>
        <w:jc w:val="both"/>
        <w:rPr>
          <w:rFonts w:ascii="Times New Roman" w:hAnsi="Times New Roman"/>
          <w:b/>
          <w:noProof/>
          <w:sz w:val="24"/>
          <w:szCs w:val="24"/>
          <w:lang w:val="fr-BE"/>
        </w:rPr>
      </w:pPr>
      <w:bookmarkStart w:id="51" w:name="_Ref528663363"/>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23</w:t>
      </w:r>
      <w:r>
        <w:rPr>
          <w:rFonts w:ascii="Times New Roman" w:hAnsi="Times New Roman"/>
          <w:b/>
          <w:noProof/>
          <w:sz w:val="24"/>
          <w:szCs w:val="24"/>
        </w:rPr>
        <w:fldChar w:fldCharType="end"/>
      </w:r>
      <w:bookmarkEnd w:id="51"/>
      <w:r>
        <w:rPr>
          <w:rFonts w:ascii="Times New Roman" w:hAnsi="Times New Roman"/>
          <w:b/>
          <w:noProof/>
          <w:sz w:val="24"/>
          <w:lang w:val="fr-BE"/>
        </w:rPr>
        <w:t>: Accès à une formation par le travail et à l’apprenti</w:t>
      </w:r>
      <w:r>
        <w:rPr>
          <w:rFonts w:ascii="Times New Roman" w:hAnsi="Times New Roman"/>
          <w:b/>
          <w:noProof/>
          <w:sz w:val="24"/>
          <w:lang w:val="fr-BE"/>
        </w:rPr>
        <w:t>ssage dans l’EFP, 2016</w:t>
      </w:r>
    </w:p>
    <w:p w:rsidR="00723CC0" w:rsidRDefault="00242021">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573864" cy="2903232"/>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5572254" cy="2902393"/>
                    </a:xfrm>
                    <a:prstGeom prst="rect">
                      <a:avLst/>
                    </a:prstGeom>
                    <a:noFill/>
                  </pic:spPr>
                </pic:pic>
              </a:graphicData>
            </a:graphic>
          </wp:inline>
        </w:drawing>
      </w:r>
    </w:p>
    <w:p w:rsidR="00723CC0" w:rsidRDefault="00242021">
      <w:pPr>
        <w:pStyle w:val="sourcenew"/>
        <w:jc w:val="both"/>
        <w:rPr>
          <w:rFonts w:ascii="Times New Roman" w:hAnsi="Times New Roman" w:cs="Times New Roman"/>
          <w:iCs/>
          <w:noProof/>
          <w:sz w:val="20"/>
          <w:szCs w:val="20"/>
          <w:lang w:val="fr-BE"/>
        </w:rPr>
      </w:pPr>
      <w:r>
        <w:rPr>
          <w:rFonts w:ascii="Times New Roman" w:hAnsi="Times New Roman"/>
          <w:noProof/>
          <w:sz w:val="20"/>
          <w:lang w:val="fr-BE"/>
        </w:rPr>
        <w:t xml:space="preserve">Source: </w:t>
      </w:r>
      <w:r>
        <w:rPr>
          <w:rFonts w:ascii="Times New Roman" w:hAnsi="Times New Roman"/>
          <w:noProof/>
          <w:color w:val="auto"/>
          <w:sz w:val="20"/>
          <w:lang w:val="fr-BE"/>
        </w:rPr>
        <w:t>Eurostat, EFT. Code des données en ligne: [</w:t>
      </w:r>
      <w:r>
        <w:rPr>
          <w:rFonts w:ascii="Times New Roman" w:hAnsi="Times New Roman"/>
          <w:noProof/>
          <w:sz w:val="20"/>
          <w:lang w:val="fr-BE"/>
        </w:rPr>
        <w:t>lfso_16feduc</w:t>
      </w:r>
      <w:r>
        <w:rPr>
          <w:rFonts w:ascii="Times New Roman" w:hAnsi="Times New Roman"/>
          <w:noProof/>
          <w:color w:val="auto"/>
          <w:sz w:val="20"/>
          <w:lang w:val="fr-BE"/>
        </w:rPr>
        <w:t>]</w:t>
      </w:r>
      <w:r>
        <w:rPr>
          <w:rFonts w:ascii="Times New Roman" w:hAnsi="Times New Roman"/>
          <w:noProof/>
          <w:sz w:val="20"/>
          <w:lang w:val="fr-BE"/>
        </w:rPr>
        <w:t>. Remarques: jeunes adultes de 15 à 34 ans possédant une qualification professionnelle du niveau du cycle supérieur de l’enseignement secondaire ou de l’enseignement p</w:t>
      </w:r>
      <w:r>
        <w:rPr>
          <w:rFonts w:ascii="Times New Roman" w:hAnsi="Times New Roman"/>
          <w:noProof/>
          <w:sz w:val="20"/>
          <w:lang w:val="fr-BE"/>
        </w:rPr>
        <w:t>ost-secondaire non supérieur. Les données concernant le Luxembourg ne sont pas disponibles. Les données concernant l’«apprentissage» en Bulgarie, en Lettonie, en Lituanie et au Portugal ne sont pas disponibles. Les données relatives à l’Allemagne pourraien</w:t>
      </w:r>
      <w:r>
        <w:rPr>
          <w:rFonts w:ascii="Times New Roman" w:hAnsi="Times New Roman"/>
          <w:noProof/>
          <w:sz w:val="20"/>
          <w:lang w:val="fr-BE"/>
        </w:rPr>
        <w:t>t ne pas être représentatives en raison d’un grand nombre de non-réponses.</w:t>
      </w:r>
    </w:p>
    <w:p w:rsidR="00723CC0" w:rsidRDefault="00723CC0">
      <w:pPr>
        <w:spacing w:line="360" w:lineRule="auto"/>
        <w:jc w:val="both"/>
        <w:rPr>
          <w:rFonts w:ascii="Times New Roman" w:hAnsi="Times New Roman" w:cs="Times New Roman"/>
          <w:iCs/>
          <w:noProof/>
          <w:sz w:val="24"/>
          <w:szCs w:val="24"/>
          <w:lang w:val="fr-BE"/>
        </w:rPr>
      </w:pPr>
    </w:p>
    <w:p w:rsidR="00723CC0" w:rsidRDefault="00242021">
      <w:pPr>
        <w:spacing w:before="120" w:after="240"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Les adultes peu qualifiés se trouvent aussi souvent dans une position extrêmement défavorable sur le marché du travail par rapport à ceux de leurs pairs qui ont poursuivi leurs étu</w:t>
      </w:r>
      <w:r>
        <w:rPr>
          <w:rFonts w:ascii="Times New Roman" w:hAnsi="Times New Roman"/>
          <w:b/>
          <w:noProof/>
          <w:sz w:val="24"/>
          <w:lang w:val="fr-BE"/>
        </w:rPr>
        <w:t xml:space="preserve">des plus longtemps. </w:t>
      </w:r>
      <w:r>
        <w:rPr>
          <w:rFonts w:ascii="Times New Roman" w:hAnsi="Times New Roman"/>
          <w:noProof/>
          <w:sz w:val="24"/>
          <w:lang w:val="fr-BE"/>
        </w:rPr>
        <w:t>Dans l’UE, le rapport entre le nombre d’adultes peu qualifiés et le nombre d’emplois nécessitant un faible niveau de qualification est en moyenne de 3 pour 1 (tableau 2). En d’autres termes, le nombre d’adultes peu qualifiés est le trip</w:t>
      </w:r>
      <w:r>
        <w:rPr>
          <w:rFonts w:ascii="Times New Roman" w:hAnsi="Times New Roman"/>
          <w:noProof/>
          <w:sz w:val="24"/>
          <w:lang w:val="fr-BE"/>
        </w:rPr>
        <w:t>le de celui des emplois nécessitant un faible niveau de qualification. La question semble plus pressante dans des pays tels que Malte, le Portugal, la Grèce, l’Italie et l’Espagne, avec un rapport supérieur à 4. Cela pourrait en fin de compte aboutir à une</w:t>
      </w:r>
      <w:r>
        <w:rPr>
          <w:rFonts w:ascii="Times New Roman" w:hAnsi="Times New Roman"/>
          <w:noProof/>
          <w:sz w:val="24"/>
          <w:lang w:val="fr-BE"/>
        </w:rPr>
        <w:t xml:space="preserve"> plus faible participation au marché du travail, une incidence plus élevée du travail précaire, un taux de chômage élevé et le risque de s’éloigner du marché du travail, tout simplement.</w:t>
      </w:r>
    </w:p>
    <w:p w:rsidR="00723CC0" w:rsidRDefault="00242021">
      <w:pPr>
        <w:rPr>
          <w:rFonts w:ascii="Times New Roman" w:hAnsi="Times New Roman" w:cs="Times New Roman"/>
          <w:iCs/>
          <w:noProof/>
          <w:sz w:val="24"/>
          <w:szCs w:val="24"/>
          <w:lang w:val="fr-BE"/>
        </w:rPr>
      </w:pPr>
      <w:r>
        <w:rPr>
          <w:rFonts w:ascii="Times New Roman" w:hAnsi="Times New Roman" w:cs="Times New Roman"/>
          <w:iCs/>
          <w:noProof/>
          <w:sz w:val="24"/>
          <w:szCs w:val="24"/>
          <w:lang w:val="fr-BE"/>
        </w:rPr>
        <w:br w:type="page"/>
      </w:r>
    </w:p>
    <w:p w:rsidR="00723CC0" w:rsidRDefault="00723CC0">
      <w:pPr>
        <w:rPr>
          <w:rFonts w:ascii="Times New Roman" w:hAnsi="Times New Roman" w:cs="Times New Roman"/>
          <w:iCs/>
          <w:noProof/>
          <w:sz w:val="24"/>
          <w:szCs w:val="24"/>
          <w:lang w:val="fr-BE"/>
        </w:rPr>
      </w:pPr>
    </w:p>
    <w:p w:rsidR="00723CC0" w:rsidRDefault="00242021">
      <w:pPr>
        <w:keepNext/>
        <w:spacing w:before="120" w:after="120" w:line="360" w:lineRule="auto"/>
        <w:jc w:val="both"/>
        <w:rPr>
          <w:rFonts w:ascii="Times New Roman" w:hAnsi="Times New Roman"/>
          <w:b/>
          <w:noProof/>
          <w:sz w:val="24"/>
          <w:szCs w:val="24"/>
          <w:lang w:val="fr-BE"/>
        </w:rPr>
      </w:pPr>
      <w:r>
        <w:rPr>
          <w:rFonts w:ascii="Times New Roman" w:hAnsi="Times New Roman"/>
          <w:b/>
          <w:noProof/>
          <w:sz w:val="24"/>
          <w:lang w:val="fr-BE"/>
        </w:rPr>
        <w:t xml:space="preserve">Tableau </w:t>
      </w:r>
      <w:r>
        <w:rPr>
          <w:rFonts w:ascii="Times New Roman" w:hAnsi="Times New Roman" w:cs="Times New Roman"/>
          <w:b/>
          <w:bCs/>
          <w:noProof/>
          <w:sz w:val="24"/>
          <w:szCs w:val="24"/>
        </w:rPr>
        <w:fldChar w:fldCharType="begin" w:fldLock="1"/>
      </w:r>
      <w:r>
        <w:rPr>
          <w:rFonts w:ascii="Times New Roman" w:hAnsi="Times New Roman" w:cs="Times New Roman"/>
          <w:b/>
          <w:bCs/>
          <w:noProof/>
          <w:sz w:val="24"/>
          <w:szCs w:val="24"/>
          <w:lang w:val="fr-BE"/>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lang w:val="fr-BE"/>
        </w:rPr>
        <w:t>2</w:t>
      </w:r>
      <w:r>
        <w:rPr>
          <w:rFonts w:ascii="Times New Roman" w:hAnsi="Times New Roman" w:cs="Times New Roman"/>
          <w:noProof/>
          <w:sz w:val="24"/>
          <w:szCs w:val="24"/>
        </w:rPr>
        <w:fldChar w:fldCharType="end"/>
      </w:r>
      <w:r>
        <w:rPr>
          <w:rFonts w:ascii="Times New Roman" w:hAnsi="Times New Roman"/>
          <w:b/>
          <w:noProof/>
          <w:sz w:val="24"/>
          <w:lang w:val="fr-BE"/>
        </w:rPr>
        <w:t xml:space="preserve">: Nombre d’adultes peu qualifiés </w:t>
      </w:r>
      <w:r>
        <w:rPr>
          <w:rFonts w:ascii="Times New Roman" w:hAnsi="Times New Roman"/>
          <w:b/>
          <w:noProof/>
          <w:sz w:val="24"/>
          <w:lang w:val="fr-BE"/>
        </w:rPr>
        <w:t>et d’emplois peu qualifiés dans l’UE.</w:t>
      </w:r>
    </w:p>
    <w:tbl>
      <w:tblPr>
        <w:tblW w:w="4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2261"/>
        <w:gridCol w:w="2325"/>
        <w:gridCol w:w="939"/>
      </w:tblGrid>
      <w:tr w:rsidR="00723CC0">
        <w:trPr>
          <w:trHeight w:val="587"/>
        </w:trPr>
        <w:tc>
          <w:tcPr>
            <w:tcW w:w="1316" w:type="pct"/>
            <w:shd w:val="clear" w:color="auto" w:fill="auto"/>
            <w:noWrap/>
            <w:vAlign w:val="center"/>
            <w:hideMark/>
          </w:tcPr>
          <w:p w:rsidR="00723CC0" w:rsidRDefault="00723CC0">
            <w:pPr>
              <w:spacing w:before="100" w:beforeAutospacing="1" w:after="100" w:afterAutospacing="1" w:line="240" w:lineRule="auto"/>
              <w:jc w:val="center"/>
              <w:rPr>
                <w:rFonts w:ascii="Times New Roman" w:hAnsi="Times New Roman" w:cs="Times New Roman"/>
                <w:b/>
                <w:bCs/>
                <w:noProof/>
                <w:sz w:val="20"/>
                <w:szCs w:val="24"/>
                <w:lang w:val="fr-BE"/>
              </w:rPr>
            </w:pPr>
          </w:p>
        </w:tc>
        <w:tc>
          <w:tcPr>
            <w:tcW w:w="1517" w:type="pct"/>
            <w:shd w:val="clear" w:color="auto" w:fill="auto"/>
            <w:vAlign w:val="center"/>
            <w:hideMark/>
          </w:tcPr>
          <w:p w:rsidR="00723CC0" w:rsidRDefault="00242021">
            <w:pPr>
              <w:spacing w:before="100" w:beforeAutospacing="1" w:after="100" w:afterAutospacing="1" w:line="240" w:lineRule="auto"/>
              <w:jc w:val="center"/>
              <w:rPr>
                <w:rFonts w:ascii="Times New Roman" w:hAnsi="Times New Roman" w:cs="Times New Roman"/>
                <w:b/>
                <w:bCs/>
                <w:noProof/>
                <w:sz w:val="20"/>
                <w:szCs w:val="24"/>
                <w:lang w:val="fr-BE"/>
              </w:rPr>
            </w:pPr>
            <w:r>
              <w:rPr>
                <w:rFonts w:ascii="Times New Roman" w:hAnsi="Times New Roman"/>
                <w:b/>
                <w:noProof/>
                <w:sz w:val="20"/>
                <w:lang w:val="fr-BE"/>
              </w:rPr>
              <w:t>Nombre total d’adultes peu qualifiés (25-64 ans, en milliers)</w:t>
            </w:r>
          </w:p>
        </w:tc>
        <w:tc>
          <w:tcPr>
            <w:tcW w:w="1560" w:type="pct"/>
            <w:shd w:val="clear" w:color="auto" w:fill="auto"/>
            <w:vAlign w:val="center"/>
            <w:hideMark/>
          </w:tcPr>
          <w:p w:rsidR="00723CC0" w:rsidRDefault="00242021">
            <w:pPr>
              <w:spacing w:before="100" w:beforeAutospacing="1" w:after="100" w:afterAutospacing="1" w:line="240" w:lineRule="auto"/>
              <w:jc w:val="center"/>
              <w:rPr>
                <w:rFonts w:ascii="Times New Roman" w:hAnsi="Times New Roman" w:cs="Times New Roman"/>
                <w:b/>
                <w:bCs/>
                <w:noProof/>
                <w:sz w:val="20"/>
                <w:szCs w:val="24"/>
                <w:lang w:val="fr-BE"/>
              </w:rPr>
            </w:pPr>
            <w:r>
              <w:rPr>
                <w:rFonts w:ascii="Times New Roman" w:hAnsi="Times New Roman"/>
                <w:b/>
                <w:noProof/>
                <w:sz w:val="20"/>
                <w:lang w:val="fr-BE"/>
              </w:rPr>
              <w:t>Nombre total d’emplois élémentaires (en milliers)</w:t>
            </w:r>
          </w:p>
        </w:tc>
        <w:tc>
          <w:tcPr>
            <w:tcW w:w="608" w:type="pct"/>
            <w:shd w:val="clear" w:color="auto" w:fill="auto"/>
            <w:vAlign w:val="center"/>
            <w:hideMark/>
          </w:tcPr>
          <w:p w:rsidR="00723CC0" w:rsidRDefault="00242021">
            <w:pPr>
              <w:spacing w:before="100" w:beforeAutospacing="1" w:after="100" w:afterAutospacing="1" w:line="240" w:lineRule="auto"/>
              <w:jc w:val="center"/>
              <w:rPr>
                <w:rFonts w:ascii="Times New Roman" w:hAnsi="Times New Roman" w:cs="Times New Roman"/>
                <w:b/>
                <w:bCs/>
                <w:noProof/>
                <w:sz w:val="20"/>
                <w:szCs w:val="24"/>
              </w:rPr>
            </w:pPr>
            <w:r>
              <w:rPr>
                <w:rFonts w:ascii="Times New Roman" w:hAnsi="Times New Roman"/>
                <w:b/>
                <w:noProof/>
                <w:sz w:val="20"/>
              </w:rPr>
              <w:t>Rapport</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EU-28</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61 353,0</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20 210,6</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3,0</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Malte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125,8</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17,6</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7,1</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Portugal</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2 897,3</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490,0</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5,9</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Grèce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1 583,2</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268,0</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5,9</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Italie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12 834,9</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2 517,8</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5,1</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Espagne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10 654,1</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2 409,0</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4,4</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Suède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751,0</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231,1</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3,2</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Roumanie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2 417,4</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776,4</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3,1</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Belgique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1 386,0</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449,6</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3,1</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Croatie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366,5</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119,4</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3,1</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France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7 200,6</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2 692,9</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2,7</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Luxembourg</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64,8</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24,6</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Pays-Bas</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1 902,2</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742,0</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Royaume-Uni</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6 744,3</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2 641,3</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Irlande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443,0</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176,3</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2,5</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Finlande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329,0</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148,3</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2,2</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Autriche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728,4</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337,3</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2,2</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Slovénie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140,7</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67,5</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2,1</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Bulgarie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677,2</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333,0</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2,0</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Allemagne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6 116,8</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3 154,2</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1,9</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Hongrie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857,9</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460,4</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1,9</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Danemark</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527,3</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302,3</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1,7</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Chypre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88,1</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53,5</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1,6</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Estonie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80,4</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51,5</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1,6</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Pologne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1 617,0</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1 041,6</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1,6</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Tchéquie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367,2</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266,3</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1,4</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Slovaquie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272,2</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217,3</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1,3</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Lettonie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100,7</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106,7</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0,9</w:t>
            </w:r>
          </w:p>
        </w:tc>
      </w:tr>
      <w:tr w:rsidR="00723CC0">
        <w:trPr>
          <w:trHeight w:val="300"/>
        </w:trPr>
        <w:tc>
          <w:tcPr>
            <w:tcW w:w="1316" w:type="pct"/>
            <w:shd w:val="clear" w:color="auto" w:fill="auto"/>
            <w:noWrap/>
            <w:vAlign w:val="bottom"/>
            <w:hideMark/>
          </w:tcPr>
          <w:p w:rsidR="00723CC0" w:rsidRDefault="00242021">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Lituanie</w:t>
            </w:r>
          </w:p>
        </w:tc>
        <w:tc>
          <w:tcPr>
            <w:tcW w:w="1517"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79,4</w:t>
            </w:r>
          </w:p>
        </w:tc>
        <w:tc>
          <w:tcPr>
            <w:tcW w:w="1560"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115,1</w:t>
            </w:r>
          </w:p>
        </w:tc>
        <w:tc>
          <w:tcPr>
            <w:tcW w:w="608" w:type="pct"/>
            <w:shd w:val="clear" w:color="auto" w:fill="auto"/>
            <w:noWrap/>
            <w:vAlign w:val="bottom"/>
            <w:hideMark/>
          </w:tcPr>
          <w:p w:rsidR="00723CC0" w:rsidRDefault="00242021">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0,7</w:t>
            </w:r>
          </w:p>
        </w:tc>
      </w:tr>
    </w:tbl>
    <w:p w:rsidR="00723CC0" w:rsidRDefault="00242021">
      <w:pPr>
        <w:spacing w:line="360" w:lineRule="auto"/>
        <w:jc w:val="both"/>
        <w:rPr>
          <w:rFonts w:ascii="Times New Roman" w:hAnsi="Times New Roman" w:cs="Times New Roman"/>
          <w:iCs/>
          <w:noProof/>
          <w:sz w:val="20"/>
          <w:szCs w:val="20"/>
        </w:rPr>
      </w:pPr>
      <w:r>
        <w:rPr>
          <w:rFonts w:ascii="Times New Roman" w:hAnsi="Times New Roman"/>
          <w:noProof/>
          <w:sz w:val="20"/>
        </w:rPr>
        <w:t>Source: Eurostat, EFT, 2017.</w:t>
      </w:r>
    </w:p>
    <w:p w:rsidR="00723CC0" w:rsidRDefault="00723CC0">
      <w:pPr>
        <w:spacing w:before="120" w:after="240" w:line="360" w:lineRule="auto"/>
        <w:jc w:val="both"/>
        <w:rPr>
          <w:rFonts w:ascii="Times New Roman" w:hAnsi="Times New Roman" w:cs="Times New Roman"/>
          <w:b/>
          <w:iCs/>
          <w:noProof/>
          <w:sz w:val="24"/>
          <w:szCs w:val="24"/>
        </w:rPr>
      </w:pPr>
    </w:p>
    <w:p w:rsidR="00723CC0" w:rsidRDefault="00242021">
      <w:pPr>
        <w:spacing w:before="120" w:after="240"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Les travailleurs peu qualifiés et les personnes âgées ont </w:t>
      </w:r>
      <w:r>
        <w:rPr>
          <w:rFonts w:ascii="Times New Roman" w:hAnsi="Times New Roman"/>
          <w:b/>
          <w:noProof/>
          <w:sz w:val="24"/>
          <w:lang w:val="fr-BE"/>
        </w:rPr>
        <w:t>moins de chances de participer à des programmes d’apprentissage des adultes.</w:t>
      </w:r>
      <w:r>
        <w:rPr>
          <w:rFonts w:ascii="Times New Roman" w:hAnsi="Times New Roman"/>
          <w:noProof/>
          <w:sz w:val="24"/>
          <w:lang w:val="fr-BE"/>
        </w:rPr>
        <w:t xml:space="preserve"> En 2017, le taux de participation des personnes peu qualifiées et des personnes âgées à des activités d’apprentissage des adultes dans l’UE a été deux fois inférieur au taux de pa</w:t>
      </w:r>
      <w:r>
        <w:rPr>
          <w:rFonts w:ascii="Times New Roman" w:hAnsi="Times New Roman"/>
          <w:noProof/>
          <w:sz w:val="24"/>
          <w:lang w:val="fr-BE"/>
        </w:rPr>
        <w:t>rticipation global, qui s’élève à 10,9 % (graphique 24). Même les chômeurs, qui devraient constituer un groupe cible particulièrement pertinent pour les programmes de requalification, sont moins susceptibles qu’un salarié moyen de participer à des activité</w:t>
      </w:r>
      <w:r>
        <w:rPr>
          <w:rFonts w:ascii="Times New Roman" w:hAnsi="Times New Roman"/>
          <w:noProof/>
          <w:sz w:val="24"/>
          <w:lang w:val="fr-BE"/>
        </w:rPr>
        <w:t>s d’apprentissage. Cette tendance est également visible dans les pays dans lesquels la participation globale à l’éducation des adultes avoisine la moyenne de l’UE ou est supérieure à celle-ci.</w:t>
      </w:r>
    </w:p>
    <w:p w:rsidR="00723CC0" w:rsidRDefault="00242021">
      <w:pPr>
        <w:keepNext/>
        <w:spacing w:before="120" w:after="120" w:line="240" w:lineRule="auto"/>
        <w:jc w:val="both"/>
        <w:rPr>
          <w:rFonts w:ascii="Times New Roman" w:hAnsi="Times New Roman"/>
          <w:b/>
          <w:noProof/>
          <w:sz w:val="24"/>
          <w:szCs w:val="24"/>
          <w:lang w:val="fr-BE"/>
        </w:rPr>
      </w:pPr>
      <w:bookmarkStart w:id="52" w:name="_Ref528663389"/>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24</w:t>
      </w:r>
      <w:r>
        <w:rPr>
          <w:rFonts w:ascii="Times New Roman" w:hAnsi="Times New Roman"/>
          <w:b/>
          <w:noProof/>
          <w:sz w:val="24"/>
          <w:szCs w:val="24"/>
        </w:rPr>
        <w:fldChar w:fldCharType="end"/>
      </w:r>
      <w:bookmarkEnd w:id="52"/>
      <w:r>
        <w:rPr>
          <w:rFonts w:ascii="Times New Roman" w:hAnsi="Times New Roman"/>
          <w:b/>
          <w:noProof/>
          <w:sz w:val="24"/>
          <w:lang w:val="fr-BE"/>
        </w:rPr>
        <w:t xml:space="preserve">: Participation à </w:t>
      </w:r>
      <w:r>
        <w:rPr>
          <w:rFonts w:ascii="Times New Roman" w:hAnsi="Times New Roman"/>
          <w:b/>
          <w:noProof/>
          <w:sz w:val="24"/>
          <w:lang w:val="fr-BE"/>
        </w:rPr>
        <w:t>l’apprentissage des adultes, par groupe démographique</w:t>
      </w:r>
    </w:p>
    <w:p w:rsidR="00723CC0" w:rsidRDefault="00242021">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478449" cy="3197235"/>
            <wp:effectExtent l="0" t="0" r="825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5472765" cy="3193918"/>
                    </a:xfrm>
                    <a:prstGeom prst="rect">
                      <a:avLst/>
                    </a:prstGeom>
                    <a:noFill/>
                  </pic:spPr>
                </pic:pic>
              </a:graphicData>
            </a:graphic>
          </wp:inline>
        </w:drawing>
      </w:r>
    </w:p>
    <w:p w:rsidR="00723CC0" w:rsidRDefault="00242021">
      <w:pPr>
        <w:spacing w:line="240" w:lineRule="auto"/>
        <w:jc w:val="both"/>
        <w:rPr>
          <w:rFonts w:ascii="Times New Roman" w:hAnsi="Times New Roman" w:cs="Times New Roman"/>
          <w:iCs/>
          <w:noProof/>
          <w:lang w:val="fr-BE"/>
        </w:rPr>
      </w:pPr>
      <w:r>
        <w:rPr>
          <w:rFonts w:ascii="Times New Roman" w:hAnsi="Times New Roman"/>
          <w:noProof/>
          <w:lang w:val="fr-BE"/>
        </w:rPr>
        <w:t>Source: EFT dans l’UE, 2017</w:t>
      </w:r>
    </w:p>
    <w:p w:rsidR="00723CC0" w:rsidRDefault="00723CC0">
      <w:pPr>
        <w:spacing w:before="120" w:after="240" w:line="360" w:lineRule="auto"/>
        <w:jc w:val="both"/>
        <w:rPr>
          <w:rFonts w:ascii="Times New Roman" w:hAnsi="Times New Roman" w:cs="Times New Roman"/>
          <w:b/>
          <w:iCs/>
          <w:noProof/>
          <w:sz w:val="24"/>
          <w:szCs w:val="24"/>
          <w:lang w:val="fr-BE"/>
        </w:rPr>
      </w:pPr>
    </w:p>
    <w:p w:rsidR="00723CC0" w:rsidRDefault="00242021">
      <w:pPr>
        <w:spacing w:before="120" w:after="240" w:line="360" w:lineRule="auto"/>
        <w:jc w:val="both"/>
        <w:rPr>
          <w:rFonts w:ascii="Times New Roman" w:eastAsia="Calibri" w:hAnsi="Times New Roman" w:cs="Times New Roman"/>
          <w:bCs/>
          <w:noProof/>
          <w:sz w:val="24"/>
          <w:szCs w:val="24"/>
          <w:lang w:val="fr-BE"/>
        </w:rPr>
      </w:pPr>
      <w:r>
        <w:rPr>
          <w:rFonts w:ascii="Times New Roman" w:hAnsi="Times New Roman"/>
          <w:b/>
          <w:noProof/>
          <w:sz w:val="24"/>
          <w:lang w:val="fr-BE"/>
        </w:rPr>
        <w:t>Le niveau de compétence dans les technologies numériques ne croît pas rapidement et le fossé persistant entre les meilleurs éléments et les moins avancés est le signe d’un</w:t>
      </w:r>
      <w:r>
        <w:rPr>
          <w:rFonts w:ascii="Times New Roman" w:hAnsi="Times New Roman"/>
          <w:b/>
          <w:noProof/>
          <w:sz w:val="24"/>
          <w:lang w:val="fr-BE"/>
        </w:rPr>
        <w:t>e Europe numérique à deux vitesses.</w:t>
      </w:r>
      <w:r>
        <w:rPr>
          <w:rFonts w:ascii="Times New Roman" w:hAnsi="Times New Roman"/>
          <w:noProof/>
          <w:sz w:val="24"/>
          <w:lang w:val="fr-BE"/>
        </w:rPr>
        <w:t xml:space="preserve"> À l’échelle de l’UE, en moyenne, 57 % de la population âgée de 16 à 64 ans avait au moins des compétences de base dans les technologies numériques en 2017. Une compétence limitée dans les technologies numériques peut avo</w:t>
      </w:r>
      <w:r>
        <w:rPr>
          <w:rFonts w:ascii="Times New Roman" w:hAnsi="Times New Roman"/>
          <w:noProof/>
          <w:sz w:val="24"/>
          <w:lang w:val="fr-BE"/>
        </w:rPr>
        <w:t>ir des répercussions sur la productivité et la croissance, mais également sur l’exclusion sociale d’une partie importante de la population, compte tenu de l’évolution des modalités de fourniture des services et de l’incidence de la technologie sur le monde</w:t>
      </w:r>
      <w:r>
        <w:rPr>
          <w:rFonts w:ascii="Times New Roman" w:hAnsi="Times New Roman"/>
          <w:noProof/>
          <w:sz w:val="24"/>
          <w:lang w:val="fr-BE"/>
        </w:rPr>
        <w:t xml:space="preserve"> du travail. Le niveau est particulièrement faible en Bulgarie, en Roumanie et en Croatie («situations critiques»). Dans six autres pays (Grèce, Pologne, Portugal, Lettonie, Irlande et Hongrie, tous signalés comme étant «à surveiller»), il est comparativem</w:t>
      </w:r>
      <w:r>
        <w:rPr>
          <w:rFonts w:ascii="Times New Roman" w:hAnsi="Times New Roman"/>
          <w:noProof/>
          <w:sz w:val="24"/>
          <w:lang w:val="fr-BE"/>
        </w:rPr>
        <w:t>ent plus élevé (environ 50 %) mais reste faible par rapport à la moyenne. Les meilleurs résultats sont constatés au Luxembourg, aux Pays-Bas, en Suède et en Finlande, où l’on observe des taux supérieurs à 75 %.</w:t>
      </w:r>
    </w:p>
    <w:p w:rsidR="00723CC0" w:rsidRDefault="00242021">
      <w:pPr>
        <w:keepNext/>
        <w:spacing w:before="120" w:after="120" w:line="240" w:lineRule="auto"/>
        <w:jc w:val="both"/>
        <w:rPr>
          <w:rFonts w:ascii="Times New Roman" w:hAnsi="Times New Roman"/>
          <w:b/>
          <w:noProof/>
          <w:sz w:val="24"/>
          <w:szCs w:val="24"/>
          <w:lang w:val="fr-BE"/>
        </w:rPr>
      </w:pPr>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25</w:t>
      </w:r>
      <w:r>
        <w:rPr>
          <w:rFonts w:ascii="Times New Roman" w:hAnsi="Times New Roman"/>
          <w:b/>
          <w:noProof/>
          <w:sz w:val="24"/>
          <w:szCs w:val="24"/>
        </w:rPr>
        <w:fldChar w:fldCharType="end"/>
      </w:r>
      <w:r>
        <w:rPr>
          <w:rFonts w:ascii="Times New Roman" w:hAnsi="Times New Roman"/>
          <w:b/>
          <w:noProof/>
          <w:sz w:val="24"/>
          <w:lang w:val="fr-BE"/>
        </w:rPr>
        <w:t>: Part d</w:t>
      </w:r>
      <w:r>
        <w:rPr>
          <w:rFonts w:ascii="Times New Roman" w:hAnsi="Times New Roman"/>
          <w:b/>
          <w:noProof/>
          <w:sz w:val="24"/>
          <w:lang w:val="fr-BE"/>
        </w:rPr>
        <w:t>e la population possédant des compétences numériques générales de base ou plus avancées et variation annuelle (indicateur clé du tableau de bord social)</w:t>
      </w:r>
    </w:p>
    <w:p w:rsidR="00723CC0" w:rsidRDefault="00242021">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688389" cy="4253948"/>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5691743" cy="4256456"/>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Eurostat. Période: niveaux de 2017 et variations annuelles par rapport à 2016. Remarque: les </w:t>
      </w:r>
      <w:r>
        <w:rPr>
          <w:rFonts w:ascii="Times New Roman" w:hAnsi="Times New Roman"/>
          <w:noProof/>
          <w:sz w:val="20"/>
          <w:lang w:val="fr-BE"/>
        </w:rPr>
        <w:t>axes sont centrés sur la moyenne non pondérée de l’UE. La légende est présentée en annexe. Données pour l’Italie non disponibles.</w:t>
      </w:r>
    </w:p>
    <w:p w:rsidR="00723CC0" w:rsidRDefault="00723CC0">
      <w:pPr>
        <w:spacing w:before="120" w:after="240" w:line="360" w:lineRule="auto"/>
        <w:jc w:val="both"/>
        <w:rPr>
          <w:rFonts w:ascii="Times New Roman" w:hAnsi="Times New Roman" w:cs="Times New Roman"/>
          <w:iCs/>
          <w:noProof/>
          <w:sz w:val="24"/>
          <w:szCs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La fourniture d’orientations sur les possibilités d’apprentissage peut effectivement stimuler la demande individuelle d’apprentissage et la participation à des activités d’apprentissage. </w:t>
      </w:r>
      <w:r>
        <w:rPr>
          <w:rFonts w:ascii="Times New Roman" w:hAnsi="Times New Roman"/>
          <w:noProof/>
          <w:sz w:val="24"/>
          <w:lang w:val="fr-BE"/>
        </w:rPr>
        <w:t>Dans le cadre de l’évaluation comparative sur les compétences des adu</w:t>
      </w:r>
      <w:r>
        <w:rPr>
          <w:rFonts w:ascii="Times New Roman" w:hAnsi="Times New Roman"/>
          <w:noProof/>
          <w:sz w:val="24"/>
          <w:lang w:val="fr-BE"/>
        </w:rPr>
        <w:t>ltes et l’apprentissage</w:t>
      </w:r>
      <w:r>
        <w:rPr>
          <w:rStyle w:val="FootnoteReference"/>
          <w:rFonts w:ascii="Times New Roman" w:hAnsi="Times New Roman"/>
          <w:noProof/>
          <w:sz w:val="24"/>
        </w:rPr>
        <w:footnoteReference w:id="41"/>
      </w:r>
      <w:r>
        <w:rPr>
          <w:rFonts w:ascii="Times New Roman" w:hAnsi="Times New Roman"/>
          <w:noProof/>
          <w:sz w:val="24"/>
          <w:lang w:val="fr-BE"/>
        </w:rPr>
        <w:t>, la fourniture d’orientations sur les possibilités d’apprentissage a été mise en avant comme levier clé d’action pour favoriser la participation des adultes à l’apprentissage. Les données les plus récentes (2016) concernant l’accès</w:t>
      </w:r>
      <w:r>
        <w:rPr>
          <w:rFonts w:ascii="Times New Roman" w:hAnsi="Times New Roman"/>
          <w:noProof/>
          <w:sz w:val="24"/>
          <w:lang w:val="fr-BE"/>
        </w:rPr>
        <w:t xml:space="preserve"> à des services d’orientation en matière d’apprentissage, extraites de l’enquête sur l’éducation des adultes</w:t>
      </w:r>
      <w:r>
        <w:rPr>
          <w:rStyle w:val="FootnoteReference"/>
          <w:rFonts w:ascii="Times New Roman" w:hAnsi="Times New Roman"/>
          <w:noProof/>
          <w:sz w:val="24"/>
        </w:rPr>
        <w:footnoteReference w:id="42"/>
      </w:r>
      <w:r>
        <w:rPr>
          <w:rFonts w:ascii="Times New Roman" w:hAnsi="Times New Roman"/>
          <w:noProof/>
          <w:sz w:val="24"/>
          <w:lang w:val="fr-BE"/>
        </w:rPr>
        <w:t xml:space="preserve"> font ressortir une forte corrélation positive entre la proportion d’adultes (de 25 à 64 ans) qui bénéficient d’orientations de ce type et la part </w:t>
      </w:r>
      <w:r>
        <w:rPr>
          <w:rFonts w:ascii="Times New Roman" w:hAnsi="Times New Roman"/>
          <w:noProof/>
          <w:sz w:val="24"/>
          <w:lang w:val="fr-BE"/>
        </w:rPr>
        <w:t>de ceux qui participent en fin de compte à des activités d’apprentissage</w:t>
      </w:r>
      <w:r>
        <w:rPr>
          <w:rFonts w:ascii="Times New Roman" w:hAnsi="Times New Roman"/>
          <w:noProof/>
          <w:sz w:val="24"/>
          <w:vertAlign w:val="superscript"/>
        </w:rPr>
        <w:footnoteReference w:id="43"/>
      </w:r>
      <w:r>
        <w:rPr>
          <w:rFonts w:ascii="Times New Roman" w:hAnsi="Times New Roman"/>
          <w:noProof/>
          <w:sz w:val="24"/>
          <w:lang w:val="fr-BE"/>
        </w:rPr>
        <w:t>. Certes, les services d’orientation publics constituent un levier d’action commun à la plupart des États membres, mais la capacité de sensibilisation de ces services varie considérab</w:t>
      </w:r>
      <w:r>
        <w:rPr>
          <w:rFonts w:ascii="Times New Roman" w:hAnsi="Times New Roman"/>
          <w:noProof/>
          <w:sz w:val="24"/>
          <w:lang w:val="fr-BE"/>
        </w:rPr>
        <w:t xml:space="preserve">lement d’un pays à l’autre. Ainsi, comme le montre le graphique 26, en 2016, la proportion d’adultes ayant reçu gratuitement des informations ou des conseils sur les possibilités d’apprentissage de la part d’institutions ou d’organisations au cours des 12 </w:t>
      </w:r>
      <w:r>
        <w:rPr>
          <w:rFonts w:ascii="Times New Roman" w:hAnsi="Times New Roman"/>
          <w:noProof/>
          <w:sz w:val="24"/>
          <w:lang w:val="fr-BE"/>
        </w:rPr>
        <w:t>derniers mois a varié de 1,5 % en Roumanie à près de 56 % en Suède (moyenne de l’UE: 24,3 %). Dans des pays tels que la Bulgarie, la Grèce, la Lituanie et l’Italie, moins de 10 % des adultes ont bénéficié de ce type de services gratuits, et la participatio</w:t>
      </w:r>
      <w:r>
        <w:rPr>
          <w:rFonts w:ascii="Times New Roman" w:hAnsi="Times New Roman"/>
          <w:noProof/>
          <w:sz w:val="24"/>
          <w:lang w:val="fr-BE"/>
        </w:rPr>
        <w:t>n à des activités d’apprentissage est également relativement faible au cours de la même période de référence (29 % contre une moyenne de 43 % pour l’UE). En revanche, en Suède, en Autriche, aux Pays-Bas, au Luxembourg et au Danemark, plus de 40 % des adult</w:t>
      </w:r>
      <w:r>
        <w:rPr>
          <w:rFonts w:ascii="Times New Roman" w:hAnsi="Times New Roman"/>
          <w:noProof/>
          <w:sz w:val="24"/>
          <w:lang w:val="fr-BE"/>
        </w:rPr>
        <w:t xml:space="preserve">es ont bénéficié d’orientations sur les possibilités d’apprentissage. Cela peut être considéré comme l’un des éléments déterminants du taux de participation relativement élevé à l’apprentissage des adultes enregistré dans ces pays (57 % contre une moyenne </w:t>
      </w:r>
      <w:r>
        <w:rPr>
          <w:rFonts w:ascii="Times New Roman" w:hAnsi="Times New Roman"/>
          <w:noProof/>
          <w:sz w:val="24"/>
          <w:lang w:val="fr-BE"/>
        </w:rPr>
        <w:t>de 43 % dans l’Union européenne).</w:t>
      </w:r>
    </w:p>
    <w:p w:rsidR="00723CC0" w:rsidRDefault="00242021">
      <w:pPr>
        <w:pStyle w:val="caption1"/>
        <w:keepNext/>
        <w:jc w:val="both"/>
        <w:rPr>
          <w:rFonts w:ascii="Times New Roman" w:hAnsi="Times New Roman"/>
          <w:b w:val="0"/>
          <w:noProof/>
          <w:sz w:val="24"/>
          <w:szCs w:val="24"/>
          <w:lang w:val="fr-BE"/>
        </w:rPr>
      </w:pPr>
      <w:bookmarkStart w:id="53" w:name="_Ref528663432"/>
      <w:r>
        <w:rPr>
          <w:rFonts w:ascii="Times New Roman" w:hAnsi="Times New Roman"/>
          <w:noProof/>
          <w:sz w:val="24"/>
          <w:lang w:val="fr-BE"/>
        </w:rPr>
        <w:t xml:space="preserve">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26</w:t>
      </w:r>
      <w:r>
        <w:rPr>
          <w:rFonts w:ascii="Times New Roman" w:hAnsi="Times New Roman"/>
          <w:noProof/>
          <w:sz w:val="24"/>
          <w:szCs w:val="24"/>
        </w:rPr>
        <w:fldChar w:fldCharType="end"/>
      </w:r>
      <w:bookmarkEnd w:id="53"/>
      <w:r>
        <w:rPr>
          <w:rFonts w:ascii="Times New Roman" w:hAnsi="Times New Roman"/>
          <w:noProof/>
          <w:sz w:val="24"/>
          <w:lang w:val="fr-BE"/>
        </w:rPr>
        <w:t>: Proportion d’adultes qui bénéficient d’orientations sur les possibilités d’éducation et de formation des adultes, 2016</w:t>
      </w:r>
    </w:p>
    <w:p w:rsidR="00723CC0" w:rsidRDefault="00242021">
      <w:pPr>
        <w:keepNext/>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w:drawing>
          <wp:inline distT="0" distB="0" distL="0" distR="0">
            <wp:extent cx="5414839" cy="251261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5415408" cy="2512876"/>
                    </a:xfrm>
                    <a:prstGeom prst="rect">
                      <a:avLst/>
                    </a:prstGeom>
                    <a:noFill/>
                  </pic:spPr>
                </pic:pic>
              </a:graphicData>
            </a:graphic>
          </wp:inline>
        </w:drawing>
      </w:r>
    </w:p>
    <w:p w:rsidR="00723CC0" w:rsidRDefault="00242021">
      <w:pPr>
        <w:spacing w:line="360" w:lineRule="auto"/>
        <w:rPr>
          <w:rFonts w:ascii="Times New Roman" w:hAnsi="Times New Roman" w:cs="Times New Roman"/>
          <w:b/>
          <w:noProof/>
          <w:sz w:val="20"/>
          <w:szCs w:val="20"/>
          <w:lang w:val="fr-BE"/>
        </w:rPr>
      </w:pPr>
      <w:r>
        <w:rPr>
          <w:rFonts w:ascii="Times New Roman" w:hAnsi="Times New Roman"/>
          <w:noProof/>
          <w:sz w:val="20"/>
          <w:lang w:val="fr-BE"/>
        </w:rPr>
        <w:t>Source</w:t>
      </w:r>
      <w:r>
        <w:rPr>
          <w:rFonts w:ascii="Times New Roman" w:hAnsi="Times New Roman"/>
          <w:b/>
          <w:noProof/>
          <w:sz w:val="20"/>
          <w:lang w:val="fr-BE"/>
        </w:rPr>
        <w:t xml:space="preserve">: </w:t>
      </w:r>
      <w:r>
        <w:rPr>
          <w:rFonts w:ascii="Times New Roman" w:hAnsi="Times New Roman"/>
          <w:noProof/>
          <w:sz w:val="20"/>
          <w:lang w:val="fr-BE"/>
        </w:rPr>
        <w:t xml:space="preserve">Eurostat, Enquête sur l’éducation des adultes. Les </w:t>
      </w:r>
      <w:r>
        <w:rPr>
          <w:rFonts w:ascii="Times New Roman" w:hAnsi="Times New Roman"/>
          <w:noProof/>
          <w:sz w:val="20"/>
          <w:lang w:val="fr-BE"/>
        </w:rPr>
        <w:t>données correspondent à 2016. Les données sur l’Irlande et la Hongrie ne sont pas disponibles.</w:t>
      </w:r>
    </w:p>
    <w:p w:rsidR="00723CC0" w:rsidRDefault="00242021">
      <w:pPr>
        <w:spacing w:afterLines="200" w:after="480"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Les mesures de formation visant à faire participer les personnes défavorisées sont particulièrement pertinentes. </w:t>
      </w:r>
      <w:r>
        <w:rPr>
          <w:rFonts w:ascii="Times New Roman" w:hAnsi="Times New Roman"/>
          <w:noProof/>
          <w:sz w:val="24"/>
          <w:lang w:val="fr-BE"/>
        </w:rPr>
        <w:t>Elles peuvent prendre diverses formes, dont la f</w:t>
      </w:r>
      <w:r>
        <w:rPr>
          <w:rFonts w:ascii="Times New Roman" w:hAnsi="Times New Roman"/>
          <w:noProof/>
          <w:sz w:val="24"/>
          <w:lang w:val="fr-BE"/>
        </w:rPr>
        <w:t>ormation professionnelle formelle ou non formelle ou des programmes de développement des compétences de base</w:t>
      </w:r>
      <w:r>
        <w:rPr>
          <w:rFonts w:ascii="Times New Roman" w:hAnsi="Times New Roman"/>
          <w:noProof/>
          <w:vertAlign w:val="superscript"/>
        </w:rPr>
        <w:footnoteReference w:id="44"/>
      </w:r>
      <w:r>
        <w:rPr>
          <w:rFonts w:ascii="Times New Roman" w:hAnsi="Times New Roman"/>
          <w:noProof/>
          <w:sz w:val="24"/>
          <w:lang w:val="fr-BE"/>
        </w:rPr>
        <w:t xml:space="preserve">. Les adultes peu qualifiés ou sans emploi sont confrontés à des difficultés particulières en ce qui concerne l’accès à l’apprentissage. Selon les </w:t>
      </w:r>
      <w:r>
        <w:rPr>
          <w:rFonts w:ascii="Times New Roman" w:hAnsi="Times New Roman"/>
          <w:noProof/>
          <w:sz w:val="24"/>
          <w:lang w:val="fr-BE"/>
        </w:rPr>
        <w:t>données de l’EFT, en 2017, la part des adultes sans emploi qui ont participé à une activité de formation quelconque au cours des quatre semaines précédant l’enquête (exprimée en proportion de l’ensemble des adultes sans emploi) varie de près de 1,5 % en Sl</w:t>
      </w:r>
      <w:r>
        <w:rPr>
          <w:rFonts w:ascii="Times New Roman" w:hAnsi="Times New Roman"/>
          <w:noProof/>
          <w:sz w:val="24"/>
          <w:lang w:val="fr-BE"/>
        </w:rPr>
        <w:t>ovaquie à près de 45 % en Suède (moyenne de l’UE: 10,1 %) (graphique 27). À l’exception de la Slovaquie, dans des pays tels que la Croatie, la Hongrie, la Bulgarie, la Pologne, la Grèce, l’Italie, la Tchéquie, Chypre, la Lettonie et l’Allemagne, moins de 1</w:t>
      </w:r>
      <w:r>
        <w:rPr>
          <w:rFonts w:ascii="Times New Roman" w:hAnsi="Times New Roman"/>
          <w:noProof/>
          <w:sz w:val="24"/>
          <w:lang w:val="fr-BE"/>
        </w:rPr>
        <w:t>0 % des adultes sans emploi participent à des activités d’apprentissage. En revanche, au Danemark, au Luxembourg et en Finlande, cette même part dépasse 20 %. À l’examen de la part des adultes peu qualifiés</w:t>
      </w:r>
      <w:r>
        <w:rPr>
          <w:rStyle w:val="FootnoteReference"/>
          <w:rFonts w:ascii="Times New Roman" w:hAnsi="Times New Roman"/>
          <w:noProof/>
          <w:sz w:val="24"/>
        </w:rPr>
        <w:footnoteReference w:id="45"/>
      </w:r>
      <w:r>
        <w:rPr>
          <w:rFonts w:ascii="Times New Roman" w:hAnsi="Times New Roman"/>
          <w:noProof/>
          <w:sz w:val="24"/>
          <w:lang w:val="fr-BE"/>
        </w:rPr>
        <w:t xml:space="preserve"> ayant participé à une activité de formation quel</w:t>
      </w:r>
      <w:r>
        <w:rPr>
          <w:rFonts w:ascii="Times New Roman" w:hAnsi="Times New Roman"/>
          <w:noProof/>
          <w:sz w:val="24"/>
          <w:lang w:val="fr-BE"/>
        </w:rPr>
        <w:t>conque au cours des quatre semaines précédant l’enquête (rapportée à l’ensemble des adultes peu qualifiés), des différences notables entre les États membres se font jour également (graphique 28). Moins de 1 % des adultes peu qualifiés participent à des act</w:t>
      </w:r>
      <w:r>
        <w:rPr>
          <w:rFonts w:ascii="Times New Roman" w:hAnsi="Times New Roman"/>
          <w:noProof/>
          <w:sz w:val="24"/>
          <w:lang w:val="fr-BE"/>
        </w:rPr>
        <w:t>ivités d’apprentissage à Chypre, en Grèce et en Croatie contre plus de 10 % en Suède, au Danemark et en Finlande (moyenne de l’UE: 4,3 %).</w:t>
      </w:r>
    </w:p>
    <w:p w:rsidR="00723CC0" w:rsidRDefault="00242021">
      <w:pPr>
        <w:pStyle w:val="caption1"/>
        <w:keepNext/>
        <w:jc w:val="both"/>
        <w:rPr>
          <w:rFonts w:ascii="Times New Roman" w:hAnsi="Times New Roman"/>
          <w:b w:val="0"/>
          <w:noProof/>
          <w:sz w:val="24"/>
          <w:szCs w:val="24"/>
          <w:lang w:val="fr-BE"/>
        </w:rPr>
      </w:pPr>
      <w:bookmarkStart w:id="54" w:name="_Ref528663458"/>
      <w:r>
        <w:rPr>
          <w:rFonts w:ascii="Times New Roman" w:hAnsi="Times New Roman"/>
          <w:noProof/>
          <w:sz w:val="24"/>
          <w:lang w:val="fr-BE"/>
        </w:rPr>
        <w:t xml:space="preserve">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27</w:t>
      </w:r>
      <w:r>
        <w:rPr>
          <w:rFonts w:ascii="Times New Roman" w:hAnsi="Times New Roman"/>
          <w:noProof/>
          <w:sz w:val="24"/>
          <w:szCs w:val="24"/>
        </w:rPr>
        <w:fldChar w:fldCharType="end"/>
      </w:r>
      <w:bookmarkEnd w:id="54"/>
      <w:r>
        <w:rPr>
          <w:rFonts w:ascii="Times New Roman" w:hAnsi="Times New Roman"/>
          <w:noProof/>
          <w:sz w:val="24"/>
          <w:lang w:val="fr-BE"/>
        </w:rPr>
        <w:t>: Part des adultes sans emploi participant à l’apprentissage (exprimée en propor</w:t>
      </w:r>
      <w:r>
        <w:rPr>
          <w:rFonts w:ascii="Times New Roman" w:hAnsi="Times New Roman"/>
          <w:noProof/>
          <w:sz w:val="24"/>
          <w:lang w:val="fr-BE"/>
        </w:rPr>
        <w:t>tion de l’ensemble des adultes sans emploi), 2017</w:t>
      </w:r>
    </w:p>
    <w:p w:rsidR="00723CC0" w:rsidRDefault="00242021">
      <w:pPr>
        <w:keepNext/>
        <w:spacing w:line="240" w:lineRule="auto"/>
        <w:jc w:val="center"/>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w:drawing>
          <wp:inline distT="0" distB="0" distL="0" distR="0">
            <wp:extent cx="5613621" cy="2733790"/>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5616226" cy="2735058"/>
                    </a:xfrm>
                    <a:prstGeom prst="rect">
                      <a:avLst/>
                    </a:prstGeom>
                    <a:noFill/>
                  </pic:spPr>
                </pic:pic>
              </a:graphicData>
            </a:graphic>
          </wp:inline>
        </w:drawing>
      </w:r>
    </w:p>
    <w:p w:rsidR="00723CC0" w:rsidRDefault="00242021">
      <w:pPr>
        <w:spacing w:afterLines="200" w:after="480" w:line="240" w:lineRule="auto"/>
        <w:rPr>
          <w:rFonts w:ascii="Times New Roman" w:hAnsi="Times New Roman" w:cs="Times New Roman"/>
          <w:noProof/>
          <w:sz w:val="20"/>
          <w:szCs w:val="20"/>
          <w:lang w:val="fr-BE"/>
        </w:rPr>
      </w:pPr>
      <w:r>
        <w:rPr>
          <w:rFonts w:ascii="Times New Roman" w:hAnsi="Times New Roman"/>
          <w:noProof/>
          <w:sz w:val="20"/>
          <w:lang w:val="fr-BE"/>
        </w:rPr>
        <w:t>Source: Enquête sur les forces de travail dans l’UE. Les données correspondent à 2017. Les données sur la Lituanie et la Roumanie ne sont pas disponibles.</w:t>
      </w:r>
    </w:p>
    <w:p w:rsidR="00723CC0" w:rsidRDefault="00242021">
      <w:pPr>
        <w:pStyle w:val="caption1"/>
        <w:keepNext/>
        <w:jc w:val="both"/>
        <w:rPr>
          <w:rFonts w:ascii="Times New Roman" w:hAnsi="Times New Roman"/>
          <w:b w:val="0"/>
          <w:noProof/>
          <w:sz w:val="24"/>
          <w:szCs w:val="24"/>
          <w:lang w:val="fr-BE"/>
        </w:rPr>
      </w:pPr>
      <w:bookmarkStart w:id="55" w:name="_Ref528663466"/>
      <w:r>
        <w:rPr>
          <w:rFonts w:ascii="Times New Roman" w:hAnsi="Times New Roman"/>
          <w:noProof/>
          <w:sz w:val="24"/>
          <w:lang w:val="fr-BE"/>
        </w:rPr>
        <w:t xml:space="preserve">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28</w:t>
      </w:r>
      <w:r>
        <w:rPr>
          <w:rFonts w:ascii="Times New Roman" w:hAnsi="Times New Roman"/>
          <w:noProof/>
          <w:sz w:val="24"/>
          <w:szCs w:val="24"/>
        </w:rPr>
        <w:fldChar w:fldCharType="end"/>
      </w:r>
      <w:bookmarkEnd w:id="55"/>
      <w:r>
        <w:rPr>
          <w:rFonts w:ascii="Times New Roman" w:hAnsi="Times New Roman"/>
          <w:noProof/>
          <w:sz w:val="24"/>
          <w:lang w:val="fr-BE"/>
        </w:rPr>
        <w:t xml:space="preserve">: Part des </w:t>
      </w:r>
      <w:r>
        <w:rPr>
          <w:rFonts w:ascii="Times New Roman" w:hAnsi="Times New Roman"/>
          <w:noProof/>
          <w:sz w:val="24"/>
          <w:lang w:val="fr-BE"/>
        </w:rPr>
        <w:t>adultes peu qualifiés participant à l’apprentissage (rapportée à l’ensemble des adultes peu qualifiés), 2017</w:t>
      </w:r>
    </w:p>
    <w:p w:rsidR="00723CC0" w:rsidRDefault="00242021">
      <w:pPr>
        <w:keepNext/>
        <w:spacing w:line="240" w:lineRule="auto"/>
        <w:jc w:val="center"/>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w:drawing>
          <wp:inline distT="0" distB="0" distL="0" distR="0">
            <wp:extent cx="5161097" cy="2401294"/>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5176099" cy="2408274"/>
                    </a:xfrm>
                    <a:prstGeom prst="rect">
                      <a:avLst/>
                    </a:prstGeom>
                    <a:noFill/>
                  </pic:spPr>
                </pic:pic>
              </a:graphicData>
            </a:graphic>
          </wp:inline>
        </w:drawing>
      </w:r>
    </w:p>
    <w:p w:rsidR="00723CC0" w:rsidRDefault="00242021">
      <w:pPr>
        <w:spacing w:afterLines="200" w:after="480" w:line="240" w:lineRule="auto"/>
        <w:rPr>
          <w:rFonts w:ascii="Times New Roman" w:hAnsi="Times New Roman" w:cs="Times New Roman"/>
          <w:noProof/>
          <w:sz w:val="20"/>
          <w:szCs w:val="20"/>
          <w:lang w:val="fr-BE"/>
        </w:rPr>
      </w:pPr>
      <w:r>
        <w:rPr>
          <w:rFonts w:ascii="Times New Roman" w:hAnsi="Times New Roman"/>
          <w:noProof/>
          <w:sz w:val="20"/>
          <w:lang w:val="fr-BE"/>
        </w:rPr>
        <w:t>Source: Enquête sur les forces de travail dans l’UE. Les données correspondent à 2017. Les données relatives à la Roumanie, à la Bulgarie, à la L</w:t>
      </w:r>
      <w:r>
        <w:rPr>
          <w:rFonts w:ascii="Times New Roman" w:hAnsi="Times New Roman"/>
          <w:noProof/>
          <w:sz w:val="20"/>
          <w:lang w:val="fr-BE"/>
        </w:rPr>
        <w:t>ituanie et à la Slovaquie ne sont pas disponibles.</w:t>
      </w:r>
    </w:p>
    <w:p w:rsidR="00723CC0" w:rsidRDefault="00242021">
      <w:pPr>
        <w:autoSpaceDE w:val="0"/>
        <w:autoSpaceDN w:val="0"/>
        <w:adjustRightInd w:val="0"/>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La fourniture d’incitations financières aux employeurs peut encourager ces derniers à investir dans la formation de leur personnel. </w:t>
      </w:r>
      <w:r>
        <w:rPr>
          <w:rFonts w:ascii="Times New Roman" w:hAnsi="Times New Roman"/>
          <w:noProof/>
          <w:sz w:val="24"/>
          <w:lang w:val="fr-BE"/>
        </w:rPr>
        <w:t>Dans la plupart des cas, ce sont les employeurs qui organisent les activi</w:t>
      </w:r>
      <w:r>
        <w:rPr>
          <w:rFonts w:ascii="Times New Roman" w:hAnsi="Times New Roman"/>
          <w:noProof/>
          <w:sz w:val="24"/>
          <w:lang w:val="fr-BE"/>
        </w:rPr>
        <w:t>tés d’apprentissage des adultes destinées à leur personnel ou qui les financent, étant donné qu’ils parrainent plus des deux tiers de tous les adultes participant à une formation liée à l’emploi. En dépit de la faiblesse de sa portée globale, le financemen</w:t>
      </w:r>
      <w:r>
        <w:rPr>
          <w:rFonts w:ascii="Times New Roman" w:hAnsi="Times New Roman"/>
          <w:noProof/>
          <w:sz w:val="24"/>
          <w:lang w:val="fr-BE"/>
        </w:rPr>
        <w:t>t public à l’intention des employeurs constitue un levier d’action commun aux États membres. Les mesures d’incitation prennent généralement la forme de mesures d’incitation fiscale (crédits d’impôt ou exonérations fiscales), de subventions directes à la fo</w:t>
      </w:r>
      <w:r>
        <w:rPr>
          <w:rFonts w:ascii="Times New Roman" w:hAnsi="Times New Roman"/>
          <w:noProof/>
          <w:sz w:val="24"/>
          <w:lang w:val="fr-BE"/>
        </w:rPr>
        <w:t>rmation (comprenant le soutien de l’UE) ou de mécanismes de financement fondés sur des prélèvements (fonds de formation). Des éléments laissent à penser que les aides directes aux entreprises (par exemple, sous la forme de subventions) peuvent être plus ef</w:t>
      </w:r>
      <w:r>
        <w:rPr>
          <w:rFonts w:ascii="Times New Roman" w:hAnsi="Times New Roman"/>
          <w:noProof/>
          <w:sz w:val="24"/>
          <w:lang w:val="fr-BE"/>
        </w:rPr>
        <w:t>ficaces pour orienter la participation des salariés à l’apprentissage que d’autres formes d’incitations financières. Le ciblage approprié du soutien financier à la formation est important, par exemple en concentrant l’effort sur les entreprises qui font fa</w:t>
      </w:r>
      <w:r>
        <w:rPr>
          <w:rFonts w:ascii="Times New Roman" w:hAnsi="Times New Roman"/>
          <w:noProof/>
          <w:sz w:val="24"/>
          <w:lang w:val="fr-BE"/>
        </w:rPr>
        <w:t xml:space="preserve">ce à des contraintes financières et de capacité, notamment les PME, afin d’éviter les effets d’aubaine (financement d’investissements qui auraient été réalisés de toute façon). En effet, les données montrent que la portée du soutien financier, plus que le </w:t>
      </w:r>
      <w:r>
        <w:rPr>
          <w:rFonts w:ascii="Times New Roman" w:hAnsi="Times New Roman"/>
          <w:noProof/>
          <w:sz w:val="24"/>
          <w:lang w:val="fr-BE"/>
        </w:rPr>
        <w:t>volume de celui-ci, a un fort lien positif avec la participation des adultes à l’apprentissage. Selon les dernières données (2015) sur le soutien financier tirées de l’enquête sur la formation professionnelle continue</w:t>
      </w:r>
      <w:r>
        <w:rPr>
          <w:rStyle w:val="FootnoteReference"/>
          <w:rFonts w:ascii="Times New Roman" w:hAnsi="Times New Roman"/>
          <w:noProof/>
          <w:sz w:val="24"/>
        </w:rPr>
        <w:footnoteReference w:id="46"/>
      </w:r>
      <w:r>
        <w:rPr>
          <w:rFonts w:ascii="Times New Roman" w:hAnsi="Times New Roman"/>
          <w:noProof/>
          <w:sz w:val="24"/>
          <w:lang w:val="fr-BE"/>
        </w:rPr>
        <w:t>, la part des entreprises qui déclaren</w:t>
      </w:r>
      <w:r>
        <w:rPr>
          <w:rFonts w:ascii="Times New Roman" w:hAnsi="Times New Roman"/>
          <w:noProof/>
          <w:sz w:val="24"/>
          <w:lang w:val="fr-BE"/>
        </w:rPr>
        <w:t>t avoir reçu un type quelconque de cofinancement public pour des activités de formation au cours des 12 derniers mois (indicative de la portée du soutien financier) varie de 0,1 % en Roumanie à près de 64 % en Espagne (graphique 29). Hormis la Roumanie, la</w:t>
      </w:r>
      <w:r>
        <w:rPr>
          <w:rFonts w:ascii="Times New Roman" w:hAnsi="Times New Roman"/>
          <w:noProof/>
          <w:sz w:val="24"/>
          <w:lang w:val="fr-BE"/>
        </w:rPr>
        <w:t xml:space="preserve"> part des entreprises qui bénéficient de ce type de soutien financier est aussi inférieure à 1 % au Portugal, en Slovaquie et en Bulgarie. À l’inverse, à Chypre, en Belgique, en France et en Espagne, cette part dépasse les 20 %.</w:t>
      </w:r>
    </w:p>
    <w:p w:rsidR="00723CC0" w:rsidRDefault="00242021">
      <w:pPr>
        <w:pStyle w:val="caption1"/>
        <w:keepNext/>
        <w:jc w:val="both"/>
        <w:rPr>
          <w:rFonts w:ascii="Times New Roman" w:hAnsi="Times New Roman"/>
          <w:noProof/>
          <w:sz w:val="24"/>
          <w:lang w:val="fr-BE"/>
        </w:rPr>
      </w:pPr>
      <w:bookmarkStart w:id="56" w:name="_Ref528663505"/>
      <w:r>
        <w:rPr>
          <w:rFonts w:ascii="Times New Roman" w:hAnsi="Times New Roman"/>
          <w:noProof/>
          <w:sz w:val="24"/>
          <w:lang w:val="fr-BE"/>
        </w:rPr>
        <w:t xml:space="preserve">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w:instrText>
      </w:r>
      <w:r>
        <w:rPr>
          <w:rFonts w:ascii="Times New Roman" w:hAnsi="Times New Roman"/>
          <w:noProof/>
          <w:sz w:val="24"/>
          <w:szCs w:val="24"/>
          <w:lang w:val="fr-BE"/>
        </w:rPr>
        <w:instrText xml:space="preserve">ABIC </w:instrText>
      </w:r>
      <w:r>
        <w:rPr>
          <w:rFonts w:ascii="Times New Roman" w:hAnsi="Times New Roman"/>
          <w:noProof/>
          <w:sz w:val="24"/>
          <w:szCs w:val="24"/>
        </w:rPr>
        <w:fldChar w:fldCharType="separate"/>
      </w:r>
      <w:r>
        <w:rPr>
          <w:rFonts w:ascii="Times New Roman" w:hAnsi="Times New Roman"/>
          <w:noProof/>
          <w:sz w:val="24"/>
          <w:szCs w:val="24"/>
          <w:lang w:val="fr-BE"/>
        </w:rPr>
        <w:t>29</w:t>
      </w:r>
      <w:r>
        <w:rPr>
          <w:rFonts w:ascii="Times New Roman" w:hAnsi="Times New Roman"/>
          <w:noProof/>
          <w:sz w:val="24"/>
          <w:szCs w:val="24"/>
        </w:rPr>
        <w:fldChar w:fldCharType="end"/>
      </w:r>
      <w:bookmarkEnd w:id="56"/>
      <w:r>
        <w:rPr>
          <w:rFonts w:ascii="Times New Roman" w:hAnsi="Times New Roman"/>
          <w:noProof/>
          <w:sz w:val="24"/>
          <w:lang w:val="fr-BE"/>
        </w:rPr>
        <w:t>: Soutien financier pour les formations dispensées à des sociétés, 2015</w:t>
      </w:r>
    </w:p>
    <w:p w:rsidR="00723CC0" w:rsidRDefault="00242021">
      <w:pPr>
        <w:rPr>
          <w:noProof/>
        </w:rPr>
      </w:pPr>
      <w:r>
        <w:rPr>
          <w:noProof/>
          <w:lang w:val="en-GB" w:eastAsia="en-GB" w:bidi="ar-SA"/>
        </w:rPr>
        <w:drawing>
          <wp:inline distT="0" distB="0" distL="0" distR="0">
            <wp:extent cx="5248910" cy="257873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5248910" cy="2578735"/>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Eurostat, enquête sur la formation professionnelle continue. Les données correspondent à 2015 et montrent la part des entreprises de 10 salariés et plus qui </w:t>
      </w:r>
      <w:r>
        <w:rPr>
          <w:rFonts w:ascii="Times New Roman" w:hAnsi="Times New Roman"/>
          <w:noProof/>
          <w:sz w:val="20"/>
          <w:lang w:val="fr-BE"/>
        </w:rPr>
        <w:t>déclarent avoir reçu une aide financière publique pour la fourniture de services de formation au cours de l’année de référence (2015). Les données sur l’Irlande ne sont pas disponibles.</w:t>
      </w:r>
    </w:p>
    <w:p w:rsidR="00723CC0" w:rsidRDefault="00723CC0">
      <w:pPr>
        <w:jc w:val="both"/>
        <w:rPr>
          <w:rFonts w:ascii="Times New Roman" w:hAnsi="Times New Roman" w:cs="Times New Roman"/>
          <w:noProof/>
          <w:sz w:val="20"/>
          <w:szCs w:val="20"/>
          <w:lang w:val="fr-BE"/>
        </w:rPr>
      </w:pPr>
    </w:p>
    <w:p w:rsidR="00723CC0" w:rsidRDefault="00242021">
      <w:pPr>
        <w:spacing w:line="360" w:lineRule="auto"/>
        <w:jc w:val="both"/>
        <w:rPr>
          <w:rFonts w:ascii="Times New Roman" w:hAnsi="Times New Roman"/>
          <w:noProof/>
          <w:sz w:val="24"/>
          <w:highlight w:val="yellow"/>
          <w:lang w:val="fr-BE"/>
        </w:rPr>
      </w:pPr>
      <w:r>
        <w:rPr>
          <w:rFonts w:ascii="Times New Roman" w:hAnsi="Times New Roman"/>
          <w:b/>
          <w:noProof/>
          <w:sz w:val="24"/>
          <w:lang w:val="fr-BE"/>
        </w:rPr>
        <w:t>La situation des jeunes sur le marché du travail continue de s’amélio</w:t>
      </w:r>
      <w:r>
        <w:rPr>
          <w:rFonts w:ascii="Times New Roman" w:hAnsi="Times New Roman"/>
          <w:b/>
          <w:noProof/>
          <w:sz w:val="24"/>
          <w:lang w:val="fr-BE"/>
        </w:rPr>
        <w:t xml:space="preserve">rer, parallèlement au renforcement de l’environnement macroéconomique. </w:t>
      </w:r>
      <w:r>
        <w:rPr>
          <w:rFonts w:ascii="Times New Roman" w:hAnsi="Times New Roman"/>
          <w:noProof/>
          <w:sz w:val="24"/>
          <w:lang w:val="fr-BE"/>
        </w:rPr>
        <w:t>Dans l’UE, le taux de chômage des jeunes a diminué, passant d’un pic de 23,7 % en 2013 à 16,8 % en 2017. Toutefois, il reste plus élevé qu’il ne l’était en 2008 et reste supérieur à 30 </w:t>
      </w:r>
      <w:r>
        <w:rPr>
          <w:rFonts w:ascii="Times New Roman" w:hAnsi="Times New Roman"/>
          <w:noProof/>
          <w:sz w:val="24"/>
          <w:lang w:val="fr-BE"/>
        </w:rPr>
        <w:t>% dans certains États membres (l’Italie, l’Espagne et la Grèce). La dispersion des taux de chômage des jeunes diminue avec le temps (voir graphique 30), les réductions les plus fortes étant observées dans les pays qui enregistrent les taux les plus élevés,</w:t>
      </w:r>
      <w:r>
        <w:rPr>
          <w:rFonts w:ascii="Times New Roman" w:hAnsi="Times New Roman"/>
          <w:noProof/>
          <w:sz w:val="24"/>
          <w:lang w:val="fr-BE"/>
        </w:rPr>
        <w:t xml:space="preserve"> à quelques exceptions près (Italie, France, Belgique), où la baisse est plutôt lente. À l’opposé, on observe des réductions remarquables en Tchéquie, en Hongrie, en Slovénie, en Bulgarie, en Irlande et en Pologne, qui se situaient bien en dessous de la mo</w:t>
      </w:r>
      <w:r>
        <w:rPr>
          <w:rFonts w:ascii="Times New Roman" w:hAnsi="Times New Roman"/>
          <w:noProof/>
          <w:sz w:val="24"/>
          <w:lang w:val="fr-BE"/>
        </w:rPr>
        <w:t xml:space="preserve">yenne de l’UE en 2017. Les taux de chômage des jeunes hommes et des jeunes femmes, et leur évolution tendancielle, sont semblables (16,1 % pour les femmes et 17,4 % pour les hommes en 2017). Le redressement sur le front de l’emploi n’entraîne pas toujours </w:t>
      </w:r>
      <w:r>
        <w:rPr>
          <w:rFonts w:ascii="Times New Roman" w:hAnsi="Times New Roman"/>
          <w:noProof/>
          <w:sz w:val="24"/>
          <w:lang w:val="fr-BE"/>
        </w:rPr>
        <w:t>la création d’emplois de qualité, les jeunes étant plus souvent mis au travail dans le cadre de contrats non standard et précaires, notamment des emplois temporaires, des emplois à temps partiel involontaires et des emplois moins rémunérés. En 2017, 43,9 %</w:t>
      </w:r>
      <w:r>
        <w:rPr>
          <w:rFonts w:ascii="Times New Roman" w:hAnsi="Times New Roman"/>
          <w:noProof/>
          <w:sz w:val="24"/>
          <w:lang w:val="fr-BE"/>
        </w:rPr>
        <w:t xml:space="preserve"> des jeunes travailleurs (contre 42,2 % en 2013) travaillaient sous contrat temporaire (contre 12,2 % des travailleurs âgés de 25 à 54 ans), cette part s’élevant à plus de 7 jeunes sur 10 en Slovénie et en Espagne.</w:t>
      </w:r>
    </w:p>
    <w:p w:rsidR="00723CC0" w:rsidRDefault="00242021">
      <w:pPr>
        <w:keepNext/>
        <w:spacing w:before="120" w:after="120" w:line="240" w:lineRule="auto"/>
        <w:jc w:val="both"/>
        <w:rPr>
          <w:rFonts w:ascii="Times New Roman" w:hAnsi="Times New Roman"/>
          <w:b/>
          <w:noProof/>
          <w:sz w:val="24"/>
          <w:szCs w:val="24"/>
          <w:lang w:val="fr-BE"/>
        </w:rPr>
      </w:pPr>
      <w:bookmarkStart w:id="57" w:name="_Ref528663513"/>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30</w:t>
      </w:r>
      <w:r>
        <w:rPr>
          <w:rFonts w:ascii="Times New Roman" w:hAnsi="Times New Roman"/>
          <w:b/>
          <w:noProof/>
          <w:sz w:val="24"/>
          <w:szCs w:val="24"/>
        </w:rPr>
        <w:fldChar w:fldCharType="end"/>
      </w:r>
      <w:bookmarkEnd w:id="57"/>
      <w:r>
        <w:rPr>
          <w:rFonts w:ascii="Times New Roman" w:hAnsi="Times New Roman"/>
          <w:b/>
          <w:noProof/>
          <w:sz w:val="24"/>
          <w:lang w:val="fr-BE"/>
        </w:rPr>
        <w:t xml:space="preserve">: </w:t>
      </w:r>
      <w:r>
        <w:rPr>
          <w:rFonts w:ascii="Times New Roman" w:hAnsi="Times New Roman"/>
          <w:b/>
          <w:noProof/>
          <w:sz w:val="24"/>
          <w:lang w:val="fr-BE"/>
        </w:rPr>
        <w:t>Taux de chômage des jeunes (15-24 ans), comparaison pluriannuelle</w:t>
      </w:r>
    </w:p>
    <w:p w:rsidR="00723CC0" w:rsidRDefault="00242021">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462546" cy="2537191"/>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5466658" cy="2539101"/>
                    </a:xfrm>
                    <a:prstGeom prst="rect">
                      <a:avLst/>
                    </a:prstGeom>
                    <a:noFill/>
                  </pic:spPr>
                </pic:pic>
              </a:graphicData>
            </a:graphic>
          </wp:inline>
        </w:drawing>
      </w:r>
    </w:p>
    <w:p w:rsidR="00723CC0" w:rsidRDefault="00242021">
      <w:pPr>
        <w:spacing w:line="240" w:lineRule="auto"/>
        <w:jc w:val="both"/>
        <w:rPr>
          <w:rFonts w:ascii="Times New Roman" w:hAnsi="Times New Roman"/>
          <w:noProof/>
          <w:sz w:val="20"/>
          <w:szCs w:val="20"/>
          <w:lang w:val="fr-BE"/>
        </w:rPr>
      </w:pPr>
      <w:r>
        <w:rPr>
          <w:rFonts w:ascii="Times New Roman" w:hAnsi="Times New Roman"/>
          <w:noProof/>
          <w:sz w:val="20"/>
          <w:lang w:val="fr-BE"/>
        </w:rPr>
        <w:t>Source: Eurostat, EFT.</w:t>
      </w:r>
    </w:p>
    <w:p w:rsidR="00723CC0" w:rsidRDefault="00723CC0">
      <w:pPr>
        <w:spacing w:line="360" w:lineRule="auto"/>
        <w:jc w:val="both"/>
        <w:rPr>
          <w:rFonts w:ascii="Times New Roman" w:hAnsi="Times New Roman"/>
          <w:noProof/>
          <w:sz w:val="24"/>
          <w:highlight w:val="yellow"/>
          <w:lang w:val="fr-BE"/>
        </w:rPr>
      </w:pPr>
    </w:p>
    <w:p w:rsidR="00723CC0" w:rsidRDefault="00242021">
      <w:pPr>
        <w:spacing w:line="360" w:lineRule="auto"/>
        <w:jc w:val="both"/>
        <w:rPr>
          <w:rFonts w:ascii="Times New Roman" w:hAnsi="Times New Roman" w:cs="Times New Roman"/>
          <w:noProof/>
          <w:sz w:val="24"/>
          <w:szCs w:val="24"/>
          <w:highlight w:val="yellow"/>
          <w:lang w:val="fr-BE"/>
        </w:rPr>
      </w:pPr>
      <w:r>
        <w:rPr>
          <w:rFonts w:ascii="Times New Roman" w:hAnsi="Times New Roman"/>
          <w:b/>
          <w:noProof/>
          <w:sz w:val="24"/>
          <w:lang w:val="fr-BE"/>
        </w:rPr>
        <w:t>En plus de ceux qui travaillent ou cherchent un emploi, une part considérable des jeunes âgés de 15 à 24 ans est économiquement inactive.</w:t>
      </w:r>
      <w:r>
        <w:rPr>
          <w:rFonts w:ascii="Times New Roman" w:hAnsi="Times New Roman"/>
          <w:noProof/>
          <w:sz w:val="24"/>
          <w:lang w:val="fr-BE"/>
        </w:rPr>
        <w:t xml:space="preserve"> Au total, dans l’Union européenne, en 2017, près de 6 millions de personnes âgées de 15 à 24 ans étaient sans emploi et ne suivaient ni études ni formation (les «jeunes NEET»). Cela représente 10,9 % de la population de cette classe d’âge, soit une baisse</w:t>
      </w:r>
      <w:r>
        <w:rPr>
          <w:rFonts w:ascii="Times New Roman" w:hAnsi="Times New Roman"/>
          <w:noProof/>
          <w:sz w:val="24"/>
          <w:lang w:val="fr-BE"/>
        </w:rPr>
        <w:t xml:space="preserve"> par rapport au pic de 13,2 % enregistré en 2012 et un retour au niveau atteint en 2008 (10,9 %). Cette réduction est principalement due au fait que des jeunes NEET au chômage ont trouvé du travail. Comme le montre le graphique 31, des taux de jeunes NEET </w:t>
      </w:r>
      <w:r>
        <w:rPr>
          <w:rFonts w:ascii="Times New Roman" w:hAnsi="Times New Roman"/>
          <w:noProof/>
          <w:sz w:val="24"/>
          <w:lang w:val="fr-BE"/>
        </w:rPr>
        <w:t>supérieurs à 15 % sont encore enregistrés dans plusieurs pays (Italie, Chypre, Bulgarie, Croatie, Grèce et Roumanie). Le nombre de jeunes NEET est en augmentation au Danemark</w:t>
      </w:r>
      <w:r>
        <w:rPr>
          <w:rStyle w:val="FootnoteReference"/>
          <w:rFonts w:ascii="Times New Roman" w:hAnsi="Times New Roman"/>
          <w:noProof/>
          <w:sz w:val="24"/>
        </w:rPr>
        <w:footnoteReference w:id="47"/>
      </w:r>
      <w:r>
        <w:rPr>
          <w:rFonts w:ascii="Times New Roman" w:hAnsi="Times New Roman"/>
          <w:noProof/>
          <w:sz w:val="24"/>
          <w:lang w:val="fr-BE"/>
        </w:rPr>
        <w:t>, au Luxembourg, en Estonie et, ce qui est plus inquiétant, dans les deux pays pr</w:t>
      </w:r>
      <w:r>
        <w:rPr>
          <w:rFonts w:ascii="Times New Roman" w:hAnsi="Times New Roman"/>
          <w:noProof/>
          <w:sz w:val="24"/>
          <w:lang w:val="fr-BE"/>
        </w:rPr>
        <w:t>ésentant les taux les plus élevés (Chypre et l’Italie, qui se trouvent toutes deux dans une «situation critique»). La convergence n’est dès lors que limitée, comme l’illustre la pente légèrement négative de la droite de régression. On peut se réjouir en re</w:t>
      </w:r>
      <w:r>
        <w:rPr>
          <w:rFonts w:ascii="Times New Roman" w:hAnsi="Times New Roman"/>
          <w:noProof/>
          <w:sz w:val="24"/>
          <w:lang w:val="fr-BE"/>
        </w:rPr>
        <w:t>vanche des réductions notables observées en Bulgarie et en Roumanie («faible mais en amélioration»), partant de niveaux élevés.</w:t>
      </w:r>
    </w:p>
    <w:p w:rsidR="00723CC0" w:rsidRDefault="00242021">
      <w:pPr>
        <w:keepNext/>
        <w:spacing w:before="120" w:after="120" w:line="240" w:lineRule="auto"/>
        <w:jc w:val="both"/>
        <w:rPr>
          <w:rFonts w:ascii="Times New Roman" w:hAnsi="Times New Roman"/>
          <w:b/>
          <w:noProof/>
          <w:sz w:val="24"/>
          <w:szCs w:val="24"/>
          <w:lang w:val="fr-BE"/>
        </w:rPr>
      </w:pPr>
      <w:bookmarkStart w:id="58" w:name="_Ref528663527"/>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31</w:t>
      </w:r>
      <w:r>
        <w:rPr>
          <w:rFonts w:ascii="Times New Roman" w:hAnsi="Times New Roman"/>
          <w:b/>
          <w:noProof/>
          <w:sz w:val="24"/>
          <w:szCs w:val="24"/>
        </w:rPr>
        <w:fldChar w:fldCharType="end"/>
      </w:r>
      <w:bookmarkEnd w:id="58"/>
      <w:r>
        <w:rPr>
          <w:rFonts w:ascii="Times New Roman" w:hAnsi="Times New Roman"/>
          <w:b/>
          <w:noProof/>
          <w:sz w:val="24"/>
          <w:lang w:val="fr-BE"/>
        </w:rPr>
        <w:t xml:space="preserve">: Taux de jeunes NEET (15-24 ans) et variation annuelle (indicateur clé du tableau de bord </w:t>
      </w:r>
      <w:r>
        <w:rPr>
          <w:rFonts w:ascii="Times New Roman" w:hAnsi="Times New Roman"/>
          <w:b/>
          <w:noProof/>
          <w:sz w:val="24"/>
          <w:lang w:val="fr-BE"/>
        </w:rPr>
        <w:t>social).</w:t>
      </w:r>
    </w:p>
    <w:p w:rsidR="00723CC0" w:rsidRDefault="00242021">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716461" cy="45959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5720281" cy="4599055"/>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Période: niveaux de 2017 et variations annuelles par rapport à 2016. Remarque: les axes sont centrés sur la moyenne non pondérée de l’UE. La légende est présentée en annexe.</w:t>
      </w:r>
    </w:p>
    <w:p w:rsidR="00723CC0" w:rsidRDefault="00723CC0">
      <w:pPr>
        <w:spacing w:line="360" w:lineRule="auto"/>
        <w:jc w:val="both"/>
        <w:rPr>
          <w:rFonts w:ascii="Times New Roman" w:hAnsi="Times New Roman" w:cs="Times New Roman"/>
          <w:b/>
          <w:noProof/>
          <w:sz w:val="24"/>
          <w:szCs w:val="24"/>
          <w:highlight w:val="yellow"/>
          <w:lang w:val="fr-BE"/>
        </w:rPr>
      </w:pPr>
    </w:p>
    <w:p w:rsidR="00723CC0" w:rsidRDefault="00242021">
      <w:pPr>
        <w:spacing w:line="360" w:lineRule="auto"/>
        <w:jc w:val="both"/>
        <w:rPr>
          <w:rFonts w:ascii="Times New Roman" w:hAnsi="Times New Roman" w:cs="Times New Roman"/>
          <w:noProof/>
          <w:sz w:val="24"/>
          <w:szCs w:val="24"/>
          <w:highlight w:val="yellow"/>
          <w:lang w:val="fr-BE"/>
        </w:rPr>
      </w:pPr>
      <w:r>
        <w:rPr>
          <w:rFonts w:ascii="Times New Roman" w:hAnsi="Times New Roman"/>
          <w:b/>
          <w:noProof/>
          <w:sz w:val="24"/>
          <w:lang w:val="fr-BE"/>
        </w:rPr>
        <w:t>Le chômage des jeunes ayant diminué, la majorité des</w:t>
      </w:r>
      <w:r>
        <w:rPr>
          <w:rFonts w:ascii="Times New Roman" w:hAnsi="Times New Roman"/>
          <w:b/>
          <w:noProof/>
          <w:sz w:val="24"/>
          <w:lang w:val="fr-BE"/>
        </w:rPr>
        <w:t xml:space="preserve"> jeunes NEET sont des inactifs; cependant, des différences importantes existent entre les États membres.</w:t>
      </w:r>
      <w:r>
        <w:rPr>
          <w:rFonts w:ascii="Times New Roman" w:hAnsi="Times New Roman"/>
          <w:noProof/>
          <w:sz w:val="24"/>
          <w:lang w:val="fr-BE"/>
        </w:rPr>
        <w:t xml:space="preserve"> Les taux d’inactivité sont particulièrement élevés en Bulgarie, en Roumanie et en Italie, tandis que le chômage est prédominant en Espagne, en Croatie </w:t>
      </w:r>
      <w:r>
        <w:rPr>
          <w:rFonts w:ascii="Times New Roman" w:hAnsi="Times New Roman"/>
          <w:noProof/>
          <w:sz w:val="24"/>
          <w:lang w:val="fr-BE"/>
        </w:rPr>
        <w:t>et en Grèce. Les personnes n’ayant qu’un faible niveau d’éducation sont celles qui courent le plus grand risque d’être sans emploi et de ne participer ni à l’éducation ni à la formation</w:t>
      </w:r>
      <w:r>
        <w:rPr>
          <w:rStyle w:val="FootnoteReference"/>
          <w:rFonts w:ascii="Times New Roman" w:hAnsi="Times New Roman"/>
          <w:noProof/>
          <w:sz w:val="24"/>
        </w:rPr>
        <w:footnoteReference w:id="48"/>
      </w:r>
      <w:r>
        <w:rPr>
          <w:rFonts w:ascii="Times New Roman" w:hAnsi="Times New Roman"/>
          <w:noProof/>
          <w:sz w:val="24"/>
          <w:lang w:val="fr-BE"/>
        </w:rPr>
        <w:t>. Parmi les jeunes femmes NEET, l’inactivité est plus fréquente que le</w:t>
      </w:r>
      <w:r>
        <w:rPr>
          <w:rFonts w:ascii="Times New Roman" w:hAnsi="Times New Roman"/>
          <w:noProof/>
          <w:sz w:val="24"/>
          <w:lang w:val="fr-BE"/>
        </w:rPr>
        <w:t xml:space="preserve"> chômage, alors que c’est l’inverse pour les hommes.</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Le taux d’emploi des travailleurs âgés a sensiblement augmenté au cours de la dernière décennie.</w:t>
      </w:r>
      <w:r>
        <w:rPr>
          <w:rFonts w:ascii="Times New Roman" w:hAnsi="Times New Roman"/>
          <w:noProof/>
          <w:sz w:val="24"/>
          <w:lang w:val="fr-BE"/>
        </w:rPr>
        <w:t xml:space="preserve"> Les travailleurs âgés (de 55 à 64 ans) ont relativement mieux résisté à la crise que ceux des autres class</w:t>
      </w:r>
      <w:r>
        <w:rPr>
          <w:rFonts w:ascii="Times New Roman" w:hAnsi="Times New Roman"/>
          <w:noProof/>
          <w:sz w:val="24"/>
          <w:lang w:val="fr-BE"/>
        </w:rPr>
        <w:t>es d’âge et ont bénéficié de la plupart des emplois créés au cours de la reprise, près de 7 millions de personnes supplémentaires étant au travail entre le 2</w:t>
      </w:r>
      <w:r>
        <w:rPr>
          <w:rFonts w:ascii="Times New Roman" w:hAnsi="Times New Roman"/>
          <w:noProof/>
          <w:sz w:val="24"/>
          <w:vertAlign w:val="superscript"/>
          <w:lang w:val="fr-BE"/>
        </w:rPr>
        <w:t>e</w:t>
      </w:r>
      <w:r>
        <w:rPr>
          <w:rFonts w:ascii="Times New Roman" w:hAnsi="Times New Roman"/>
          <w:noProof/>
          <w:sz w:val="24"/>
          <w:lang w:val="fr-BE"/>
        </w:rPr>
        <w:t xml:space="preserve"> trimestre de 2013 et le 2</w:t>
      </w:r>
      <w:r>
        <w:rPr>
          <w:rFonts w:ascii="Times New Roman" w:hAnsi="Times New Roman"/>
          <w:noProof/>
          <w:sz w:val="24"/>
          <w:vertAlign w:val="superscript"/>
          <w:lang w:val="fr-BE"/>
        </w:rPr>
        <w:t>e</w:t>
      </w:r>
      <w:r>
        <w:rPr>
          <w:rFonts w:ascii="Times New Roman" w:hAnsi="Times New Roman"/>
          <w:noProof/>
          <w:sz w:val="24"/>
          <w:lang w:val="fr-BE"/>
        </w:rPr>
        <w:t xml:space="preserve"> trimestre de 2018. Plus généralement, comme cela a déjà été indiqué au</w:t>
      </w:r>
      <w:r>
        <w:rPr>
          <w:rFonts w:ascii="Times New Roman" w:hAnsi="Times New Roman"/>
          <w:noProof/>
          <w:sz w:val="24"/>
          <w:lang w:val="fr-BE"/>
        </w:rPr>
        <w:t xml:space="preserve"> chapitre 1, la tranche d’âge des 55-64 ans contribue grandement à l’augmentation globale des taux d’emploi au cours des dix dernières années. En 2017, le taux d’emploi des personnes âgées de 55 à 64 ans s’élevait à 55,3 %, soit 1,8 point de pourcentage de</w:t>
      </w:r>
      <w:r>
        <w:rPr>
          <w:rFonts w:ascii="Times New Roman" w:hAnsi="Times New Roman"/>
          <w:noProof/>
          <w:sz w:val="24"/>
          <w:lang w:val="fr-BE"/>
        </w:rPr>
        <w:t xml:space="preserve"> plus que l’année précédente, et cette augmentation constante devrait se poursuivre dans le contexte de l’évolution démographique. Les taux d’emploi des travailleurs âgés varient considérablement d’un État membre à l’autre, allant de 76,4 % en Suède à 38,3</w:t>
      </w:r>
      <w:r>
        <w:rPr>
          <w:rFonts w:ascii="Times New Roman" w:hAnsi="Times New Roman"/>
          <w:noProof/>
          <w:sz w:val="24"/>
          <w:lang w:val="fr-BE"/>
        </w:rPr>
        <w:t> % en Grèce, des taux inférieurs à 50 %, parfois de peu, étant aussi enregistrés en Espagne, en Belgique, en Pologne et à Malte. Le taux d’emploi des femmes âgées de 55 à 64 ans a augmenté plus rapidement que celui des hommes, atteignant 50,9 % en 2016.</w:t>
      </w:r>
    </w:p>
    <w:p w:rsidR="00723CC0" w:rsidRDefault="00242021">
      <w:pPr>
        <w:spacing w:line="360" w:lineRule="auto"/>
        <w:jc w:val="both"/>
        <w:rPr>
          <w:rFonts w:ascii="Times New Roman" w:hAnsi="Times New Roman"/>
          <w:noProof/>
          <w:sz w:val="24"/>
          <w:highlight w:val="yellow"/>
          <w:lang w:val="fr-BE"/>
        </w:rPr>
      </w:pPr>
      <w:r>
        <w:rPr>
          <w:rFonts w:ascii="Times New Roman" w:hAnsi="Times New Roman"/>
          <w:b/>
          <w:noProof/>
          <w:sz w:val="24"/>
          <w:lang w:val="fr-BE"/>
        </w:rPr>
        <w:t>De</w:t>
      </w:r>
      <w:r>
        <w:rPr>
          <w:rFonts w:ascii="Times New Roman" w:hAnsi="Times New Roman"/>
          <w:b/>
          <w:noProof/>
          <w:sz w:val="24"/>
          <w:lang w:val="fr-BE"/>
        </w:rPr>
        <w:t>puis 2008, la durée moyenne de la vie active a augmenté dans presque tous les États membres</w:t>
      </w:r>
      <w:r>
        <w:rPr>
          <w:rFonts w:ascii="Times New Roman" w:hAnsi="Times New Roman"/>
          <w:noProof/>
          <w:sz w:val="24"/>
          <w:lang w:val="fr-BE"/>
        </w:rPr>
        <w:t>, avec de fortes hausses (de plus de deux ans) en Estonie, en Lituanie, en Tchéquie, à Malte, en Hongrie, en Pologne et au Luxembourg. L’écart entre les hommes et le</w:t>
      </w:r>
      <w:r>
        <w:rPr>
          <w:rFonts w:ascii="Times New Roman" w:hAnsi="Times New Roman"/>
          <w:noProof/>
          <w:sz w:val="24"/>
          <w:lang w:val="fr-BE"/>
        </w:rPr>
        <w:t>s femmes dans la durée de la vie active est en baisse mais reste important, les femmes participant au marché du travail en moyenne 4,9 ans de moins que les hommes (33,4 ans contre 38,3 en 2017). Cette moyenne traduit d’importantes variations d’un État memb</w:t>
      </w:r>
      <w:r>
        <w:rPr>
          <w:rFonts w:ascii="Times New Roman" w:hAnsi="Times New Roman"/>
          <w:noProof/>
          <w:sz w:val="24"/>
          <w:lang w:val="fr-BE"/>
        </w:rPr>
        <w:t>re à l’autre et résulte de multiples facteurs, tels que l’insuffisance de l’accès aux services de soins ou des âges de départ à la retraite inférieurs pour les femmes dans certains États membres.</w:t>
      </w:r>
    </w:p>
    <w:p w:rsidR="00723CC0" w:rsidRDefault="00242021">
      <w:pPr>
        <w:keepNext/>
        <w:spacing w:before="120" w:after="120" w:line="240" w:lineRule="auto"/>
        <w:jc w:val="both"/>
        <w:rPr>
          <w:rFonts w:ascii="Times New Roman" w:hAnsi="Times New Roman"/>
          <w:b/>
          <w:noProof/>
          <w:sz w:val="24"/>
          <w:szCs w:val="24"/>
          <w:lang w:val="fr-BE"/>
        </w:rPr>
      </w:pPr>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32</w:t>
      </w:r>
      <w:r>
        <w:rPr>
          <w:rFonts w:ascii="Times New Roman" w:hAnsi="Times New Roman"/>
          <w:b/>
          <w:noProof/>
          <w:sz w:val="24"/>
          <w:szCs w:val="24"/>
        </w:rPr>
        <w:fldChar w:fldCharType="end"/>
      </w:r>
      <w:r>
        <w:rPr>
          <w:rFonts w:ascii="Times New Roman" w:hAnsi="Times New Roman"/>
          <w:b/>
          <w:noProof/>
          <w:sz w:val="24"/>
          <w:lang w:val="fr-BE"/>
        </w:rPr>
        <w:t xml:space="preserve">: Durée moyenne de la </w:t>
      </w:r>
      <w:r>
        <w:rPr>
          <w:rFonts w:ascii="Times New Roman" w:hAnsi="Times New Roman"/>
          <w:b/>
          <w:noProof/>
          <w:sz w:val="24"/>
          <w:lang w:val="fr-BE"/>
        </w:rPr>
        <w:t>vie active, comparaison 2008-2017</w:t>
      </w:r>
    </w:p>
    <w:p w:rsidR="00723CC0" w:rsidRDefault="00242021">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654689" cy="2738976"/>
            <wp:effectExtent l="0" t="0" r="317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5659536" cy="2741324"/>
                    </a:xfrm>
                    <a:prstGeom prst="rect">
                      <a:avLst/>
                    </a:prstGeom>
                    <a:noFill/>
                  </pic:spPr>
                </pic:pic>
              </a:graphicData>
            </a:graphic>
          </wp:inline>
        </w:drawing>
      </w:r>
    </w:p>
    <w:p w:rsidR="00723CC0" w:rsidRDefault="00242021">
      <w:pPr>
        <w:spacing w:line="360" w:lineRule="auto"/>
        <w:jc w:val="both"/>
        <w:rPr>
          <w:rFonts w:ascii="Times New Roman" w:hAnsi="Times New Roman"/>
          <w:noProof/>
          <w:sz w:val="20"/>
          <w:szCs w:val="20"/>
          <w:lang w:val="fr-BE"/>
        </w:rPr>
      </w:pPr>
      <w:r>
        <w:rPr>
          <w:rFonts w:ascii="Times New Roman" w:hAnsi="Times New Roman"/>
          <w:noProof/>
          <w:sz w:val="20"/>
          <w:lang w:val="fr-BE"/>
        </w:rPr>
        <w:t>Source: Eurostat, EFT.</w:t>
      </w:r>
    </w:p>
    <w:p w:rsidR="00723CC0" w:rsidRDefault="00723CC0">
      <w:pPr>
        <w:spacing w:line="360" w:lineRule="auto"/>
        <w:jc w:val="both"/>
        <w:rPr>
          <w:rFonts w:ascii="Times New Roman" w:hAnsi="Times New Roman"/>
          <w:b/>
          <w:noProof/>
          <w:sz w:val="24"/>
          <w:highlight w:val="yellow"/>
          <w:u w:val="single"/>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En 2017, le taux d’emploi des femmes a continué à progresser. </w:t>
      </w:r>
      <w:r>
        <w:rPr>
          <w:rFonts w:ascii="Times New Roman" w:hAnsi="Times New Roman"/>
          <w:noProof/>
          <w:sz w:val="24"/>
          <w:lang w:val="fr-BE"/>
        </w:rPr>
        <w:t>Il a atteint 66,5 % contre 65,3 % l’année précédente. Le taux d’emploi des femmes s’est amélioré dans tous les États membres à l’excep</w:t>
      </w:r>
      <w:r>
        <w:rPr>
          <w:rFonts w:ascii="Times New Roman" w:hAnsi="Times New Roman"/>
          <w:noProof/>
          <w:sz w:val="24"/>
          <w:lang w:val="fr-BE"/>
        </w:rPr>
        <w:t>tion du Danemark (où il est néanmoins très élevé). Il varie de 79,9 % en Suède à 48,0 % en Grèce, des taux faibles (inférieurs à 60 %) n’étant enregistrés qu’en Espagne, à Malte, en Croatie et en Italie. Malgré les progrès réalisés, dans tous les États mem</w:t>
      </w:r>
      <w:r>
        <w:rPr>
          <w:rFonts w:ascii="Times New Roman" w:hAnsi="Times New Roman"/>
          <w:noProof/>
          <w:sz w:val="24"/>
          <w:lang w:val="fr-BE"/>
        </w:rPr>
        <w:t>bres, les femmes continuent d’être moins représentées sur le marché du travail que les hommes. L’écart d’emploi entre les hommes et les femmes – un des indicateurs clés du tableau de bord social – reste élevé, à 11,5 points de pourcentage. Dans un contexte</w:t>
      </w:r>
      <w:r>
        <w:rPr>
          <w:rFonts w:ascii="Times New Roman" w:hAnsi="Times New Roman"/>
          <w:noProof/>
          <w:sz w:val="24"/>
          <w:lang w:val="fr-BE"/>
        </w:rPr>
        <w:t xml:space="preserve"> qui a très peu varié par rapport à l’année précédente, la convergence entre les États membres reste limitée. L’Italie, la Grèce et la Roumanie sont signalées comme se trouvant dans des «situations critiques», tandis que Malte, qui continue à connaître le </w:t>
      </w:r>
      <w:r>
        <w:rPr>
          <w:rFonts w:ascii="Times New Roman" w:hAnsi="Times New Roman"/>
          <w:noProof/>
          <w:sz w:val="24"/>
          <w:lang w:val="fr-BE"/>
        </w:rPr>
        <w:t>plus grand écart de taux d’emploi entre hommes et femmes, a connu une amélioration notable en 2017. Des augmentations considérables (de 1 point de pourcentage ou plus) ont été enregistrées en Lettonie, en Hongrie et en Croatie, même si, dans ces États memb</w:t>
      </w:r>
      <w:r>
        <w:rPr>
          <w:rFonts w:ascii="Times New Roman" w:hAnsi="Times New Roman"/>
          <w:noProof/>
          <w:sz w:val="24"/>
          <w:lang w:val="fr-BE"/>
        </w:rPr>
        <w:t>res, les taux d’emploi ont augmenté pour les deux sexes, mais beaucoup plus rapidement pour les hommes que pour les femmes. La Lettonie, ainsi que la Lituanie, la Finlande et la Suède, restent les «meilleurs éléments» en ce qui concerne l’écart de taux d’e</w:t>
      </w:r>
      <w:r>
        <w:rPr>
          <w:rFonts w:ascii="Times New Roman" w:hAnsi="Times New Roman"/>
          <w:noProof/>
          <w:sz w:val="24"/>
          <w:lang w:val="fr-BE"/>
        </w:rPr>
        <w:t>mploi entre hommes et femmes.</w:t>
      </w:r>
    </w:p>
    <w:p w:rsidR="00723CC0" w:rsidRDefault="00242021">
      <w:pPr>
        <w:keepNext/>
        <w:spacing w:before="120" w:after="120" w:line="240" w:lineRule="auto"/>
        <w:jc w:val="both"/>
        <w:rPr>
          <w:rFonts w:ascii="Times New Roman" w:hAnsi="Times New Roman"/>
          <w:b/>
          <w:noProof/>
          <w:sz w:val="24"/>
          <w:szCs w:val="24"/>
          <w:lang w:val="fr-BE"/>
        </w:rPr>
      </w:pPr>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33</w:t>
      </w:r>
      <w:r>
        <w:rPr>
          <w:rFonts w:ascii="Times New Roman" w:hAnsi="Times New Roman"/>
          <w:b/>
          <w:noProof/>
          <w:sz w:val="24"/>
          <w:szCs w:val="24"/>
        </w:rPr>
        <w:fldChar w:fldCharType="end"/>
      </w:r>
      <w:r>
        <w:rPr>
          <w:rFonts w:ascii="Times New Roman" w:hAnsi="Times New Roman"/>
          <w:b/>
          <w:noProof/>
          <w:sz w:val="24"/>
          <w:lang w:val="fr-BE"/>
        </w:rPr>
        <w:t>: Écart de taux d’emploi entre hommes et femmes, et variation annuelle (indicateur clé du tableau de bord social)</w:t>
      </w:r>
    </w:p>
    <w:p w:rsidR="00723CC0" w:rsidRDefault="00242021">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564101" cy="4397071"/>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5574337" cy="4405160"/>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Eurostat, EFT. Période: niveaux de 2017 et variations annuelles </w:t>
      </w:r>
      <w:r>
        <w:rPr>
          <w:rFonts w:ascii="Times New Roman" w:hAnsi="Times New Roman"/>
          <w:noProof/>
          <w:sz w:val="20"/>
          <w:lang w:val="fr-BE"/>
        </w:rPr>
        <w:t>par rapport à 2016. Remarque: les axes sont centrés sur la moyenne non pondérée de l’UE. La légende est présentée en annexe.</w:t>
      </w:r>
    </w:p>
    <w:p w:rsidR="00723CC0" w:rsidRDefault="00723CC0">
      <w:pPr>
        <w:spacing w:line="240" w:lineRule="auto"/>
        <w:jc w:val="both"/>
        <w:rPr>
          <w:rFonts w:ascii="Times New Roman" w:hAnsi="Times New Roman" w:cs="Times New Roman"/>
          <w:noProof/>
          <w:lang w:val="fr-BE"/>
        </w:rPr>
      </w:pPr>
    </w:p>
    <w:p w:rsidR="00723CC0" w:rsidRDefault="00242021">
      <w:pPr>
        <w:spacing w:line="360" w:lineRule="auto"/>
        <w:jc w:val="both"/>
        <w:rPr>
          <w:rFonts w:ascii="Times New Roman" w:hAnsi="Times New Roman" w:cs="Times New Roman"/>
          <w:noProof/>
          <w:sz w:val="24"/>
          <w:szCs w:val="24"/>
          <w:highlight w:val="lightGray"/>
          <w:lang w:val="fr-BE"/>
        </w:rPr>
      </w:pPr>
      <w:r>
        <w:rPr>
          <w:rFonts w:ascii="Times New Roman" w:hAnsi="Times New Roman"/>
          <w:b/>
          <w:noProof/>
          <w:sz w:val="24"/>
          <w:lang w:val="fr-BE"/>
        </w:rPr>
        <w:t>L’écart de taux d’emploi entre hommes et femmes est encore plus important une fois exprimé en équivalents temps plein, car on enre</w:t>
      </w:r>
      <w:r>
        <w:rPr>
          <w:rFonts w:ascii="Times New Roman" w:hAnsi="Times New Roman"/>
          <w:b/>
          <w:noProof/>
          <w:sz w:val="24"/>
          <w:lang w:val="fr-BE"/>
        </w:rPr>
        <w:t>gistre des taux plus élevés de travail à temps partiel pour les femmes.</w:t>
      </w:r>
      <w:r>
        <w:rPr>
          <w:rFonts w:ascii="Times New Roman" w:hAnsi="Times New Roman"/>
          <w:noProof/>
          <w:sz w:val="24"/>
          <w:lang w:val="fr-BE"/>
        </w:rPr>
        <w:t xml:space="preserve"> En moyenne, l’écart d’emploi à temps partiel entre les hommes et les femmes n’a que légèrement baissé comparé à 2016 pour atteindre 23 points de pourcentage en 2017.</w:t>
      </w:r>
      <w:r>
        <w:rPr>
          <w:rFonts w:ascii="Times New Roman" w:hAnsi="Times New Roman"/>
          <w:b/>
          <w:noProof/>
          <w:sz w:val="24"/>
          <w:lang w:val="fr-BE"/>
        </w:rPr>
        <w:t xml:space="preserve"> </w:t>
      </w:r>
      <w:r>
        <w:rPr>
          <w:rFonts w:ascii="Times New Roman" w:hAnsi="Times New Roman"/>
          <w:noProof/>
          <w:sz w:val="24"/>
          <w:lang w:val="fr-BE"/>
        </w:rPr>
        <w:t>Dans l’ensemble, 3</w:t>
      </w:r>
      <w:r>
        <w:rPr>
          <w:rFonts w:ascii="Times New Roman" w:hAnsi="Times New Roman"/>
          <w:noProof/>
          <w:sz w:val="24"/>
          <w:lang w:val="fr-BE"/>
        </w:rPr>
        <w:t>1,1 % des femmes dans l’UE travaillaient à temps partiel en 2017, contre 8,2 % des hommes. Cependant, il existe de grandes différences entre les États membres. Si la proportion de femmes travaillant à temps partiel reste traditionnellement faible dans la p</w:t>
      </w:r>
      <w:r>
        <w:rPr>
          <w:rFonts w:ascii="Times New Roman" w:hAnsi="Times New Roman"/>
          <w:noProof/>
          <w:sz w:val="24"/>
          <w:lang w:val="fr-BE"/>
        </w:rPr>
        <w:t>lupart des États membres d’Europe orientale (moins de 10 % en Bulgarie, en Croatie, en Lituanie, en Hongrie, en Pologne, en Roumanie et en Lettonie), elle a atteint 74,1 % aux Pays-Bas (22,6 % pour les hommes), 49,9 % en Autriche (10,5 % pour les hommes) e</w:t>
      </w:r>
      <w:r>
        <w:rPr>
          <w:rFonts w:ascii="Times New Roman" w:hAnsi="Times New Roman"/>
          <w:noProof/>
          <w:sz w:val="24"/>
          <w:lang w:val="fr-BE"/>
        </w:rPr>
        <w:t>t 46,8 % en Allemagne (9,3 % pour les hommes). La disponibilité de travail à temps partiel est un facteur important pour le maintien des femmes sur le marché de l’emploi, notamment lorsqu’elles ont des enfants. Cependant, de longues périodes de réduction d</w:t>
      </w:r>
      <w:r>
        <w:rPr>
          <w:rFonts w:ascii="Times New Roman" w:hAnsi="Times New Roman"/>
          <w:noProof/>
          <w:sz w:val="24"/>
          <w:lang w:val="fr-BE"/>
        </w:rPr>
        <w:t xml:space="preserve">es horaires de travail peuvent aggraver les disparités entre hommes et femmes en matière de salaires et de pensions, car le temps partiel va généralement de pair avec des salaires horaires plus bas et des cotisations de sécurité sociale plus faibles. Même </w:t>
      </w:r>
      <w:r>
        <w:rPr>
          <w:rFonts w:ascii="Times New Roman" w:hAnsi="Times New Roman"/>
          <w:noProof/>
          <w:sz w:val="24"/>
          <w:lang w:val="fr-BE"/>
        </w:rPr>
        <w:t>si cette proportion est en baisse, 22,5 % de l’emploi à temps partiel féminin était involontaire en 2017.</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Outre les taux d’emploi, plus faibles pour les femmes, l’écart de rémunération tend lui aussi à leur être significativement défavorable. </w:t>
      </w:r>
      <w:r>
        <w:rPr>
          <w:rFonts w:ascii="Times New Roman" w:hAnsi="Times New Roman"/>
          <w:noProof/>
          <w:sz w:val="24"/>
          <w:lang w:val="fr-BE"/>
        </w:rPr>
        <w:t xml:space="preserve">Bien que les </w:t>
      </w:r>
      <w:r>
        <w:rPr>
          <w:rFonts w:ascii="Times New Roman" w:hAnsi="Times New Roman"/>
          <w:noProof/>
          <w:sz w:val="24"/>
          <w:lang w:val="fr-BE"/>
        </w:rPr>
        <w:t>femmes soient généralement mieux qualifiées que les hommes</w:t>
      </w:r>
      <w:r>
        <w:rPr>
          <w:rFonts w:ascii="Times New Roman" w:hAnsi="Times New Roman"/>
          <w:noProof/>
          <w:sz w:val="24"/>
          <w:vertAlign w:val="superscript"/>
        </w:rPr>
        <w:footnoteReference w:id="49"/>
      </w:r>
      <w:r>
        <w:rPr>
          <w:rFonts w:ascii="Times New Roman" w:hAnsi="Times New Roman"/>
          <w:noProof/>
          <w:sz w:val="24"/>
          <w:lang w:val="fr-BE"/>
        </w:rPr>
        <w:t>, l’écart des rémunérations entre hommes et femmes reste stable, à 16,2 %</w:t>
      </w:r>
      <w:r>
        <w:rPr>
          <w:rStyle w:val="FootnoteReference"/>
          <w:rFonts w:ascii="Times New Roman" w:hAnsi="Times New Roman"/>
          <w:noProof/>
          <w:sz w:val="24"/>
        </w:rPr>
        <w:footnoteReference w:id="50"/>
      </w:r>
      <w:r>
        <w:rPr>
          <w:rFonts w:ascii="Times New Roman" w:hAnsi="Times New Roman"/>
          <w:noProof/>
          <w:sz w:val="24"/>
          <w:lang w:val="fr-BE"/>
        </w:rPr>
        <w:t xml:space="preserve"> en 2016, ce qui marque un léger recul seulement par rapport à 2013 (16,8 %).</w:t>
      </w:r>
      <w:r>
        <w:rPr>
          <w:rFonts w:ascii="Times New Roman" w:hAnsi="Times New Roman"/>
          <w:b/>
          <w:noProof/>
          <w:sz w:val="24"/>
          <w:lang w:val="fr-BE"/>
        </w:rPr>
        <w:t xml:space="preserve"> </w:t>
      </w:r>
      <w:r>
        <w:rPr>
          <w:rFonts w:ascii="Times New Roman" w:hAnsi="Times New Roman"/>
          <w:noProof/>
          <w:sz w:val="24"/>
          <w:lang w:val="fr-BE"/>
        </w:rPr>
        <w:t>On observe une tendance à la surreprésentatio</w:t>
      </w:r>
      <w:r>
        <w:rPr>
          <w:rFonts w:ascii="Times New Roman" w:hAnsi="Times New Roman"/>
          <w:noProof/>
          <w:sz w:val="24"/>
          <w:lang w:val="fr-BE"/>
        </w:rPr>
        <w:t xml:space="preserve">n des femmes dans les secteurs et professions moins bien rémunérés: elles travaillent souvent dans des emplois sous-qualifiés par rapport à leurs compétences. Cela étant, une partie de l’écart des rémunérations demeure même lorsqu’on neutralise l’effet de </w:t>
      </w:r>
      <w:r>
        <w:rPr>
          <w:rFonts w:ascii="Times New Roman" w:hAnsi="Times New Roman"/>
          <w:noProof/>
          <w:sz w:val="24"/>
          <w:lang w:val="fr-BE"/>
        </w:rPr>
        <w:t xml:space="preserve">facteurs tels que les différences d’expérience, de niveau d’éducation, de type de contrat, etc. Les différences entre les pays sont considérables. L’écart de rémunération entre hommes et femmes reste supérieur à 20 % en Estonie, en Tchéquie, en Allemagne, </w:t>
      </w:r>
      <w:r>
        <w:rPr>
          <w:rFonts w:ascii="Times New Roman" w:hAnsi="Times New Roman"/>
          <w:noProof/>
          <w:sz w:val="24"/>
          <w:lang w:val="fr-BE"/>
        </w:rPr>
        <w:t>au Royaume-Uni et en Autriche, alors que les valeurs les plus faibles (un peu plus de 5 %) sont enregistrées en Roumanie, en Italie et au Luxembourg. Depuis 2013, la situation s’est considérablement améliorée en Estonie, en Hongrie et en Espagne, alors que</w:t>
      </w:r>
      <w:r>
        <w:rPr>
          <w:rFonts w:ascii="Times New Roman" w:hAnsi="Times New Roman"/>
          <w:noProof/>
          <w:sz w:val="24"/>
          <w:lang w:val="fr-BE"/>
        </w:rPr>
        <w:t xml:space="preserve"> l’écart de rémunération entre hommes et femmes s’est accru de plus de 2 points de pourcentage au Portugal et en Lituanie. L’écart de rémunération entre hommes et femmes entraînant souvent un écart de pension, ce dernier s’élevait à environ 37,2 % en 2016 </w:t>
      </w:r>
      <w:r>
        <w:rPr>
          <w:rFonts w:ascii="Times New Roman" w:hAnsi="Times New Roman"/>
          <w:noProof/>
          <w:sz w:val="24"/>
          <w:lang w:val="fr-BE"/>
        </w:rPr>
        <w:t>(en baisse de 1,1 point par rapport à 2015). Les écarts de pension entre hommes et femmes les plus élevés sont observés à Chypre, aux Pays-Bas et à Malte (plus de 44 %), les plus faibles (moins de 10 %) ayant été enregistrés en Estonie, au Danemark et en S</w:t>
      </w:r>
      <w:r>
        <w:rPr>
          <w:rFonts w:ascii="Times New Roman" w:hAnsi="Times New Roman"/>
          <w:noProof/>
          <w:sz w:val="24"/>
          <w:lang w:val="fr-BE"/>
        </w:rPr>
        <w:t>lovaquie.</w:t>
      </w:r>
    </w:p>
    <w:p w:rsidR="00723CC0" w:rsidRDefault="00242021">
      <w:pPr>
        <w:keepNext/>
        <w:spacing w:before="120" w:after="120" w:line="240" w:lineRule="auto"/>
        <w:jc w:val="both"/>
        <w:rPr>
          <w:rFonts w:ascii="Times New Roman" w:hAnsi="Times New Roman"/>
          <w:b/>
          <w:noProof/>
          <w:sz w:val="24"/>
          <w:szCs w:val="24"/>
          <w:lang w:val="fr-BE"/>
        </w:rPr>
      </w:pPr>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34</w:t>
      </w:r>
      <w:r>
        <w:rPr>
          <w:rFonts w:ascii="Times New Roman" w:hAnsi="Times New Roman"/>
          <w:b/>
          <w:noProof/>
          <w:sz w:val="24"/>
          <w:szCs w:val="24"/>
        </w:rPr>
        <w:fldChar w:fldCharType="end"/>
      </w:r>
      <w:r>
        <w:rPr>
          <w:rFonts w:ascii="Times New Roman" w:hAnsi="Times New Roman"/>
          <w:b/>
          <w:noProof/>
          <w:sz w:val="24"/>
          <w:lang w:val="fr-BE"/>
        </w:rPr>
        <w:t>: Écart de rémunération non ajusté entre hommes et femmes en 2013 et en 2016</w:t>
      </w:r>
    </w:p>
    <w:p w:rsidR="00723CC0" w:rsidRDefault="00242021">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6085518" cy="2862469"/>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6086718" cy="2863033"/>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Eurostat. Remarque: l’écart de rémunération non ajusté entre les hommes et les femmes est égal à la différence entre les </w:t>
      </w:r>
      <w:r>
        <w:rPr>
          <w:rFonts w:ascii="Times New Roman" w:hAnsi="Times New Roman"/>
          <w:noProof/>
          <w:sz w:val="20"/>
          <w:lang w:val="fr-BE"/>
        </w:rPr>
        <w:t>gains horaires bruts moyens des salariés et ceux des salariées, exprimée en pourcentage des gains horaires bruts moyens des salariés. Aucune donnée récente n’est disponible pour la Croatie, la Grèce et l’Irlande.</w:t>
      </w:r>
    </w:p>
    <w:p w:rsidR="00723CC0" w:rsidRDefault="00723CC0">
      <w:pPr>
        <w:spacing w:line="360" w:lineRule="auto"/>
        <w:jc w:val="both"/>
        <w:rPr>
          <w:rFonts w:ascii="Times New Roman" w:hAnsi="Times New Roman" w:cs="Times New Roman"/>
          <w:b/>
          <w:noProof/>
          <w:sz w:val="24"/>
          <w:szCs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Les écarts en matière d’emploi tendent à </w:t>
      </w:r>
      <w:r>
        <w:rPr>
          <w:rFonts w:ascii="Times New Roman" w:hAnsi="Times New Roman"/>
          <w:b/>
          <w:noProof/>
          <w:sz w:val="24"/>
          <w:lang w:val="fr-BE"/>
        </w:rPr>
        <w:t>être plus grands pour les femmes ayant des responsabilités familiales.</w:t>
      </w:r>
      <w:r>
        <w:rPr>
          <w:rFonts w:ascii="Times New Roman" w:hAnsi="Times New Roman"/>
          <w:noProof/>
          <w:sz w:val="24"/>
          <w:lang w:val="fr-BE"/>
        </w:rPr>
        <w:t xml:space="preserve"> Par exemple, la parentalité est l’un des principaux facteurs entravant la pleine participation des femmes au marché du travail. Dans tous les États membres, l’écart de taux d’emploi ent</w:t>
      </w:r>
      <w:r>
        <w:rPr>
          <w:rFonts w:ascii="Times New Roman" w:hAnsi="Times New Roman"/>
          <w:noProof/>
          <w:sz w:val="24"/>
          <w:lang w:val="fr-BE"/>
        </w:rPr>
        <w:t>re hommes et femmes se creuse nettement lorsque les charges de famille sont prises en compte. En moyenne, en 2017, le taux d’emploi des femmes (de 20 à 49 ans) ayant un enfant de moins de 6 ans était de 9,2 points de pourcentage inférieur à celui des femme</w:t>
      </w:r>
      <w:r>
        <w:rPr>
          <w:rFonts w:ascii="Times New Roman" w:hAnsi="Times New Roman"/>
          <w:noProof/>
          <w:sz w:val="24"/>
          <w:lang w:val="fr-BE"/>
        </w:rPr>
        <w:t>s sans enfants. En Tchéquie, en Hongrie et en Slovaquie, l’incidence négative de la parentalité est particulièrement élevée (plus de 40 points de pourcentage), tandis que l’incidence est positive, mais plus faible que pour les hommes, au Portugal, au Luxem</w:t>
      </w:r>
      <w:r>
        <w:rPr>
          <w:rFonts w:ascii="Times New Roman" w:hAnsi="Times New Roman"/>
          <w:noProof/>
          <w:sz w:val="24"/>
          <w:lang w:val="fr-BE"/>
        </w:rPr>
        <w:t>bourg, en Suède et en Croatie. Inversement, la parentalité a une incidence positive sur la participation des hommes au marché du travail dans tous les États membres de l’UE (+12,4 points de pourcentage en moyenne).</w:t>
      </w:r>
    </w:p>
    <w:p w:rsidR="00723CC0" w:rsidRDefault="00242021">
      <w:pPr>
        <w:keepNext/>
        <w:spacing w:before="120" w:after="120" w:line="240" w:lineRule="auto"/>
        <w:jc w:val="both"/>
        <w:rPr>
          <w:rFonts w:ascii="Times New Roman" w:hAnsi="Times New Roman"/>
          <w:b/>
          <w:noProof/>
          <w:sz w:val="24"/>
          <w:szCs w:val="24"/>
          <w:lang w:val="fr-BE"/>
        </w:rPr>
      </w:pPr>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35</w:t>
      </w:r>
      <w:r>
        <w:rPr>
          <w:rFonts w:ascii="Times New Roman" w:hAnsi="Times New Roman"/>
          <w:b/>
          <w:noProof/>
          <w:sz w:val="24"/>
          <w:szCs w:val="24"/>
        </w:rPr>
        <w:fldChar w:fldCharType="end"/>
      </w:r>
      <w:r>
        <w:rPr>
          <w:rFonts w:ascii="Times New Roman" w:hAnsi="Times New Roman"/>
          <w:b/>
          <w:noProof/>
          <w:sz w:val="24"/>
          <w:lang w:val="fr-BE"/>
        </w:rPr>
        <w:t>: In</w:t>
      </w:r>
      <w:r>
        <w:rPr>
          <w:rFonts w:ascii="Times New Roman" w:hAnsi="Times New Roman"/>
          <w:b/>
          <w:noProof/>
          <w:sz w:val="24"/>
          <w:lang w:val="fr-BE"/>
        </w:rPr>
        <w:t>cidence de la parentalité sur l’emploi pour les hommes et les femmes (de 20 à 49 ans) en 2017</w:t>
      </w:r>
    </w:p>
    <w:p w:rsidR="00723CC0" w:rsidRDefault="00242021">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852160" cy="286246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5851657" cy="2862223"/>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Remarque: l’incidence de la parentalité sur l’emploi est mesurée comme la différence (en points de pourcentage) entre le taux d’emploi des fem</w:t>
      </w:r>
      <w:r>
        <w:rPr>
          <w:rFonts w:ascii="Times New Roman" w:hAnsi="Times New Roman"/>
          <w:noProof/>
          <w:sz w:val="20"/>
          <w:lang w:val="fr-BE"/>
        </w:rPr>
        <w:t>mes (ou des hommes) ayant au moins un enfant âgé de moins de 6 ans et celui des femmes (ou des hommes) sans enfants.</w:t>
      </w:r>
    </w:p>
    <w:p w:rsidR="00723CC0" w:rsidRDefault="00723CC0">
      <w:pPr>
        <w:spacing w:line="360" w:lineRule="auto"/>
        <w:jc w:val="both"/>
        <w:rPr>
          <w:rFonts w:ascii="Times New Roman" w:hAnsi="Times New Roman" w:cs="Times New Roman"/>
          <w:b/>
          <w:noProof/>
          <w:sz w:val="24"/>
          <w:szCs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L’inégalité d’accès à des services de garde d’enfants et à des soins de longue durée abordables et de qualité contribue à amplifier l’effe</w:t>
      </w:r>
      <w:r>
        <w:rPr>
          <w:rFonts w:ascii="Times New Roman" w:hAnsi="Times New Roman"/>
          <w:b/>
          <w:noProof/>
          <w:sz w:val="24"/>
          <w:lang w:val="fr-BE"/>
        </w:rPr>
        <w:t xml:space="preserve">t négatif de la parentalité sur l’emploi des femmes. </w:t>
      </w:r>
      <w:r>
        <w:rPr>
          <w:rFonts w:ascii="Times New Roman" w:hAnsi="Times New Roman"/>
          <w:noProof/>
          <w:sz w:val="24"/>
          <w:lang w:val="fr-BE"/>
        </w:rPr>
        <w:t>Comme le montre l’indicateur clé du tableau de bord social sur la participation à un système formel d’accueil d’enfants, en 2016, environ 33 % des enfants âgés de 0 à 3 ans étaient inscrits dans des stru</w:t>
      </w:r>
      <w:r>
        <w:rPr>
          <w:rFonts w:ascii="Times New Roman" w:hAnsi="Times New Roman"/>
          <w:noProof/>
          <w:sz w:val="24"/>
          <w:lang w:val="fr-BE"/>
        </w:rPr>
        <w:t>ctures d’accueil formelles. Cela signifie que l’objectif de Barcelone concernant la disponibilité de services d’accueil (abordables et de qualité) pour les enfants de cette tranche d’âge a pratiquement été atteint. Cependant, d’importantes différences pers</w:t>
      </w:r>
      <w:r>
        <w:rPr>
          <w:rFonts w:ascii="Times New Roman" w:hAnsi="Times New Roman"/>
          <w:noProof/>
          <w:sz w:val="24"/>
          <w:lang w:val="fr-BE"/>
        </w:rPr>
        <w:t xml:space="preserve">istent entre les pays. Si le taux d’inscription dans de telles structures s’établissait à 70 % au Danemark et à 50 % environ au Portugal, au Luxembourg, en Suède et aux Pays-Bas, il était par contre nettement inférieur à 10 % en Slovaquie, en Tchéquie, en </w:t>
      </w:r>
      <w:r>
        <w:rPr>
          <w:rFonts w:ascii="Times New Roman" w:hAnsi="Times New Roman"/>
          <w:noProof/>
          <w:sz w:val="24"/>
          <w:lang w:val="fr-BE"/>
        </w:rPr>
        <w:t>Pologne et en Grèce (ces derniers pays, avec la Bulgarie, étant signalés comme se trouvant dans une «situation critique»). Dans ces États membres, le manque de structures d’accueil formelles entraîne aussi de mauvais résultats pour les femmes sur le marché</w:t>
      </w:r>
      <w:r>
        <w:rPr>
          <w:rFonts w:ascii="Times New Roman" w:hAnsi="Times New Roman"/>
          <w:noProof/>
          <w:sz w:val="24"/>
          <w:lang w:val="fr-BE"/>
        </w:rPr>
        <w:t xml:space="preserve"> du travail (dans l’ensemble de ces États, l’écart de taux d’emploi entre hommes et femmes est supérieur à la moyenne de l’UE et la parentalité a une incidence négative sur les taux d’emploi). En 2017, 21,6 % des femmes exerçant des responsabilités familia</w:t>
      </w:r>
      <w:r>
        <w:rPr>
          <w:rFonts w:ascii="Times New Roman" w:hAnsi="Times New Roman"/>
          <w:noProof/>
          <w:sz w:val="24"/>
          <w:lang w:val="fr-BE"/>
        </w:rPr>
        <w:t>les dans l’UE étaient inactives ou travaillaient à temps partiel en raison d’un manque de services d’accueil d’enfants et de services de soins de longue durée. En Grèce, en Espagne, en Croatie et à Chypre, cette part était nettement supérieure à 50 %, un n</w:t>
      </w:r>
      <w:r>
        <w:rPr>
          <w:rFonts w:ascii="Times New Roman" w:hAnsi="Times New Roman"/>
          <w:noProof/>
          <w:sz w:val="24"/>
          <w:lang w:val="fr-BE"/>
        </w:rPr>
        <w:t>iveau record étant atteint en Roumanie et en Lettonie (plus de 89 %).</w:t>
      </w:r>
    </w:p>
    <w:p w:rsidR="00723CC0" w:rsidRDefault="00242021">
      <w:pPr>
        <w:keepNext/>
        <w:spacing w:before="120" w:after="120" w:line="240" w:lineRule="auto"/>
        <w:jc w:val="both"/>
        <w:rPr>
          <w:rFonts w:ascii="Times New Roman" w:hAnsi="Times New Roman"/>
          <w:b/>
          <w:noProof/>
          <w:sz w:val="24"/>
          <w:szCs w:val="24"/>
          <w:lang w:val="fr-BE"/>
        </w:rPr>
      </w:pPr>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36</w:t>
      </w:r>
      <w:r>
        <w:rPr>
          <w:rFonts w:ascii="Times New Roman" w:hAnsi="Times New Roman"/>
          <w:b/>
          <w:noProof/>
          <w:sz w:val="24"/>
          <w:szCs w:val="24"/>
        </w:rPr>
        <w:fldChar w:fldCharType="end"/>
      </w:r>
      <w:r>
        <w:rPr>
          <w:rFonts w:ascii="Times New Roman" w:hAnsi="Times New Roman"/>
          <w:b/>
          <w:noProof/>
          <w:sz w:val="24"/>
          <w:lang w:val="fr-BE"/>
        </w:rPr>
        <w:t>: Enfants (0-3 ans) dans des structures d’accueil formelles et variation annuelle (indicateur clé du tableau de bord social)</w:t>
      </w:r>
    </w:p>
    <w:p w:rsidR="00723CC0" w:rsidRDefault="00242021">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6035040" cy="3228229"/>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6047119" cy="3234690"/>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Eurostat, </w:t>
      </w:r>
      <w:r>
        <w:rPr>
          <w:rFonts w:ascii="Times New Roman" w:hAnsi="Times New Roman"/>
          <w:noProof/>
          <w:sz w:val="20"/>
          <w:lang w:val="fr-BE"/>
        </w:rPr>
        <w:t>SRCV-UE. Période: niveaux de 2017 et variations annuelles par rapport à 2016. Remarque: les axes sont centrés sur la moyenne non pondérée de l’UE. La légende est présentée en annexe.</w:t>
      </w:r>
    </w:p>
    <w:p w:rsidR="00723CC0" w:rsidRDefault="00723CC0">
      <w:pPr>
        <w:spacing w:line="360" w:lineRule="auto"/>
        <w:contextualSpacing/>
        <w:jc w:val="both"/>
        <w:rPr>
          <w:rFonts w:ascii="Times New Roman" w:hAnsi="Times New Roman" w:cs="Times New Roman"/>
          <w:b/>
          <w:noProof/>
          <w:sz w:val="24"/>
          <w:szCs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La fourniture de services de soins de longue durée formels accessibles, </w:t>
      </w:r>
      <w:r>
        <w:rPr>
          <w:rFonts w:ascii="Times New Roman" w:hAnsi="Times New Roman"/>
          <w:b/>
          <w:noProof/>
          <w:sz w:val="24"/>
          <w:lang w:val="fr-BE"/>
        </w:rPr>
        <w:t>de haute qualité et viables demeure difficile dans plusieurs États membres.</w:t>
      </w:r>
      <w:r>
        <w:rPr>
          <w:rFonts w:ascii="Times New Roman" w:hAnsi="Times New Roman"/>
          <w:noProof/>
          <w:sz w:val="24"/>
          <w:lang w:val="fr-BE"/>
        </w:rPr>
        <w:t xml:space="preserve"> Le sous-développement des services de soins de longue durée peut être un obstacle majeur au maintien des femmes au travail, car les soins informels sont souvent la seule solution p</w:t>
      </w:r>
      <w:r>
        <w:rPr>
          <w:rFonts w:ascii="Times New Roman" w:hAnsi="Times New Roman"/>
          <w:noProof/>
          <w:sz w:val="24"/>
          <w:lang w:val="fr-BE"/>
        </w:rPr>
        <w:t>our de nombreuses familles. L’évolution démographique va aggraver cette difficulté, le nombre de personnes âgées dépendantes devant augmenter, selon les estimations, de 13 millions entre 2016 et 2070</w:t>
      </w:r>
      <w:r>
        <w:rPr>
          <w:rFonts w:ascii="Times New Roman" w:hAnsi="Times New Roman"/>
          <w:noProof/>
          <w:sz w:val="24"/>
          <w:vertAlign w:val="superscript"/>
        </w:rPr>
        <w:footnoteReference w:id="51"/>
      </w:r>
      <w:r>
        <w:rPr>
          <w:rFonts w:ascii="Times New Roman" w:hAnsi="Times New Roman"/>
          <w:noProof/>
          <w:sz w:val="24"/>
          <w:lang w:val="fr-BE"/>
        </w:rPr>
        <w:t xml:space="preserve">. En outre, les aidants informels, des femmes dans leur </w:t>
      </w:r>
      <w:r>
        <w:rPr>
          <w:rFonts w:ascii="Times New Roman" w:hAnsi="Times New Roman"/>
          <w:noProof/>
          <w:sz w:val="24"/>
          <w:lang w:val="fr-BE"/>
        </w:rPr>
        <w:t>majorité, sont plus exposés au risque de la pauvreté et de la dépendance financière, en particulier lorsqu’ils sont contraints de réduire leurs horaires de travail ou de quitter leur emploi pour s’occuper de leurs proches, ce qui entraîne une diminution de</w:t>
      </w:r>
      <w:r>
        <w:rPr>
          <w:rFonts w:ascii="Times New Roman" w:hAnsi="Times New Roman"/>
          <w:noProof/>
          <w:sz w:val="24"/>
          <w:lang w:val="fr-BE"/>
        </w:rPr>
        <w:t xml:space="preserve"> leurs revenus et de leurs droits à pension.</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De plus, les femmes doivent généralement faire face à d’importants freins financiers lorsqu’elles entrent sur le marché du travail ou souhaitent travailler davantage.</w:t>
      </w:r>
      <w:r>
        <w:rPr>
          <w:rFonts w:ascii="Times New Roman" w:hAnsi="Times New Roman"/>
          <w:noProof/>
          <w:sz w:val="24"/>
          <w:lang w:val="fr-BE"/>
        </w:rPr>
        <w:t xml:space="preserve"> En particulier, lorsque l’impôt sur le reven</w:t>
      </w:r>
      <w:r>
        <w:rPr>
          <w:rFonts w:ascii="Times New Roman" w:hAnsi="Times New Roman"/>
          <w:noProof/>
          <w:sz w:val="24"/>
          <w:lang w:val="fr-BE"/>
        </w:rPr>
        <w:t>u est prélevé sur le revenu du ménage et non sur le revenu individuel, les partenaires qui ne travaillent pas et le deuxième apporteur de revenu du ménage (le plus souvent des femmes) peuvent être confrontés à d’importants freins financiers qui les dissuad</w:t>
      </w:r>
      <w:r>
        <w:rPr>
          <w:rFonts w:ascii="Times New Roman" w:hAnsi="Times New Roman"/>
          <w:noProof/>
          <w:sz w:val="24"/>
          <w:lang w:val="fr-BE"/>
        </w:rPr>
        <w:t>ent de participer au marché du travail ou de travailler davantage. D’autres caractéristiques du système d’imposition et de prestations sociales peuvent également décourager l’offre de main-d’œuvre, notamment les déductions pour charge de famille ou pour co</w:t>
      </w:r>
      <w:r>
        <w:rPr>
          <w:rFonts w:ascii="Times New Roman" w:hAnsi="Times New Roman"/>
          <w:noProof/>
          <w:sz w:val="24"/>
          <w:lang w:val="fr-BE"/>
        </w:rPr>
        <w:t>njoint dépendant et les déductions transférables. En 2016, la trappe à inactivité pour le deuxième apporteur de revenu du ménage était particulièrement élevée au Danemark, en Allemagne, en Belgique et en France, alors que le piège des bas salaires était él</w:t>
      </w:r>
      <w:r>
        <w:rPr>
          <w:rFonts w:ascii="Times New Roman" w:hAnsi="Times New Roman"/>
          <w:noProof/>
          <w:sz w:val="24"/>
          <w:lang w:val="fr-BE"/>
        </w:rPr>
        <w:t>evé en Belgique, en Allemagne et au Luxembourg</w:t>
      </w:r>
      <w:r>
        <w:rPr>
          <w:rFonts w:ascii="Times New Roman" w:hAnsi="Times New Roman"/>
          <w:noProof/>
          <w:sz w:val="24"/>
          <w:vertAlign w:val="superscript"/>
        </w:rPr>
        <w:footnoteReference w:id="52"/>
      </w:r>
      <w:r>
        <w:rPr>
          <w:rFonts w:ascii="Times New Roman" w:hAnsi="Times New Roman"/>
          <w:noProof/>
          <w:sz w:val="24"/>
          <w:lang w:val="fr-BE"/>
        </w:rPr>
        <w:t>. Les coûts élevés des établissements de soins aggravent les trappes à inactivité par leur effet dissuasif contre la transition vers l’emploi ou l’augmentation des horaires de travail.</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 xml:space="preserve">Les personnes issues de </w:t>
      </w:r>
      <w:r>
        <w:rPr>
          <w:rFonts w:ascii="Times New Roman" w:hAnsi="Times New Roman"/>
          <w:b/>
          <w:noProof/>
          <w:sz w:val="24"/>
          <w:lang w:val="fr-BE"/>
        </w:rPr>
        <w:t>l’immigration ne bénéficient que partiellement de l’amélioration générale de la situation sur le marché du travail.</w:t>
      </w:r>
      <w:r>
        <w:rPr>
          <w:rFonts w:ascii="Times New Roman" w:hAnsi="Times New Roman"/>
          <w:noProof/>
          <w:sz w:val="24"/>
          <w:lang w:val="fr-BE"/>
        </w:rPr>
        <w:t xml:space="preserve"> Alors que les personnes nées en dehors de l’UE représentent une part croissante de la population de l’UE (7,2 % en 2017, 6,6 % en 2014), elles sont moins susceptibles d’occuper un emploi que les personnes qui y sont nées. En 2017, 63 % des personnes nées </w:t>
      </w:r>
      <w:r>
        <w:rPr>
          <w:rFonts w:ascii="Times New Roman" w:hAnsi="Times New Roman"/>
          <w:noProof/>
          <w:sz w:val="24"/>
          <w:lang w:val="fr-BE"/>
        </w:rPr>
        <w:t>en dehors de l’UE et en âge de travailler (20-64 ans) avaient un emploi, soit un niveau bien inférieur à celui d’avant la crise (66,2 % en 2008). L’écart de taux d’emploi entre les deux groupes s’est établi à 10 points de pourcentage en 2017, en légère amé</w:t>
      </w:r>
      <w:r>
        <w:rPr>
          <w:rFonts w:ascii="Times New Roman" w:hAnsi="Times New Roman"/>
          <w:noProof/>
          <w:sz w:val="24"/>
          <w:lang w:val="fr-BE"/>
        </w:rPr>
        <w:t>lioration par rapport à 2016 (10,5 points), mais en nette dégradation par rapport à 2008 (4,5 points). Dans certains États membres (la Finlande, la Suède, les Pays-Bas et la Belgique), cet écart avoisinait les 20 points de pourcentage en 2017. La situation</w:t>
      </w:r>
      <w:r>
        <w:rPr>
          <w:rFonts w:ascii="Times New Roman" w:hAnsi="Times New Roman"/>
          <w:noProof/>
          <w:sz w:val="24"/>
          <w:lang w:val="fr-BE"/>
        </w:rPr>
        <w:t xml:space="preserve"> est encore plus difficile pour les femmes nées en dehors de l’UE. Leur taux d’emploi s’est établi à 54,1 % en 2017, avec un écart de 13,6 % par rapport aux femmes nées dans l’UE. En outre, lorsqu’elles travaillent, les personnes nées en dehors de l’Union </w:t>
      </w:r>
      <w:r>
        <w:rPr>
          <w:rFonts w:ascii="Times New Roman" w:hAnsi="Times New Roman"/>
          <w:noProof/>
          <w:sz w:val="24"/>
          <w:lang w:val="fr-BE"/>
        </w:rPr>
        <w:t>sont plus susceptibles d’être touchées par le risque de pauvreté parmi les personnes qui travaillent que les personnes qui y sont nées.</w:t>
      </w:r>
    </w:p>
    <w:p w:rsidR="00723CC0" w:rsidRDefault="00723CC0">
      <w:pPr>
        <w:spacing w:line="360" w:lineRule="auto"/>
        <w:jc w:val="both"/>
        <w:rPr>
          <w:rFonts w:ascii="Times New Roman" w:hAnsi="Times New Roman"/>
          <w:b/>
          <w:noProof/>
          <w:sz w:val="24"/>
          <w:lang w:val="fr-BE"/>
        </w:rPr>
      </w:pPr>
    </w:p>
    <w:p w:rsidR="00723CC0" w:rsidRDefault="00242021">
      <w:pPr>
        <w:keepNext/>
        <w:spacing w:before="120" w:after="120" w:line="240" w:lineRule="auto"/>
        <w:jc w:val="both"/>
        <w:rPr>
          <w:rFonts w:ascii="Times New Roman" w:hAnsi="Times New Roman"/>
          <w:b/>
          <w:noProof/>
          <w:sz w:val="24"/>
          <w:szCs w:val="24"/>
          <w:lang w:val="fr-BE"/>
        </w:rPr>
      </w:pPr>
      <w:r>
        <w:rPr>
          <w:rFonts w:ascii="Times New Roman" w:hAnsi="Times New Roman"/>
          <w:b/>
          <w:noProof/>
          <w:sz w:val="24"/>
          <w:lang w:val="fr-BE"/>
        </w:rPr>
        <w:t>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37</w:t>
      </w:r>
      <w:r>
        <w:rPr>
          <w:rFonts w:ascii="Times New Roman" w:hAnsi="Times New Roman"/>
          <w:b/>
          <w:noProof/>
          <w:sz w:val="24"/>
          <w:szCs w:val="24"/>
        </w:rPr>
        <w:fldChar w:fldCharType="end"/>
      </w:r>
      <w:r>
        <w:rPr>
          <w:rFonts w:ascii="Times New Roman" w:hAnsi="Times New Roman"/>
          <w:b/>
          <w:noProof/>
          <w:sz w:val="24"/>
          <w:lang w:val="fr-BE"/>
        </w:rPr>
        <w:t>: Taux d’emploi des personnes nées en dehors de l’UE, comparaison pluriannuelle</w:t>
      </w:r>
    </w:p>
    <w:p w:rsidR="00723CC0" w:rsidRDefault="00242021">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451220" cy="3005593"/>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5452928" cy="3006535"/>
                    </a:xfrm>
                    <a:prstGeom prst="rect">
                      <a:avLst/>
                    </a:prstGeom>
                    <a:noFill/>
                  </pic:spPr>
                </pic:pic>
              </a:graphicData>
            </a:graphic>
          </wp:inline>
        </w:drawing>
      </w:r>
    </w:p>
    <w:p w:rsidR="00723CC0" w:rsidRDefault="00242021">
      <w:pPr>
        <w:spacing w:line="240" w:lineRule="auto"/>
        <w:jc w:val="both"/>
        <w:rPr>
          <w:rFonts w:ascii="Times New Roman" w:hAnsi="Times New Roman"/>
          <w:noProof/>
          <w:sz w:val="20"/>
          <w:szCs w:val="20"/>
          <w:lang w:val="fr-BE"/>
        </w:rPr>
      </w:pPr>
      <w:r>
        <w:rPr>
          <w:rFonts w:ascii="Times New Roman" w:hAnsi="Times New Roman"/>
          <w:noProof/>
          <w:sz w:val="20"/>
          <w:lang w:val="fr-BE"/>
        </w:rPr>
        <w:t>Source: Eurostat. Remarque: il n’y a pas de données disponibles pour l’Allemagne pour 2008 et 2013.</w:t>
      </w:r>
    </w:p>
    <w:p w:rsidR="00723CC0" w:rsidRDefault="00723CC0">
      <w:pPr>
        <w:spacing w:line="360" w:lineRule="auto"/>
        <w:jc w:val="both"/>
        <w:rPr>
          <w:rFonts w:ascii="Times New Roman" w:hAnsi="Times New Roman"/>
          <w:noProof/>
          <w:sz w:val="24"/>
          <w:highlight w:val="yellow"/>
          <w:lang w:val="fr-BE"/>
        </w:rPr>
      </w:pPr>
    </w:p>
    <w:p w:rsidR="00723CC0" w:rsidRDefault="00242021">
      <w:pPr>
        <w:keepNext/>
        <w:spacing w:before="120" w:after="120" w:line="240" w:lineRule="auto"/>
        <w:jc w:val="both"/>
        <w:rPr>
          <w:rFonts w:ascii="Times New Roman" w:hAnsi="Times New Roman"/>
          <w:b/>
          <w:noProof/>
          <w:sz w:val="24"/>
          <w:szCs w:val="24"/>
          <w:lang w:val="fr-BE"/>
        </w:rPr>
      </w:pPr>
      <w:r>
        <w:rPr>
          <w:rFonts w:ascii="Times New Roman" w:hAnsi="Times New Roman"/>
          <w:b/>
          <w:noProof/>
          <w:sz w:val="24"/>
          <w:lang w:val="fr-BE"/>
        </w:rPr>
        <w:t>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38</w:t>
      </w:r>
      <w:r>
        <w:rPr>
          <w:rFonts w:ascii="Times New Roman" w:hAnsi="Times New Roman"/>
          <w:b/>
          <w:noProof/>
          <w:sz w:val="24"/>
          <w:szCs w:val="24"/>
        </w:rPr>
        <w:fldChar w:fldCharType="end"/>
      </w:r>
      <w:r>
        <w:rPr>
          <w:rFonts w:ascii="Times New Roman" w:hAnsi="Times New Roman"/>
          <w:b/>
          <w:noProof/>
          <w:sz w:val="24"/>
          <w:lang w:val="fr-BE"/>
        </w:rPr>
        <w:t>: Taux d’emploi par pays de naissance des personnes âgées de 20-64 ans, 2017</w:t>
      </w:r>
    </w:p>
    <w:p w:rsidR="00723CC0" w:rsidRDefault="00242021">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915771" cy="2739397"/>
            <wp:effectExtent l="0" t="0" r="889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5920546" cy="2741608"/>
                    </a:xfrm>
                    <a:prstGeom prst="rect">
                      <a:avLst/>
                    </a:prstGeom>
                    <a:noFill/>
                  </pic:spPr>
                </pic:pic>
              </a:graphicData>
            </a:graphic>
          </wp:inline>
        </w:drawing>
      </w:r>
    </w:p>
    <w:p w:rsidR="00723CC0" w:rsidRDefault="00242021">
      <w:pPr>
        <w:spacing w:line="240" w:lineRule="auto"/>
        <w:jc w:val="both"/>
        <w:rPr>
          <w:rFonts w:ascii="Times New Roman" w:hAnsi="Times New Roman"/>
          <w:b/>
          <w:i/>
          <w:noProof/>
          <w:sz w:val="20"/>
          <w:szCs w:val="20"/>
          <w:u w:val="single"/>
          <w:lang w:val="fr-BE"/>
        </w:rPr>
      </w:pPr>
      <w:r>
        <w:rPr>
          <w:rFonts w:ascii="Times New Roman" w:hAnsi="Times New Roman"/>
          <w:noProof/>
          <w:sz w:val="20"/>
          <w:lang w:val="fr-BE"/>
        </w:rPr>
        <w:t>Source: Eurostat.</w:t>
      </w:r>
    </w:p>
    <w:p w:rsidR="00723CC0" w:rsidRDefault="00723CC0">
      <w:pPr>
        <w:pStyle w:val="ListParagraph"/>
        <w:spacing w:line="360" w:lineRule="auto"/>
        <w:ind w:left="1800"/>
        <w:jc w:val="both"/>
        <w:rPr>
          <w:rFonts w:ascii="Times New Roman" w:hAnsi="Times New Roman"/>
          <w:noProof/>
          <w:sz w:val="24"/>
          <w:highlight w:val="yellow"/>
          <w:lang w:val="fr-BE"/>
        </w:rPr>
      </w:pPr>
    </w:p>
    <w:p w:rsidR="00723CC0" w:rsidRDefault="00242021">
      <w:pPr>
        <w:spacing w:line="360" w:lineRule="auto"/>
        <w:jc w:val="both"/>
        <w:rPr>
          <w:noProof/>
          <w:lang w:val="fr-BE"/>
        </w:rPr>
      </w:pPr>
      <w:r>
        <w:rPr>
          <w:rFonts w:ascii="Times New Roman" w:hAnsi="Times New Roman"/>
          <w:b/>
          <w:noProof/>
          <w:sz w:val="24"/>
          <w:lang w:val="fr-BE"/>
        </w:rPr>
        <w:t xml:space="preserve">Les problèmes </w:t>
      </w:r>
      <w:r>
        <w:rPr>
          <w:rFonts w:ascii="Times New Roman" w:hAnsi="Times New Roman"/>
          <w:b/>
          <w:noProof/>
          <w:sz w:val="24"/>
          <w:lang w:val="fr-BE"/>
        </w:rPr>
        <w:t>auxquels font face les personnes issues de l’immigration ont tendance à être transmis de génération en génération.</w:t>
      </w:r>
      <w:r>
        <w:rPr>
          <w:rFonts w:ascii="Times New Roman" w:hAnsi="Times New Roman"/>
          <w:noProof/>
          <w:sz w:val="24"/>
          <w:lang w:val="fr-BE"/>
        </w:rPr>
        <w:t xml:space="preserve"> La part des personnes issues de l’immigration est en augmentation, en particulier parmi les jeunes</w:t>
      </w:r>
      <w:r>
        <w:rPr>
          <w:rFonts w:ascii="Times New Roman" w:hAnsi="Times New Roman"/>
          <w:noProof/>
          <w:vertAlign w:val="superscript"/>
        </w:rPr>
        <w:footnoteReference w:id="53"/>
      </w:r>
      <w:r>
        <w:rPr>
          <w:rFonts w:ascii="Times New Roman" w:hAnsi="Times New Roman"/>
          <w:noProof/>
          <w:sz w:val="24"/>
          <w:lang w:val="fr-BE"/>
        </w:rPr>
        <w:t>, et des éléments indiquent que les person</w:t>
      </w:r>
      <w:r>
        <w:rPr>
          <w:rFonts w:ascii="Times New Roman" w:hAnsi="Times New Roman"/>
          <w:noProof/>
          <w:sz w:val="24"/>
          <w:lang w:val="fr-BE"/>
        </w:rPr>
        <w:t>nes nées dans l’UE de parents nés en dehors de l’UE affichent des taux d’emploi inférieurs à celles dont les parents sont nés dans l’UE</w:t>
      </w:r>
      <w:r>
        <w:rPr>
          <w:rStyle w:val="FootnoteReference"/>
          <w:rFonts w:ascii="Times New Roman" w:hAnsi="Times New Roman"/>
          <w:noProof/>
          <w:sz w:val="24"/>
        </w:rPr>
        <w:footnoteReference w:id="54"/>
      </w:r>
      <w:r>
        <w:rPr>
          <w:rFonts w:ascii="Times New Roman" w:hAnsi="Times New Roman"/>
          <w:noProof/>
          <w:sz w:val="24"/>
          <w:lang w:val="fr-BE"/>
        </w:rPr>
        <w:t>. Il en découle des taux de chômage plus élevés chez certains groupes de jeunes défavorisés. Les résultats sur le marché</w:t>
      </w:r>
      <w:r>
        <w:rPr>
          <w:rFonts w:ascii="Times New Roman" w:hAnsi="Times New Roman"/>
          <w:noProof/>
          <w:sz w:val="24"/>
          <w:lang w:val="fr-BE"/>
        </w:rPr>
        <w:t xml:space="preserve"> du travail diffèrent aussi sensiblement selon la raison de la migration</w:t>
      </w:r>
      <w:r>
        <w:rPr>
          <w:rStyle w:val="FootnoteReference"/>
          <w:rFonts w:ascii="Times New Roman" w:hAnsi="Times New Roman"/>
          <w:noProof/>
          <w:sz w:val="24"/>
        </w:rPr>
        <w:footnoteReference w:id="55"/>
      </w:r>
      <w:r>
        <w:rPr>
          <w:rFonts w:ascii="Times New Roman" w:hAnsi="Times New Roman"/>
          <w:noProof/>
          <w:sz w:val="24"/>
          <w:lang w:val="fr-BE"/>
        </w:rPr>
        <w:t>. Toutefois, si les taux d’emploi plus faibles des migrants s’expliquent en partie par une proportion plus élevée de personnes ayant un faible niveau d’éducation, un niveau d’éducatio</w:t>
      </w:r>
      <w:r>
        <w:rPr>
          <w:rFonts w:ascii="Times New Roman" w:hAnsi="Times New Roman"/>
          <w:noProof/>
          <w:sz w:val="24"/>
          <w:lang w:val="fr-BE"/>
        </w:rPr>
        <w:t>n qui s’élève</w:t>
      </w:r>
      <w:r>
        <w:rPr>
          <w:rStyle w:val="FootnoteReference"/>
          <w:rFonts w:ascii="Times New Roman" w:hAnsi="Times New Roman"/>
          <w:noProof/>
          <w:sz w:val="24"/>
        </w:rPr>
        <w:footnoteReference w:id="56"/>
      </w:r>
      <w:r>
        <w:rPr>
          <w:rFonts w:ascii="Times New Roman" w:hAnsi="Times New Roman"/>
          <w:noProof/>
          <w:sz w:val="24"/>
          <w:lang w:val="fr-BE"/>
        </w:rPr>
        <w:t xml:space="preserve"> ne se traduit pas par de meilleurs résultats en matière d’emploi, et les compétences et qualifications des migrants sont fortement sous-utilisées</w:t>
      </w:r>
      <w:r>
        <w:rPr>
          <w:rStyle w:val="FootnoteReference"/>
          <w:rFonts w:ascii="Times New Roman" w:hAnsi="Times New Roman"/>
          <w:noProof/>
          <w:sz w:val="24"/>
        </w:rPr>
        <w:footnoteReference w:id="57"/>
      </w:r>
      <w:r>
        <w:rPr>
          <w:rFonts w:ascii="Times New Roman" w:hAnsi="Times New Roman"/>
          <w:noProof/>
          <w:sz w:val="24"/>
          <w:lang w:val="fr-BE"/>
        </w:rPr>
        <w:t>.</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Le taux d’emploi inférieur des personnes handicapées indique une sous-utilisation de leurs ta</w:t>
      </w:r>
      <w:r>
        <w:rPr>
          <w:rFonts w:ascii="Times New Roman" w:hAnsi="Times New Roman"/>
          <w:b/>
          <w:noProof/>
          <w:sz w:val="24"/>
          <w:lang w:val="fr-BE"/>
        </w:rPr>
        <w:t xml:space="preserve">lents. </w:t>
      </w:r>
      <w:r>
        <w:rPr>
          <w:rFonts w:ascii="Times New Roman" w:hAnsi="Times New Roman"/>
          <w:noProof/>
          <w:sz w:val="24"/>
          <w:lang w:val="fr-BE"/>
        </w:rPr>
        <w:t>Dans l’Union, l’écart de taux d’emploi</w:t>
      </w:r>
      <w:r>
        <w:rPr>
          <w:rStyle w:val="FootnoteReference"/>
          <w:rFonts w:ascii="Times New Roman" w:hAnsi="Times New Roman"/>
          <w:noProof/>
          <w:sz w:val="24"/>
        </w:rPr>
        <w:footnoteReference w:id="58"/>
      </w:r>
      <w:r>
        <w:rPr>
          <w:rFonts w:ascii="Times New Roman" w:hAnsi="Times New Roman"/>
          <w:noProof/>
          <w:sz w:val="24"/>
          <w:lang w:val="fr-BE"/>
        </w:rPr>
        <w:t xml:space="preserve"> entre les personnes sans handicap et les personnes handicapées a été important en 2016, le taux d’emploi des personnes handicapées s’établissant à 48,1 % contre 73,9 % pour les personnes sans handicap. L’écart</w:t>
      </w:r>
      <w:r>
        <w:rPr>
          <w:rFonts w:ascii="Times New Roman" w:hAnsi="Times New Roman"/>
          <w:noProof/>
          <w:sz w:val="24"/>
          <w:lang w:val="fr-BE"/>
        </w:rPr>
        <w:t xml:space="preserve"> entre les États membres</w:t>
      </w:r>
      <w:r>
        <w:rPr>
          <w:rStyle w:val="FootnoteReference"/>
          <w:rFonts w:ascii="Times New Roman" w:hAnsi="Times New Roman"/>
          <w:noProof/>
          <w:sz w:val="24"/>
        </w:rPr>
        <w:footnoteReference w:id="59"/>
      </w:r>
      <w:r>
        <w:rPr>
          <w:rFonts w:ascii="Times New Roman" w:hAnsi="Times New Roman"/>
          <w:noProof/>
          <w:sz w:val="24"/>
          <w:lang w:val="fr-BE"/>
        </w:rPr>
        <w:t xml:space="preserve"> varie toutefois considérablement, allant de 14,7 points de pourcentage (en Italie) à plus de 45 (en Irlande). En outre, 59,7 % seulement des personnes handicapées dans l’Union sont économiquement actives, contre 82,2 % des personn</w:t>
      </w:r>
      <w:r>
        <w:rPr>
          <w:rFonts w:ascii="Times New Roman" w:hAnsi="Times New Roman"/>
          <w:noProof/>
          <w:sz w:val="24"/>
          <w:lang w:val="fr-BE"/>
        </w:rPr>
        <w:t>es sans handicap, ce qui donne à penser que des obstacles importants existent pour les personnes handicapées dans l’accès au marché du travail</w:t>
      </w:r>
      <w:r>
        <w:rPr>
          <w:rStyle w:val="FootnoteReference"/>
          <w:rFonts w:ascii="Times New Roman" w:hAnsi="Times New Roman"/>
          <w:noProof/>
          <w:sz w:val="24"/>
        </w:rPr>
        <w:footnoteReference w:id="60"/>
      </w:r>
      <w:r>
        <w:rPr>
          <w:rFonts w:ascii="Times New Roman" w:hAnsi="Times New Roman"/>
          <w:noProof/>
          <w:sz w:val="24"/>
          <w:lang w:val="fr-BE"/>
        </w:rPr>
        <w:t>. Les pays ayant des taux d’activités similaires pour les personnes sans handicap peuvent avoir des taux d’activi</w:t>
      </w:r>
      <w:r>
        <w:rPr>
          <w:rFonts w:ascii="Times New Roman" w:hAnsi="Times New Roman"/>
          <w:noProof/>
          <w:sz w:val="24"/>
          <w:lang w:val="fr-BE"/>
        </w:rPr>
        <w:t>té très différents en ce qui concerne les personnes handicapées. La qualité de l’emploi est également un aspect important: en effet, en 2016, les personnes handicapées dans l’UE sont plus susceptibles d’être confrontées au risque de pauvreté parmi les pers</w:t>
      </w:r>
      <w:r>
        <w:rPr>
          <w:rFonts w:ascii="Times New Roman" w:hAnsi="Times New Roman"/>
          <w:noProof/>
          <w:sz w:val="24"/>
          <w:lang w:val="fr-BE"/>
        </w:rPr>
        <w:t>onnes qui travaillent que le reste de la population</w:t>
      </w:r>
      <w:r>
        <w:rPr>
          <w:rStyle w:val="FootnoteReference"/>
          <w:rFonts w:ascii="Times New Roman" w:hAnsi="Times New Roman"/>
          <w:noProof/>
          <w:sz w:val="24"/>
        </w:rPr>
        <w:footnoteReference w:id="61"/>
      </w:r>
      <w:r>
        <w:rPr>
          <w:rFonts w:ascii="Times New Roman" w:hAnsi="Times New Roman"/>
          <w:noProof/>
          <w:sz w:val="24"/>
          <w:lang w:val="fr-BE"/>
        </w:rPr>
        <w:t>. En ce qui concerne l’égalité entre les sexes, le taux d’emploi des femmes handicapées (45,9 %) n’a été que légèrement inférieur à celui des hommes handicapés (50,6 %), cet écart s’étant inversé dans cer</w:t>
      </w:r>
      <w:r>
        <w:rPr>
          <w:rFonts w:ascii="Times New Roman" w:hAnsi="Times New Roman"/>
          <w:noProof/>
          <w:sz w:val="24"/>
          <w:lang w:val="fr-BE"/>
        </w:rPr>
        <w:t>tains États membres. Analysant la qualité de vie globale perçue par les personnes handicapées, Eurofound</w:t>
      </w:r>
      <w:r>
        <w:rPr>
          <w:rStyle w:val="FootnoteReference"/>
          <w:rFonts w:ascii="Times New Roman" w:hAnsi="Times New Roman"/>
          <w:noProof/>
          <w:sz w:val="24"/>
        </w:rPr>
        <w:footnoteReference w:id="62"/>
      </w:r>
      <w:r>
        <w:rPr>
          <w:rFonts w:ascii="Times New Roman" w:hAnsi="Times New Roman"/>
          <w:noProof/>
          <w:sz w:val="24"/>
          <w:lang w:val="fr-BE"/>
        </w:rPr>
        <w:t xml:space="preserve"> estime que la mesure dans laquelle ils se sentent exclus de la société varie considérablement selon qu’ils travaillent ou non. Ceux qui ont un emploi </w:t>
      </w:r>
      <w:r>
        <w:rPr>
          <w:rFonts w:ascii="Times New Roman" w:hAnsi="Times New Roman"/>
          <w:noProof/>
          <w:sz w:val="24"/>
          <w:lang w:val="fr-BE"/>
        </w:rPr>
        <w:t>déclarent beaucoup moins souvent se sentir exclus de la société que les répondants chômeurs de longue durée ou encore que ceux qui ne sont pas en mesure de travailler en raison d’un handicap.</w:t>
      </w:r>
    </w:p>
    <w:p w:rsidR="00723CC0" w:rsidRDefault="00723CC0">
      <w:pPr>
        <w:spacing w:line="360" w:lineRule="auto"/>
        <w:jc w:val="both"/>
        <w:rPr>
          <w:rFonts w:ascii="Times New Roman" w:hAnsi="Times New Roman"/>
          <w:noProof/>
          <w:sz w:val="24"/>
          <w:lang w:val="fr-BE"/>
        </w:rPr>
      </w:pPr>
    </w:p>
    <w:p w:rsidR="00723CC0" w:rsidRDefault="00242021">
      <w:pPr>
        <w:pStyle w:val="Heading3"/>
        <w:rPr>
          <w:noProof/>
          <w:lang w:val="fr-BE"/>
        </w:rPr>
      </w:pPr>
      <w:bookmarkStart w:id="59" w:name="_Toc527539787"/>
      <w:bookmarkStart w:id="60" w:name="_Toc530495154"/>
      <w:r>
        <w:rPr>
          <w:noProof/>
          <w:lang w:val="fr-BE"/>
        </w:rPr>
        <w:t>3.2.2</w:t>
      </w:r>
      <w:r>
        <w:rPr>
          <w:noProof/>
          <w:lang w:val="fr-BE"/>
        </w:rPr>
        <w:tab/>
        <w:t>Stratégies adoptées</w:t>
      </w:r>
      <w:bookmarkEnd w:id="59"/>
      <w:bookmarkEnd w:id="60"/>
    </w:p>
    <w:p w:rsidR="00723CC0" w:rsidRDefault="00242021">
      <w:pPr>
        <w:spacing w:before="120" w:after="240" w:line="360" w:lineRule="auto"/>
        <w:jc w:val="both"/>
        <w:rPr>
          <w:rFonts w:ascii="Times New Roman" w:hAnsi="Times New Roman" w:cs="Times New Roman"/>
          <w:noProof/>
          <w:sz w:val="24"/>
          <w:szCs w:val="24"/>
          <w:lang w:val="fr-BE"/>
        </w:rPr>
      </w:pPr>
      <w:r>
        <w:rPr>
          <w:rFonts w:ascii="Times New Roman" w:hAnsi="Times New Roman"/>
          <w:b/>
          <w:noProof/>
          <w:sz w:val="24"/>
          <w:lang w:val="fr-BE"/>
        </w:rPr>
        <w:t>Des stratégies globales axées sur les</w:t>
      </w:r>
      <w:r>
        <w:rPr>
          <w:rFonts w:ascii="Times New Roman" w:hAnsi="Times New Roman"/>
          <w:b/>
          <w:noProof/>
          <w:sz w:val="24"/>
          <w:lang w:val="fr-BE"/>
        </w:rPr>
        <w:t xml:space="preserve"> causes profondes du décrochage scolaire sont nécessaires pour réduire les taux d’abandon scolaire, prévenir l’exclusion sociale et faciliter la transition des jeunes vers le marché du travail</w:t>
      </w:r>
      <w:r>
        <w:rPr>
          <w:rFonts w:ascii="Times New Roman" w:hAnsi="Times New Roman"/>
          <w:noProof/>
          <w:sz w:val="24"/>
          <w:lang w:val="fr-BE"/>
        </w:rPr>
        <w:t xml:space="preserve">. De nombreux États membres ont récemment introduit des mesures </w:t>
      </w:r>
      <w:r>
        <w:rPr>
          <w:rFonts w:ascii="Times New Roman" w:hAnsi="Times New Roman"/>
          <w:noProof/>
          <w:sz w:val="24"/>
          <w:lang w:val="fr-BE"/>
        </w:rPr>
        <w:t>visant à réduire le nombre de jeunes en décrochage scolaire, telles que des politiques de soutien linguistique aux élèves de langue maternelle différente ou l’orientation scolaire et professionnelle dans les écoles, ainsi que des mesures visant à aider les</w:t>
      </w:r>
      <w:r>
        <w:rPr>
          <w:rFonts w:ascii="Times New Roman" w:hAnsi="Times New Roman"/>
          <w:noProof/>
          <w:sz w:val="24"/>
          <w:lang w:val="fr-BE"/>
        </w:rPr>
        <w:t xml:space="preserve"> jeunes en décrochage scolaire à réintégrer le système d’enseignement et de formation. Par exemple, en Bulgarie, le projet «Ta classe» finance un soutien pédagogique supplémentaire destiné aux étudiants présentant un risque de décrochage, par exemple une f</w:t>
      </w:r>
      <w:r>
        <w:rPr>
          <w:rFonts w:ascii="Times New Roman" w:hAnsi="Times New Roman"/>
          <w:noProof/>
          <w:sz w:val="24"/>
          <w:lang w:val="fr-BE"/>
        </w:rPr>
        <w:t>ormation linguistique, des cours supplémentaires pour combler les lacunes en matière d’apprentissage ou des activités extra-scolaires pour accroître la motivation des étudiants. La Suède soutient financièrement les écoles en tenant compte du milieu socioéc</w:t>
      </w:r>
      <w:r>
        <w:rPr>
          <w:rFonts w:ascii="Times New Roman" w:hAnsi="Times New Roman"/>
          <w:noProof/>
          <w:sz w:val="24"/>
          <w:lang w:val="fr-BE"/>
        </w:rPr>
        <w:t>onomique des élèves, afin de promouvoir une composition sociale équilibrée et d’empêcher les abandons scolaires précoces. En Espagne, le plan Proeducar favorise les politiques qui renforcent la qualité et l’équité du système éducatif et soutiennent les pro</w:t>
      </w:r>
      <w:r>
        <w:rPr>
          <w:rFonts w:ascii="Times New Roman" w:hAnsi="Times New Roman"/>
          <w:noProof/>
          <w:sz w:val="24"/>
          <w:lang w:val="fr-BE"/>
        </w:rPr>
        <w:t>grammes de seconde chance.</w:t>
      </w:r>
    </w:p>
    <w:p w:rsidR="00723CC0" w:rsidRDefault="00242021">
      <w:pPr>
        <w:spacing w:before="120" w:after="240" w:line="360" w:lineRule="auto"/>
        <w:jc w:val="both"/>
        <w:rPr>
          <w:rFonts w:ascii="Times New Roman" w:hAnsi="Times New Roman" w:cs="Times New Roman"/>
          <w:noProof/>
          <w:sz w:val="24"/>
          <w:szCs w:val="24"/>
          <w:lang w:val="fr-BE"/>
        </w:rPr>
      </w:pPr>
      <w:r>
        <w:rPr>
          <w:rFonts w:ascii="Times New Roman" w:hAnsi="Times New Roman"/>
          <w:b/>
          <w:noProof/>
          <w:sz w:val="24"/>
          <w:lang w:val="fr-BE"/>
        </w:rPr>
        <w:t>Il est essentiel de garantir l’accès à un enseignement abordable et de qualité et de soutenir le perfectionnement professionnel continu des enseignants pour améliorer les résultats scolaires des élèves.</w:t>
      </w:r>
      <w:r>
        <w:rPr>
          <w:rFonts w:ascii="Times New Roman" w:hAnsi="Times New Roman"/>
          <w:noProof/>
          <w:sz w:val="24"/>
          <w:lang w:val="fr-BE"/>
        </w:rPr>
        <w:t xml:space="preserve"> Le plan d’action de l’Irla</w:t>
      </w:r>
      <w:r>
        <w:rPr>
          <w:rFonts w:ascii="Times New Roman" w:hAnsi="Times New Roman"/>
          <w:noProof/>
          <w:sz w:val="24"/>
          <w:lang w:val="fr-BE"/>
        </w:rPr>
        <w:t xml:space="preserve">nde pour l’éducation vise à promouvoir et à encourager la qualité, l’excellence et l’innovation, à remédier aux déficits critiques en matière de compétences, à mettre en avant les technologies clés génériques et à soutenir l’inclusion. Une récente réforme </w:t>
      </w:r>
      <w:r>
        <w:rPr>
          <w:rFonts w:ascii="Times New Roman" w:hAnsi="Times New Roman"/>
          <w:noProof/>
          <w:sz w:val="24"/>
          <w:lang w:val="fr-BE"/>
        </w:rPr>
        <w:t>de l’enseignement secondaire au Luxembourg vise à adapter l’éducation aux besoins des étudiants, en donnant plus d’autonomie aux écoles pour organiser les programmes en fonction du profil choisi par les étudiants, en diversifiant l’offre linguistique et en</w:t>
      </w:r>
      <w:r>
        <w:rPr>
          <w:rFonts w:ascii="Times New Roman" w:hAnsi="Times New Roman"/>
          <w:noProof/>
          <w:sz w:val="24"/>
          <w:lang w:val="fr-BE"/>
        </w:rPr>
        <w:t xml:space="preserve"> introduisant des plans triennaux de développement scolaire couvrant des aspects tels que l’orientation, la réussite des études, les activités postscolaires, l’assistance psychosociale et l’amélioration des compétences numériques. En Croatie</w:t>
      </w:r>
      <w:r>
        <w:rPr>
          <w:rFonts w:ascii="Times New Roman" w:hAnsi="Times New Roman"/>
          <w:b/>
          <w:noProof/>
          <w:sz w:val="24"/>
          <w:lang w:val="fr-BE"/>
        </w:rPr>
        <w:t>,</w:t>
      </w:r>
      <w:r>
        <w:rPr>
          <w:rFonts w:ascii="Times New Roman" w:hAnsi="Times New Roman"/>
          <w:noProof/>
          <w:sz w:val="24"/>
          <w:lang w:val="fr-BE"/>
        </w:rPr>
        <w:t xml:space="preserve"> l’initiative </w:t>
      </w:r>
      <w:r>
        <w:rPr>
          <w:rFonts w:ascii="Times New Roman" w:hAnsi="Times New Roman"/>
          <w:noProof/>
          <w:sz w:val="24"/>
          <w:lang w:val="fr-BE"/>
        </w:rPr>
        <w:t>«L’école pour la vie» introduit de nouveaux programmes fondés sur l’approche des acquis d’apprentissage, qui permet de centrer l’attention de la classe sur l’expérience des élèves, reconnaît l’importance de la préparation des enseignants et introduit un en</w:t>
      </w:r>
      <w:r>
        <w:rPr>
          <w:rFonts w:ascii="Times New Roman" w:hAnsi="Times New Roman"/>
          <w:noProof/>
          <w:sz w:val="24"/>
          <w:lang w:val="fr-BE"/>
        </w:rPr>
        <w:t>seignement transversal des compétences clés, telles que l’esprit d’entreprise, la capacité d’«apprendre à apprendre» ou l’éducation civique. L’initiative «Samverkan för bästa skola» («Coopérer pour créer la meilleure école possible») est une initiative sué</w:t>
      </w:r>
      <w:r>
        <w:rPr>
          <w:rFonts w:ascii="Times New Roman" w:hAnsi="Times New Roman"/>
          <w:noProof/>
          <w:sz w:val="24"/>
          <w:lang w:val="fr-BE"/>
        </w:rPr>
        <w:t>doise visant à lutter contre les inégalités. Elle fournit un soutien sur mesure axé sur la pratique et s’accompagne d’un perfectionnement professionnel des enseignants dans les écoles confrontées aux défis les plus difficiles en matière d’enseignement de q</w:t>
      </w:r>
      <w:r>
        <w:rPr>
          <w:rFonts w:ascii="Times New Roman" w:hAnsi="Times New Roman"/>
          <w:noProof/>
          <w:sz w:val="24"/>
          <w:lang w:val="fr-BE"/>
        </w:rPr>
        <w:t>ualité et dans lesquelles une grande proportion d’élèves n’achèvent pas leurs études. Chypre</w:t>
      </w:r>
      <w:r>
        <w:rPr>
          <w:rFonts w:ascii="Times New Roman" w:hAnsi="Times New Roman"/>
          <w:b/>
          <w:noProof/>
          <w:sz w:val="24"/>
          <w:lang w:val="fr-BE"/>
        </w:rPr>
        <w:t xml:space="preserve"> </w:t>
      </w:r>
      <w:r>
        <w:rPr>
          <w:rFonts w:ascii="Times New Roman" w:hAnsi="Times New Roman"/>
          <w:noProof/>
          <w:sz w:val="24"/>
          <w:lang w:val="fr-BE"/>
        </w:rPr>
        <w:t>met actuellement en œuvre un nouveau cadre de formation professionnelle permettant aux enseignants de renforcer leur formation continue et a commencé à améliorer l</w:t>
      </w:r>
      <w:r>
        <w:rPr>
          <w:rFonts w:ascii="Times New Roman" w:hAnsi="Times New Roman"/>
          <w:noProof/>
          <w:sz w:val="24"/>
          <w:lang w:val="fr-BE"/>
        </w:rPr>
        <w:t>e programme préscolaire sur la base d’indicateurs de réussite et d’adéquation. En Lituanie, le nouveau règlement sur la formation des enseignants définit les exigences de qualité applicables aux programmes d’études et aux stages d’enseignants; il précise é</w:t>
      </w:r>
      <w:r>
        <w:rPr>
          <w:rFonts w:ascii="Times New Roman" w:hAnsi="Times New Roman"/>
          <w:noProof/>
          <w:sz w:val="24"/>
          <w:lang w:val="fr-BE"/>
        </w:rPr>
        <w:t xml:space="preserve">galement les possibilités de formation et de perfectionnement professionnel des enseignants et établit des critères pour les centres nationaux de formation des enseignants. </w:t>
      </w:r>
    </w:p>
    <w:p w:rsidR="00723CC0" w:rsidRDefault="00242021">
      <w:pPr>
        <w:spacing w:line="360" w:lineRule="auto"/>
        <w:jc w:val="both"/>
        <w:rPr>
          <w:noProof/>
          <w:lang w:val="fr-BE"/>
        </w:rPr>
      </w:pPr>
      <w:r>
        <w:rPr>
          <w:rFonts w:ascii="Times New Roman" w:hAnsi="Times New Roman"/>
          <w:b/>
          <w:noProof/>
          <w:sz w:val="24"/>
          <w:lang w:val="fr-BE"/>
        </w:rPr>
        <w:t xml:space="preserve">L’application effective des modifications législatives en faveur de l’inclusion </w:t>
      </w:r>
      <w:r>
        <w:rPr>
          <w:rFonts w:ascii="Times New Roman" w:hAnsi="Times New Roman"/>
          <w:b/>
          <w:noProof/>
          <w:sz w:val="24"/>
          <w:lang w:val="fr-BE"/>
        </w:rPr>
        <w:t>des Roms dans le système éducatif reste importante.</w:t>
      </w:r>
      <w:r>
        <w:rPr>
          <w:rFonts w:ascii="Times New Roman" w:hAnsi="Times New Roman"/>
          <w:noProof/>
          <w:sz w:val="24"/>
          <w:lang w:val="fr-BE"/>
        </w:rPr>
        <w:t xml:space="preserve"> E</w:t>
      </w:r>
      <w:r>
        <w:rPr>
          <w:rFonts w:ascii="Times New Roman" w:hAnsi="Times New Roman"/>
          <w:noProof/>
          <w:color w:val="000000"/>
          <w:sz w:val="24"/>
          <w:lang w:val="fr-BE"/>
        </w:rPr>
        <w:t>n Bulgarie, les mesures actuellement en place pour les étudiants Roms comprennent des bourses et des activités périscolaires, des cours supplémentaires de langue bulgare et des activités avec les parents</w:t>
      </w:r>
      <w:r>
        <w:rPr>
          <w:rFonts w:ascii="Times New Roman" w:hAnsi="Times New Roman"/>
          <w:noProof/>
          <w:color w:val="000000"/>
          <w:sz w:val="24"/>
          <w:lang w:val="fr-BE"/>
        </w:rPr>
        <w:t>. En juillet 2017, la Hongrie a modifié ses lois sur l’égalité de traitement et l’enseignement public afin de garantir l’interdiction de la ségrégation. En outre, des écoles affichant de faibles résultats, un taux d’abandon élevé et un risque élevé de ségr</w:t>
      </w:r>
      <w:r>
        <w:rPr>
          <w:rFonts w:ascii="Times New Roman" w:hAnsi="Times New Roman"/>
          <w:noProof/>
          <w:color w:val="000000"/>
          <w:sz w:val="24"/>
          <w:lang w:val="fr-BE"/>
        </w:rPr>
        <w:t>égation ont été choisies en 2017 pour recevoir une formation et une aide au développement complexe afin de mettre en œuvre des méthodes d’enseignement différenciées. Des agents et des groupes de travail visant à lutter contre la ségrégation sont constitués</w:t>
      </w:r>
      <w:r>
        <w:rPr>
          <w:rFonts w:ascii="Times New Roman" w:hAnsi="Times New Roman"/>
          <w:noProof/>
          <w:color w:val="000000"/>
          <w:sz w:val="24"/>
          <w:lang w:val="fr-BE"/>
        </w:rPr>
        <w:t xml:space="preserve"> dans les districts d’enseignement. En Roumanie, les responsabilités des inspections scolaires et de l’agence d’assurance de la qualité (ARACIP) en matière de surveillance de la ségrégation ont été élargies. Le plan d’action révisé pour l’intégration des R</w:t>
      </w:r>
      <w:r>
        <w:rPr>
          <w:rFonts w:ascii="Times New Roman" w:hAnsi="Times New Roman"/>
          <w:noProof/>
          <w:color w:val="000000"/>
          <w:sz w:val="24"/>
          <w:lang w:val="fr-BE"/>
        </w:rPr>
        <w:t>oms approuvé par le gouvernement slovaque en février 2017 est actuellement mis en œuvre, mais ses résultats ne sont pas encore visibles. La République slovaque a adopté un plan de développement de l’éducation nationale sur 10 ans, qui devrait également por</w:t>
      </w:r>
      <w:r>
        <w:rPr>
          <w:rFonts w:ascii="Times New Roman" w:hAnsi="Times New Roman"/>
          <w:noProof/>
          <w:color w:val="000000"/>
          <w:sz w:val="24"/>
          <w:lang w:val="fr-BE"/>
        </w:rPr>
        <w:t>ter sur les aspects liés à l’inclusion et à la qualité de l’éducation, y compris pour les enfants Roms.</w:t>
      </w:r>
    </w:p>
    <w:p w:rsidR="00723CC0" w:rsidRDefault="00242021">
      <w:pPr>
        <w:spacing w:before="120" w:after="240"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Il est essentiel de renforcer la qualité de l’enseignement supérieur, en particulier au vu de la hausse continue des taux de diplômés de l’enseignement </w:t>
      </w:r>
      <w:r>
        <w:rPr>
          <w:rFonts w:ascii="Times New Roman" w:hAnsi="Times New Roman"/>
          <w:b/>
          <w:noProof/>
          <w:sz w:val="24"/>
          <w:lang w:val="fr-BE"/>
        </w:rPr>
        <w:t>supérieur.</w:t>
      </w:r>
      <w:r>
        <w:rPr>
          <w:rFonts w:ascii="Times New Roman" w:hAnsi="Times New Roman"/>
          <w:noProof/>
          <w:sz w:val="24"/>
          <w:lang w:val="fr-BE"/>
        </w:rPr>
        <w:t xml:space="preserve"> La communication de la Commission de 2017 relative à une nouvelle stratégie de l’UE en faveur de l’enseignement supérieur</w:t>
      </w:r>
      <w:r>
        <w:rPr>
          <w:rStyle w:val="FootnoteReference"/>
          <w:rFonts w:ascii="Times New Roman" w:hAnsi="Times New Roman"/>
          <w:noProof/>
          <w:sz w:val="24"/>
        </w:rPr>
        <w:footnoteReference w:id="63"/>
      </w:r>
      <w:r>
        <w:rPr>
          <w:rFonts w:ascii="Times New Roman" w:hAnsi="Times New Roman"/>
          <w:noProof/>
          <w:sz w:val="24"/>
          <w:lang w:val="fr-BE"/>
        </w:rPr>
        <w:t xml:space="preserve"> souligne l’importance des mesures destinées à élargir la participation à l’enseignement supérieur, à augmenter les taux de</w:t>
      </w:r>
      <w:r>
        <w:rPr>
          <w:rFonts w:ascii="Times New Roman" w:hAnsi="Times New Roman"/>
          <w:noProof/>
          <w:sz w:val="24"/>
          <w:lang w:val="fr-BE"/>
        </w:rPr>
        <w:t xml:space="preserve"> réussite, à doter les étudiants des qualifications et compétences utiles pour le monde du travail ou à améliorer l’efficacité du système de financement de l’enseignement supérieur. Plusieurs États membres ont annoncé des réformes en accord avec ces princi</w:t>
      </w:r>
      <w:r>
        <w:rPr>
          <w:rFonts w:ascii="Times New Roman" w:hAnsi="Times New Roman"/>
          <w:noProof/>
          <w:sz w:val="24"/>
          <w:lang w:val="fr-BE"/>
        </w:rPr>
        <w:t>pes. La France a récemment adopté une loi visant à soutenir la réussite des étudiants dans l’enseignement supérieur, notamment par une meilleure orientation à l’entrée dans le cursus, un soutien tout au long des études et la publication des compétences att</w:t>
      </w:r>
      <w:r>
        <w:rPr>
          <w:rFonts w:ascii="Times New Roman" w:hAnsi="Times New Roman"/>
          <w:noProof/>
          <w:sz w:val="24"/>
          <w:lang w:val="fr-BE"/>
        </w:rPr>
        <w:t>endues avant l’entrée dans différentes disciplines. L’Autriche et la République tchèque ont récemment introduit de nouveaux systèmes de financement de l’enseignement supérieur visant à encourager la diversification et la qualité. En Pologne, la loi récemme</w:t>
      </w:r>
      <w:r>
        <w:rPr>
          <w:rFonts w:ascii="Times New Roman" w:hAnsi="Times New Roman"/>
          <w:noProof/>
          <w:sz w:val="24"/>
          <w:lang w:val="fr-BE"/>
        </w:rPr>
        <w:t>nt adoptée dans le domaine de la recherche, de la science et de l’enseignement supérieur («Ustawa 2.0»)</w:t>
      </w:r>
      <w:r>
        <w:rPr>
          <w:rFonts w:ascii="Times New Roman" w:hAnsi="Times New Roman"/>
          <w:noProof/>
          <w:lang w:val="fr-BE"/>
        </w:rPr>
        <w:t xml:space="preserve"> </w:t>
      </w:r>
      <w:r>
        <w:rPr>
          <w:rFonts w:ascii="Times New Roman" w:hAnsi="Times New Roman"/>
          <w:noProof/>
          <w:sz w:val="24"/>
          <w:lang w:val="fr-BE"/>
        </w:rPr>
        <w:t>représente un important effort de modernisation qui vise à améliorer la qualité dans le secteur de l’enseignement supérieur. Le Portugal a introduit des</w:t>
      </w:r>
      <w:r>
        <w:rPr>
          <w:rFonts w:ascii="Times New Roman" w:hAnsi="Times New Roman"/>
          <w:noProof/>
          <w:sz w:val="24"/>
          <w:lang w:val="fr-BE"/>
        </w:rPr>
        <w:t xml:space="preserve"> mesures visant à accroître le taux de fréquentation de l’enseignement supérieur, telles que le renforcement des mécanismes sociaux de soutien aux étudiants issus de milieux défavorisés grâce à une augmentation importante des bourses, un régime social perm</w:t>
      </w:r>
      <w:r>
        <w:rPr>
          <w:rFonts w:ascii="Times New Roman" w:hAnsi="Times New Roman"/>
          <w:noProof/>
          <w:sz w:val="24"/>
          <w:lang w:val="fr-BE"/>
        </w:rPr>
        <w:t>ettant de s’acquitter des droits d’inscription en plusieurs versements ainsi que la mise en œuvre du programme redéfini «+Superior», en vue de promouvoir et de soutenir les inscriptions dans les régions moins densément peuplées et à plus faible demande.</w:t>
      </w:r>
    </w:p>
    <w:p w:rsidR="00723CC0" w:rsidRDefault="00242021">
      <w:pPr>
        <w:spacing w:before="120" w:after="240"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Le</w:t>
      </w:r>
      <w:r>
        <w:rPr>
          <w:rFonts w:ascii="Times New Roman" w:hAnsi="Times New Roman"/>
          <w:b/>
          <w:noProof/>
          <w:sz w:val="24"/>
          <w:lang w:val="fr-BE"/>
        </w:rPr>
        <w:t>s États membres continuent à rendre les compétences et les qualifications plus compréhensibles partout en Europe.</w:t>
      </w:r>
      <w:r>
        <w:rPr>
          <w:rFonts w:ascii="Times New Roman" w:hAnsi="Times New Roman"/>
          <w:noProof/>
          <w:sz w:val="24"/>
          <w:lang w:val="fr-BE"/>
        </w:rPr>
        <w:t xml:space="preserve"> Tous les États membres ont élaboré des cadres nationaux des certifications organisés autour du principe des acquis d’apprentissage. Presque to</w:t>
      </w:r>
      <w:r>
        <w:rPr>
          <w:rFonts w:ascii="Times New Roman" w:hAnsi="Times New Roman"/>
          <w:noProof/>
          <w:sz w:val="24"/>
          <w:lang w:val="fr-BE"/>
        </w:rPr>
        <w:t>us les pays (27) ont fait correspondre leurs niveaux de qualification avec le cadre européen des certifications (CEC), et 19 ont indiqué le niveau CEC dans leurs qualifications, les rendant ainsi plus claires et plus comparables (Belgique, République tchèq</w:t>
      </w:r>
      <w:r>
        <w:rPr>
          <w:rFonts w:ascii="Times New Roman" w:hAnsi="Times New Roman"/>
          <w:noProof/>
          <w:sz w:val="24"/>
          <w:lang w:val="fr-BE"/>
        </w:rPr>
        <w:t xml:space="preserve">ue, Danemark, Allemagne, Estonie, Grèce, France, Irlande, Italie, Lettonie, Lituanie, Luxembourg, Hongrie, Malte, Pays-Bas, Autriche, Portugal, Slovénie et Royaume-Uni). </w:t>
      </w:r>
    </w:p>
    <w:p w:rsidR="00723CC0" w:rsidRDefault="00242021">
      <w:pPr>
        <w:spacing w:before="120" w:after="240" w:line="360" w:lineRule="auto"/>
        <w:jc w:val="both"/>
        <w:rPr>
          <w:rFonts w:ascii="Times New Roman" w:hAnsi="Times New Roman" w:cs="Times New Roman"/>
          <w:noProof/>
          <w:sz w:val="24"/>
          <w:szCs w:val="24"/>
          <w:lang w:val="fr-BE"/>
        </w:rPr>
      </w:pPr>
      <w:r>
        <w:rPr>
          <w:rFonts w:ascii="Times New Roman" w:hAnsi="Times New Roman"/>
          <w:b/>
          <w:noProof/>
          <w:sz w:val="24"/>
          <w:lang w:val="fr-BE"/>
        </w:rPr>
        <w:t>De plus en plus d’États membres tiennent compte de l’apprentissage en dehors des étab</w:t>
      </w:r>
      <w:r>
        <w:rPr>
          <w:rFonts w:ascii="Times New Roman" w:hAnsi="Times New Roman"/>
          <w:b/>
          <w:noProof/>
          <w:sz w:val="24"/>
          <w:lang w:val="fr-BE"/>
        </w:rPr>
        <w:t>lissements d’éducation et de formation institutionnels</w:t>
      </w:r>
      <w:r>
        <w:rPr>
          <w:rFonts w:ascii="Times New Roman" w:hAnsi="Times New Roman"/>
          <w:noProof/>
          <w:sz w:val="24"/>
          <w:lang w:val="fr-BE"/>
        </w:rPr>
        <w:t>. Dans 15 pays, un mécanisme de coordination a été mis en place pour promouvoir les échanges et la cohérence au sein des travaux de validation dans tous les secteurs de l’éducation et de la formation, s</w:t>
      </w:r>
      <w:r>
        <w:rPr>
          <w:rFonts w:ascii="Times New Roman" w:hAnsi="Times New Roman"/>
          <w:noProof/>
          <w:sz w:val="24"/>
          <w:lang w:val="fr-BE"/>
        </w:rPr>
        <w:t>ur le marché du travail et dans le secteur tertiaire (Belgique, Danemark, Espagne, France, Grèce, Irlande, Italie, Lettonie, Malte, Pays-Bas, Pologne, Portugal, Roumanie, Slovaquie et Suède). Les liens entre les cadres nationaux des certifications (CNC) et</w:t>
      </w:r>
      <w:r>
        <w:rPr>
          <w:rFonts w:ascii="Times New Roman" w:hAnsi="Times New Roman"/>
          <w:noProof/>
          <w:sz w:val="24"/>
          <w:lang w:val="fr-BE"/>
        </w:rPr>
        <w:t xml:space="preserve"> la validation s’intensifient dans la plupart des pays. La validation peut mener à toute qualification incluse dans le cadre dans onze pays (Belgique, France, Irlande, Lettonie, Malte, Pays-Bas, Pologne, Portugal, Roumanie, Royaume-Uni) et à des crédits en</w:t>
      </w:r>
      <w:r>
        <w:rPr>
          <w:rFonts w:ascii="Times New Roman" w:hAnsi="Times New Roman"/>
          <w:noProof/>
          <w:sz w:val="24"/>
          <w:lang w:val="fr-BE"/>
        </w:rPr>
        <w:t xml:space="preserve"> vue d’une qualification dans quatre autres (Danemark, Estonie, Espagne, Slovénie).</w:t>
      </w:r>
    </w:p>
    <w:p w:rsidR="00723CC0" w:rsidRDefault="00242021">
      <w:pPr>
        <w:spacing w:before="120" w:after="240" w:line="360" w:lineRule="auto"/>
        <w:jc w:val="both"/>
        <w:rPr>
          <w:rFonts w:ascii="Times New Roman" w:hAnsi="Times New Roman"/>
          <w:noProof/>
          <w:sz w:val="24"/>
          <w:lang w:val="fr-BE"/>
        </w:rPr>
      </w:pPr>
      <w:r>
        <w:rPr>
          <w:rFonts w:ascii="Times New Roman" w:hAnsi="Times New Roman"/>
          <w:b/>
          <w:noProof/>
          <w:sz w:val="24"/>
          <w:lang w:val="fr-BE"/>
        </w:rPr>
        <w:t>Les États membres évoluent vers une approche stratégique globale de la gouvernance des compétences.</w:t>
      </w:r>
      <w:r>
        <w:rPr>
          <w:rFonts w:ascii="Times New Roman" w:hAnsi="Times New Roman"/>
          <w:noProof/>
          <w:sz w:val="24"/>
          <w:lang w:val="fr-BE"/>
        </w:rPr>
        <w:t xml:space="preserve"> En 2016, dans le cadre de la stratégie en matière de compétences, le Con</w:t>
      </w:r>
      <w:r>
        <w:rPr>
          <w:rFonts w:ascii="Times New Roman" w:hAnsi="Times New Roman"/>
          <w:noProof/>
          <w:sz w:val="24"/>
          <w:lang w:val="fr-BE"/>
        </w:rPr>
        <w:t>seil a adopté une recommandation relative à des parcours de renforcement des compétences pour contribuer à corriger les déficits de compétences et les inégalités et à répondre aux besoins émergents du marché du travail, qui appellent un niveau de compétenc</w:t>
      </w:r>
      <w:r>
        <w:rPr>
          <w:rFonts w:ascii="Times New Roman" w:hAnsi="Times New Roman"/>
          <w:noProof/>
          <w:sz w:val="24"/>
          <w:lang w:val="fr-BE"/>
        </w:rPr>
        <w:t>es toujours plus haut. Grâce aux parcours de renforcement des compétences, les responsables politiques pourraient concevoir et appliquer des politiques adaptées spécifiquement aux besoins des adultes peu qualifiés. Plusieurs États membres travaillent à l’é</w:t>
      </w:r>
      <w:r>
        <w:rPr>
          <w:rFonts w:ascii="Times New Roman" w:hAnsi="Times New Roman"/>
          <w:noProof/>
          <w:sz w:val="24"/>
          <w:lang w:val="fr-BE"/>
        </w:rPr>
        <w:t>laboration de stratégies nationales en matière de compétences, avec le soutien de la Commission en coopération avec l’OCDE (Espagne, Italie, Portugal, Slovénie et, plus récemment, Belgique/Flandre). Après avoir achevé la phase de diagnostic et avoir mis en</w:t>
      </w:r>
      <w:r>
        <w:rPr>
          <w:rFonts w:ascii="Times New Roman" w:hAnsi="Times New Roman"/>
          <w:noProof/>
          <w:sz w:val="24"/>
          <w:lang w:val="fr-BE"/>
        </w:rPr>
        <w:t xml:space="preserve"> lumière les principaux défis en matière de compétences, l’Italie et la Slovénie sont en train de mener la phase d’action du processus. Le Portugal a achevé les phases de diagnostic et d’action et a lancé son plan d’action en mai de cette année. La Lettoni</w:t>
      </w:r>
      <w:r>
        <w:rPr>
          <w:rFonts w:ascii="Times New Roman" w:hAnsi="Times New Roman"/>
          <w:noProof/>
          <w:sz w:val="24"/>
          <w:lang w:val="fr-BE"/>
        </w:rPr>
        <w:t xml:space="preserve">e et la Pologne mettront en route leurs projets de stratégie en matière de compétences dans le courant de l’année 2018. </w:t>
      </w:r>
    </w:p>
    <w:p w:rsidR="00723CC0" w:rsidRDefault="00242021">
      <w:pPr>
        <w:spacing w:before="120" w:after="240" w:line="360" w:lineRule="auto"/>
        <w:jc w:val="both"/>
        <w:rPr>
          <w:rFonts w:ascii="Times New Roman" w:hAnsi="Times New Roman" w:cs="Times New Roman"/>
          <w:noProof/>
          <w:sz w:val="24"/>
          <w:szCs w:val="24"/>
          <w:lang w:val="fr-BE"/>
        </w:rPr>
      </w:pPr>
      <w:r>
        <w:rPr>
          <w:rFonts w:ascii="Times New Roman" w:hAnsi="Times New Roman"/>
          <w:b/>
          <w:noProof/>
          <w:sz w:val="24"/>
          <w:lang w:val="fr-BE"/>
        </w:rPr>
        <w:t>D’autres mesures sont prises en vue de promouvoir et de faciliter l’accès et la participation à l’EFP.</w:t>
      </w:r>
      <w:r>
        <w:rPr>
          <w:rFonts w:ascii="Times New Roman" w:hAnsi="Times New Roman"/>
          <w:noProof/>
          <w:sz w:val="24"/>
          <w:lang w:val="fr-BE"/>
        </w:rPr>
        <w:t xml:space="preserve"> Le Luxembourg a modifié sa légis</w:t>
      </w:r>
      <w:r>
        <w:rPr>
          <w:rFonts w:ascii="Times New Roman" w:hAnsi="Times New Roman"/>
          <w:noProof/>
          <w:sz w:val="24"/>
          <w:lang w:val="fr-BE"/>
        </w:rPr>
        <w:t>lation en matière de soutien et de développement de la formation tout au long de la vie dans le but d’améliorer l’efficacité des dépenses grâce au cofinancement de la formation professionnelle tout au long de la vie. La France a engagé des fonds supplément</w:t>
      </w:r>
      <w:r>
        <w:rPr>
          <w:rFonts w:ascii="Times New Roman" w:hAnsi="Times New Roman"/>
          <w:noProof/>
          <w:sz w:val="24"/>
          <w:lang w:val="fr-BE"/>
        </w:rPr>
        <w:t>aires en faveur de la formation professionnelle et de l’apprentissage via le «Plan d’investissement compétences» (PIC), impliquant une augmentation annuelle moyenne de près de 10 % des dépenses publiques consacrées à la formation professionnelle et à l’app</w:t>
      </w:r>
      <w:r>
        <w:rPr>
          <w:rFonts w:ascii="Times New Roman" w:hAnsi="Times New Roman"/>
          <w:noProof/>
          <w:sz w:val="24"/>
          <w:lang w:val="fr-BE"/>
        </w:rPr>
        <w:t>rentissage. Le programme maltais «Get Qualified» («Qualifiez-vous») vise à améliorer l’aide financière apportée aux étudiants qui souhaitent suivre une formation professionnelle.</w:t>
      </w:r>
    </w:p>
    <w:p w:rsidR="00723CC0" w:rsidRDefault="00242021">
      <w:pPr>
        <w:spacing w:before="120" w:after="240" w:line="360" w:lineRule="auto"/>
        <w:jc w:val="both"/>
        <w:rPr>
          <w:rFonts w:ascii="Times New Roman" w:hAnsi="Times New Roman" w:cs="Times New Roman"/>
          <w:noProof/>
          <w:sz w:val="24"/>
          <w:szCs w:val="24"/>
          <w:lang w:val="fr-BE"/>
        </w:rPr>
      </w:pPr>
      <w:r>
        <w:rPr>
          <w:rFonts w:ascii="Times New Roman" w:hAnsi="Times New Roman"/>
          <w:b/>
          <w:noProof/>
          <w:sz w:val="24"/>
          <w:lang w:val="fr-BE"/>
        </w:rPr>
        <w:t>Les États membres doivent adapter leurs systèmes d’enseignement et de formati</w:t>
      </w:r>
      <w:r>
        <w:rPr>
          <w:rFonts w:ascii="Times New Roman" w:hAnsi="Times New Roman"/>
          <w:b/>
          <w:noProof/>
          <w:sz w:val="24"/>
          <w:lang w:val="fr-BE"/>
        </w:rPr>
        <w:t>on professionnels dans le but d’améliorer leur adéquation avec le marché du travail.</w:t>
      </w:r>
      <w:r>
        <w:rPr>
          <w:rFonts w:ascii="Times New Roman" w:hAnsi="Times New Roman"/>
          <w:noProof/>
          <w:sz w:val="24"/>
          <w:lang w:val="fr-BE"/>
        </w:rPr>
        <w:t xml:space="preserve"> La Slovénie a introduit une annexe à un certificat, qui fournit aux employeurs des informations détaillées, uniformes et internationalement comparables sur les qualificati</w:t>
      </w:r>
      <w:r>
        <w:rPr>
          <w:rFonts w:ascii="Times New Roman" w:hAnsi="Times New Roman"/>
          <w:noProof/>
          <w:sz w:val="24"/>
          <w:lang w:val="fr-BE"/>
        </w:rPr>
        <w:t xml:space="preserve">ons professionnelles. Dans le cadre de la réforme de l’enseignement technique, le Royaume-Uni a annoncé l’introduction de </w:t>
      </w:r>
      <w:r>
        <w:rPr>
          <w:rFonts w:ascii="Times New Roman" w:hAnsi="Times New Roman"/>
          <w:i/>
          <w:noProof/>
          <w:sz w:val="24"/>
          <w:lang w:val="fr-BE"/>
        </w:rPr>
        <w:t>T-levels</w:t>
      </w:r>
      <w:r>
        <w:rPr>
          <w:rFonts w:ascii="Times New Roman" w:hAnsi="Times New Roman"/>
          <w:noProof/>
          <w:sz w:val="24"/>
          <w:lang w:val="fr-BE"/>
        </w:rPr>
        <w:t xml:space="preserve">, des qualifications techniques que les jeunes de 16 à 19 ans pourront choisir en remplacement des </w:t>
      </w:r>
      <w:r>
        <w:rPr>
          <w:rFonts w:ascii="Times New Roman" w:hAnsi="Times New Roman"/>
          <w:i/>
          <w:noProof/>
          <w:sz w:val="24"/>
          <w:lang w:val="fr-BE"/>
        </w:rPr>
        <w:t>A-levels</w:t>
      </w:r>
      <w:r>
        <w:rPr>
          <w:rFonts w:ascii="Times New Roman" w:hAnsi="Times New Roman"/>
          <w:noProof/>
          <w:sz w:val="24"/>
          <w:lang w:val="fr-BE"/>
        </w:rPr>
        <w:t>, le principal dipl</w:t>
      </w:r>
      <w:r>
        <w:rPr>
          <w:rFonts w:ascii="Times New Roman" w:hAnsi="Times New Roman"/>
          <w:noProof/>
          <w:sz w:val="24"/>
          <w:lang w:val="fr-BE"/>
        </w:rPr>
        <w:t>ôme de fin d’études secondaires. La Grèce a élargi son soutien à l’apprentissage pour les diplômés de lycées professionnels, qui leur donne accès aux qualifications CEC de niveau 5 et vise à faciliter leur transition vers le marché du travail. La Croatie a</w:t>
      </w:r>
      <w:r>
        <w:rPr>
          <w:rFonts w:ascii="Times New Roman" w:hAnsi="Times New Roman"/>
          <w:noProof/>
          <w:sz w:val="24"/>
          <w:lang w:val="fr-BE"/>
        </w:rPr>
        <w:t xml:space="preserve"> modifié la loi sur l’enseignement professionnel, qui prévoit le développement et la conception de nouveaux programmes d’enseignement professionnel pour l’acquisition de qualifications professionnelles requises par le marché du travail; la loi établit égal</w:t>
      </w:r>
      <w:r>
        <w:rPr>
          <w:rFonts w:ascii="Times New Roman" w:hAnsi="Times New Roman"/>
          <w:noProof/>
          <w:sz w:val="24"/>
          <w:lang w:val="fr-BE"/>
        </w:rPr>
        <w:t>ement un meilleur système d’assurance de la qualité ainsi que des centres de compétences régionaux. À Chypre, le gouvernement a mis en place des mesures visant à améliorer la qualité de l’enseignement professionnel et l’acquisition des aptitudes et compéte</w:t>
      </w:r>
      <w:r>
        <w:rPr>
          <w:rFonts w:ascii="Times New Roman" w:hAnsi="Times New Roman"/>
          <w:noProof/>
          <w:sz w:val="24"/>
          <w:lang w:val="fr-BE"/>
        </w:rPr>
        <w:t>nces requises par le marché du travail, notamment en promouvant la coopération entre les prestataires d’EFP et les entreprises en matière de formation pratique (via les stages en entreprise). En Finlande, les mesures de réforme de l’EFP visent par ailleurs</w:t>
      </w:r>
      <w:r>
        <w:rPr>
          <w:rFonts w:ascii="Times New Roman" w:hAnsi="Times New Roman"/>
          <w:noProof/>
          <w:sz w:val="24"/>
          <w:lang w:val="fr-BE"/>
        </w:rPr>
        <w:t xml:space="preserve"> à développer la formation en apprentissage et à faciliter l’accès à des filières d’apprentissage flexibles ainsi qu’une approche pratique pour l’obtention d’une qualification.</w:t>
      </w:r>
    </w:p>
    <w:p w:rsidR="00723CC0" w:rsidRDefault="00242021">
      <w:pPr>
        <w:spacing w:before="120" w:after="240" w:line="360" w:lineRule="auto"/>
        <w:jc w:val="both"/>
        <w:rPr>
          <w:rFonts w:ascii="Times New Roman" w:hAnsi="Times New Roman" w:cs="Times New Roman"/>
          <w:noProof/>
          <w:sz w:val="24"/>
          <w:szCs w:val="24"/>
          <w:lang w:val="fr-BE"/>
        </w:rPr>
      </w:pPr>
      <w:r>
        <w:rPr>
          <w:rFonts w:ascii="Times New Roman" w:hAnsi="Times New Roman"/>
          <w:b/>
          <w:noProof/>
          <w:sz w:val="24"/>
          <w:lang w:val="fr-BE"/>
        </w:rPr>
        <w:t>Plusieurs États membres ont adopté différentes mesures visant à promouvoir le d</w:t>
      </w:r>
      <w:r>
        <w:rPr>
          <w:rFonts w:ascii="Times New Roman" w:hAnsi="Times New Roman"/>
          <w:b/>
          <w:noProof/>
          <w:sz w:val="24"/>
          <w:lang w:val="fr-BE"/>
        </w:rPr>
        <w:t>éveloppement des compétences numériques.</w:t>
      </w:r>
      <w:r>
        <w:rPr>
          <w:rFonts w:ascii="Times New Roman" w:hAnsi="Times New Roman"/>
          <w:noProof/>
          <w:sz w:val="24"/>
          <w:lang w:val="fr-BE"/>
        </w:rPr>
        <w:t xml:space="preserve"> Un projet financé par l’UE, intitulé «L’éducation de demain», est actuellement lancé en Bulgarie pour aider à ouvrir l’éducation aux technologies numériques et pour introduire des méthodes d’enseignement innovantes,</w:t>
      </w:r>
      <w:r>
        <w:rPr>
          <w:rFonts w:ascii="Times New Roman" w:hAnsi="Times New Roman"/>
          <w:noProof/>
          <w:sz w:val="24"/>
          <w:lang w:val="fr-BE"/>
        </w:rPr>
        <w:t xml:space="preserve"> ainsi que pour augmenter la motivation d’apprendre et de surmonter les difficultés d’apprentissage. Le Royaume-Uni déploie un programme national de reconversion dans lequel il dépensera 30 000 000 GBP (34 000 000 EUR) supplémentaires pour répondre à des b</w:t>
      </w:r>
      <w:r>
        <w:rPr>
          <w:rFonts w:ascii="Times New Roman" w:hAnsi="Times New Roman"/>
          <w:noProof/>
          <w:sz w:val="24"/>
          <w:lang w:val="fr-BE"/>
        </w:rPr>
        <w:t>esoins particuliers en compétences numériques. L’Espagne a adopté un programme de formation aux compétences numériques destiné aux jeunes professionnels, qui propose aux jeunes sans emploi participant au système national de garantie pour la jeunesse une fo</w:t>
      </w:r>
      <w:r>
        <w:rPr>
          <w:rFonts w:ascii="Times New Roman" w:hAnsi="Times New Roman"/>
          <w:noProof/>
          <w:sz w:val="24"/>
          <w:lang w:val="fr-BE"/>
        </w:rPr>
        <w:t>rmation axée sur le secteur numérique et les nouveaux modèles économiques. Malte a mis en place un sous-comité au sein de son conseil national des compétences afin de mener des recherches et de formuler des recommandations pour remédier à l’inadéquation en</w:t>
      </w:r>
      <w:r>
        <w:rPr>
          <w:rFonts w:ascii="Times New Roman" w:hAnsi="Times New Roman"/>
          <w:noProof/>
          <w:sz w:val="24"/>
          <w:lang w:val="fr-BE"/>
        </w:rPr>
        <w:t>tre les compétences numériques et les besoins du marché.</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L’amélioration de l’emploi des jeunes et le soutien à la transition des jeunes de l’éducation vers le marché du travail restent des priorités importantes</w:t>
      </w:r>
      <w:r>
        <w:rPr>
          <w:rFonts w:ascii="Times New Roman" w:hAnsi="Times New Roman"/>
          <w:noProof/>
          <w:sz w:val="24"/>
          <w:lang w:val="fr-BE"/>
        </w:rPr>
        <w:t>. En 2017, plus de 5 millions de jeunes ont ad</w:t>
      </w:r>
      <w:r>
        <w:rPr>
          <w:rFonts w:ascii="Times New Roman" w:hAnsi="Times New Roman"/>
          <w:noProof/>
          <w:sz w:val="24"/>
          <w:lang w:val="fr-BE"/>
        </w:rPr>
        <w:t xml:space="preserve">héré au dispositif de garantie pour la jeunesse et 3,5 millions ont accepté une offre d’emploi, de formation continue, de stage ou d’apprentissage; près de la moitié des jeunes avaient toujours un emploi ou suivaient toujours des études ou une formation 6 </w:t>
      </w:r>
      <w:r>
        <w:rPr>
          <w:rFonts w:ascii="Times New Roman" w:hAnsi="Times New Roman"/>
          <w:noProof/>
          <w:sz w:val="24"/>
          <w:lang w:val="fr-BE"/>
        </w:rPr>
        <w:t>mois après leur sortie du programme de la garantie pour la jeunesse. Toutefois, dans de nombreux États membres, la proportion estimée de NEET inscrits au dispositif tout au long de l’année reste inférieure à 50 %. Étant donné que les résultats des jeunes s</w:t>
      </w:r>
      <w:r>
        <w:rPr>
          <w:rFonts w:ascii="Times New Roman" w:hAnsi="Times New Roman"/>
          <w:noProof/>
          <w:sz w:val="24"/>
          <w:lang w:val="fr-BE"/>
        </w:rPr>
        <w:t>ur le marché du travail se sont considérablement améliorés, les mesures politiques qui sous-tendent la mise en œuvre de la garantie pour la jeunesse deviennent plus ciblées.</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color w:val="000000"/>
          <w:sz w:val="24"/>
          <w:lang w:val="fr-BE"/>
        </w:rPr>
        <w:t>Les États membres intensifient leurs efforts de sensibilisation, rendant les servi</w:t>
      </w:r>
      <w:r>
        <w:rPr>
          <w:rFonts w:ascii="Times New Roman" w:hAnsi="Times New Roman"/>
          <w:b/>
          <w:noProof/>
          <w:color w:val="000000"/>
          <w:sz w:val="24"/>
          <w:lang w:val="fr-BE"/>
        </w:rPr>
        <w:t>ces plus accessibles</w:t>
      </w:r>
      <w:r>
        <w:rPr>
          <w:noProof/>
          <w:lang w:val="fr-BE"/>
        </w:rPr>
        <w:t xml:space="preserve"> </w:t>
      </w:r>
      <w:r>
        <w:rPr>
          <w:rFonts w:ascii="Times New Roman" w:hAnsi="Times New Roman"/>
          <w:b/>
          <w:noProof/>
          <w:color w:val="000000"/>
          <w:sz w:val="24"/>
          <w:lang w:val="fr-BE"/>
        </w:rPr>
        <w:t xml:space="preserve">aux jeunes et veillant à mieux détecter ceux qui en ont besoin. </w:t>
      </w:r>
      <w:r>
        <w:rPr>
          <w:rFonts w:ascii="Times New Roman" w:hAnsi="Times New Roman"/>
          <w:noProof/>
          <w:sz w:val="24"/>
          <w:lang w:val="fr-BE"/>
        </w:rPr>
        <w:t xml:space="preserve">En Finlande, les guichets uniques pour l’orientation des jeunes (Ohjaamo, fonctionnant à l’origine avec un financement du FSE) sont devenus permanents et recevront un </w:t>
      </w:r>
      <w:r>
        <w:rPr>
          <w:rFonts w:ascii="Times New Roman" w:hAnsi="Times New Roman"/>
          <w:noProof/>
          <w:sz w:val="24"/>
          <w:lang w:val="fr-BE"/>
        </w:rPr>
        <w:t>important soutien financier afin de toucher au total 10 000 jeunes. Des agences pour l’emploi des jeunes sont actuellement mises en place dans toute l’Allemagne. Chypre a lancé un projet de sensibilisation soutenu par le ministère de l’éducation en coopéra</w:t>
      </w:r>
      <w:r>
        <w:rPr>
          <w:rFonts w:ascii="Times New Roman" w:hAnsi="Times New Roman"/>
          <w:noProof/>
          <w:sz w:val="24"/>
          <w:lang w:val="fr-BE"/>
        </w:rPr>
        <w:t>tion avec le ministère du travail et le Conseil de la jeunesse chypriote, dans le but d’atteindre 4 000 NEET inactifs et de leur fournir un soutien à l’activation au moyen de conseils et d’une formation sur mesure. En Croatie,</w:t>
      </w:r>
      <w:r>
        <w:rPr>
          <w:rFonts w:ascii="Times New Roman" w:hAnsi="Times New Roman"/>
          <w:b/>
          <w:noProof/>
          <w:sz w:val="24"/>
          <w:lang w:val="fr-BE"/>
        </w:rPr>
        <w:t xml:space="preserve"> </w:t>
      </w:r>
      <w:r>
        <w:rPr>
          <w:rFonts w:ascii="Times New Roman" w:hAnsi="Times New Roman"/>
          <w:noProof/>
          <w:sz w:val="24"/>
          <w:lang w:val="fr-BE"/>
        </w:rPr>
        <w:t>un système de recensement des</w:t>
      </w:r>
      <w:r>
        <w:rPr>
          <w:rFonts w:ascii="Times New Roman" w:hAnsi="Times New Roman"/>
          <w:noProof/>
          <w:sz w:val="24"/>
          <w:lang w:val="fr-BE"/>
        </w:rPr>
        <w:t xml:space="preserve"> NEET est en place depuis novembre 2017 et vise à identifier les NEET non enregistrés et leurs caractéristiques afin de mieux cibler les mesures destinées à ce groupe.</w:t>
      </w:r>
    </w:p>
    <w:p w:rsidR="00723CC0" w:rsidRDefault="00242021">
      <w:pPr>
        <w:spacing w:line="360" w:lineRule="auto"/>
        <w:jc w:val="both"/>
        <w:rPr>
          <w:rFonts w:ascii="Times New Roman" w:eastAsia="Times New Roman" w:hAnsi="Times New Roman"/>
          <w:noProof/>
          <w:sz w:val="24"/>
          <w:szCs w:val="24"/>
          <w:lang w:val="fr-BE"/>
        </w:rPr>
      </w:pPr>
      <w:r>
        <w:rPr>
          <w:rFonts w:ascii="Times New Roman" w:hAnsi="Times New Roman"/>
          <w:b/>
          <w:noProof/>
          <w:sz w:val="24"/>
          <w:lang w:val="fr-BE"/>
        </w:rPr>
        <w:t xml:space="preserve">De nouvelles mesures ont également été mises en place afin de mieux soutenir les jeunes </w:t>
      </w:r>
      <w:r>
        <w:rPr>
          <w:rFonts w:ascii="Times New Roman" w:hAnsi="Times New Roman"/>
          <w:b/>
          <w:noProof/>
          <w:sz w:val="24"/>
          <w:lang w:val="fr-BE"/>
        </w:rPr>
        <w:t xml:space="preserve">défavorisés à de multiples égards, notamment par une meilleure coopération entre les services de l’emploi, les services sociaux et les services de l’éducation. </w:t>
      </w:r>
      <w:r>
        <w:rPr>
          <w:rFonts w:ascii="Times New Roman" w:hAnsi="Times New Roman"/>
          <w:noProof/>
          <w:sz w:val="24"/>
          <w:lang w:val="fr-BE"/>
        </w:rPr>
        <w:t xml:space="preserve">En </w:t>
      </w:r>
      <w:r>
        <w:rPr>
          <w:rFonts w:ascii="Times New Roman" w:hAnsi="Times New Roman"/>
          <w:noProof/>
          <w:color w:val="000000"/>
          <w:sz w:val="24"/>
          <w:lang w:val="fr-BE"/>
        </w:rPr>
        <w:t>Autriche,</w:t>
      </w:r>
      <w:r>
        <w:rPr>
          <w:rFonts w:ascii="Times New Roman" w:hAnsi="Times New Roman"/>
          <w:noProof/>
          <w:sz w:val="24"/>
          <w:lang w:val="fr-BE"/>
        </w:rPr>
        <w:t xml:space="preserve"> une mesure d’accompagnement aide les jeunes à rester dans le système d’éducation et</w:t>
      </w:r>
      <w:r>
        <w:rPr>
          <w:rFonts w:ascii="Times New Roman" w:hAnsi="Times New Roman"/>
          <w:noProof/>
          <w:sz w:val="24"/>
          <w:lang w:val="fr-BE"/>
        </w:rPr>
        <w:t xml:space="preserve"> de formation le plus longtemps possible ou à s’y réinsérer. En Irlande, le régime de soutien en faveur de l’emploi des jeunes a été annoncé en 2018. Il propose des stages aux jeunes demandeurs d’emploi qui sont des chômeurs de longue durée ou sont confron</w:t>
      </w:r>
      <w:r>
        <w:rPr>
          <w:rFonts w:ascii="Times New Roman" w:hAnsi="Times New Roman"/>
          <w:noProof/>
          <w:sz w:val="24"/>
          <w:lang w:val="fr-BE"/>
        </w:rPr>
        <w:t xml:space="preserve">tés à des obstacles importants à l’emploi. Les participants acquièrent des compétences professionnelles et sociales de base dans un environnement favorable, tout en percevant un paiement hebdomadaire équivalent au salaire minimum net. </w:t>
      </w:r>
    </w:p>
    <w:p w:rsidR="00723CC0" w:rsidRDefault="00242021">
      <w:pPr>
        <w:spacing w:line="360" w:lineRule="auto"/>
        <w:jc w:val="both"/>
        <w:rPr>
          <w:rFonts w:ascii="Times New Roman" w:eastAsia="Times New Roman" w:hAnsi="Times New Roman"/>
          <w:noProof/>
          <w:sz w:val="24"/>
          <w:szCs w:val="24"/>
          <w:lang w:val="fr-BE"/>
        </w:rPr>
      </w:pPr>
      <w:r>
        <w:rPr>
          <w:rFonts w:ascii="Times New Roman" w:hAnsi="Times New Roman"/>
          <w:b/>
          <w:noProof/>
          <w:sz w:val="24"/>
          <w:lang w:val="fr-BE"/>
        </w:rPr>
        <w:t>Les États membres co</w:t>
      </w:r>
      <w:r>
        <w:rPr>
          <w:rFonts w:ascii="Times New Roman" w:hAnsi="Times New Roman"/>
          <w:b/>
          <w:noProof/>
          <w:sz w:val="24"/>
          <w:lang w:val="fr-BE"/>
        </w:rPr>
        <w:t>ntinuent de soutenir la demande du marché du travail par des incitations à l’emploi et à l’esprit d’entreprise, principalement sous la forme de subventions salariales et d’aides à l’embauche ciblées</w:t>
      </w:r>
      <w:r>
        <w:rPr>
          <w:rFonts w:ascii="Times New Roman" w:hAnsi="Times New Roman"/>
          <w:noProof/>
          <w:sz w:val="24"/>
          <w:lang w:val="fr-BE"/>
        </w:rPr>
        <w:t>. En mars 2018, la Belgique a adopté une nouvelle loi – qu</w:t>
      </w:r>
      <w:r>
        <w:rPr>
          <w:rFonts w:ascii="Times New Roman" w:hAnsi="Times New Roman"/>
          <w:noProof/>
          <w:sz w:val="24"/>
          <w:lang w:val="fr-BE"/>
        </w:rPr>
        <w:t>i n’est pas encore entrée en vigueur – pour soutenir de nouveaux «premiers emplois pour les jeunes», qui réduit les coûts liés à l’emploi des jeunes sans expérience âgés de 18 à 21 ans sans réduire leur salaire net. L’Espagne a lancé un nouveau programme d</w:t>
      </w:r>
      <w:r>
        <w:rPr>
          <w:rFonts w:ascii="Times New Roman" w:hAnsi="Times New Roman"/>
          <w:noProof/>
          <w:sz w:val="24"/>
          <w:lang w:val="fr-BE"/>
        </w:rPr>
        <w:t>e subventions salariales destiné à 10 000 chômeurs de 18 à 29 ans, en mettant l’accent sur les diplômés de l’enseignement supérieur (6 000 places). Une période de subvention plus longue est accordée pour le recrutement de chômeurs de longue durée et de bén</w:t>
      </w:r>
      <w:r>
        <w:rPr>
          <w:rFonts w:ascii="Times New Roman" w:hAnsi="Times New Roman"/>
          <w:noProof/>
          <w:sz w:val="24"/>
          <w:lang w:val="fr-BE"/>
        </w:rPr>
        <w:t>éficiaires du revenu minimum. L’Espagne a également mis en place une réduction des cotisations de sécurité sociale durant 3 ans pour les entreprises qui transforment les contrats de formation en contrats à durée indéterminée, ainsi que de nouvelles subvent</w:t>
      </w:r>
      <w:r>
        <w:rPr>
          <w:rFonts w:ascii="Times New Roman" w:hAnsi="Times New Roman"/>
          <w:noProof/>
          <w:sz w:val="24"/>
          <w:lang w:val="fr-BE"/>
        </w:rPr>
        <w:t>ions salariales à la première embauche par de jeunes entrepreneurs (jusqu’à 35 ans). Une période de subvention plus longue est prévue pour les jeunes sans emploi (jusqu’à 29 ans). L’Italie offre toute une série de mesures d’incitation liées aux cotisations</w:t>
      </w:r>
      <w:r>
        <w:rPr>
          <w:rFonts w:ascii="Times New Roman" w:hAnsi="Times New Roman"/>
          <w:noProof/>
          <w:sz w:val="24"/>
          <w:lang w:val="fr-BE"/>
        </w:rPr>
        <w:t xml:space="preserve"> de sécurité sociale, telles que la réduction de la cotisation durant trois ans pour les entreprises privées qui embauchent des jeunes sous contrat à durée indéterminée ou l’exonération totale durant trois ans pour les employeurs qui embauchent des jeunes </w:t>
      </w:r>
      <w:r>
        <w:rPr>
          <w:rFonts w:ascii="Times New Roman" w:hAnsi="Times New Roman"/>
          <w:noProof/>
          <w:sz w:val="24"/>
          <w:lang w:val="fr-BE"/>
        </w:rPr>
        <w:t>sous contrat à durée indéterminée après un stage ou un programme d’EFP en alternance et pour les employeurs qui embauchent des jeunes inscrits au programme de garantie pour la jeunesse.</w:t>
      </w:r>
      <w:r>
        <w:rPr>
          <w:rFonts w:ascii="Times New Roman" w:hAnsi="Times New Roman"/>
          <w:noProof/>
          <w:color w:val="000000" w:themeColor="text1"/>
          <w:sz w:val="24"/>
          <w:lang w:val="fr-BE"/>
        </w:rPr>
        <w:t xml:space="preserve"> </w:t>
      </w:r>
      <w:r>
        <w:rPr>
          <w:rFonts w:ascii="Times New Roman" w:hAnsi="Times New Roman"/>
          <w:noProof/>
          <w:sz w:val="24"/>
          <w:lang w:val="fr-BE"/>
        </w:rPr>
        <w:t>La Roumanie prévoit d’augmenter l’aide à l’emploi pour l’embauche de j</w:t>
      </w:r>
      <w:r>
        <w:rPr>
          <w:rFonts w:ascii="Times New Roman" w:hAnsi="Times New Roman"/>
          <w:noProof/>
          <w:sz w:val="24"/>
          <w:lang w:val="fr-BE"/>
        </w:rPr>
        <w:t xml:space="preserve">eunes NEET et de jeunes diplômés, en la faisant passer de 1 125 RON par mois (environ 245 EUR) à 2 250 RON par mois (environ 490 EUR). </w:t>
      </w:r>
    </w:p>
    <w:p w:rsidR="00723CC0" w:rsidRDefault="00242021">
      <w:pPr>
        <w:spacing w:before="120" w:after="120" w:line="360" w:lineRule="auto"/>
        <w:jc w:val="both"/>
        <w:rPr>
          <w:rFonts w:ascii="Times New Roman" w:hAnsi="Times New Roman" w:cs="Times New Roman"/>
          <w:noProof/>
          <w:sz w:val="24"/>
          <w:szCs w:val="24"/>
          <w:lang w:val="fr-BE"/>
        </w:rPr>
      </w:pPr>
      <w:r>
        <w:rPr>
          <w:rFonts w:ascii="Times New Roman" w:hAnsi="Times New Roman"/>
          <w:b/>
          <w:noProof/>
          <w:sz w:val="24"/>
          <w:lang w:val="fr-BE"/>
        </w:rPr>
        <w:t>Plusieurs États membres accordent une grande importance au perfectionnement professionnel et au recyclage des jeunes grâ</w:t>
      </w:r>
      <w:r>
        <w:rPr>
          <w:rFonts w:ascii="Times New Roman" w:hAnsi="Times New Roman"/>
          <w:b/>
          <w:noProof/>
          <w:sz w:val="24"/>
          <w:lang w:val="fr-BE"/>
        </w:rPr>
        <w:t xml:space="preserve">ce à des politiques actives du marché du travail. </w:t>
      </w:r>
      <w:r>
        <w:rPr>
          <w:rFonts w:ascii="Times New Roman" w:hAnsi="Times New Roman"/>
          <w:noProof/>
          <w:sz w:val="24"/>
          <w:lang w:val="fr-BE"/>
        </w:rPr>
        <w:t>En Croatie, le ministère du travail et des retraites et le conseil d’administration du service croate pour l’emploi ont adopté un nouveau train de mesures actives du marché du travail mettant davantage l’ac</w:t>
      </w:r>
      <w:r>
        <w:rPr>
          <w:rFonts w:ascii="Times New Roman" w:hAnsi="Times New Roman"/>
          <w:noProof/>
          <w:sz w:val="24"/>
          <w:lang w:val="fr-BE"/>
        </w:rPr>
        <w:t xml:space="preserve">cent sur la formation et la formation sur le lieu de travail, y compris pour les jeunes. </w:t>
      </w:r>
      <w:r>
        <w:rPr>
          <w:rFonts w:ascii="Times New Roman" w:hAnsi="Times New Roman"/>
          <w:noProof/>
          <w:color w:val="000000"/>
          <w:sz w:val="24"/>
          <w:lang w:val="fr-BE"/>
        </w:rPr>
        <w:t>Depuis 2017,</w:t>
      </w:r>
      <w:r>
        <w:rPr>
          <w:rFonts w:ascii="Times New Roman" w:hAnsi="Times New Roman"/>
          <w:noProof/>
          <w:sz w:val="24"/>
          <w:lang w:val="fr-BE"/>
        </w:rPr>
        <w:t xml:space="preserve"> l’Espagne met en œuvre un programme de formation aux compétences numériques destiné aux jeunes professionnels, offrant aux jeunes chômeurs participant au </w:t>
      </w:r>
      <w:r>
        <w:rPr>
          <w:rFonts w:ascii="Times New Roman" w:hAnsi="Times New Roman"/>
          <w:noProof/>
          <w:sz w:val="24"/>
          <w:lang w:val="fr-BE"/>
        </w:rPr>
        <w:t>système national de garantie pour la jeunesse une formation axée sur l’industrie numérique et les nouveaux modèles économiques.</w:t>
      </w:r>
    </w:p>
    <w:p w:rsidR="00723CC0" w:rsidRDefault="00242021">
      <w:pPr>
        <w:spacing w:before="120" w:after="120" w:line="360" w:lineRule="auto"/>
        <w:jc w:val="both"/>
        <w:rPr>
          <w:rFonts w:ascii="Times New Roman" w:hAnsi="Times New Roman"/>
          <w:noProof/>
          <w:sz w:val="24"/>
          <w:szCs w:val="24"/>
          <w:lang w:val="fr-BE"/>
        </w:rPr>
      </w:pPr>
      <w:r>
        <w:rPr>
          <w:rFonts w:ascii="Times New Roman" w:hAnsi="Times New Roman"/>
          <w:b/>
          <w:noProof/>
          <w:sz w:val="24"/>
          <w:lang w:val="fr-BE"/>
        </w:rPr>
        <w:t>Les États membres ont également continué</w:t>
      </w:r>
      <w:r>
        <w:rPr>
          <w:rFonts w:ascii="Times New Roman" w:hAnsi="Times New Roman"/>
          <w:noProof/>
          <w:sz w:val="24"/>
          <w:lang w:val="fr-BE"/>
        </w:rPr>
        <w:t xml:space="preserve"> </w:t>
      </w:r>
      <w:r>
        <w:rPr>
          <w:rFonts w:ascii="Times New Roman" w:hAnsi="Times New Roman"/>
          <w:b/>
          <w:noProof/>
          <w:sz w:val="24"/>
          <w:lang w:val="fr-BE"/>
        </w:rPr>
        <w:t>d’adapter leur législation sur les stages au cadre de qualité pour les stages</w:t>
      </w:r>
      <w:r>
        <w:rPr>
          <w:rFonts w:ascii="Times New Roman" w:hAnsi="Times New Roman"/>
          <w:b/>
          <w:noProof/>
          <w:sz w:val="24"/>
          <w:vertAlign w:val="superscript"/>
        </w:rPr>
        <w:footnoteReference w:id="64"/>
      </w:r>
      <w:r>
        <w:rPr>
          <w:rFonts w:ascii="Times New Roman" w:hAnsi="Times New Roman"/>
          <w:b/>
          <w:noProof/>
          <w:sz w:val="24"/>
          <w:lang w:val="fr-BE"/>
        </w:rPr>
        <w:t xml:space="preserve"> et ont d</w:t>
      </w:r>
      <w:r>
        <w:rPr>
          <w:rFonts w:ascii="Times New Roman" w:hAnsi="Times New Roman"/>
          <w:b/>
          <w:noProof/>
          <w:sz w:val="24"/>
          <w:lang w:val="fr-BE"/>
        </w:rPr>
        <w:t xml:space="preserve">éveloppé plus avant les incitations financières pour les stages. </w:t>
      </w:r>
      <w:r>
        <w:rPr>
          <w:rFonts w:ascii="Times New Roman" w:hAnsi="Times New Roman"/>
          <w:noProof/>
          <w:sz w:val="24"/>
          <w:lang w:val="fr-BE"/>
        </w:rPr>
        <w:t>En Lituanie, une nouvelle loi sur l’emploi, qui est entrée en vigueur le 1</w:t>
      </w:r>
      <w:r>
        <w:rPr>
          <w:rFonts w:ascii="Times New Roman" w:hAnsi="Times New Roman"/>
          <w:noProof/>
          <w:sz w:val="24"/>
          <w:vertAlign w:val="superscript"/>
          <w:lang w:val="fr-BE"/>
        </w:rPr>
        <w:t>er </w:t>
      </w:r>
      <w:r>
        <w:rPr>
          <w:rFonts w:ascii="Times New Roman" w:hAnsi="Times New Roman"/>
          <w:noProof/>
          <w:sz w:val="24"/>
          <w:lang w:val="fr-BE"/>
        </w:rPr>
        <w:t>juillet 2017, établit une distinction entre deux types de stages, à savoir le «stage volontaire» (article 10) et l</w:t>
      </w:r>
      <w:r>
        <w:rPr>
          <w:rFonts w:ascii="Times New Roman" w:hAnsi="Times New Roman"/>
          <w:noProof/>
          <w:sz w:val="24"/>
          <w:lang w:val="fr-BE"/>
        </w:rPr>
        <w:t>a «formation avancée» (article 39), et établit un cadre plus clair pour les stages rémunérés et non rémunérés. En Espagne, la loi budgétaire 2018 prévoit une dotation financière pour le lancement d’une prime de formation au titre de la garantie pour la jeu</w:t>
      </w:r>
      <w:r>
        <w:rPr>
          <w:rFonts w:ascii="Times New Roman" w:hAnsi="Times New Roman"/>
          <w:noProof/>
          <w:sz w:val="24"/>
          <w:lang w:val="fr-BE"/>
        </w:rPr>
        <w:t>nesse (</w:t>
      </w:r>
      <w:r>
        <w:rPr>
          <w:rFonts w:ascii="Times New Roman" w:hAnsi="Times New Roman"/>
          <w:i/>
          <w:noProof/>
          <w:sz w:val="24"/>
          <w:lang w:val="fr-BE"/>
        </w:rPr>
        <w:t>bono de formación garantía juvenil</w:t>
      </w:r>
      <w:r>
        <w:rPr>
          <w:rFonts w:ascii="Times New Roman" w:hAnsi="Times New Roman"/>
          <w:noProof/>
          <w:sz w:val="24"/>
          <w:lang w:val="fr-BE"/>
        </w:rPr>
        <w:t>), un soutien financier de 430 EUR durant 18 mois maximum pour les jeunes recrutés sur contrat de formation et d’apprentissage. En juillet 2018, la Roumanie a adopté une loi sur les stages visant à soutenir les plus</w:t>
      </w:r>
      <w:r>
        <w:rPr>
          <w:rFonts w:ascii="Times New Roman" w:hAnsi="Times New Roman"/>
          <w:noProof/>
          <w:sz w:val="24"/>
          <w:lang w:val="fr-BE"/>
        </w:rPr>
        <w:t xml:space="preserve"> de 16 ans. La loi oblige les employeurs à offrir un paiement mensuel s’élevant à au moins 50 % du salaire minimum brut, pour un maximum de 720 heures (sur 6 mois). Une prime sera offerte pour l’embauche de stagiaires à la fin de leur stage. </w:t>
      </w:r>
    </w:p>
    <w:p w:rsidR="00723CC0" w:rsidRDefault="00242021">
      <w:pPr>
        <w:rPr>
          <w:rFonts w:ascii="Times New Roman" w:hAnsi="Times New Roman"/>
          <w:b/>
          <w:noProof/>
          <w:sz w:val="24"/>
          <w:lang w:val="fr-BE"/>
        </w:rPr>
      </w:pPr>
      <w:r>
        <w:rPr>
          <w:noProof/>
          <w:lang w:val="fr-BE"/>
        </w:rPr>
        <w:br w:type="page"/>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b/>
          <w:i/>
          <w:noProof/>
          <w:sz w:val="24"/>
          <w:lang w:val="fr-BE"/>
        </w:rPr>
      </w:pPr>
      <w:r>
        <w:rPr>
          <w:rFonts w:ascii="Times New Roman" w:hAnsi="Times New Roman"/>
          <w:b/>
          <w:i/>
          <w:noProof/>
          <w:sz w:val="24"/>
          <w:lang w:val="fr-BE"/>
        </w:rPr>
        <w:t xml:space="preserve">Encadré 2. </w:t>
      </w:r>
      <w:r>
        <w:rPr>
          <w:rFonts w:ascii="Times New Roman" w:hAnsi="Times New Roman"/>
          <w:b/>
          <w:i/>
          <w:noProof/>
          <w:sz w:val="24"/>
          <w:lang w:val="fr-BE"/>
        </w:rPr>
        <w:t>Tirer pleinement parti du Fonds social européen (FSE)</w:t>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fr-BE"/>
        </w:rPr>
      </w:pPr>
      <w:r>
        <w:rPr>
          <w:rFonts w:ascii="Times New Roman" w:hAnsi="Times New Roman"/>
          <w:noProof/>
          <w:sz w:val="24"/>
          <w:lang w:val="fr-BE"/>
        </w:rPr>
        <w:t>Avec un budget de 86 400 000 000 EUR pour la période 2014-2020, le Fonds social européen (FSE) est l’un des principaux instruments dont dispose l’UE pour aider à remédier aux problèmes recensés dans les</w:t>
      </w:r>
      <w:r>
        <w:rPr>
          <w:rFonts w:ascii="Times New Roman" w:hAnsi="Times New Roman"/>
          <w:noProof/>
          <w:sz w:val="24"/>
          <w:lang w:val="fr-BE"/>
        </w:rPr>
        <w:t xml:space="preserve"> recommandations par pays. Les programmes opérationnels contribuent directement à la promotion d’un emploi durable et de qualité, à la promotion de l’inclusion sociale, à l’investissement dans l’éducation et la formation et au renforcement des capacités in</w:t>
      </w:r>
      <w:r>
        <w:rPr>
          <w:rFonts w:ascii="Times New Roman" w:hAnsi="Times New Roman"/>
          <w:noProof/>
          <w:sz w:val="24"/>
          <w:lang w:val="fr-BE"/>
        </w:rPr>
        <w:t>stitutionnelles.</w:t>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fr-BE"/>
        </w:rPr>
      </w:pPr>
      <w:r>
        <w:rPr>
          <w:rFonts w:ascii="Times New Roman" w:hAnsi="Times New Roman"/>
          <w:noProof/>
          <w:sz w:val="24"/>
          <w:lang w:val="fr-BE"/>
        </w:rPr>
        <w:t>L’emploi des jeunes est l’une des principales priorités d’action, qui est traitée à la fois par les ressources propres du FSE et par l’initiative pour l’emploi des jeunes (IEJ). Le budget de l’IEJ a été porté en 2017 à 8 900 000 000 EUR, c</w:t>
      </w:r>
      <w:r>
        <w:rPr>
          <w:rFonts w:ascii="Times New Roman" w:hAnsi="Times New Roman"/>
          <w:noProof/>
          <w:sz w:val="24"/>
          <w:lang w:val="fr-BE"/>
        </w:rPr>
        <w:t>ouvrant l’intégralité de la période de programmation 2014-2020. L’IEJ cible spécifiquement les jeunes sans emploi qui ne suivent ni études ni formation (NEET), et le soutien est concentré sur les régions de l’UE où le taux de chômage des jeunes était le pl</w:t>
      </w:r>
      <w:r>
        <w:rPr>
          <w:rFonts w:ascii="Times New Roman" w:hAnsi="Times New Roman"/>
          <w:noProof/>
          <w:sz w:val="24"/>
          <w:lang w:val="fr-BE"/>
        </w:rPr>
        <w:t>us élevé en 2012.</w:t>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fr-BE"/>
        </w:rPr>
      </w:pPr>
      <w:r>
        <w:rPr>
          <w:rFonts w:ascii="Times New Roman" w:hAnsi="Times New Roman"/>
          <w:noProof/>
          <w:sz w:val="24"/>
          <w:lang w:val="fr-BE"/>
        </w:rPr>
        <w:t>Plus de 15 millions de participants ont bénéficié de l’aide du FSE et de l’IEJ entre 2014 et 2017, dont près de 3 millions de chômeurs de longue durée (17 %). Les jeunes de moins de 25 ans (42 % du nombre total de participants) et les per</w:t>
      </w:r>
      <w:r>
        <w:rPr>
          <w:rFonts w:ascii="Times New Roman" w:hAnsi="Times New Roman"/>
          <w:noProof/>
          <w:sz w:val="24"/>
          <w:lang w:val="fr-BE"/>
        </w:rPr>
        <w:t>sonnes peu qualifiées ayant suivi un enseignement primaire ou un premier cycle d’enseignement secondaire (44 % du nombre total de participants) constituent les principaux groupes cibles de ces interventions. La mise en œuvre, qui a nettement accéléré en 20</w:t>
      </w:r>
      <w:r>
        <w:rPr>
          <w:rFonts w:ascii="Times New Roman" w:hAnsi="Times New Roman"/>
          <w:noProof/>
          <w:sz w:val="24"/>
          <w:lang w:val="fr-BE"/>
        </w:rPr>
        <w:t>17, devrait se poursuivre de façon constante au cours des prochaines années.</w:t>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fr-BE"/>
        </w:rPr>
      </w:pPr>
      <w:r>
        <w:rPr>
          <w:rFonts w:ascii="Times New Roman" w:hAnsi="Times New Roman"/>
          <w:noProof/>
          <w:sz w:val="24"/>
          <w:lang w:val="fr-BE"/>
        </w:rPr>
        <w:t>Plus de 2,4 millions de jeunes NEET ont bénéficié du soutien de l’IEJ entre 2014 et 2017, parmi lesquels:</w:t>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fr-BE"/>
        </w:rPr>
      </w:pPr>
      <w:r>
        <w:rPr>
          <w:rFonts w:ascii="Times New Roman" w:hAnsi="Times New Roman"/>
          <w:noProof/>
          <w:sz w:val="24"/>
          <w:lang w:val="fr-BE"/>
        </w:rPr>
        <w:t>-</w:t>
      </w:r>
      <w:r>
        <w:rPr>
          <w:noProof/>
          <w:lang w:val="fr-BE"/>
        </w:rPr>
        <w:tab/>
      </w:r>
      <w:r>
        <w:rPr>
          <w:rFonts w:ascii="Times New Roman" w:hAnsi="Times New Roman"/>
          <w:noProof/>
          <w:sz w:val="24"/>
          <w:lang w:val="fr-BE"/>
        </w:rPr>
        <w:t>1,5 million sont allés au bout de l’intervention soutenue par l’IEJ;</w:t>
      </w:r>
    </w:p>
    <w:p w:rsidR="00723CC0" w:rsidRDefault="00242021">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lang w:val="fr-BE"/>
        </w:rPr>
      </w:pPr>
      <w:r>
        <w:rPr>
          <w:rFonts w:ascii="Times New Roman" w:hAnsi="Times New Roman"/>
          <w:noProof/>
          <w:sz w:val="24"/>
          <w:lang w:val="fr-BE"/>
        </w:rPr>
        <w:t>-</w:t>
      </w:r>
      <w:r>
        <w:rPr>
          <w:noProof/>
          <w:lang w:val="fr-BE"/>
        </w:rPr>
        <w:tab/>
      </w:r>
      <w:r>
        <w:rPr>
          <w:rFonts w:ascii="Times New Roman" w:hAnsi="Times New Roman"/>
          <w:noProof/>
          <w:sz w:val="24"/>
          <w:lang w:val="fr-BE"/>
        </w:rPr>
        <w:t>780 000 suivaient des études/une formation et ont obtenu une qualification, ou occupaient un emploi, y compris une activité indépendante, au terme de leur participation;</w:t>
      </w:r>
    </w:p>
    <w:p w:rsidR="00723CC0" w:rsidRDefault="00242021">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lang w:val="fr-BE"/>
        </w:rPr>
      </w:pPr>
      <w:r>
        <w:rPr>
          <w:rFonts w:ascii="Times New Roman" w:hAnsi="Times New Roman"/>
          <w:noProof/>
          <w:sz w:val="24"/>
          <w:lang w:val="fr-BE"/>
        </w:rPr>
        <w:t>-</w:t>
      </w:r>
      <w:r>
        <w:rPr>
          <w:noProof/>
          <w:lang w:val="fr-BE"/>
        </w:rPr>
        <w:tab/>
      </w:r>
      <w:r>
        <w:rPr>
          <w:rFonts w:ascii="Times New Roman" w:hAnsi="Times New Roman"/>
          <w:noProof/>
          <w:sz w:val="24"/>
          <w:lang w:val="fr-BE"/>
        </w:rPr>
        <w:t>550 000 ont reçu une offre d’emploi, de formation continue, d’apprentissage ou de st</w:t>
      </w:r>
      <w:r>
        <w:rPr>
          <w:rFonts w:ascii="Times New Roman" w:hAnsi="Times New Roman"/>
          <w:noProof/>
          <w:sz w:val="24"/>
          <w:lang w:val="fr-BE"/>
        </w:rPr>
        <w:t>age au terme de leur participation.</w:t>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fr-BE"/>
        </w:rPr>
      </w:pPr>
      <w:r>
        <w:rPr>
          <w:rFonts w:ascii="Times New Roman" w:hAnsi="Times New Roman"/>
          <w:noProof/>
          <w:sz w:val="24"/>
          <w:lang w:val="fr-BE"/>
        </w:rPr>
        <w:t>Le 30 mai 2018, la Commission européenne a adopté une proposition relative au Fonds social européen plus pour 2021-2027 (FSE+). Le FSE+ permettra, dans le cadre plus large des Fonds structurels et d’investissement, d’axe</w:t>
      </w:r>
      <w:r>
        <w:rPr>
          <w:rFonts w:ascii="Times New Roman" w:hAnsi="Times New Roman"/>
          <w:noProof/>
          <w:sz w:val="24"/>
          <w:lang w:val="fr-BE"/>
        </w:rPr>
        <w:t>r davantage le soutien sur les problèmes recensés dans le cadre du Semestre européen. Dans ce contexte, le FSE+ regroupera:</w:t>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fr-BE"/>
        </w:rPr>
      </w:pPr>
      <w:r>
        <w:rPr>
          <w:rFonts w:ascii="Times New Roman" w:hAnsi="Times New Roman"/>
          <w:noProof/>
          <w:sz w:val="24"/>
          <w:lang w:val="fr-BE"/>
        </w:rPr>
        <w:t>•</w:t>
      </w:r>
      <w:r>
        <w:rPr>
          <w:noProof/>
          <w:lang w:val="fr-BE"/>
        </w:rPr>
        <w:tab/>
      </w:r>
      <w:r>
        <w:rPr>
          <w:rFonts w:ascii="Times New Roman" w:hAnsi="Times New Roman"/>
          <w:noProof/>
          <w:sz w:val="24"/>
          <w:lang w:val="fr-BE"/>
        </w:rPr>
        <w:t>le Fonds social européen (FSE) et l’initiative pour l’emploi des jeunes (IEJ),</w:t>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fr-BE"/>
        </w:rPr>
      </w:pPr>
      <w:r>
        <w:rPr>
          <w:rFonts w:ascii="Times New Roman" w:hAnsi="Times New Roman"/>
          <w:noProof/>
          <w:sz w:val="24"/>
          <w:lang w:val="fr-BE"/>
        </w:rPr>
        <w:t>•</w:t>
      </w:r>
      <w:r>
        <w:rPr>
          <w:noProof/>
          <w:lang w:val="fr-BE"/>
        </w:rPr>
        <w:tab/>
      </w:r>
      <w:r>
        <w:rPr>
          <w:rFonts w:ascii="Times New Roman" w:hAnsi="Times New Roman"/>
          <w:noProof/>
          <w:sz w:val="24"/>
          <w:lang w:val="fr-BE"/>
        </w:rPr>
        <w:t>le Fonds européen d’aide aux plus démunis (FEAD),</w:t>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fr-BE"/>
        </w:rPr>
      </w:pPr>
      <w:r>
        <w:rPr>
          <w:rFonts w:ascii="Times New Roman" w:hAnsi="Times New Roman"/>
          <w:noProof/>
          <w:sz w:val="24"/>
          <w:lang w:val="fr-BE"/>
        </w:rPr>
        <w:t>•</w:t>
      </w:r>
      <w:r>
        <w:rPr>
          <w:noProof/>
          <w:lang w:val="fr-BE"/>
        </w:rPr>
        <w:tab/>
      </w:r>
      <w:r>
        <w:rPr>
          <w:rFonts w:ascii="Times New Roman" w:hAnsi="Times New Roman"/>
          <w:noProof/>
          <w:sz w:val="24"/>
          <w:lang w:val="fr-BE"/>
        </w:rPr>
        <w:t>le programme de l’UE pour l’emploi et l’innovation sociale, et</w:t>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fr-BE"/>
        </w:rPr>
      </w:pPr>
      <w:r>
        <w:rPr>
          <w:rFonts w:ascii="Times New Roman" w:hAnsi="Times New Roman"/>
          <w:noProof/>
          <w:sz w:val="24"/>
          <w:lang w:val="fr-BE"/>
        </w:rPr>
        <w:t>•</w:t>
      </w:r>
      <w:r>
        <w:rPr>
          <w:noProof/>
          <w:lang w:val="fr-BE"/>
        </w:rPr>
        <w:tab/>
      </w:r>
      <w:r>
        <w:rPr>
          <w:rFonts w:ascii="Times New Roman" w:hAnsi="Times New Roman"/>
          <w:noProof/>
          <w:sz w:val="24"/>
          <w:lang w:val="fr-BE"/>
        </w:rPr>
        <w:t>le programme «Santé» de l’UE.</w:t>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fr-BE"/>
        </w:rPr>
      </w:pPr>
      <w:r>
        <w:rPr>
          <w:rFonts w:ascii="Times New Roman" w:hAnsi="Times New Roman"/>
          <w:noProof/>
          <w:sz w:val="24"/>
          <w:lang w:val="fr-BE"/>
        </w:rPr>
        <w:t>Le règlement FSE+ visera à faire en sorte que les ressources relevant de la gestion partagée se concentrent sur les principaux défis mis en lumière; il va not</w:t>
      </w:r>
      <w:r>
        <w:rPr>
          <w:rFonts w:ascii="Times New Roman" w:hAnsi="Times New Roman"/>
          <w:noProof/>
          <w:sz w:val="24"/>
          <w:lang w:val="fr-BE"/>
        </w:rPr>
        <w:t>amment:</w:t>
      </w:r>
    </w:p>
    <w:p w:rsidR="00723CC0" w:rsidRDefault="00242021">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lang w:val="fr-BE"/>
        </w:rPr>
      </w:pPr>
      <w:r>
        <w:rPr>
          <w:rFonts w:ascii="Times New Roman" w:hAnsi="Times New Roman"/>
          <w:noProof/>
          <w:sz w:val="24"/>
          <w:lang w:val="fr-BE"/>
        </w:rPr>
        <w:t>•</w:t>
      </w:r>
      <w:r>
        <w:rPr>
          <w:noProof/>
          <w:lang w:val="fr-BE"/>
        </w:rPr>
        <w:tab/>
      </w:r>
      <w:r>
        <w:rPr>
          <w:rFonts w:ascii="Times New Roman" w:hAnsi="Times New Roman"/>
          <w:noProof/>
          <w:sz w:val="24"/>
          <w:lang w:val="fr-BE"/>
        </w:rPr>
        <w:t>soutenir les principes du socle européen des droits sociaux et la mise en œuvre des recommandations formulées dans le cadre du Semestre européen;</w:t>
      </w:r>
    </w:p>
    <w:p w:rsidR="00723CC0" w:rsidRDefault="00242021">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lang w:val="fr-BE"/>
        </w:rPr>
      </w:pPr>
      <w:r>
        <w:rPr>
          <w:rFonts w:ascii="Times New Roman" w:hAnsi="Times New Roman"/>
          <w:noProof/>
          <w:sz w:val="24"/>
          <w:lang w:val="fr-BE"/>
        </w:rPr>
        <w:t>•</w:t>
      </w:r>
      <w:r>
        <w:rPr>
          <w:noProof/>
          <w:lang w:val="fr-BE"/>
        </w:rPr>
        <w:tab/>
      </w:r>
      <w:r>
        <w:rPr>
          <w:rFonts w:ascii="Times New Roman" w:hAnsi="Times New Roman"/>
          <w:noProof/>
          <w:sz w:val="24"/>
          <w:lang w:val="fr-BE"/>
        </w:rPr>
        <w:t xml:space="preserve">continuer à soutenir les jeunes en fournissant une dotation minimale aux États membres où le taux </w:t>
      </w:r>
      <w:r>
        <w:rPr>
          <w:rFonts w:ascii="Times New Roman" w:hAnsi="Times New Roman"/>
          <w:noProof/>
          <w:sz w:val="24"/>
          <w:lang w:val="fr-BE"/>
        </w:rPr>
        <w:t>de chômage des jeunes est élevé;</w:t>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fr-BE"/>
        </w:rPr>
      </w:pPr>
      <w:r>
        <w:rPr>
          <w:rFonts w:ascii="Times New Roman" w:hAnsi="Times New Roman"/>
          <w:noProof/>
          <w:sz w:val="24"/>
          <w:lang w:val="fr-BE"/>
        </w:rPr>
        <w:t>•</w:t>
      </w:r>
      <w:r>
        <w:rPr>
          <w:noProof/>
          <w:lang w:val="fr-BE"/>
        </w:rPr>
        <w:tab/>
      </w:r>
      <w:r>
        <w:rPr>
          <w:rFonts w:ascii="Times New Roman" w:hAnsi="Times New Roman"/>
          <w:noProof/>
          <w:sz w:val="24"/>
          <w:lang w:val="fr-BE"/>
        </w:rPr>
        <w:t>favoriser l’inclusion sociale, avec une part minimale de 25 %;</w:t>
      </w:r>
    </w:p>
    <w:p w:rsidR="00723CC0" w:rsidRDefault="00242021">
      <w:pPr>
        <w:pBdr>
          <w:top w:val="single" w:sz="4" w:space="1" w:color="auto"/>
          <w:left w:val="single" w:sz="4" w:space="4" w:color="auto"/>
          <w:bottom w:val="single" w:sz="4" w:space="1" w:color="auto"/>
          <w:right w:val="single" w:sz="4" w:space="4" w:color="auto"/>
        </w:pBdr>
        <w:jc w:val="both"/>
        <w:rPr>
          <w:rFonts w:ascii="Times New Roman" w:hAnsi="Times New Roman"/>
          <w:noProof/>
          <w:sz w:val="24"/>
          <w:lang w:val="fr-BE"/>
        </w:rPr>
      </w:pPr>
      <w:r>
        <w:rPr>
          <w:rFonts w:ascii="Times New Roman" w:hAnsi="Times New Roman"/>
          <w:noProof/>
          <w:sz w:val="24"/>
          <w:lang w:val="fr-BE"/>
        </w:rPr>
        <w:t>•</w:t>
      </w:r>
      <w:r>
        <w:rPr>
          <w:noProof/>
          <w:lang w:val="fr-BE"/>
        </w:rPr>
        <w:tab/>
      </w:r>
      <w:r>
        <w:rPr>
          <w:rFonts w:ascii="Times New Roman" w:hAnsi="Times New Roman"/>
          <w:noProof/>
          <w:sz w:val="24"/>
          <w:lang w:val="fr-BE"/>
        </w:rPr>
        <w:t xml:space="preserve">soutenir les actions de l’Union en faveur de l’innovation sociale, de la mobilité et de la </w:t>
      </w:r>
      <w:r>
        <w:rPr>
          <w:rFonts w:ascii="Times New Roman" w:hAnsi="Times New Roman"/>
          <w:noProof/>
          <w:sz w:val="24"/>
          <w:lang w:val="fr-BE"/>
        </w:rPr>
        <w:tab/>
        <w:t>santé;</w:t>
      </w:r>
    </w:p>
    <w:p w:rsidR="00723CC0" w:rsidRDefault="00242021">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lang w:val="fr-BE"/>
        </w:rPr>
      </w:pPr>
      <w:r>
        <w:rPr>
          <w:rFonts w:ascii="Times New Roman" w:hAnsi="Times New Roman"/>
          <w:noProof/>
          <w:sz w:val="24"/>
          <w:lang w:val="fr-BE"/>
        </w:rPr>
        <w:t>•</w:t>
      </w:r>
      <w:r>
        <w:rPr>
          <w:noProof/>
          <w:lang w:val="fr-BE"/>
        </w:rPr>
        <w:tab/>
      </w:r>
      <w:r>
        <w:rPr>
          <w:rFonts w:ascii="Times New Roman" w:hAnsi="Times New Roman"/>
          <w:noProof/>
          <w:sz w:val="24"/>
          <w:lang w:val="fr-BE"/>
        </w:rPr>
        <w:t xml:space="preserve">soutenir l’intégration à long terme des ressortissants </w:t>
      </w:r>
      <w:r>
        <w:rPr>
          <w:rFonts w:ascii="Times New Roman" w:hAnsi="Times New Roman"/>
          <w:noProof/>
          <w:sz w:val="24"/>
          <w:lang w:val="fr-BE"/>
        </w:rPr>
        <w:t>de pays tiers, en complément du Fonds «Asile et migration» (FAM);</w:t>
      </w:r>
    </w:p>
    <w:p w:rsidR="00723CC0" w:rsidRDefault="00242021">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lang w:val="fr-BE"/>
        </w:rPr>
      </w:pPr>
      <w:r>
        <w:rPr>
          <w:rFonts w:ascii="Times New Roman" w:hAnsi="Times New Roman"/>
          <w:noProof/>
          <w:sz w:val="24"/>
          <w:lang w:val="fr-BE"/>
        </w:rPr>
        <w:t>•</w:t>
      </w:r>
      <w:r>
        <w:rPr>
          <w:noProof/>
          <w:lang w:val="fr-BE"/>
        </w:rPr>
        <w:tab/>
      </w:r>
      <w:r>
        <w:rPr>
          <w:rFonts w:ascii="Times New Roman" w:hAnsi="Times New Roman"/>
          <w:noProof/>
          <w:sz w:val="24"/>
          <w:lang w:val="fr-BE"/>
        </w:rPr>
        <w:t>faciliter la réduction de la charge administrative pour les organisations ou autorités nationales bénéficiant des mesures du FSE+.</w:t>
      </w:r>
    </w:p>
    <w:p w:rsidR="00723CC0" w:rsidRDefault="00723CC0">
      <w:pPr>
        <w:spacing w:line="360" w:lineRule="auto"/>
        <w:jc w:val="both"/>
        <w:rPr>
          <w:rFonts w:ascii="Times New Roman" w:hAnsi="Times New Roman"/>
          <w:b/>
          <w:noProof/>
          <w:sz w:val="24"/>
          <w:highlight w:val="yellow"/>
          <w:lang w:val="fr-BE"/>
        </w:rPr>
      </w:pP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Plusieurs États membres poursuivent leurs efforts visant</w:t>
      </w:r>
      <w:r>
        <w:rPr>
          <w:rFonts w:ascii="Times New Roman" w:hAnsi="Times New Roman"/>
          <w:b/>
          <w:noProof/>
          <w:sz w:val="24"/>
          <w:lang w:val="fr-BE"/>
        </w:rPr>
        <w:t xml:space="preserve"> à promouvoir la participation des travailleurs âgés au marché du travail</w:t>
      </w:r>
      <w:r>
        <w:rPr>
          <w:rFonts w:ascii="Times New Roman" w:hAnsi="Times New Roman"/>
          <w:noProof/>
          <w:sz w:val="24"/>
          <w:lang w:val="fr-BE"/>
        </w:rPr>
        <w:t>. Au Danemark, un accord sur les retraites renforce les dispositions visant à inciter les travailleurs âgés à rester plus longtemps sur le marché du travail. Une série d’initiatives a</w:t>
      </w:r>
      <w:r>
        <w:rPr>
          <w:rFonts w:ascii="Times New Roman" w:hAnsi="Times New Roman"/>
          <w:noProof/>
          <w:sz w:val="24"/>
          <w:lang w:val="fr-BE"/>
        </w:rPr>
        <w:t>ssouplissent le système de retraite, notamment en augmentant les incitations financières pour retarder le départ à la retraite et mettre en place des régimes de retraite privés. La Grèce a adopté un programme de subventions destinées au secteur public et a</w:t>
      </w:r>
      <w:r>
        <w:rPr>
          <w:rFonts w:ascii="Times New Roman" w:hAnsi="Times New Roman"/>
          <w:noProof/>
          <w:sz w:val="24"/>
          <w:lang w:val="fr-BE"/>
        </w:rPr>
        <w:t>ux entreprises, entités et organisations locales afin d’occuper 10 000 chômeurs de longue durée âgés de 55 à 67 ans. À Malte, les personnes retraitées âgées de moins de 65 ans et qui travaillent à leur compte ou à temps partiel pourront payer leur cotisati</w:t>
      </w:r>
      <w:r>
        <w:rPr>
          <w:rFonts w:ascii="Times New Roman" w:hAnsi="Times New Roman"/>
          <w:noProof/>
          <w:sz w:val="24"/>
          <w:lang w:val="fr-BE"/>
        </w:rPr>
        <w:t xml:space="preserve">on au système national d’assurance au prorata de 15 % au lieu du taux plein. La Slovénie a mis en place une subvention visant à encourager l’emploi permanent des personnes âgées de plus de 58 ans, destinée en priorité aux bénéficiaires de la prestation de </w:t>
      </w:r>
      <w:r>
        <w:rPr>
          <w:rFonts w:ascii="Times New Roman" w:hAnsi="Times New Roman"/>
          <w:noProof/>
          <w:sz w:val="24"/>
          <w:lang w:val="fr-BE"/>
        </w:rPr>
        <w:t>chômage et de l’assistance sociale en espèces. La subvention s’élève à 11 000 EUR et est payée à l’employeur en deux fois (une moitié à l’embauche et l’autre moitié après le 18</w:t>
      </w:r>
      <w:r>
        <w:rPr>
          <w:rFonts w:ascii="Times New Roman" w:hAnsi="Times New Roman"/>
          <w:noProof/>
          <w:sz w:val="24"/>
          <w:vertAlign w:val="superscript"/>
          <w:lang w:val="fr-BE"/>
        </w:rPr>
        <w:t>e</w:t>
      </w:r>
      <w:r>
        <w:rPr>
          <w:rFonts w:ascii="Times New Roman" w:hAnsi="Times New Roman"/>
          <w:noProof/>
          <w:sz w:val="24"/>
          <w:lang w:val="fr-BE"/>
        </w:rPr>
        <w:t xml:space="preserve"> salaire mensuel). En outre, un projet a été lancé pour fournir un soutien comp</w:t>
      </w:r>
      <w:r>
        <w:rPr>
          <w:rFonts w:ascii="Times New Roman" w:hAnsi="Times New Roman"/>
          <w:noProof/>
          <w:sz w:val="24"/>
          <w:lang w:val="fr-BE"/>
        </w:rPr>
        <w:t xml:space="preserve">let aux entreprises en vue d’un vieillissement actif de la main-d’œuvre. Ces deux mesures sont cofinancées par le FSE. Enfin, conformément à la stratégie pour un vieillissement actif, en mars 2018, le conseil gouvernemental pour le vieillissement actif et </w:t>
      </w:r>
      <w:r>
        <w:rPr>
          <w:rFonts w:ascii="Times New Roman" w:hAnsi="Times New Roman"/>
          <w:noProof/>
          <w:sz w:val="24"/>
          <w:lang w:val="fr-BE"/>
        </w:rPr>
        <w:t>la coopération intergénérationnelle a été créé, composé de ministres et de représentants d’institutions professionnelles, d’ONG et du secteur économique.</w:t>
      </w:r>
    </w:p>
    <w:p w:rsidR="00723CC0" w:rsidRDefault="00242021">
      <w:pPr>
        <w:autoSpaceDE w:val="0"/>
        <w:autoSpaceDN w:val="0"/>
        <w:adjustRightInd w:val="0"/>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De nombreux États membres poursuivent leurs efforts dans le domaine des services de garde d’enfants et</w:t>
      </w:r>
      <w:r>
        <w:rPr>
          <w:rFonts w:ascii="Times New Roman" w:hAnsi="Times New Roman"/>
          <w:b/>
          <w:noProof/>
          <w:sz w:val="24"/>
          <w:lang w:val="fr-BE"/>
        </w:rPr>
        <w:t xml:space="preserve"> de soins de longue durée afin de lever les obstacles à l’emploi des femmes. </w:t>
      </w:r>
      <w:r>
        <w:rPr>
          <w:rFonts w:ascii="Times New Roman" w:hAnsi="Times New Roman"/>
          <w:noProof/>
          <w:sz w:val="24"/>
          <w:lang w:val="fr-BE"/>
        </w:rPr>
        <w:t>En juin 2018,</w:t>
      </w:r>
      <w:r>
        <w:rPr>
          <w:rFonts w:ascii="Times New Roman" w:hAnsi="Times New Roman"/>
          <w:b/>
          <w:noProof/>
          <w:sz w:val="24"/>
          <w:lang w:val="fr-BE"/>
        </w:rPr>
        <w:t xml:space="preserve"> </w:t>
      </w:r>
      <w:r>
        <w:rPr>
          <w:rFonts w:ascii="Times New Roman" w:hAnsi="Times New Roman"/>
          <w:noProof/>
          <w:sz w:val="24"/>
          <w:lang w:val="fr-BE"/>
        </w:rPr>
        <w:t xml:space="preserve">l’Allemagne a adopté un programme de financement des services de garde d’enfants qui vise à accroître le nombre de places dans les infrastructures de garde pour les </w:t>
      </w:r>
      <w:r>
        <w:rPr>
          <w:rFonts w:ascii="Times New Roman" w:hAnsi="Times New Roman"/>
          <w:noProof/>
          <w:sz w:val="24"/>
          <w:lang w:val="fr-BE"/>
        </w:rPr>
        <w:t>très jeunes enfants afin d’augmenter le nombre de femmes travaillant à plein temps. Le programme, doté d’un budget de 3 280 000 000 EUR, vise à créer 100 000 places supplémentaires dans les infrastructures de garde d’enfants. L’Irlande a présenté un progra</w:t>
      </w:r>
      <w:r>
        <w:rPr>
          <w:rFonts w:ascii="Times New Roman" w:hAnsi="Times New Roman"/>
          <w:noProof/>
          <w:sz w:val="24"/>
          <w:lang w:val="fr-BE"/>
        </w:rPr>
        <w:t>mme d’éducation de la petite enfance pour les enfants en âge préscolaire. Depuis septembre 2018, les enfants peuvent commencer à fréquenter le système de garde dès l’âge de 2 ans et 8 mois et y rester jusqu’à l’âge de scolarité obligatoire. La Grèce a allo</w:t>
      </w:r>
      <w:r>
        <w:rPr>
          <w:rFonts w:ascii="Times New Roman" w:hAnsi="Times New Roman"/>
          <w:noProof/>
          <w:sz w:val="24"/>
          <w:lang w:val="fr-BE"/>
        </w:rPr>
        <w:t xml:space="preserve">ngé la durée de l’enseignement préscolaire obligatoire, le faisant passer de 1 à 2 ans, et a alloué 15 000 000 EUR à la création de 10 000 places supplémentaires dans les infrastructures de garde d’enfants. Certains États membres ont pris des mesures pour </w:t>
      </w:r>
      <w:r>
        <w:rPr>
          <w:rFonts w:ascii="Times New Roman" w:hAnsi="Times New Roman"/>
          <w:noProof/>
          <w:sz w:val="24"/>
          <w:lang w:val="fr-BE"/>
        </w:rPr>
        <w:t xml:space="preserve">rendre les structures de garde d’enfants plus abordables. En Espagne, la loi relative à l’impôt sur le revenu des personnes physiques a été modifiée en vue de permettre la déduction des frais de garde pour les enfants jusqu’à l’âge de 3 ans. La Finlande a </w:t>
      </w:r>
      <w:r>
        <w:rPr>
          <w:rFonts w:ascii="Times New Roman" w:hAnsi="Times New Roman"/>
          <w:noProof/>
          <w:sz w:val="24"/>
          <w:lang w:val="fr-BE"/>
        </w:rPr>
        <w:t>réduit les frais d’éducation de la petite enfance pour les familles à revenu moyen et faible. D’après les estimations, cela permettra à environ 6 700 familles de prétendre à des services gratuits d’éducation et d’accueil de la petite enfance. L’Irlande a a</w:t>
      </w:r>
      <w:r>
        <w:rPr>
          <w:rFonts w:ascii="Times New Roman" w:hAnsi="Times New Roman"/>
          <w:noProof/>
          <w:sz w:val="24"/>
          <w:lang w:val="fr-BE"/>
        </w:rPr>
        <w:t>nnoncé la création d’un régime de garde d’enfants abordable et unique qui apporterait un soutien financier pour les services de garde d’enfants préscolaires et scolaires. La Bulgarie a adopté des mesures visant à accroître le nombre d’établissements de soi</w:t>
      </w:r>
      <w:r>
        <w:rPr>
          <w:rFonts w:ascii="Times New Roman" w:hAnsi="Times New Roman"/>
          <w:noProof/>
          <w:sz w:val="24"/>
          <w:lang w:val="fr-BE"/>
        </w:rPr>
        <w:t>ns de longue durée pour les personnes âgées et les personnes handicapées. Certains États membres ont aussi adopté des mesures en faveur des soins informels rémunérés. La République tchèque a adopté une loi sur le congé spécial pour les aidants (un congé pa</w:t>
      </w:r>
      <w:r>
        <w:rPr>
          <w:rFonts w:ascii="Times New Roman" w:hAnsi="Times New Roman"/>
          <w:noProof/>
          <w:sz w:val="24"/>
          <w:lang w:val="fr-BE"/>
        </w:rPr>
        <w:t>yé pouvant aller jusqu’à trois mois pour les aidants informels ayant à leur charge des membres de leur famille). L’Irlande envisage d’étendre le droit au congé parental à 26 semaines (6 mois) par enfant. Si la mesure est adoptée, les 8 semaines supplémenta</w:t>
      </w:r>
      <w:r>
        <w:rPr>
          <w:rFonts w:ascii="Times New Roman" w:hAnsi="Times New Roman"/>
          <w:noProof/>
          <w:sz w:val="24"/>
          <w:lang w:val="fr-BE"/>
        </w:rPr>
        <w:t>ires prévues par la législation seront mises à la disposition des parents qui ont déjà bénéficié du droit existant de 18 semaines. Enfin, l’Estonie a introduit 5 jours supplémentaires de congé pour les aidants (rémunérés au salaire minimum).</w:t>
      </w:r>
    </w:p>
    <w:p w:rsidR="00723CC0" w:rsidRDefault="00242021">
      <w:pPr>
        <w:autoSpaceDE w:val="0"/>
        <w:autoSpaceDN w:val="0"/>
        <w:adjustRightInd w:val="0"/>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Une répartitio</w:t>
      </w:r>
      <w:r>
        <w:rPr>
          <w:rFonts w:ascii="Times New Roman" w:hAnsi="Times New Roman"/>
          <w:b/>
          <w:noProof/>
          <w:sz w:val="24"/>
          <w:lang w:val="fr-BE"/>
        </w:rPr>
        <w:t xml:space="preserve">n équilibrée des congés rémunérés entre les femmes et les hommes peut s’avérer particulièrement bénéfique pour la promotion de l’emploi des femmes après la naissance d’un enfant. </w:t>
      </w:r>
      <w:r>
        <w:rPr>
          <w:rFonts w:ascii="Times New Roman" w:hAnsi="Times New Roman"/>
          <w:noProof/>
          <w:sz w:val="24"/>
          <w:lang w:val="fr-BE"/>
        </w:rPr>
        <w:t>À cette fin, l’Espagne a adopté une nouvelle loi qui étend le droit des pères</w:t>
      </w:r>
      <w:r>
        <w:rPr>
          <w:rFonts w:ascii="Times New Roman" w:hAnsi="Times New Roman"/>
          <w:noProof/>
          <w:sz w:val="24"/>
          <w:lang w:val="fr-BE"/>
        </w:rPr>
        <w:t xml:space="preserve"> au congé de paternité rémunéré, en faisant passer la durée de ce congé de 4 à 5 semaines. La République tchèque a introduit une semaine de congé de paternité rémunéré. La Slovénie a réduit la durée du congé de paternité, qui est passé de 90 à 30 jours, ma</w:t>
      </w:r>
      <w:r>
        <w:rPr>
          <w:rFonts w:ascii="Times New Roman" w:hAnsi="Times New Roman"/>
          <w:noProof/>
          <w:sz w:val="24"/>
          <w:lang w:val="fr-BE"/>
        </w:rPr>
        <w:t>is a considérablement augmenté le montant de l’allocation de paternité, en la faisant passer à 100 % du salaire. Aux Pays-Bas, un projet de loi visant à allonger la durée du congé de paternité en la faisant passer de 2 à 5 jours et à octroyer 5 semaines su</w:t>
      </w:r>
      <w:r>
        <w:rPr>
          <w:rFonts w:ascii="Times New Roman" w:hAnsi="Times New Roman"/>
          <w:noProof/>
          <w:sz w:val="24"/>
          <w:lang w:val="fr-BE"/>
        </w:rPr>
        <w:t xml:space="preserve">pplémentaires de congé parental a été transmis au Parlement. L’Estonie prévoit d’assouplir le dispositif de congé parental afin de permettre aux deux parents de prendre le congé en même temps. </w:t>
      </w:r>
    </w:p>
    <w:p w:rsidR="00723CC0" w:rsidRDefault="00242021">
      <w:pPr>
        <w:autoSpaceDE w:val="0"/>
        <w:autoSpaceDN w:val="0"/>
        <w:adjustRightInd w:val="0"/>
        <w:spacing w:line="360" w:lineRule="auto"/>
        <w:jc w:val="both"/>
        <w:rPr>
          <w:rFonts w:ascii="Times New Roman" w:hAnsi="Times New Roman" w:cs="Times New Roman"/>
          <w:b/>
          <w:noProof/>
          <w:sz w:val="24"/>
          <w:szCs w:val="24"/>
          <w:lang w:val="fr-BE"/>
        </w:rPr>
      </w:pPr>
      <w:r>
        <w:rPr>
          <w:rFonts w:ascii="Times New Roman" w:hAnsi="Times New Roman"/>
          <w:b/>
          <w:noProof/>
          <w:sz w:val="24"/>
          <w:lang w:val="fr-BE"/>
        </w:rPr>
        <w:t>Certains États membres adaptent actuellement leur système fisc</w:t>
      </w:r>
      <w:r>
        <w:rPr>
          <w:rFonts w:ascii="Times New Roman" w:hAnsi="Times New Roman"/>
          <w:b/>
          <w:noProof/>
          <w:sz w:val="24"/>
          <w:lang w:val="fr-BE"/>
        </w:rPr>
        <w:t xml:space="preserve">al et de protection sociale de manière à supprimer les obstacles au travail pour le second apporteur de revenus. </w:t>
      </w:r>
      <w:r>
        <w:rPr>
          <w:rFonts w:ascii="Times New Roman" w:hAnsi="Times New Roman"/>
          <w:noProof/>
          <w:sz w:val="24"/>
          <w:lang w:val="fr-BE"/>
        </w:rPr>
        <w:t>Le Danemark a adopté l’accord fiscal de 2018, qui renforce les incitations à travailler à plein temps, notamment pour les chômeurs et les trava</w:t>
      </w:r>
      <w:r>
        <w:rPr>
          <w:rFonts w:ascii="Times New Roman" w:hAnsi="Times New Roman"/>
          <w:noProof/>
          <w:sz w:val="24"/>
          <w:lang w:val="fr-BE"/>
        </w:rPr>
        <w:t>illeurs à temps partiel. L’Espagne a modifié la loi budgétaire 2018 afin d’introduire une déduction de l’impôt sur le revenu des personnes physiques pour les partenaires à charge ayant un faible revenu. La Lettonie a étendu la portée du revenu non imposabl</w:t>
      </w:r>
      <w:r>
        <w:rPr>
          <w:rFonts w:ascii="Times New Roman" w:hAnsi="Times New Roman"/>
          <w:noProof/>
          <w:sz w:val="24"/>
          <w:lang w:val="fr-BE"/>
        </w:rPr>
        <w:t>e aux conjoints inactifs s’occupant d’un enfant de maximum 3 ans ou d’au moins trois enfants de maximum 18 ans.</w:t>
      </w:r>
      <w:r>
        <w:rPr>
          <w:rFonts w:ascii="Times New Roman" w:hAnsi="Times New Roman"/>
          <w:b/>
          <w:noProof/>
          <w:sz w:val="24"/>
          <w:lang w:val="fr-BE"/>
        </w:rPr>
        <w:t xml:space="preserve">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Seul un petit nombre d’États membres ont pris des mesures pour lutter contre l’écart de rémunération entre hommes et femmes. </w:t>
      </w:r>
      <w:r>
        <w:rPr>
          <w:rFonts w:ascii="Times New Roman" w:hAnsi="Times New Roman"/>
          <w:noProof/>
          <w:sz w:val="24"/>
          <w:lang w:val="fr-BE"/>
        </w:rPr>
        <w:t xml:space="preserve">La Suède a mis en </w:t>
      </w:r>
      <w:r>
        <w:rPr>
          <w:rFonts w:ascii="Times New Roman" w:hAnsi="Times New Roman"/>
          <w:noProof/>
          <w:sz w:val="24"/>
          <w:lang w:val="fr-BE"/>
        </w:rPr>
        <w:t>place une nouvelle agence</w:t>
      </w:r>
      <w:r>
        <w:rPr>
          <w:rFonts w:ascii="Times New Roman" w:hAnsi="Times New Roman"/>
          <w:b/>
          <w:noProof/>
          <w:sz w:val="24"/>
          <w:lang w:val="fr-BE"/>
        </w:rPr>
        <w:t xml:space="preserve"> </w:t>
      </w:r>
      <w:r>
        <w:rPr>
          <w:rFonts w:ascii="Times New Roman" w:hAnsi="Times New Roman"/>
          <w:noProof/>
          <w:sz w:val="24"/>
          <w:lang w:val="fr-BE"/>
        </w:rPr>
        <w:t>pour l’environnement de travail qui recueillera et diffusera des informations sur les politiques de l’environnement de travail, y compris sur la ségrégation sexuelle dans les professions. L’Estonie envisage d’augmenter la transpar</w:t>
      </w:r>
      <w:r>
        <w:rPr>
          <w:rFonts w:ascii="Times New Roman" w:hAnsi="Times New Roman"/>
          <w:noProof/>
          <w:sz w:val="24"/>
          <w:lang w:val="fr-BE"/>
        </w:rPr>
        <w:t>ence salariale dans le secteur public et mettra en place un outil informatique permettant d’analyser les différences salariales entre les hommes et les femmes. La France a annoncé une série de 10 mesures pour aider à combler l’écart de rémunération entre l</w:t>
      </w:r>
      <w:r>
        <w:rPr>
          <w:rFonts w:ascii="Times New Roman" w:hAnsi="Times New Roman"/>
          <w:noProof/>
          <w:sz w:val="24"/>
          <w:lang w:val="fr-BE"/>
        </w:rPr>
        <w:t>es femmes et les hommes. En août 2018, le Portugal a introduit des mesures visant à promouvoir l’égalité de rémunération entre les femmes et les hommes qui accomplissent un travail égal ou un travail de valeur égale. Celles-ci comprennent un rapport annuel</w:t>
      </w:r>
      <w:r>
        <w:rPr>
          <w:rFonts w:ascii="Times New Roman" w:hAnsi="Times New Roman"/>
          <w:noProof/>
          <w:sz w:val="24"/>
          <w:lang w:val="fr-BE"/>
        </w:rPr>
        <w:t xml:space="preserve"> contenant des informations générales et sectorielles sur les différences de rémunération entre hommes et femmes, ainsi qu’une évaluation par entreprise, profession et niveau de qualification. Des actions spécifiques de l’inspection du travail et des sanct</w:t>
      </w:r>
      <w:r>
        <w:rPr>
          <w:rFonts w:ascii="Times New Roman" w:hAnsi="Times New Roman"/>
          <w:noProof/>
          <w:sz w:val="24"/>
          <w:lang w:val="fr-BE"/>
        </w:rPr>
        <w:t xml:space="preserve">ions à l’encontre des employeurs pratiquant un traitement discriminatoire sont envisagées.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De nombreux États membres prennent des mesures pour promouvoir l’intégration des personnes issues de l’immigration au moyen de plans stratégiques, de financements, </w:t>
      </w:r>
      <w:r>
        <w:rPr>
          <w:rFonts w:ascii="Times New Roman" w:hAnsi="Times New Roman"/>
          <w:b/>
          <w:noProof/>
          <w:sz w:val="24"/>
          <w:lang w:val="fr-BE"/>
        </w:rPr>
        <w:t>de lois et de mesures innovantes</w:t>
      </w:r>
      <w:r>
        <w:rPr>
          <w:rFonts w:ascii="Times New Roman" w:hAnsi="Times New Roman"/>
          <w:noProof/>
          <w:sz w:val="24"/>
          <w:lang w:val="fr-BE"/>
        </w:rPr>
        <w:t>. En Finlande, de nouveaux modèles de financement de l’intégration ont été introduits, accélérant le processus d’intégration et permettant aux migrants de combiner études et travail de manière flexible. À Malte, la stratégie</w:t>
      </w:r>
      <w:r>
        <w:rPr>
          <w:rFonts w:ascii="Times New Roman" w:hAnsi="Times New Roman"/>
          <w:noProof/>
          <w:sz w:val="24"/>
          <w:lang w:val="fr-BE"/>
        </w:rPr>
        <w:t xml:space="preserve"> et le plan d’action pour l’intégration des migrants («Vision 2020») ont été lancés en décembre 2017, en tant que cadre permettant de comprendre ce qu’est une intégration réussie. En Belgique, le programme d’intégration de la communauté germanophone est de</w:t>
      </w:r>
      <w:r>
        <w:rPr>
          <w:rFonts w:ascii="Times New Roman" w:hAnsi="Times New Roman"/>
          <w:noProof/>
          <w:sz w:val="24"/>
          <w:lang w:val="fr-BE"/>
        </w:rPr>
        <w:t xml:space="preserve">venu obligatoire pour les ressortissants étrangers âgés de plus de 18 ans, enregistrés dans une commune à partir de janvier 2018 et disposant d’un titre de séjour valable au moins trois mois. En Autriche, deux nouvelles lois sur l’intégration sont entrées </w:t>
      </w:r>
      <w:r>
        <w:rPr>
          <w:rFonts w:ascii="Times New Roman" w:hAnsi="Times New Roman"/>
          <w:noProof/>
          <w:sz w:val="24"/>
          <w:lang w:val="fr-BE"/>
        </w:rPr>
        <w:t>en vigueur à l’été 2017 dans le cadre d’une action plus vaste visant à promouvoir l’intégration. La loi sur l’intégration impose aux réfugiés et aux personnes bénéficiant de la protection subsidiaire de signer une «déclaration d’intégration» et de particip</w:t>
      </w:r>
      <w:r>
        <w:rPr>
          <w:rFonts w:ascii="Times New Roman" w:hAnsi="Times New Roman"/>
          <w:noProof/>
          <w:sz w:val="24"/>
          <w:lang w:val="fr-BE"/>
        </w:rPr>
        <w:t>er à des cours d’intégration. La loi fédérale sur l’asile a été adaptée, avec effet à compter du 1</w:t>
      </w:r>
      <w:r>
        <w:rPr>
          <w:rFonts w:ascii="Times New Roman" w:hAnsi="Times New Roman"/>
          <w:noProof/>
          <w:sz w:val="24"/>
          <w:vertAlign w:val="superscript"/>
          <w:lang w:val="fr-BE"/>
        </w:rPr>
        <w:t>er </w:t>
      </w:r>
      <w:r>
        <w:rPr>
          <w:rFonts w:ascii="Times New Roman" w:hAnsi="Times New Roman"/>
          <w:noProof/>
          <w:sz w:val="24"/>
          <w:lang w:val="fr-BE"/>
        </w:rPr>
        <w:t>janvier 2018, de manière à permettre aux bénéficiaires de la protection subsidiaire et aux demandeurs d’asile de bénéficier d’une aide à l’intégration, à c</w:t>
      </w:r>
      <w:r>
        <w:rPr>
          <w:rFonts w:ascii="Times New Roman" w:hAnsi="Times New Roman"/>
          <w:noProof/>
          <w:sz w:val="24"/>
          <w:lang w:val="fr-BE"/>
        </w:rPr>
        <w:t xml:space="preserve">ondition que l’octroi de la protection internationale semble très probable. </w:t>
      </w:r>
    </w:p>
    <w:p w:rsidR="00723CC0" w:rsidRDefault="00242021">
      <w:pPr>
        <w:widowControl w:val="0"/>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De nombreux États membres ont pour priorité de promouvoir l’intégration des migrants sur le marché du travail.</w:t>
      </w:r>
      <w:r>
        <w:rPr>
          <w:rFonts w:ascii="Times New Roman" w:hAnsi="Times New Roman"/>
          <w:b/>
          <w:i/>
          <w:noProof/>
          <w:sz w:val="24"/>
          <w:lang w:val="fr-BE"/>
        </w:rPr>
        <w:t xml:space="preserve"> </w:t>
      </w:r>
      <w:r>
        <w:rPr>
          <w:rFonts w:ascii="Times New Roman" w:hAnsi="Times New Roman"/>
          <w:noProof/>
          <w:sz w:val="24"/>
          <w:lang w:val="fr-BE"/>
        </w:rPr>
        <w:t>En Belgique, le service public flamand de l’emploi (VDAB) a mis en œ</w:t>
      </w:r>
      <w:r>
        <w:rPr>
          <w:rFonts w:ascii="Times New Roman" w:hAnsi="Times New Roman"/>
          <w:noProof/>
          <w:sz w:val="24"/>
          <w:lang w:val="fr-BE"/>
        </w:rPr>
        <w:t>uvre son plan d’action de 2017 intitulé «L’intégration par le travail». La Suède a adopté de nouvelles mesures visant à faciliter l’intégration des immigrés nouvellement arrivés, notamment sur le marché du travail, grâce, entre autres, à la fourniture d’un</w:t>
      </w:r>
      <w:r>
        <w:rPr>
          <w:rFonts w:ascii="Times New Roman" w:hAnsi="Times New Roman"/>
          <w:noProof/>
          <w:sz w:val="24"/>
          <w:lang w:val="fr-BE"/>
        </w:rPr>
        <w:t>e éducation et d’une formation ciblées. L’Agence suédoise pour la croissance économique et régionale facilite les contacts et la mise en réseau entre les femmes d’origine étrangère, en particulier les nouvelles venues, et les employeurs. En Estonie, une ca</w:t>
      </w:r>
      <w:r>
        <w:rPr>
          <w:rFonts w:ascii="Times New Roman" w:hAnsi="Times New Roman"/>
          <w:noProof/>
          <w:sz w:val="24"/>
          <w:lang w:val="fr-BE"/>
        </w:rPr>
        <w:t>mpagne d’information a été lancée pour favoriser l’accès des deuxième et troisième générations à l’emploi dans le secteur public. Un programme pilote de mentorat a également été lancé pour faciliter l’accès des ressortissants de pays tiers au marché du tra</w:t>
      </w:r>
      <w:r>
        <w:rPr>
          <w:rFonts w:ascii="Times New Roman" w:hAnsi="Times New Roman"/>
          <w:noProof/>
          <w:sz w:val="24"/>
          <w:lang w:val="fr-BE"/>
        </w:rPr>
        <w:t>vail.</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La promotion de l’accès à l’éducation et à la formation peut être un facteur clé de l’intégration sur le marché du travail et dans la société en général</w:t>
      </w:r>
      <w:r>
        <w:rPr>
          <w:rFonts w:ascii="Times New Roman" w:hAnsi="Times New Roman"/>
          <w:noProof/>
          <w:sz w:val="24"/>
          <w:lang w:val="fr-BE"/>
        </w:rPr>
        <w:t>. En Suède, au titre de l’obligation d’éducation et de formation, tous les immigrants qui viennent</w:t>
      </w:r>
      <w:r>
        <w:rPr>
          <w:rFonts w:ascii="Times New Roman" w:hAnsi="Times New Roman"/>
          <w:noProof/>
          <w:sz w:val="24"/>
          <w:lang w:val="fr-BE"/>
        </w:rPr>
        <w:t xml:space="preserve"> d’arriver de pays tiers, bénéficient du programme d’introduction du service public de l’emploi et sont considérés comme ayant besoin d’éducation ou de formation pour obtenir un emploi peuvent poser leur candidature pour des parcours d’études et de formati</w:t>
      </w:r>
      <w:r>
        <w:rPr>
          <w:rFonts w:ascii="Times New Roman" w:hAnsi="Times New Roman"/>
          <w:noProof/>
          <w:sz w:val="24"/>
          <w:lang w:val="fr-BE"/>
        </w:rPr>
        <w:t>on. En Estonie, une plateforme en ligne permettant aux immigrants d’apprendre l’estonien a été perfectionnée en 2017. En Finlande, des réformes de l’enseignement fondamental et professionnel visent à accroître le développement des capacités linguistiques d</w:t>
      </w:r>
      <w:r>
        <w:rPr>
          <w:rFonts w:ascii="Times New Roman" w:hAnsi="Times New Roman"/>
          <w:noProof/>
          <w:sz w:val="24"/>
          <w:lang w:val="fr-BE"/>
        </w:rPr>
        <w:t>es migrants. En outre, une modification législative a été adoptée pour assurer l’alphabétisation des migrants dans le cadre de l’éducation des adultes. La Croatie a amélioré son système de reconnaissance des qualifications pour les bénéficiaires d’une prot</w:t>
      </w:r>
      <w:r>
        <w:rPr>
          <w:rFonts w:ascii="Times New Roman" w:hAnsi="Times New Roman"/>
          <w:noProof/>
          <w:sz w:val="24"/>
          <w:lang w:val="fr-BE"/>
        </w:rPr>
        <w:t>ection internationale et leur a permis de terminer gratuitement les études commencées dans le pays d’origine. En Allemagne, des mesures ont été mises en œuvre pour aider les ressortissants de pays tiers à s’intégrer sur le marché du travail moyennant la re</w:t>
      </w:r>
      <w:r>
        <w:rPr>
          <w:rFonts w:ascii="Times New Roman" w:hAnsi="Times New Roman"/>
          <w:noProof/>
          <w:sz w:val="24"/>
          <w:lang w:val="fr-BE"/>
        </w:rPr>
        <w:t xml:space="preserve">connaissance de leurs qualifications professionnelles et diplômes, ainsi que de leurs compétences non formelles.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Les États membres prennent également des mesures spécifiques destinées aux réfugiés et aux demandeurs d’asile. </w:t>
      </w:r>
      <w:r>
        <w:rPr>
          <w:rFonts w:ascii="Times New Roman" w:hAnsi="Times New Roman"/>
          <w:noProof/>
          <w:sz w:val="24"/>
          <w:lang w:val="fr-BE"/>
        </w:rPr>
        <w:t>En Belgique, une coopération st</w:t>
      </w:r>
      <w:r>
        <w:rPr>
          <w:rFonts w:ascii="Times New Roman" w:hAnsi="Times New Roman"/>
          <w:noProof/>
          <w:sz w:val="24"/>
          <w:lang w:val="fr-BE"/>
        </w:rPr>
        <w:t>ructurelle a été convenue entre l’Agence fédérale pour l’accueil des demandeurs d’asile (Fedasil) et l’Office wallon de la formation professionnelle et de l’emploi (Forem), principalement afin de faciliter l’accès des demandeurs d’asile à l’emploi. En Esto</w:t>
      </w:r>
      <w:r>
        <w:rPr>
          <w:rFonts w:ascii="Times New Roman" w:hAnsi="Times New Roman"/>
          <w:noProof/>
          <w:sz w:val="24"/>
          <w:lang w:val="fr-BE"/>
        </w:rPr>
        <w:t>nie, l’agence d’assurance chômage a prolongé le projet «Mon premier emploi en Estonie» dans le cadre de la garantie pour la jeunesse, cofinancé par le Fonds social européen en faveur des bénéficiaires d’une protection internationale. Au Luxembourg, l’Agenc</w:t>
      </w:r>
      <w:r>
        <w:rPr>
          <w:rFonts w:ascii="Times New Roman" w:hAnsi="Times New Roman"/>
          <w:noProof/>
          <w:sz w:val="24"/>
          <w:lang w:val="fr-BE"/>
        </w:rPr>
        <w:t>e pour le développement de l’emploi a mis en place un service pour l’intégration des bénéficiaires d’une protection internationale sur le marché du travail. Aux Pays-Bas, un programme destiné aux bénéficiaires d’une protection internationale ainsi qu’aux p</w:t>
      </w:r>
      <w:r>
        <w:rPr>
          <w:rFonts w:ascii="Times New Roman" w:hAnsi="Times New Roman"/>
          <w:noProof/>
          <w:sz w:val="24"/>
          <w:lang w:val="fr-BE"/>
        </w:rPr>
        <w:t xml:space="preserve">ersonnes nées dans le pays et issues de l’immigration a été lancé pour améliorer leur accès à l’emploi. La France a lancé l’initiative «Accompagner 1 000 réfugiés sur la voie de l’insertion», qui offre à mille bénéficiaires d’une protection internationale </w:t>
      </w:r>
      <w:r>
        <w:rPr>
          <w:rFonts w:ascii="Times New Roman" w:hAnsi="Times New Roman"/>
          <w:noProof/>
          <w:sz w:val="24"/>
          <w:lang w:val="fr-BE"/>
        </w:rPr>
        <w:t>un parcours d’intégration de huit mois comprenant logement, apprentissage de la langue et formation professionnelle certifiée.</w:t>
      </w:r>
    </w:p>
    <w:p w:rsidR="00723CC0" w:rsidRDefault="00242021">
      <w:pPr>
        <w:spacing w:line="360" w:lineRule="auto"/>
        <w:jc w:val="both"/>
        <w:rPr>
          <w:noProof/>
          <w:lang w:val="fr-BE"/>
        </w:rPr>
      </w:pPr>
      <w:r>
        <w:rPr>
          <w:rFonts w:ascii="Times New Roman" w:hAnsi="Times New Roman"/>
          <w:b/>
          <w:noProof/>
          <w:sz w:val="24"/>
          <w:lang w:val="fr-BE"/>
        </w:rPr>
        <w:t xml:space="preserve">Plusieurs États membres encouragent l’emploi des personnes handicapées. </w:t>
      </w:r>
      <w:r>
        <w:rPr>
          <w:rFonts w:ascii="Times New Roman" w:hAnsi="Times New Roman"/>
          <w:noProof/>
          <w:sz w:val="24"/>
          <w:lang w:val="fr-BE"/>
        </w:rPr>
        <w:t xml:space="preserve">Depuis septembre 2017, le gouvernement grec subventionne </w:t>
      </w:r>
      <w:r>
        <w:rPr>
          <w:rFonts w:ascii="Times New Roman" w:hAnsi="Times New Roman"/>
          <w:noProof/>
          <w:sz w:val="24"/>
          <w:lang w:val="fr-BE"/>
        </w:rPr>
        <w:t>l’emploi des personnes handicapées et l’adaptation des lieux de travail au sein des administrations locales et des entreprises privées. Dans le même ordre d’idées, la Suède a relevé le plafond de subvention de l’emploi des personnes handicapées. La Pologne</w:t>
      </w:r>
      <w:r>
        <w:rPr>
          <w:rFonts w:ascii="Times New Roman" w:hAnsi="Times New Roman"/>
          <w:noProof/>
          <w:sz w:val="24"/>
          <w:lang w:val="fr-BE"/>
        </w:rPr>
        <w:t xml:space="preserve"> met actuellement en œuvre un projet financé par le Fonds social européen afin de réduire les obstacles à l’emploi des personnes handicapées. La Bulgarie investit dans la formation pour accroître l’employabilité des personnes handicapées («formation et emp</w:t>
      </w:r>
      <w:r>
        <w:rPr>
          <w:rFonts w:ascii="Times New Roman" w:hAnsi="Times New Roman"/>
          <w:noProof/>
          <w:sz w:val="24"/>
          <w:lang w:val="fr-BE"/>
        </w:rPr>
        <w:t>loi»), en accordant la priorité aux personnes souffrant de handicaps plus graves. La France a adopté la loi pour la liberté de choisir son avenir professionnel, qui vise à promouvoir l’emploi des personnes handicapées. Cette loi prévoit une intensification</w:t>
      </w:r>
      <w:r>
        <w:rPr>
          <w:rFonts w:ascii="Times New Roman" w:hAnsi="Times New Roman"/>
          <w:noProof/>
          <w:sz w:val="24"/>
          <w:lang w:val="fr-BE"/>
        </w:rPr>
        <w:t xml:space="preserve"> des approches sociomédicales en matière de recherche d’emploi, l’obligation de recruter 6 % de personnes handicapées tant au niveau de l’unité de travail qu’au niveau de l’entreprise et la mise en place d’une déclaration obligatoire de l’entreprise (à par</w:t>
      </w:r>
      <w:r>
        <w:rPr>
          <w:rFonts w:ascii="Times New Roman" w:hAnsi="Times New Roman"/>
          <w:noProof/>
          <w:sz w:val="24"/>
          <w:lang w:val="fr-BE"/>
        </w:rPr>
        <w:t>tir de janvier 2020) sur les mesures prises pour intégrer les travailleurs handicapés.</w:t>
      </w:r>
      <w:r>
        <w:rPr>
          <w:noProof/>
          <w:lang w:val="fr-BE"/>
        </w:rPr>
        <w:t xml:space="preserve"> </w:t>
      </w:r>
      <w:r>
        <w:rPr>
          <w:rFonts w:ascii="Times New Roman" w:hAnsi="Times New Roman"/>
          <w:noProof/>
          <w:sz w:val="24"/>
          <w:lang w:val="fr-BE"/>
        </w:rPr>
        <w:t>Au Portugal, une nouvelle prestation sociale accordée aux personnes handicapées à plus de 60 % vise à les encourager à continuer de travailler ou à chercher un emploi (à</w:t>
      </w:r>
      <w:r>
        <w:rPr>
          <w:rFonts w:ascii="Times New Roman" w:hAnsi="Times New Roman"/>
          <w:noProof/>
          <w:sz w:val="24"/>
          <w:lang w:val="fr-BE"/>
        </w:rPr>
        <w:t xml:space="preserve"> l’heure actuelle, les personnes handicapées n’ont pas droit à des prestations d’invalidité si elles touchent une quelconque forme de rémunération). Malte met actuellement en place une nouvelle mesure budgétaire qui permettra aux personnes handicapées de c</w:t>
      </w:r>
      <w:r>
        <w:rPr>
          <w:rFonts w:ascii="Times New Roman" w:hAnsi="Times New Roman"/>
          <w:noProof/>
          <w:sz w:val="24"/>
          <w:lang w:val="fr-BE"/>
        </w:rPr>
        <w:t>onserver la totalité de leur pension d’invalidité lorsqu’elles travaillent/obtiennent un emploi.</w:t>
      </w:r>
    </w:p>
    <w:p w:rsidR="00723CC0" w:rsidRDefault="00242021">
      <w:pPr>
        <w:rPr>
          <w:rFonts w:ascii="Times New Roman" w:hAnsi="Times New Roman" w:cs="Times New Roman"/>
          <w:b/>
          <w:noProof/>
          <w:sz w:val="24"/>
          <w:szCs w:val="24"/>
          <w:lang w:val="fr-BE"/>
        </w:rPr>
      </w:pPr>
      <w:r>
        <w:rPr>
          <w:noProof/>
          <w:lang w:val="fr-BE"/>
        </w:rPr>
        <w:br w:type="page"/>
      </w:r>
    </w:p>
    <w:p w:rsidR="00723CC0" w:rsidRDefault="00242021">
      <w:pPr>
        <w:pStyle w:val="Heading3"/>
        <w:numPr>
          <w:ilvl w:val="1"/>
          <w:numId w:val="10"/>
        </w:numPr>
        <w:ind w:left="426"/>
        <w:jc w:val="both"/>
        <w:rPr>
          <w:rFonts w:cs="Times New Roman"/>
          <w:b/>
          <w:i w:val="0"/>
          <w:noProof/>
          <w:lang w:val="fr-BE"/>
        </w:rPr>
      </w:pPr>
      <w:bookmarkStart w:id="61" w:name="_Toc527539788"/>
      <w:bookmarkStart w:id="62" w:name="_Toc530495155"/>
      <w:r>
        <w:rPr>
          <w:b/>
          <w:i w:val="0"/>
          <w:noProof/>
          <w:lang w:val="fr-BE"/>
        </w:rPr>
        <w:t>Ligne directrice nº 7: Améliorer le fonctionnement des marchés du travail et l’efficacité du dialogue social</w:t>
      </w:r>
      <w:bookmarkEnd w:id="61"/>
      <w:bookmarkEnd w:id="62"/>
      <w:r>
        <w:rPr>
          <w:b/>
          <w:i w:val="0"/>
          <w:noProof/>
          <w:lang w:val="fr-BE"/>
        </w:rPr>
        <w:t xml:space="preserve"> </w:t>
      </w:r>
    </w:p>
    <w:p w:rsidR="00723CC0" w:rsidRDefault="00723CC0">
      <w:pPr>
        <w:spacing w:line="360" w:lineRule="auto"/>
        <w:jc w:val="both"/>
        <w:rPr>
          <w:rFonts w:ascii="Times New Roman" w:hAnsi="Times New Roman" w:cs="Times New Roman"/>
          <w:b/>
          <w:noProof/>
          <w:sz w:val="24"/>
          <w:szCs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La présente section examine la mise en œuvre </w:t>
      </w:r>
      <w:r>
        <w:rPr>
          <w:rFonts w:ascii="Times New Roman" w:hAnsi="Times New Roman"/>
          <w:noProof/>
          <w:sz w:val="24"/>
          <w:lang w:val="fr-BE"/>
        </w:rPr>
        <w:t>de la ligne directrice pour l’emploi nº 7, qui recommande aux États membres d’améliorer le fonctionnement du marché du travail et l’efficacité du dialogue social. Il s’agit notamment de trouver un équilibre entre flexibilité et sécurité dans les politiques</w:t>
      </w:r>
      <w:r>
        <w:rPr>
          <w:rFonts w:ascii="Times New Roman" w:hAnsi="Times New Roman"/>
          <w:noProof/>
          <w:sz w:val="24"/>
          <w:lang w:val="fr-BE"/>
        </w:rPr>
        <w:t xml:space="preserve"> du marché du travail, de prévenir la segmentation des marchés du travail et de favoriser les transitions vers des formes d’emploi à durée indéterminée, de garantir des politiques actives du marché du travail et des services publics de l’emploi, de fournir</w:t>
      </w:r>
      <w:r>
        <w:rPr>
          <w:rFonts w:ascii="Times New Roman" w:hAnsi="Times New Roman"/>
          <w:noProof/>
          <w:sz w:val="24"/>
          <w:lang w:val="fr-BE"/>
        </w:rPr>
        <w:t xml:space="preserve"> des prestations de chômage adéquates qui ne découragent pas un retour rapide à l’emploi, et de promouvoir la mobilité des travailleurs et des apprenants. En outre, la ligne directrice recommande aux États membres d’assurer une participation constructive e</w:t>
      </w:r>
      <w:r>
        <w:rPr>
          <w:rFonts w:ascii="Times New Roman" w:hAnsi="Times New Roman"/>
          <w:noProof/>
          <w:sz w:val="24"/>
          <w:lang w:val="fr-BE"/>
        </w:rPr>
        <w:t>t en temps utile des partenaires sociaux à la conception et la mise en œuvre des politiques, notamment en soutenant le renforcement des capacités des partenaires sociaux. Le chapitre commence par introduire brièvement les indicateurs clés mettant en éviden</w:t>
      </w:r>
      <w:r>
        <w:rPr>
          <w:rFonts w:ascii="Times New Roman" w:hAnsi="Times New Roman"/>
          <w:noProof/>
          <w:sz w:val="24"/>
          <w:lang w:val="fr-BE"/>
        </w:rPr>
        <w:t>ce les difficultés dans ce domaine, notamment en ce qui concerne la segmentation du marché entre postes permanents et temporaires (ainsi que les problèmes connexes liés à la qualité des emplois), la participation aux politiques actives du marché du travail</w:t>
      </w:r>
      <w:r>
        <w:rPr>
          <w:rFonts w:ascii="Times New Roman" w:hAnsi="Times New Roman"/>
          <w:noProof/>
          <w:sz w:val="24"/>
          <w:lang w:val="fr-BE"/>
        </w:rPr>
        <w:t xml:space="preserve"> et aux SPE, le fonctionnement des prestations de chômage (grâce à une mise à jour de l’analyse comparative présentée en 2018) et le degré de mobilité des travailleurs et des apprenants. La section 3.3.2, enfin, rend compte des mesures prises par les États</w:t>
      </w:r>
      <w:r>
        <w:rPr>
          <w:rFonts w:ascii="Times New Roman" w:hAnsi="Times New Roman"/>
          <w:noProof/>
          <w:sz w:val="24"/>
          <w:lang w:val="fr-BE"/>
        </w:rPr>
        <w:t xml:space="preserve"> membres dans ces domaines.</w:t>
      </w:r>
    </w:p>
    <w:p w:rsidR="00723CC0" w:rsidRDefault="00242021">
      <w:pPr>
        <w:pStyle w:val="Heading3"/>
        <w:rPr>
          <w:noProof/>
          <w:lang w:val="fr-BE"/>
        </w:rPr>
      </w:pPr>
      <w:bookmarkStart w:id="63" w:name="_Toc527539789"/>
      <w:bookmarkStart w:id="64" w:name="_Toc530495156"/>
      <w:r>
        <w:rPr>
          <w:noProof/>
          <w:lang w:val="fr-BE"/>
        </w:rPr>
        <w:t xml:space="preserve">3.3.1 </w:t>
      </w:r>
      <w:r>
        <w:rPr>
          <w:noProof/>
          <w:lang w:val="fr-BE"/>
        </w:rPr>
        <w:tab/>
        <w:t>Indicateurs clés</w:t>
      </w:r>
      <w:bookmarkEnd w:id="63"/>
      <w:bookmarkEnd w:id="64"/>
    </w:p>
    <w:p w:rsidR="00723CC0" w:rsidRDefault="00242021">
      <w:pPr>
        <w:spacing w:line="360" w:lineRule="auto"/>
        <w:jc w:val="both"/>
        <w:rPr>
          <w:rFonts w:ascii="Times New Roman" w:hAnsi="Times New Roman"/>
          <w:noProof/>
          <w:sz w:val="24"/>
          <w:szCs w:val="24"/>
          <w:lang w:val="fr-BE"/>
        </w:rPr>
      </w:pPr>
      <w:r>
        <w:rPr>
          <w:rFonts w:ascii="Times New Roman" w:hAnsi="Times New Roman"/>
          <w:b/>
          <w:noProof/>
          <w:sz w:val="24"/>
          <w:lang w:val="fr-BE"/>
        </w:rPr>
        <w:t xml:space="preserve">Bien qu’elle soit à peu près stable au niveau de l’UE, la segmentation du marché du travail constitue un problème pour plusieurs États membres. </w:t>
      </w:r>
      <w:r>
        <w:rPr>
          <w:rFonts w:ascii="Times New Roman" w:hAnsi="Times New Roman"/>
          <w:noProof/>
          <w:sz w:val="24"/>
          <w:lang w:val="fr-BE"/>
        </w:rPr>
        <w:t>On parle de segmentation quand (au moins) deux «segments» de</w:t>
      </w:r>
      <w:r>
        <w:rPr>
          <w:rFonts w:ascii="Times New Roman" w:hAnsi="Times New Roman"/>
          <w:noProof/>
          <w:sz w:val="24"/>
          <w:lang w:val="fr-BE"/>
        </w:rPr>
        <w:t xml:space="preserve"> travailleurs caractérisés par différents droits et/ou conditions de travail coexistent sur le marché du travail. La segmentation est susceptible de nuire au fonctionnement et à l’équité des marchés du travail, surtout si elle est associée à des possibilit</w:t>
      </w:r>
      <w:r>
        <w:rPr>
          <w:rFonts w:ascii="Times New Roman" w:hAnsi="Times New Roman"/>
          <w:noProof/>
          <w:sz w:val="24"/>
          <w:lang w:val="fr-BE"/>
        </w:rPr>
        <w:t>és limitées de passer d’un emploi atypique à un emploi permanent. Une forte</w:t>
      </w:r>
      <w:r>
        <w:rPr>
          <w:rFonts w:ascii="Times New Roman" w:hAnsi="Times New Roman"/>
          <w:b/>
          <w:noProof/>
          <w:sz w:val="24"/>
          <w:lang w:val="fr-BE"/>
        </w:rPr>
        <w:t xml:space="preserve"> </w:t>
      </w:r>
      <w:r>
        <w:rPr>
          <w:rFonts w:ascii="Times New Roman" w:hAnsi="Times New Roman"/>
          <w:noProof/>
          <w:sz w:val="24"/>
          <w:lang w:val="fr-BE"/>
        </w:rPr>
        <w:t>proportion de travailleurs temporaires peut donner une indication approximative de la segmentation du marché du travail dans un État membre. Au niveau de l’Union européenne (graphi</w:t>
      </w:r>
      <w:r>
        <w:rPr>
          <w:rFonts w:ascii="Times New Roman" w:hAnsi="Times New Roman"/>
          <w:noProof/>
          <w:sz w:val="24"/>
          <w:lang w:val="fr-BE"/>
        </w:rPr>
        <w:t xml:space="preserve">que 39), la proportion de contrats temporaires par rapport à l’ensemble des salariés n’a pas évolué de manière significative au cours des dernières années, et s’élevait à environ 14 % en moyenne au cours des dix dernières années. Cependant, certains États </w:t>
      </w:r>
      <w:r>
        <w:rPr>
          <w:rFonts w:ascii="Times New Roman" w:hAnsi="Times New Roman"/>
          <w:noProof/>
          <w:sz w:val="24"/>
          <w:lang w:val="fr-BE"/>
        </w:rPr>
        <w:t>membres affichent des niveaux beaucoup plus élevés: c’est le cas notamment de l’Espagne, de la Pologne, du Portugal, des Pays-Bas et de la Croatie, qui ont tous enregistré des taux supérieurs à 20 % en 2017; six autres États membres (Slovénie, France, Suèd</w:t>
      </w:r>
      <w:r>
        <w:rPr>
          <w:rFonts w:ascii="Times New Roman" w:hAnsi="Times New Roman"/>
          <w:noProof/>
          <w:sz w:val="24"/>
          <w:lang w:val="fr-BE"/>
        </w:rPr>
        <w:t>e, Finlande, Italie et Chypre) les talonnent, avec une fourchette comprise entre 15 % et 20 %. Certains de ces pays ont connu une augmentation considérable entre 2008 et 2017, notamment la Croatie (8 points de pourcentage), la Slovaquie (5 points de pource</w:t>
      </w:r>
      <w:r>
        <w:rPr>
          <w:rFonts w:ascii="Times New Roman" w:hAnsi="Times New Roman"/>
          <w:noProof/>
          <w:sz w:val="24"/>
          <w:lang w:val="fr-BE"/>
        </w:rPr>
        <w:t>ntage), les Pays-Bas (4 points de pourcentage environ) et l’Italie (2 points de pourcentage). Une augmentation considérable a également été enregistrée au Danemark (de 8,5 % en 2008 à 12,9 % en 2017). Il existe un cas particulier: celui de l’Espagne, où la</w:t>
      </w:r>
      <w:r>
        <w:rPr>
          <w:rFonts w:ascii="Times New Roman" w:hAnsi="Times New Roman"/>
          <w:noProof/>
          <w:sz w:val="24"/>
          <w:lang w:val="fr-BE"/>
        </w:rPr>
        <w:t xml:space="preserve"> part des contrats temporaires a nettement baissé au cours de la crise (de 29,2 % en 2008 à 23,2 % en 2013), avant d’augmenter à nouveau avec la relance (jusqu’à 26,8 % en 2017).</w:t>
      </w:r>
    </w:p>
    <w:p w:rsidR="00723CC0" w:rsidRDefault="00723CC0">
      <w:pPr>
        <w:spacing w:line="360" w:lineRule="auto"/>
        <w:jc w:val="both"/>
        <w:rPr>
          <w:rFonts w:ascii="Times New Roman" w:hAnsi="Times New Roman"/>
          <w:noProof/>
          <w:sz w:val="24"/>
          <w:szCs w:val="24"/>
          <w:lang w:val="fr-BE"/>
        </w:rPr>
      </w:pPr>
    </w:p>
    <w:p w:rsidR="00723CC0" w:rsidRDefault="00242021">
      <w:pPr>
        <w:keepNext/>
        <w:jc w:val="both"/>
        <w:rPr>
          <w:rFonts w:ascii="Times New Roman" w:hAnsi="Times New Roman"/>
          <w:noProof/>
          <w:sz w:val="24"/>
          <w:szCs w:val="24"/>
          <w:lang w:val="fr-BE"/>
        </w:rPr>
      </w:pPr>
      <w:bookmarkStart w:id="65" w:name="_Ref528664728"/>
      <w:r>
        <w:rPr>
          <w:rFonts w:ascii="Times New Roman" w:hAnsi="Times New Roman"/>
          <w:b/>
          <w:noProof/>
          <w:sz w:val="24"/>
          <w:lang w:val="fr-BE"/>
        </w:rPr>
        <w:t>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39</w:t>
      </w:r>
      <w:r>
        <w:rPr>
          <w:rFonts w:ascii="Times New Roman" w:hAnsi="Times New Roman"/>
          <w:b/>
          <w:noProof/>
          <w:sz w:val="24"/>
          <w:szCs w:val="24"/>
        </w:rPr>
        <w:fldChar w:fldCharType="end"/>
      </w:r>
      <w:bookmarkEnd w:id="65"/>
      <w:r>
        <w:rPr>
          <w:rFonts w:ascii="Times New Roman" w:hAnsi="Times New Roman"/>
          <w:b/>
          <w:noProof/>
          <w:sz w:val="24"/>
          <w:lang w:val="fr-BE"/>
        </w:rPr>
        <w:t xml:space="preserve">: Part des travailleurs temporaires par rapport à l’ensemble des salariés (15-64 ans). </w:t>
      </w:r>
    </w:p>
    <w:p w:rsidR="00723CC0" w:rsidRDefault="00242021">
      <w:pPr>
        <w:jc w:val="both"/>
        <w:rPr>
          <w:rFonts w:ascii="Times New Roman" w:hAnsi="Times New Roman"/>
          <w:noProof/>
          <w:sz w:val="20"/>
          <w:szCs w:val="20"/>
        </w:rPr>
      </w:pPr>
      <w:r>
        <w:rPr>
          <w:rFonts w:ascii="Times New Roman" w:hAnsi="Times New Roman"/>
          <w:noProof/>
          <w:sz w:val="20"/>
          <w:szCs w:val="20"/>
          <w:lang w:val="en-GB" w:eastAsia="en-GB" w:bidi="ar-SA"/>
        </w:rPr>
        <w:drawing>
          <wp:inline distT="0" distB="0" distL="0" distR="0">
            <wp:extent cx="5748793" cy="2504661"/>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5760547" cy="2509782"/>
                    </a:xfrm>
                    <a:prstGeom prst="rect">
                      <a:avLst/>
                    </a:prstGeom>
                    <a:noFill/>
                  </pic:spPr>
                </pic:pic>
              </a:graphicData>
            </a:graphic>
          </wp:inline>
        </w:drawing>
      </w:r>
    </w:p>
    <w:p w:rsidR="00723CC0" w:rsidRDefault="00242021">
      <w:pPr>
        <w:jc w:val="both"/>
        <w:rPr>
          <w:rFonts w:ascii="Times New Roman" w:hAnsi="Times New Roman"/>
          <w:noProof/>
          <w:sz w:val="20"/>
          <w:szCs w:val="20"/>
          <w:lang w:val="fr-BE"/>
        </w:rPr>
      </w:pPr>
      <w:r>
        <w:rPr>
          <w:rFonts w:ascii="Times New Roman" w:hAnsi="Times New Roman"/>
          <w:noProof/>
          <w:sz w:val="20"/>
          <w:lang w:val="fr-BE"/>
        </w:rPr>
        <w:t>Source: Eurostat, EFT.</w:t>
      </w:r>
    </w:p>
    <w:p w:rsidR="00723CC0" w:rsidRDefault="00723CC0">
      <w:pPr>
        <w:autoSpaceDE w:val="0"/>
        <w:autoSpaceDN w:val="0"/>
        <w:adjustRightInd w:val="0"/>
        <w:spacing w:line="240" w:lineRule="auto"/>
        <w:jc w:val="both"/>
        <w:rPr>
          <w:rFonts w:ascii="Times New Roman" w:hAnsi="Times New Roman" w:cs="Times New Roman"/>
          <w:b/>
          <w:bCs/>
          <w:noProof/>
          <w:sz w:val="24"/>
          <w:szCs w:val="24"/>
          <w:lang w:val="fr-BE"/>
        </w:rPr>
      </w:pPr>
    </w:p>
    <w:p w:rsidR="00723CC0" w:rsidRDefault="00242021">
      <w:pPr>
        <w:autoSpaceDE w:val="0"/>
        <w:autoSpaceDN w:val="0"/>
        <w:adjustRightInd w:val="0"/>
        <w:spacing w:line="360" w:lineRule="auto"/>
        <w:jc w:val="both"/>
        <w:rPr>
          <w:rFonts w:ascii="Times New Roman" w:hAnsi="Times New Roman"/>
          <w:noProof/>
          <w:sz w:val="24"/>
          <w:lang w:val="fr-BE"/>
        </w:rPr>
      </w:pPr>
      <w:r>
        <w:rPr>
          <w:rFonts w:ascii="Times New Roman" w:hAnsi="Times New Roman"/>
          <w:b/>
          <w:noProof/>
          <w:sz w:val="24"/>
          <w:lang w:val="fr-BE"/>
        </w:rPr>
        <w:t xml:space="preserve">Les contrats temporaires peuvent servir de tremplin vers des emplois permanents, mais représentent souvent des «impasses». </w:t>
      </w:r>
      <w:r>
        <w:rPr>
          <w:rFonts w:ascii="Times New Roman" w:hAnsi="Times New Roman"/>
          <w:noProof/>
          <w:sz w:val="24"/>
          <w:lang w:val="fr-BE"/>
        </w:rPr>
        <w:t xml:space="preserve">Le graphique 40 </w:t>
      </w:r>
      <w:r>
        <w:rPr>
          <w:rFonts w:ascii="Times New Roman" w:hAnsi="Times New Roman"/>
          <w:noProof/>
          <w:sz w:val="24"/>
          <w:lang w:val="fr-BE"/>
        </w:rPr>
        <w:t>montre les taux de transition des contrats temporaires vers des contrats permanents (la moyenne a été établie sur trois ans pour réduire le plus possible l’incidence des fluctuations à court terme) en fonction de la part des contrats temporaires par rappor</w:t>
      </w:r>
      <w:r>
        <w:rPr>
          <w:rFonts w:ascii="Times New Roman" w:hAnsi="Times New Roman"/>
          <w:noProof/>
          <w:sz w:val="24"/>
          <w:lang w:val="fr-BE"/>
        </w:rPr>
        <w:t>t à l’ensemble des salariés. En moyenne, 24 % des travailleurs sous contrat temporaire passent à un contrat à permanent au cours de l’année suivante. Toutefois, dans plusieurs États membres, le taux de transition annuel est nettement inférieur à la moyenne</w:t>
      </w:r>
      <w:r>
        <w:rPr>
          <w:rFonts w:ascii="Times New Roman" w:hAnsi="Times New Roman"/>
          <w:noProof/>
          <w:sz w:val="24"/>
          <w:lang w:val="fr-BE"/>
        </w:rPr>
        <w:t xml:space="preserve"> de l’UE. C’est le cas, en particulier, de l’Espagne, de la France, de la Pologne et de l’Italie, où le faible taux de transition (environ 11 % pour les deux premiers pays, 20 % pour l’Italie et 22 % pour la Pologne) est combiné à une proportion élevée de </w:t>
      </w:r>
      <w:r>
        <w:rPr>
          <w:rFonts w:ascii="Times New Roman" w:hAnsi="Times New Roman"/>
          <w:noProof/>
          <w:sz w:val="24"/>
          <w:lang w:val="fr-BE"/>
        </w:rPr>
        <w:t>contrats temporaires, ce qui indique l’existence d’une segmentation. Les taux de transition sont comparativement plus élevés dans les États membres ayant une faible proportion de contrats à durée déterminée. À l’inverse, dans les pays ayant une forte propo</w:t>
      </w:r>
      <w:r>
        <w:rPr>
          <w:rFonts w:ascii="Times New Roman" w:hAnsi="Times New Roman"/>
          <w:noProof/>
          <w:sz w:val="24"/>
          <w:lang w:val="fr-BE"/>
        </w:rPr>
        <w:t>rtion de contrats à durée déterminée, les travailleurs ont tendance à être coincés dans des emplois temporaires. La Suède et la Slovénie font figure d’exception notable: malgré une forte proportion de travailleurs temporaires, les taux de transition actuel</w:t>
      </w:r>
      <w:r>
        <w:rPr>
          <w:rFonts w:ascii="Times New Roman" w:hAnsi="Times New Roman"/>
          <w:noProof/>
          <w:sz w:val="24"/>
          <w:lang w:val="fr-BE"/>
        </w:rPr>
        <w:t>s approchent, voire dépassent 40 %.</w:t>
      </w:r>
    </w:p>
    <w:p w:rsidR="00723CC0" w:rsidRDefault="00723CC0">
      <w:pPr>
        <w:autoSpaceDE w:val="0"/>
        <w:autoSpaceDN w:val="0"/>
        <w:adjustRightInd w:val="0"/>
        <w:spacing w:line="360" w:lineRule="auto"/>
        <w:jc w:val="both"/>
        <w:rPr>
          <w:rFonts w:ascii="Times New Roman" w:hAnsi="Times New Roman" w:cs="Times New Roman"/>
          <w:bCs/>
          <w:noProof/>
          <w:sz w:val="24"/>
          <w:szCs w:val="24"/>
          <w:lang w:val="fr-BE"/>
        </w:rPr>
      </w:pPr>
    </w:p>
    <w:p w:rsidR="00723CC0" w:rsidRDefault="00242021">
      <w:pPr>
        <w:keepNext/>
        <w:autoSpaceDE w:val="0"/>
        <w:autoSpaceDN w:val="0"/>
        <w:adjustRightInd w:val="0"/>
        <w:spacing w:line="360" w:lineRule="auto"/>
        <w:jc w:val="both"/>
        <w:rPr>
          <w:rFonts w:ascii="Times New Roman" w:hAnsi="Times New Roman"/>
          <w:noProof/>
          <w:sz w:val="24"/>
          <w:szCs w:val="24"/>
          <w:lang w:val="fr-BE"/>
        </w:rPr>
      </w:pPr>
      <w:bookmarkStart w:id="66" w:name="_Ref528664745"/>
      <w:r>
        <w:rPr>
          <w:rFonts w:ascii="Times New Roman" w:hAnsi="Times New Roman"/>
          <w:b/>
          <w:noProof/>
          <w:sz w:val="24"/>
          <w:lang w:val="fr-BE"/>
        </w:rPr>
        <w:t>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40</w:t>
      </w:r>
      <w:r>
        <w:rPr>
          <w:rFonts w:ascii="Times New Roman" w:hAnsi="Times New Roman"/>
          <w:b/>
          <w:noProof/>
          <w:sz w:val="24"/>
          <w:szCs w:val="24"/>
        </w:rPr>
        <w:fldChar w:fldCharType="end"/>
      </w:r>
      <w:bookmarkEnd w:id="66"/>
      <w:r>
        <w:rPr>
          <w:rFonts w:ascii="Times New Roman" w:hAnsi="Times New Roman"/>
          <w:b/>
          <w:noProof/>
          <w:sz w:val="24"/>
          <w:lang w:val="fr-BE"/>
        </w:rPr>
        <w:t>: Part des travailleurs temporaires par rapport à l’ensemble des salariés âgés de 15 à 64 ans (2017) et taux de transition vers des emplois permanents, moyenne sur 3 ans (2016).</w:t>
      </w:r>
      <w:r>
        <w:rPr>
          <w:rFonts w:ascii="Times New Roman" w:hAnsi="Times New Roman"/>
          <w:noProof/>
          <w:sz w:val="24"/>
          <w:lang w:val="fr-BE"/>
        </w:rPr>
        <w:t xml:space="preserve"> </w:t>
      </w:r>
    </w:p>
    <w:p w:rsidR="00723CC0" w:rsidRDefault="00242021">
      <w:pPr>
        <w:jc w:val="both"/>
        <w:rPr>
          <w:rFonts w:ascii="Times New Roman" w:hAnsi="Times New Roman"/>
          <w:noProof/>
          <w:sz w:val="24"/>
          <w:szCs w:val="24"/>
        </w:rPr>
      </w:pPr>
      <w:r>
        <w:rPr>
          <w:rFonts w:ascii="Times New Roman" w:hAnsi="Times New Roman"/>
          <w:noProof/>
          <w:sz w:val="24"/>
          <w:szCs w:val="24"/>
          <w:lang w:val="en-GB" w:eastAsia="en-GB" w:bidi="ar-SA"/>
        </w:rPr>
        <w:drawing>
          <wp:inline distT="0" distB="0" distL="0" distR="0">
            <wp:extent cx="5995284" cy="2454725"/>
            <wp:effectExtent l="0" t="0" r="571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6011125" cy="2461211"/>
                    </a:xfrm>
                    <a:prstGeom prst="rect">
                      <a:avLst/>
                    </a:prstGeom>
                    <a:noFill/>
                  </pic:spPr>
                </pic:pic>
              </a:graphicData>
            </a:graphic>
          </wp:inline>
        </w:drawing>
      </w:r>
    </w:p>
    <w:p w:rsidR="00723CC0" w:rsidRDefault="00242021">
      <w:pPr>
        <w:spacing w:after="0" w:line="240" w:lineRule="auto"/>
        <w:jc w:val="both"/>
        <w:rPr>
          <w:rFonts w:ascii="Times New Roman" w:hAnsi="Times New Roman"/>
          <w:noProof/>
          <w:sz w:val="20"/>
          <w:szCs w:val="20"/>
          <w:lang w:val="fr-BE"/>
        </w:rPr>
      </w:pPr>
      <w:r>
        <w:rPr>
          <w:rFonts w:ascii="Times New Roman" w:hAnsi="Times New Roman"/>
          <w:noProof/>
          <w:sz w:val="20"/>
          <w:lang w:val="fr-BE"/>
        </w:rPr>
        <w:t>S</w:t>
      </w:r>
      <w:r>
        <w:rPr>
          <w:rFonts w:ascii="Times New Roman" w:hAnsi="Times New Roman"/>
          <w:noProof/>
          <w:sz w:val="20"/>
          <w:lang w:val="fr-BE"/>
        </w:rPr>
        <w:t>ource: Eurostat, EFT, SILC.</w:t>
      </w:r>
    </w:p>
    <w:p w:rsidR="00723CC0" w:rsidRDefault="00242021">
      <w:pPr>
        <w:spacing w:after="0" w:line="240" w:lineRule="auto"/>
        <w:jc w:val="both"/>
        <w:rPr>
          <w:rFonts w:ascii="Times New Roman" w:hAnsi="Times New Roman"/>
          <w:noProof/>
          <w:sz w:val="20"/>
          <w:szCs w:val="20"/>
          <w:lang w:val="fr-BE"/>
        </w:rPr>
      </w:pPr>
      <w:r>
        <w:rPr>
          <w:rFonts w:ascii="Times New Roman" w:hAnsi="Times New Roman"/>
          <w:noProof/>
          <w:sz w:val="20"/>
          <w:lang w:val="fr-BE"/>
        </w:rPr>
        <w:t>Note: les taux de transition pour l’Irlande et Malte se rapportent à l’année 2015.</w:t>
      </w:r>
    </w:p>
    <w:p w:rsidR="00723CC0" w:rsidRDefault="00723CC0">
      <w:pPr>
        <w:spacing w:after="0" w:line="240" w:lineRule="auto"/>
        <w:jc w:val="both"/>
        <w:rPr>
          <w:rFonts w:ascii="Times New Roman" w:hAnsi="Times New Roman"/>
          <w:noProof/>
          <w:sz w:val="20"/>
          <w:szCs w:val="20"/>
          <w:lang w:val="fr-BE"/>
        </w:rPr>
      </w:pPr>
    </w:p>
    <w:p w:rsidR="00723CC0" w:rsidRDefault="00723CC0">
      <w:pPr>
        <w:jc w:val="both"/>
        <w:rPr>
          <w:rFonts w:ascii="Times New Roman" w:hAnsi="Times New Roman"/>
          <w:noProof/>
          <w:sz w:val="24"/>
          <w:szCs w:val="24"/>
          <w:lang w:val="fr-BE"/>
        </w:rPr>
      </w:pP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 xml:space="preserve">La majorité des travailleurs temporaires dans l’UE ont un contrat à durée déterminée parce qu’ils ne trouvent pas d’emploi permanent. </w:t>
      </w:r>
      <w:r>
        <w:rPr>
          <w:rFonts w:ascii="Times New Roman" w:hAnsi="Times New Roman"/>
          <w:noProof/>
          <w:sz w:val="24"/>
          <w:lang w:val="fr-BE"/>
        </w:rPr>
        <w:t xml:space="preserve">La </w:t>
      </w:r>
      <w:r>
        <w:rPr>
          <w:rFonts w:ascii="Times New Roman" w:hAnsi="Times New Roman"/>
          <w:noProof/>
          <w:sz w:val="24"/>
          <w:lang w:val="fr-BE"/>
        </w:rPr>
        <w:t>proportion de travailleurs temporaires «involontaires» est une indication supplémentaire de la segmentation du marché du travail; environ 54 % de tous les travailleurs temporaires âgés de 15 à 64 ans dans l’UE se trouvent dans cette situation (soit 2 point</w:t>
      </w:r>
      <w:r>
        <w:rPr>
          <w:rFonts w:ascii="Times New Roman" w:hAnsi="Times New Roman"/>
          <w:noProof/>
          <w:sz w:val="24"/>
          <w:lang w:val="fr-BE"/>
        </w:rPr>
        <w:t>s de pourcentage de plus qu’en 2008), mais cette proportion est supérieure à 70 % dans 12 États membres. Dans cette perspective, la situation d’États membres tels que le Portugal, la Croatie et l’Espagne, qui affichent une proportion élevée de personnel te</w:t>
      </w:r>
      <w:r>
        <w:rPr>
          <w:rFonts w:ascii="Times New Roman" w:hAnsi="Times New Roman"/>
          <w:noProof/>
          <w:sz w:val="24"/>
          <w:lang w:val="fr-BE"/>
        </w:rPr>
        <w:t>mporaire associée à un pourcentage de «caractère involontaire» supérieur à 80 %, est particulièrement difficile (graphique 41). La situation de Chypre appelle également un suivi: même si le pourcentage de travailleurs temporaires n’y est que légèrement sup</w:t>
      </w:r>
      <w:r>
        <w:rPr>
          <w:rFonts w:ascii="Times New Roman" w:hAnsi="Times New Roman"/>
          <w:noProof/>
          <w:sz w:val="24"/>
          <w:lang w:val="fr-BE"/>
        </w:rPr>
        <w:t>érieur à la moyenne de l’UE, 91,9 % de ces travailleurs se trouvent dans cette situation parce qu’ils n’ont pas trouvé d’emploi permanent. Habituellement, les jeunes travailleurs sont plus disposés à accepter des emplois temporaires; comme le montre le gra</w:t>
      </w:r>
      <w:r>
        <w:rPr>
          <w:rFonts w:ascii="Times New Roman" w:hAnsi="Times New Roman"/>
          <w:noProof/>
          <w:sz w:val="24"/>
          <w:lang w:val="fr-BE"/>
        </w:rPr>
        <w:t>phique 41, lorsque l’on prend en considération le groupe des 25-64 ans, la part des travailleurs temporaires involontaires est plus élevée dans tous les États membres. Il est intéressant de noter que l’écart entre le groupe d’âge de 15 à 64 ans et celui de</w:t>
      </w:r>
      <w:r>
        <w:rPr>
          <w:rFonts w:ascii="Times New Roman" w:hAnsi="Times New Roman"/>
          <w:noProof/>
          <w:sz w:val="24"/>
          <w:lang w:val="fr-BE"/>
        </w:rPr>
        <w:t xml:space="preserve"> 25 à 64 ans est le plus faible là où la proportion de travailleurs temporaires involontaires est la plus élevée, ce qui indique que, sur les marchés du travail plus segmentés, les jeunes travailleurs également ont une préférence marquée pour les contrats </w:t>
      </w:r>
      <w:r>
        <w:rPr>
          <w:rFonts w:ascii="Times New Roman" w:hAnsi="Times New Roman"/>
          <w:noProof/>
          <w:sz w:val="24"/>
          <w:lang w:val="fr-BE"/>
        </w:rPr>
        <w:t>à durée indéterminée. La proportion de travailleurs âgés (de 55 à 64 ans) sous contrat temporaire involontaire a considérablement augmenté avec la crise, passant de 51,9 % en 2008 à 60,6 % en 2017.</w:t>
      </w:r>
    </w:p>
    <w:p w:rsidR="00723CC0" w:rsidRDefault="00723CC0">
      <w:pPr>
        <w:spacing w:line="360" w:lineRule="auto"/>
        <w:jc w:val="both"/>
        <w:rPr>
          <w:rFonts w:ascii="Times New Roman" w:hAnsi="Times New Roman"/>
          <w:noProof/>
          <w:sz w:val="24"/>
          <w:szCs w:val="24"/>
          <w:lang w:val="fr-BE"/>
        </w:rPr>
      </w:pPr>
    </w:p>
    <w:p w:rsidR="00723CC0" w:rsidRDefault="00242021">
      <w:pPr>
        <w:keepNext/>
        <w:jc w:val="both"/>
        <w:rPr>
          <w:rFonts w:ascii="Times New Roman" w:hAnsi="Times New Roman"/>
          <w:b/>
          <w:noProof/>
          <w:sz w:val="24"/>
          <w:szCs w:val="24"/>
          <w:lang w:val="fr-BE"/>
        </w:rPr>
      </w:pPr>
      <w:bookmarkStart w:id="67" w:name="_Ref528664755"/>
      <w:r>
        <w:rPr>
          <w:rFonts w:ascii="Times New Roman" w:hAnsi="Times New Roman"/>
          <w:b/>
          <w:noProof/>
          <w:sz w:val="24"/>
          <w:lang w:val="fr-BE"/>
        </w:rPr>
        <w:t>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41</w:t>
      </w:r>
      <w:r>
        <w:rPr>
          <w:rFonts w:ascii="Times New Roman" w:hAnsi="Times New Roman"/>
          <w:b/>
          <w:noProof/>
          <w:sz w:val="24"/>
          <w:szCs w:val="24"/>
        </w:rPr>
        <w:fldChar w:fldCharType="end"/>
      </w:r>
      <w:bookmarkEnd w:id="67"/>
      <w:r>
        <w:rPr>
          <w:rFonts w:ascii="Times New Roman" w:hAnsi="Times New Roman"/>
          <w:b/>
          <w:noProof/>
          <w:sz w:val="24"/>
          <w:lang w:val="fr-BE"/>
        </w:rPr>
        <w:t>: Part des travaille</w:t>
      </w:r>
      <w:r>
        <w:rPr>
          <w:rFonts w:ascii="Times New Roman" w:hAnsi="Times New Roman"/>
          <w:b/>
          <w:noProof/>
          <w:sz w:val="24"/>
          <w:lang w:val="fr-BE"/>
        </w:rPr>
        <w:t xml:space="preserve">urs temporaires involontaires par rapport à l’ensemble des travailleurs temporaires, 2017. </w:t>
      </w:r>
    </w:p>
    <w:p w:rsidR="00723CC0" w:rsidRDefault="00242021">
      <w:pPr>
        <w:jc w:val="both"/>
        <w:rPr>
          <w:rFonts w:ascii="Times New Roman" w:hAnsi="Times New Roman"/>
          <w:noProof/>
          <w:sz w:val="24"/>
          <w:szCs w:val="24"/>
        </w:rPr>
      </w:pPr>
      <w:r>
        <w:rPr>
          <w:rFonts w:ascii="Times New Roman" w:hAnsi="Times New Roman"/>
          <w:noProof/>
          <w:sz w:val="24"/>
          <w:szCs w:val="24"/>
          <w:lang w:val="en-GB" w:eastAsia="en-GB" w:bidi="ar-SA"/>
        </w:rPr>
        <w:drawing>
          <wp:inline distT="0" distB="0" distL="0" distR="0">
            <wp:extent cx="5955527" cy="2366069"/>
            <wp:effectExtent l="0" t="0" r="762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5958444" cy="2367228"/>
                    </a:xfrm>
                    <a:prstGeom prst="rect">
                      <a:avLst/>
                    </a:prstGeom>
                    <a:noFill/>
                  </pic:spPr>
                </pic:pic>
              </a:graphicData>
            </a:graphic>
          </wp:inline>
        </w:drawing>
      </w:r>
    </w:p>
    <w:p w:rsidR="00723CC0" w:rsidRDefault="00242021">
      <w:pPr>
        <w:jc w:val="both"/>
        <w:rPr>
          <w:rFonts w:ascii="Times New Roman" w:hAnsi="Times New Roman"/>
          <w:noProof/>
          <w:sz w:val="20"/>
          <w:szCs w:val="20"/>
          <w:lang w:val="fr-BE"/>
        </w:rPr>
      </w:pPr>
      <w:r>
        <w:rPr>
          <w:rFonts w:ascii="Times New Roman" w:hAnsi="Times New Roman"/>
          <w:noProof/>
          <w:sz w:val="20"/>
          <w:lang w:val="fr-BE"/>
        </w:rPr>
        <w:t>Source: Eurostat, EFT.</w:t>
      </w:r>
    </w:p>
    <w:p w:rsidR="00723CC0" w:rsidRDefault="00723CC0">
      <w:pPr>
        <w:jc w:val="both"/>
        <w:rPr>
          <w:rFonts w:ascii="Times New Roman" w:hAnsi="Times New Roman"/>
          <w:noProof/>
          <w:sz w:val="24"/>
          <w:szCs w:val="24"/>
          <w:lang w:val="fr-BE"/>
        </w:rPr>
      </w:pPr>
    </w:p>
    <w:p w:rsidR="00723CC0" w:rsidRDefault="00242021">
      <w:pPr>
        <w:spacing w:line="360" w:lineRule="auto"/>
        <w:jc w:val="both"/>
        <w:rPr>
          <w:rFonts w:ascii="Times New Roman" w:hAnsi="Times New Roman"/>
          <w:noProof/>
          <w:sz w:val="24"/>
          <w:szCs w:val="24"/>
          <w:lang w:val="fr-BE"/>
        </w:rPr>
      </w:pPr>
      <w:r>
        <w:rPr>
          <w:rFonts w:ascii="Times New Roman" w:hAnsi="Times New Roman"/>
          <w:b/>
          <w:noProof/>
          <w:sz w:val="24"/>
          <w:lang w:val="fr-BE"/>
        </w:rPr>
        <w:t>Une proportion élevée de travailleurs indépendants peut aussi être le signe d’une segmentation du marché du travail.</w:t>
      </w:r>
      <w:r>
        <w:rPr>
          <w:rFonts w:ascii="Times New Roman" w:hAnsi="Times New Roman"/>
          <w:noProof/>
          <w:sz w:val="24"/>
          <w:lang w:val="fr-BE"/>
        </w:rPr>
        <w:t xml:space="preserve"> Bien que le travail i</w:t>
      </w:r>
      <w:r>
        <w:rPr>
          <w:rFonts w:ascii="Times New Roman" w:hAnsi="Times New Roman"/>
          <w:noProof/>
          <w:sz w:val="24"/>
          <w:lang w:val="fr-BE"/>
        </w:rPr>
        <w:t>ndépendant ait généralement un caractère volontaire, il peut dissimuler des relations d’emploi dépendantes (on parle alors de «faux indépendants»). En outre, les systèmes de sécurité sociale sont souvent inadaptés lorsqu’il s’agit d’inclure les travailleur</w:t>
      </w:r>
      <w:r>
        <w:rPr>
          <w:rFonts w:ascii="Times New Roman" w:hAnsi="Times New Roman"/>
          <w:noProof/>
          <w:sz w:val="24"/>
          <w:lang w:val="fr-BE"/>
        </w:rPr>
        <w:t>s indépendants (cette question est examinée au chapitre 3.4). Le degré d’autonomie des travailleurs indépendants ne peut pas être mesuré au moyen de statistiques comparables d’Eurostat dans tous les États membres</w:t>
      </w:r>
      <w:r>
        <w:rPr>
          <w:rStyle w:val="FootnoteReference"/>
          <w:rFonts w:ascii="Times New Roman" w:hAnsi="Times New Roman"/>
          <w:noProof/>
          <w:sz w:val="24"/>
        </w:rPr>
        <w:footnoteReference w:id="65"/>
      </w:r>
      <w:r>
        <w:rPr>
          <w:rFonts w:ascii="Times New Roman" w:hAnsi="Times New Roman"/>
          <w:noProof/>
          <w:sz w:val="24"/>
          <w:lang w:val="fr-BE"/>
        </w:rPr>
        <w:t>. Toutefois, on peut obtenir certaines info</w:t>
      </w:r>
      <w:r>
        <w:rPr>
          <w:rFonts w:ascii="Times New Roman" w:hAnsi="Times New Roman"/>
          <w:noProof/>
          <w:sz w:val="24"/>
          <w:lang w:val="fr-BE"/>
        </w:rPr>
        <w:t>rmations indirectes en examinant la part des travailleurs indépendants sans employés («travailleurs à leur compte») dans l’emploi total. Lorsque cette part est élevée, cela peut indiquer qu’il est nécessaire de réaliser une évaluation approfondie par pays.</w:t>
      </w:r>
      <w:r>
        <w:rPr>
          <w:rFonts w:ascii="Times New Roman" w:hAnsi="Times New Roman"/>
          <w:noProof/>
          <w:sz w:val="24"/>
          <w:lang w:val="fr-BE"/>
        </w:rPr>
        <w:t xml:space="preserve"> La Grèce (22,3 %), la Roumanie (15,3 %) et l’Italie (15,1 %) arrivent en tête du classement en 2017, devant la Pologne, la République tchèque, la Slovaquie, le Royaume-Uni et les Pays-Bas, qui affichent des taux supérieurs à 11 % (graphique 42). En bas de</w:t>
      </w:r>
      <w:r>
        <w:rPr>
          <w:rFonts w:ascii="Times New Roman" w:hAnsi="Times New Roman"/>
          <w:noProof/>
          <w:sz w:val="24"/>
          <w:lang w:val="fr-BE"/>
        </w:rPr>
        <w:t xml:space="preserve"> l’échelle, le Danemark, l’Allemagne, la Suède et la Hongrie affichent des taux en dessous ou proches de 5 %. Depuis 2008, la part des travailleurs indépendants est restée stable en moyenne dans l’UE, mais des augmentations considérables ont été enregistré</w:t>
      </w:r>
      <w:r>
        <w:rPr>
          <w:rFonts w:ascii="Times New Roman" w:hAnsi="Times New Roman"/>
          <w:noProof/>
          <w:sz w:val="24"/>
          <w:lang w:val="fr-BE"/>
        </w:rPr>
        <w:t>es dans certains pays, notamment aux Pays-Bas (de 8,4 % en 2008 à 11,5 % en 2017) et au Royaume-Uni (de 9,8 % à 11,8 %). A contrario, elle a fortement diminué en Croatie (de 11,7 % à 5,7 %) et au Portugal (de 13,5 % à 8,9 %). Selon Eurofound</w:t>
      </w:r>
      <w:r>
        <w:rPr>
          <w:rStyle w:val="FootnoteReference"/>
          <w:rFonts w:ascii="Times New Roman" w:hAnsi="Times New Roman"/>
          <w:noProof/>
          <w:sz w:val="24"/>
        </w:rPr>
        <w:footnoteReference w:id="66"/>
      </w:r>
      <w:r>
        <w:rPr>
          <w:rFonts w:ascii="Times New Roman" w:hAnsi="Times New Roman"/>
          <w:noProof/>
          <w:sz w:val="24"/>
          <w:lang w:val="fr-BE"/>
        </w:rPr>
        <w:t xml:space="preserve">, en 2015, </w:t>
      </w:r>
      <w:r>
        <w:rPr>
          <w:rFonts w:ascii="Times New Roman" w:hAnsi="Times New Roman"/>
          <w:noProof/>
          <w:sz w:val="24"/>
          <w:lang w:val="fr-BE"/>
        </w:rPr>
        <w:t>environ un quart des travailleurs indépendants de l’UE pouvaient être qualifiés de «vulnérables» ou «dissimulés»</w:t>
      </w:r>
      <w:r>
        <w:rPr>
          <w:rStyle w:val="FootnoteReference"/>
          <w:rFonts w:ascii="Times New Roman" w:hAnsi="Times New Roman"/>
          <w:noProof/>
          <w:sz w:val="24"/>
        </w:rPr>
        <w:footnoteReference w:id="67"/>
      </w:r>
      <w:r>
        <w:rPr>
          <w:rFonts w:ascii="Times New Roman" w:hAnsi="Times New Roman"/>
          <w:noProof/>
          <w:sz w:val="24"/>
          <w:lang w:val="fr-BE"/>
        </w:rPr>
        <w:t>, avec des différences substantielles entre les États membres. Ces travailleurs se caractérisent par leur dépendance économique, leur faible au</w:t>
      </w:r>
      <w:r>
        <w:rPr>
          <w:rFonts w:ascii="Times New Roman" w:hAnsi="Times New Roman"/>
          <w:noProof/>
          <w:sz w:val="24"/>
          <w:lang w:val="fr-BE"/>
        </w:rPr>
        <w:t>tonomie et leur vulnérabilité financière; c’est donc dans ces catégories que l’on est le plus susceptible de trouver des «faux indépendants». Le graphique 43 montre la répartition des travailleurs indépendants dans ces deux catégories, en proportion de l’e</w:t>
      </w:r>
      <w:r>
        <w:rPr>
          <w:rFonts w:ascii="Times New Roman" w:hAnsi="Times New Roman"/>
          <w:noProof/>
          <w:sz w:val="24"/>
          <w:lang w:val="fr-BE"/>
        </w:rPr>
        <w:t>mploi total, par État membre.</w:t>
      </w:r>
    </w:p>
    <w:p w:rsidR="00723CC0" w:rsidRDefault="00723CC0">
      <w:pPr>
        <w:spacing w:line="360" w:lineRule="auto"/>
        <w:jc w:val="both"/>
        <w:rPr>
          <w:rFonts w:ascii="Times New Roman" w:hAnsi="Times New Roman"/>
          <w:noProof/>
          <w:sz w:val="24"/>
          <w:szCs w:val="24"/>
          <w:lang w:val="fr-BE"/>
        </w:rPr>
      </w:pPr>
    </w:p>
    <w:p w:rsidR="00723CC0" w:rsidRDefault="00242021">
      <w:pPr>
        <w:keepNext/>
        <w:jc w:val="both"/>
        <w:rPr>
          <w:rFonts w:ascii="Times New Roman" w:hAnsi="Times New Roman"/>
          <w:noProof/>
          <w:sz w:val="24"/>
          <w:szCs w:val="24"/>
          <w:lang w:val="fr-BE"/>
        </w:rPr>
      </w:pPr>
      <w:bookmarkStart w:id="68" w:name="_Ref528664773"/>
      <w:r>
        <w:rPr>
          <w:rFonts w:ascii="Times New Roman" w:hAnsi="Times New Roman"/>
          <w:b/>
          <w:noProof/>
          <w:sz w:val="24"/>
          <w:lang w:val="fr-BE"/>
        </w:rPr>
        <w:t>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42</w:t>
      </w:r>
      <w:r>
        <w:rPr>
          <w:rFonts w:ascii="Times New Roman" w:hAnsi="Times New Roman"/>
          <w:b/>
          <w:noProof/>
          <w:sz w:val="24"/>
          <w:szCs w:val="24"/>
        </w:rPr>
        <w:fldChar w:fldCharType="end"/>
      </w:r>
      <w:bookmarkEnd w:id="68"/>
      <w:r>
        <w:rPr>
          <w:rFonts w:ascii="Times New Roman" w:hAnsi="Times New Roman"/>
          <w:b/>
          <w:noProof/>
          <w:sz w:val="24"/>
          <w:lang w:val="fr-BE"/>
        </w:rPr>
        <w:t>: Travailleurs indépendants sans employés en pourcentage de l’emploi total.</w:t>
      </w:r>
      <w:r>
        <w:rPr>
          <w:rFonts w:ascii="Times New Roman" w:hAnsi="Times New Roman"/>
          <w:noProof/>
          <w:sz w:val="24"/>
          <w:lang w:val="fr-BE"/>
        </w:rPr>
        <w:t xml:space="preserve"> </w:t>
      </w:r>
    </w:p>
    <w:p w:rsidR="00723CC0" w:rsidRDefault="00242021">
      <w:pPr>
        <w:keepNext/>
        <w:jc w:val="both"/>
        <w:rPr>
          <w:rFonts w:ascii="Times New Roman" w:hAnsi="Times New Roman"/>
          <w:noProof/>
          <w:sz w:val="24"/>
          <w:szCs w:val="24"/>
        </w:rPr>
      </w:pPr>
      <w:r>
        <w:rPr>
          <w:rFonts w:ascii="Times New Roman" w:hAnsi="Times New Roman"/>
          <w:noProof/>
          <w:sz w:val="24"/>
          <w:szCs w:val="24"/>
          <w:lang w:val="en-GB" w:eastAsia="en-GB" w:bidi="ar-SA"/>
        </w:rPr>
        <w:drawing>
          <wp:inline distT="0" distB="0" distL="0" distR="0">
            <wp:extent cx="5876014" cy="28780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5881168" cy="2880579"/>
                    </a:xfrm>
                    <a:prstGeom prst="rect">
                      <a:avLst/>
                    </a:prstGeom>
                    <a:noFill/>
                  </pic:spPr>
                </pic:pic>
              </a:graphicData>
            </a:graphic>
          </wp:inline>
        </w:drawing>
      </w:r>
    </w:p>
    <w:p w:rsidR="00723CC0" w:rsidRDefault="00242021">
      <w:pPr>
        <w:jc w:val="both"/>
        <w:rPr>
          <w:rFonts w:ascii="Times New Roman" w:hAnsi="Times New Roman"/>
          <w:noProof/>
          <w:sz w:val="20"/>
          <w:szCs w:val="20"/>
          <w:lang w:val="fr-BE"/>
        </w:rPr>
      </w:pPr>
      <w:r>
        <w:rPr>
          <w:rFonts w:ascii="Times New Roman" w:hAnsi="Times New Roman"/>
          <w:noProof/>
          <w:sz w:val="20"/>
          <w:lang w:val="fr-BE"/>
        </w:rPr>
        <w:t>Source: Eurostat, EFT — calculs internes.</w:t>
      </w:r>
    </w:p>
    <w:p w:rsidR="00723CC0" w:rsidRDefault="00723CC0">
      <w:pPr>
        <w:jc w:val="both"/>
        <w:rPr>
          <w:rFonts w:ascii="Times New Roman" w:hAnsi="Times New Roman"/>
          <w:b/>
          <w:noProof/>
          <w:sz w:val="24"/>
          <w:szCs w:val="24"/>
          <w:lang w:val="fr-BE"/>
        </w:rPr>
      </w:pPr>
    </w:p>
    <w:p w:rsidR="00723CC0" w:rsidRDefault="00242021">
      <w:pPr>
        <w:keepNext/>
        <w:jc w:val="both"/>
        <w:rPr>
          <w:rFonts w:ascii="Times New Roman" w:hAnsi="Times New Roman"/>
          <w:b/>
          <w:noProof/>
          <w:sz w:val="24"/>
          <w:lang w:val="fr-BE"/>
        </w:rPr>
      </w:pPr>
      <w:bookmarkStart w:id="69" w:name="_Ref528664800"/>
      <w:r>
        <w:rPr>
          <w:rFonts w:ascii="Times New Roman" w:hAnsi="Times New Roman"/>
          <w:b/>
          <w:noProof/>
          <w:sz w:val="24"/>
          <w:lang w:val="fr-BE"/>
        </w:rPr>
        <w:t>Graphique </w:t>
      </w:r>
      <w:r>
        <w:rPr>
          <w:rFonts w:ascii="Times New Roman" w:hAnsi="Times New Roman"/>
          <w:b/>
          <w:noProof/>
          <w:sz w:val="24"/>
        </w:rPr>
        <w:fldChar w:fldCharType="begin" w:fldLock="1"/>
      </w:r>
      <w:r>
        <w:rPr>
          <w:rFonts w:ascii="Times New Roman" w:hAnsi="Times New Roman"/>
          <w:b/>
          <w:noProof/>
          <w:sz w:val="24"/>
          <w:lang w:val="fr-BE"/>
        </w:rPr>
        <w:instrText xml:space="preserve"> SEQ Figure \* ARABIC </w:instrText>
      </w:r>
      <w:r>
        <w:rPr>
          <w:rFonts w:ascii="Times New Roman" w:hAnsi="Times New Roman"/>
          <w:b/>
          <w:noProof/>
          <w:sz w:val="24"/>
        </w:rPr>
        <w:fldChar w:fldCharType="separate"/>
      </w:r>
      <w:r>
        <w:rPr>
          <w:rFonts w:ascii="Times New Roman" w:hAnsi="Times New Roman"/>
          <w:b/>
          <w:noProof/>
          <w:sz w:val="24"/>
          <w:lang w:val="fr-BE"/>
        </w:rPr>
        <w:t>43</w:t>
      </w:r>
      <w:r>
        <w:rPr>
          <w:rFonts w:ascii="Times New Roman" w:hAnsi="Times New Roman"/>
          <w:b/>
          <w:noProof/>
          <w:sz w:val="24"/>
        </w:rPr>
        <w:fldChar w:fldCharType="end"/>
      </w:r>
      <w:bookmarkEnd w:id="69"/>
      <w:r>
        <w:rPr>
          <w:rFonts w:ascii="Times New Roman" w:hAnsi="Times New Roman"/>
          <w:b/>
          <w:noProof/>
          <w:sz w:val="24"/>
          <w:lang w:val="fr-BE"/>
        </w:rPr>
        <w:t xml:space="preserve">: Travailleurs indépendants «vulnérables» et «dissimulés» en pourcentage de l’emploi total. </w:t>
      </w:r>
    </w:p>
    <w:p w:rsidR="00723CC0" w:rsidRDefault="00242021">
      <w:pPr>
        <w:keepNext/>
        <w:jc w:val="both"/>
        <w:rPr>
          <w:rFonts w:ascii="Times New Roman" w:hAnsi="Times New Roman"/>
          <w:b/>
          <w:noProof/>
          <w:sz w:val="24"/>
        </w:rPr>
      </w:pPr>
      <w:r>
        <w:rPr>
          <w:rFonts w:ascii="Times New Roman" w:hAnsi="Times New Roman"/>
          <w:b/>
          <w:noProof/>
          <w:sz w:val="24"/>
          <w:lang w:val="en-GB" w:eastAsia="en-GB" w:bidi="ar-SA"/>
        </w:rPr>
        <w:drawing>
          <wp:inline distT="0" distB="0" distL="0" distR="0">
            <wp:extent cx="5477142" cy="2647031"/>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0" y="0"/>
                      <a:ext cx="5476652" cy="2646794"/>
                    </a:xfrm>
                    <a:prstGeom prst="rect">
                      <a:avLst/>
                    </a:prstGeom>
                    <a:noFill/>
                  </pic:spPr>
                </pic:pic>
              </a:graphicData>
            </a:graphic>
          </wp:inline>
        </w:drawing>
      </w:r>
    </w:p>
    <w:p w:rsidR="00723CC0" w:rsidRDefault="00242021">
      <w:pPr>
        <w:jc w:val="both"/>
        <w:rPr>
          <w:rFonts w:ascii="Times New Roman" w:hAnsi="Times New Roman"/>
          <w:noProof/>
          <w:sz w:val="20"/>
          <w:szCs w:val="20"/>
          <w:lang w:val="fr-BE"/>
        </w:rPr>
      </w:pPr>
      <w:r>
        <w:rPr>
          <w:rFonts w:ascii="Times New Roman" w:hAnsi="Times New Roman"/>
          <w:noProof/>
          <w:sz w:val="20"/>
          <w:lang w:val="fr-BE"/>
        </w:rPr>
        <w:t>Source: Eurofound (2017), sur la base de la sixième enquête européenne sur les conditions de travail (2015).</w:t>
      </w:r>
    </w:p>
    <w:p w:rsidR="00723CC0" w:rsidRDefault="00242021">
      <w:pPr>
        <w:jc w:val="both"/>
        <w:rPr>
          <w:rFonts w:ascii="Times New Roman" w:hAnsi="Times New Roman"/>
          <w:noProof/>
          <w:sz w:val="20"/>
          <w:szCs w:val="20"/>
          <w:lang w:val="fr-BE"/>
        </w:rPr>
      </w:pPr>
      <w:r>
        <w:rPr>
          <w:rFonts w:ascii="Times New Roman" w:hAnsi="Times New Roman"/>
          <w:noProof/>
          <w:sz w:val="24"/>
          <w:highlight w:val="yellow"/>
          <w:lang w:val="fr-BE"/>
        </w:rPr>
        <w:t xml:space="preserve"> </w:t>
      </w:r>
    </w:p>
    <w:p w:rsidR="00723CC0" w:rsidRDefault="00242021">
      <w:pPr>
        <w:spacing w:line="360" w:lineRule="auto"/>
        <w:jc w:val="both"/>
        <w:rPr>
          <w:rFonts w:ascii="Times New Roman" w:hAnsi="Times New Roman" w:cs="Times New Roman"/>
          <w:b/>
          <w:noProof/>
          <w:sz w:val="24"/>
          <w:szCs w:val="24"/>
          <w:lang w:val="fr-BE"/>
        </w:rPr>
      </w:pPr>
      <w:r>
        <w:rPr>
          <w:rFonts w:ascii="Times New Roman" w:hAnsi="Times New Roman"/>
          <w:b/>
          <w:noProof/>
          <w:sz w:val="24"/>
          <w:lang w:val="fr-BE"/>
        </w:rPr>
        <w:t>Le «travail via une plateforme», bien que pour l’i</w:t>
      </w:r>
      <w:r>
        <w:rPr>
          <w:rFonts w:ascii="Times New Roman" w:hAnsi="Times New Roman"/>
          <w:b/>
          <w:noProof/>
          <w:sz w:val="24"/>
          <w:lang w:val="fr-BE"/>
        </w:rPr>
        <w:t xml:space="preserve">nstant limité à de petites parties de la main-d’œuvre, peut avoir une incidence considérable sur les conditions et les modes de travail. </w:t>
      </w:r>
      <w:r>
        <w:rPr>
          <w:rFonts w:ascii="Times New Roman" w:hAnsi="Times New Roman"/>
          <w:noProof/>
          <w:sz w:val="24"/>
          <w:lang w:val="fr-BE"/>
        </w:rPr>
        <w:t>Récemment, l’enquête en ligne COLLEEM de la Commission européenne</w:t>
      </w:r>
      <w:r>
        <w:rPr>
          <w:rStyle w:val="FootnoteReference"/>
          <w:rFonts w:ascii="Times New Roman" w:hAnsi="Times New Roman"/>
          <w:noProof/>
          <w:sz w:val="24"/>
        </w:rPr>
        <w:footnoteReference w:id="68"/>
      </w:r>
      <w:r>
        <w:rPr>
          <w:rFonts w:ascii="Times New Roman" w:hAnsi="Times New Roman"/>
          <w:noProof/>
          <w:sz w:val="24"/>
          <w:lang w:val="fr-BE"/>
        </w:rPr>
        <w:t xml:space="preserve"> a examiné l’utilisation des plateformes en ligne che</w:t>
      </w:r>
      <w:r>
        <w:rPr>
          <w:rFonts w:ascii="Times New Roman" w:hAnsi="Times New Roman"/>
          <w:noProof/>
          <w:sz w:val="24"/>
          <w:lang w:val="fr-BE"/>
        </w:rPr>
        <w:t>z des utilisateurs fréquents de l’internet âgés de 16 à 74 ans dans 14 pays de l’UE et a fourni des données provisoires initiales sur la situation des travailleurs de plateforme. Selon la Commission européenne (2018)</w:t>
      </w:r>
      <w:r>
        <w:rPr>
          <w:rStyle w:val="FootnoteReference"/>
          <w:rFonts w:ascii="Times New Roman" w:hAnsi="Times New Roman"/>
          <w:noProof/>
          <w:sz w:val="24"/>
        </w:rPr>
        <w:footnoteReference w:id="69"/>
      </w:r>
      <w:r>
        <w:rPr>
          <w:rFonts w:ascii="Times New Roman" w:hAnsi="Times New Roman"/>
          <w:noProof/>
          <w:sz w:val="24"/>
          <w:lang w:val="fr-BE"/>
        </w:rPr>
        <w:t>, sur la base des résultats de l’enquêt</w:t>
      </w:r>
      <w:r>
        <w:rPr>
          <w:rFonts w:ascii="Times New Roman" w:hAnsi="Times New Roman"/>
          <w:noProof/>
          <w:sz w:val="24"/>
          <w:lang w:val="fr-BE"/>
        </w:rPr>
        <w:t>e, la proportion de personnes dont plus de la moitié des revenus proviennent du travail via une plateforme oscillait légèrement au-dessus de 2 % en 2017, les niveaux les plus élevés ayant été enregistrés au Royaume-Uni (4,3 %) et aux Pays-Bas (2,9 %). Envi</w:t>
      </w:r>
      <w:r>
        <w:rPr>
          <w:rFonts w:ascii="Times New Roman" w:hAnsi="Times New Roman"/>
          <w:noProof/>
          <w:sz w:val="24"/>
          <w:lang w:val="fr-BE"/>
        </w:rPr>
        <w:t>ron la moitié des personnes dont le travail via une plateforme représente l’activité principale se considèrent comme des travailleurs entièrement ou partiellement indépendants, bien qu’une proportion importante d’entre elles (38 %) se considèrent comme des</w:t>
      </w:r>
      <w:r>
        <w:rPr>
          <w:rFonts w:ascii="Times New Roman" w:hAnsi="Times New Roman"/>
          <w:noProof/>
          <w:sz w:val="24"/>
          <w:lang w:val="fr-BE"/>
        </w:rPr>
        <w:t xml:space="preserve"> salariés. Cela semble indiquer que de nombreux travailleurs de plateforme ne sont peut-être pas couverts par la protection sociale, un problème d’autant plus compliqué que, souvent, leur statut professionnel n’est pas clairement défini dans la réglementat</w:t>
      </w:r>
      <w:r>
        <w:rPr>
          <w:rFonts w:ascii="Times New Roman" w:hAnsi="Times New Roman"/>
          <w:noProof/>
          <w:sz w:val="24"/>
          <w:lang w:val="fr-BE"/>
        </w:rPr>
        <w:t>ion.</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Les travailleurs temporaires occupent un emploi de moindre qualité, et ce, en ce qui concerne différentes dimensions.</w:t>
      </w:r>
      <w:r>
        <w:rPr>
          <w:rFonts w:ascii="Times New Roman" w:hAnsi="Times New Roman"/>
          <w:noProof/>
          <w:sz w:val="24"/>
          <w:lang w:val="fr-BE"/>
        </w:rPr>
        <w:t xml:space="preserve"> La sixième enquête européenne sur les conditions de travail (2015) fournit des informations sur certaines dimensions essentielles de </w:t>
      </w:r>
      <w:r>
        <w:rPr>
          <w:rFonts w:ascii="Times New Roman" w:hAnsi="Times New Roman"/>
          <w:noProof/>
          <w:sz w:val="24"/>
          <w:lang w:val="fr-BE"/>
        </w:rPr>
        <w:t>la qualité de l’emploi. Sur la base de cette enquête, Eurofound</w:t>
      </w:r>
      <w:r>
        <w:rPr>
          <w:rStyle w:val="FootnoteReference"/>
          <w:rFonts w:ascii="Times New Roman" w:hAnsi="Times New Roman"/>
          <w:noProof/>
          <w:sz w:val="24"/>
        </w:rPr>
        <w:footnoteReference w:id="70"/>
      </w:r>
      <w:r>
        <w:rPr>
          <w:rFonts w:ascii="Times New Roman" w:hAnsi="Times New Roman"/>
          <w:noProof/>
          <w:sz w:val="24"/>
          <w:lang w:val="fr-BE"/>
        </w:rPr>
        <w:t xml:space="preserve"> a établi sept indices de qualité de l’emploi (concernant respectivement l’environnement physique, l’environnement social, l’intensité de travail, les compétences et l’autonomie, la qualité du</w:t>
      </w:r>
      <w:r>
        <w:rPr>
          <w:rFonts w:ascii="Times New Roman" w:hAnsi="Times New Roman"/>
          <w:noProof/>
          <w:sz w:val="24"/>
          <w:lang w:val="fr-BE"/>
        </w:rPr>
        <w:t xml:space="preserve"> temps de travail, les perspectives et les revenus). Lorsque l’on examine les différences de cote pour six des sept indices de qualité de l’emploi</w:t>
      </w:r>
      <w:r>
        <w:rPr>
          <w:rStyle w:val="FootnoteReference"/>
          <w:rFonts w:ascii="Times New Roman" w:hAnsi="Times New Roman"/>
          <w:noProof/>
          <w:sz w:val="24"/>
        </w:rPr>
        <w:footnoteReference w:id="71"/>
      </w:r>
      <w:r>
        <w:rPr>
          <w:rFonts w:ascii="Times New Roman" w:hAnsi="Times New Roman"/>
          <w:noProof/>
          <w:sz w:val="24"/>
          <w:lang w:val="fr-BE"/>
        </w:rPr>
        <w:t xml:space="preserve"> (tableau 3), on constate que la cote relative aux travailleurs sous contrat temporaire de courte durée est i</w:t>
      </w:r>
      <w:r>
        <w:rPr>
          <w:rFonts w:ascii="Times New Roman" w:hAnsi="Times New Roman"/>
          <w:noProof/>
          <w:sz w:val="24"/>
          <w:lang w:val="fr-BE"/>
        </w:rPr>
        <w:t xml:space="preserve">nférieure à la moyenne dans quatre de ces indices, dont les plus problématiques sont les </w:t>
      </w:r>
      <w:r>
        <w:rPr>
          <w:rFonts w:ascii="Times New Roman" w:hAnsi="Times New Roman"/>
          <w:i/>
          <w:noProof/>
          <w:sz w:val="24"/>
          <w:lang w:val="fr-BE"/>
        </w:rPr>
        <w:t xml:space="preserve">perspectives </w:t>
      </w:r>
      <w:r>
        <w:rPr>
          <w:rFonts w:ascii="Times New Roman" w:hAnsi="Times New Roman"/>
          <w:noProof/>
          <w:sz w:val="24"/>
          <w:lang w:val="fr-BE"/>
        </w:rPr>
        <w:t xml:space="preserve">(notamment la sécurité de l’emploi et les perspectives de promotion) et </w:t>
      </w:r>
      <w:r>
        <w:rPr>
          <w:rFonts w:ascii="Times New Roman" w:hAnsi="Times New Roman"/>
          <w:i/>
          <w:noProof/>
          <w:sz w:val="24"/>
          <w:lang w:val="fr-BE"/>
        </w:rPr>
        <w:t>les compétences et l’autonomie</w:t>
      </w:r>
      <w:r>
        <w:rPr>
          <w:rFonts w:ascii="Times New Roman" w:hAnsi="Times New Roman"/>
          <w:noProof/>
          <w:sz w:val="24"/>
          <w:lang w:val="fr-BE"/>
        </w:rPr>
        <w:t xml:space="preserve"> (notamment, par exemple, l’accès à la formation et </w:t>
      </w:r>
      <w:r>
        <w:rPr>
          <w:rFonts w:ascii="Times New Roman" w:hAnsi="Times New Roman"/>
          <w:noProof/>
          <w:sz w:val="24"/>
          <w:lang w:val="fr-BE"/>
        </w:rPr>
        <w:t>l’autonomie de décision). D’un autre côté, en ce qui concerne l’environnement social, leur cote est légèrement supérieure à la moyenne. Dans le cas des contrats temporaires de plus longue durée, la tendance est similaire, mais leur cote en matière de quali</w:t>
      </w:r>
      <w:r>
        <w:rPr>
          <w:rFonts w:ascii="Times New Roman" w:hAnsi="Times New Roman"/>
          <w:noProof/>
          <w:sz w:val="24"/>
          <w:lang w:val="fr-BE"/>
        </w:rPr>
        <w:t xml:space="preserve">té de l’emploi est plus proche de la moyenne; en outre, ces contrats s’inscrivent dans des </w:t>
      </w:r>
      <w:r>
        <w:rPr>
          <w:rFonts w:ascii="Times New Roman" w:hAnsi="Times New Roman"/>
          <w:i/>
          <w:noProof/>
          <w:sz w:val="24"/>
          <w:lang w:val="fr-BE"/>
        </w:rPr>
        <w:t>environnements sociaux</w:t>
      </w:r>
      <w:r>
        <w:rPr>
          <w:rFonts w:ascii="Times New Roman" w:hAnsi="Times New Roman"/>
          <w:noProof/>
          <w:sz w:val="24"/>
          <w:lang w:val="fr-BE"/>
        </w:rPr>
        <w:t xml:space="preserve"> moins favorables par rapport à la moyenne. Des différences subsistent après un contrôle statistique d’autres facteurs, tels que les caractéristiques individuelles ou propres à l’emploi (graphique 44). Les travailleurs sous contrat temporaire ont aussi plu</w:t>
      </w:r>
      <w:r>
        <w:rPr>
          <w:rFonts w:ascii="Times New Roman" w:hAnsi="Times New Roman"/>
          <w:noProof/>
          <w:sz w:val="24"/>
          <w:lang w:val="fr-BE"/>
        </w:rPr>
        <w:t>s de trois fois plus de risques que ceux sous contrat permanent d’être exposés à la pauvreté (16,3 % des travailleurs temporaires, contre 5,8 % des travailleurs permanents en 2017), un écart qui n’a cessé de se creuser depuis le début de la crise.</w:t>
      </w:r>
    </w:p>
    <w:p w:rsidR="00723CC0" w:rsidRDefault="00723CC0">
      <w:pPr>
        <w:spacing w:line="360" w:lineRule="auto"/>
        <w:jc w:val="both"/>
        <w:rPr>
          <w:rFonts w:ascii="Times New Roman" w:hAnsi="Times New Roman" w:cs="Times New Roman"/>
          <w:noProof/>
          <w:sz w:val="24"/>
          <w:szCs w:val="24"/>
          <w:lang w:val="fr-BE"/>
        </w:rPr>
      </w:pPr>
    </w:p>
    <w:p w:rsidR="00723CC0" w:rsidRDefault="00242021">
      <w:pPr>
        <w:keepNext/>
        <w:jc w:val="both"/>
        <w:rPr>
          <w:rFonts w:ascii="Times New Roman" w:hAnsi="Times New Roman"/>
          <w:b/>
          <w:noProof/>
          <w:sz w:val="24"/>
          <w:lang w:val="fr-BE"/>
        </w:rPr>
      </w:pPr>
      <w:r>
        <w:rPr>
          <w:rFonts w:ascii="Times New Roman" w:hAnsi="Times New Roman"/>
          <w:b/>
          <w:noProof/>
          <w:sz w:val="24"/>
          <w:lang w:val="fr-BE"/>
        </w:rPr>
        <w:t>Tableau</w:t>
      </w:r>
      <w:r>
        <w:rPr>
          <w:rFonts w:ascii="Times New Roman" w:hAnsi="Times New Roman"/>
          <w:b/>
          <w:noProof/>
          <w:sz w:val="24"/>
          <w:lang w:val="fr-BE"/>
        </w:rPr>
        <w:t xml:space="preserve"> </w:t>
      </w:r>
      <w:r>
        <w:rPr>
          <w:rFonts w:ascii="Times New Roman" w:hAnsi="Times New Roman"/>
          <w:b/>
          <w:noProof/>
          <w:sz w:val="24"/>
        </w:rPr>
        <w:fldChar w:fldCharType="begin" w:fldLock="1"/>
      </w:r>
      <w:r>
        <w:rPr>
          <w:rFonts w:ascii="Times New Roman" w:hAnsi="Times New Roman"/>
          <w:b/>
          <w:noProof/>
          <w:sz w:val="24"/>
          <w:lang w:val="fr-BE"/>
        </w:rPr>
        <w:instrText xml:space="preserve"> SEQ Table \* ARABIC </w:instrText>
      </w:r>
      <w:r>
        <w:rPr>
          <w:rFonts w:ascii="Times New Roman" w:hAnsi="Times New Roman"/>
          <w:b/>
          <w:noProof/>
          <w:sz w:val="24"/>
        </w:rPr>
        <w:fldChar w:fldCharType="separate"/>
      </w:r>
      <w:r>
        <w:rPr>
          <w:rFonts w:ascii="Times New Roman" w:hAnsi="Times New Roman"/>
          <w:b/>
          <w:noProof/>
          <w:sz w:val="24"/>
          <w:lang w:val="fr-BE"/>
        </w:rPr>
        <w:t>3</w:t>
      </w:r>
      <w:r>
        <w:rPr>
          <w:rFonts w:ascii="Times New Roman" w:hAnsi="Times New Roman"/>
          <w:b/>
          <w:noProof/>
          <w:sz w:val="24"/>
        </w:rPr>
        <w:fldChar w:fldCharType="end"/>
      </w:r>
      <w:r>
        <w:rPr>
          <w:rFonts w:ascii="Times New Roman" w:hAnsi="Times New Roman"/>
          <w:b/>
          <w:noProof/>
          <w:sz w:val="24"/>
          <w:lang w:val="fr-BE"/>
        </w:rPr>
        <w:t xml:space="preserve">: Cotes de qualité de l’emploi par statut professionnel (2015) </w:t>
      </w:r>
      <w:r>
        <w:rPr>
          <w:noProof/>
          <w:lang w:val="en-GB" w:eastAsia="en-GB" w:bidi="ar-SA"/>
        </w:rPr>
        <w:drawing>
          <wp:inline distT="0" distB="0" distL="0" distR="0">
            <wp:extent cx="5760720" cy="20285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0" y="0"/>
                      <a:ext cx="5760720" cy="2028520"/>
                    </a:xfrm>
                    <a:prstGeom prst="rect">
                      <a:avLst/>
                    </a:prstGeom>
                    <a:noFill/>
                    <a:ln>
                      <a:noFill/>
                    </a:ln>
                  </pic:spPr>
                </pic:pic>
              </a:graphicData>
            </a:graphic>
          </wp:inline>
        </w:drawing>
      </w:r>
    </w:p>
    <w:p w:rsidR="00723CC0" w:rsidRDefault="00242021">
      <w:pPr>
        <w:pStyle w:val="p1"/>
        <w:spacing w:after="200"/>
        <w:jc w:val="both"/>
        <w:rPr>
          <w:rFonts w:ascii="Times New Roman" w:hAnsi="Times New Roman" w:cs="Times New Roman"/>
          <w:noProof/>
          <w:sz w:val="24"/>
          <w:szCs w:val="24"/>
          <w:lang w:val="fr-BE"/>
        </w:rPr>
      </w:pPr>
      <w:r>
        <w:rPr>
          <w:rFonts w:ascii="Times New Roman" w:hAnsi="Times New Roman"/>
          <w:noProof/>
          <w:sz w:val="20"/>
          <w:lang w:val="fr-BE"/>
        </w:rPr>
        <w:t>Source: Calcul réalisé par Eurofound sur la base de l’EWCS, 2015. La couleur verte signifie «mieux que la moyenne», la rouge «moins bien que la moyenne». La nuance d</w:t>
      </w:r>
      <w:r>
        <w:rPr>
          <w:rFonts w:ascii="Times New Roman" w:hAnsi="Times New Roman"/>
          <w:noProof/>
          <w:sz w:val="20"/>
          <w:lang w:val="fr-BE"/>
        </w:rPr>
        <w:t>e la couleur indique l’écart par rapport à la moyenne (plus la nuance est sombre, plus le résultat est éloigné de la moyenne).</w:t>
      </w:r>
      <w:r>
        <w:rPr>
          <w:rFonts w:ascii="Times New Roman" w:hAnsi="Times New Roman"/>
          <w:i/>
          <w:noProof/>
          <w:sz w:val="24"/>
          <w:lang w:val="fr-BE"/>
        </w:rPr>
        <w:t xml:space="preserve"> </w:t>
      </w:r>
    </w:p>
    <w:p w:rsidR="00723CC0" w:rsidRDefault="00723CC0">
      <w:pPr>
        <w:pStyle w:val="Tables"/>
        <w:spacing w:after="200" w:line="360" w:lineRule="auto"/>
        <w:jc w:val="both"/>
        <w:rPr>
          <w:b/>
          <w:noProof/>
          <w:sz w:val="24"/>
          <w:szCs w:val="24"/>
          <w:lang w:val="fr-BE"/>
        </w:rPr>
      </w:pPr>
    </w:p>
    <w:p w:rsidR="00723CC0" w:rsidRDefault="00242021">
      <w:pPr>
        <w:pStyle w:val="Tables"/>
        <w:keepNext/>
        <w:spacing w:after="200" w:line="360" w:lineRule="auto"/>
        <w:jc w:val="both"/>
        <w:rPr>
          <w:b/>
          <w:i w:val="0"/>
          <w:noProof/>
          <w:sz w:val="24"/>
          <w:szCs w:val="24"/>
          <w:lang w:val="fr-BE"/>
        </w:rPr>
      </w:pPr>
      <w:bookmarkStart w:id="70" w:name="_Ref528664820"/>
      <w:r>
        <w:rPr>
          <w:b/>
          <w:i w:val="0"/>
          <w:noProof/>
          <w:sz w:val="24"/>
          <w:lang w:val="fr-BE"/>
        </w:rPr>
        <w:t>Graphique </w:t>
      </w:r>
      <w:r>
        <w:rPr>
          <w:b/>
          <w:i w:val="0"/>
          <w:noProof/>
          <w:sz w:val="24"/>
          <w:szCs w:val="24"/>
        </w:rPr>
        <w:fldChar w:fldCharType="begin" w:fldLock="1"/>
      </w:r>
      <w:r>
        <w:rPr>
          <w:b/>
          <w:i w:val="0"/>
          <w:noProof/>
          <w:sz w:val="24"/>
          <w:szCs w:val="24"/>
          <w:lang w:val="fr-BE"/>
        </w:rPr>
        <w:instrText xml:space="preserve"> SEQ Figure \* ARABIC </w:instrText>
      </w:r>
      <w:r>
        <w:rPr>
          <w:b/>
          <w:i w:val="0"/>
          <w:noProof/>
          <w:sz w:val="24"/>
          <w:szCs w:val="24"/>
        </w:rPr>
        <w:fldChar w:fldCharType="separate"/>
      </w:r>
      <w:r>
        <w:rPr>
          <w:b/>
          <w:i w:val="0"/>
          <w:noProof/>
          <w:sz w:val="24"/>
          <w:szCs w:val="24"/>
          <w:lang w:val="fr-BE"/>
        </w:rPr>
        <w:t>44</w:t>
      </w:r>
      <w:r>
        <w:rPr>
          <w:b/>
          <w:i w:val="0"/>
          <w:noProof/>
          <w:sz w:val="24"/>
          <w:szCs w:val="24"/>
        </w:rPr>
        <w:fldChar w:fldCharType="end"/>
      </w:r>
      <w:bookmarkEnd w:id="70"/>
      <w:r>
        <w:rPr>
          <w:b/>
          <w:i w:val="0"/>
          <w:noProof/>
          <w:sz w:val="24"/>
          <w:lang w:val="fr-BE"/>
        </w:rPr>
        <w:t>: Effets du statut professionnel sur des aspects spécifiques de la qualité de l’emploi, co</w:t>
      </w:r>
      <w:r>
        <w:rPr>
          <w:b/>
          <w:i w:val="0"/>
          <w:noProof/>
          <w:sz w:val="24"/>
          <w:lang w:val="fr-BE"/>
        </w:rPr>
        <w:t>mpte tenu des caractéristiques individuelles et professionnelles (2015)</w:t>
      </w:r>
      <w:r>
        <w:rPr>
          <w:b/>
          <w:noProof/>
          <w:sz w:val="24"/>
          <w:lang w:val="fr-BE"/>
        </w:rPr>
        <w:t xml:space="preserve"> </w:t>
      </w:r>
      <w:r>
        <w:rPr>
          <w:noProof/>
          <w:lang w:val="en-GB" w:eastAsia="en-GB" w:bidi="ar-SA"/>
        </w:rPr>
        <w:drawing>
          <wp:inline distT="0" distB="0" distL="0" distR="0">
            <wp:extent cx="5760720" cy="2201254"/>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5760720" cy="2201254"/>
                    </a:xfrm>
                    <a:prstGeom prst="rect">
                      <a:avLst/>
                    </a:prstGeom>
                    <a:noFill/>
                    <a:ln>
                      <a:noFill/>
                    </a:ln>
                  </pic:spPr>
                </pic:pic>
              </a:graphicData>
            </a:graphic>
          </wp:inline>
        </w:drawing>
      </w:r>
    </w:p>
    <w:p w:rsidR="00723CC0" w:rsidRDefault="00242021">
      <w:pPr>
        <w:keepNext/>
        <w:spacing w:after="0"/>
        <w:jc w:val="both"/>
        <w:rPr>
          <w:rFonts w:ascii="Times New Roman" w:hAnsi="Times New Roman"/>
          <w:b/>
          <w:bCs/>
          <w:noProof/>
          <w:sz w:val="20"/>
          <w:szCs w:val="20"/>
          <w:lang w:val="fr-BE"/>
        </w:rPr>
      </w:pPr>
      <w:r>
        <w:rPr>
          <w:rFonts w:ascii="Times New Roman" w:hAnsi="Times New Roman"/>
          <w:noProof/>
          <w:sz w:val="20"/>
          <w:lang w:val="fr-BE"/>
        </w:rPr>
        <w:t>Source: Calcul réalisé par Eurofound sur la base de l’EWCS, 2015.</w:t>
      </w:r>
    </w:p>
    <w:p w:rsidR="00723CC0" w:rsidRDefault="00242021">
      <w:pPr>
        <w:pStyle w:val="caption1"/>
        <w:spacing w:line="240" w:lineRule="auto"/>
        <w:jc w:val="both"/>
        <w:rPr>
          <w:rFonts w:ascii="Times New Roman" w:hAnsi="Times New Roman"/>
          <w:b w:val="0"/>
          <w:i/>
          <w:noProof/>
          <w:sz w:val="24"/>
          <w:szCs w:val="24"/>
          <w:lang w:val="fr-BE"/>
        </w:rPr>
      </w:pPr>
      <w:r>
        <w:rPr>
          <w:rFonts w:ascii="Times New Roman" w:eastAsiaTheme="minorHAnsi" w:hAnsi="Times New Roman"/>
          <w:b w:val="0"/>
          <w:noProof/>
          <w:sz w:val="20"/>
          <w:lang w:val="fr-BE"/>
        </w:rPr>
        <w:t xml:space="preserve">Note: les couleurs représentent l’association relative entre chaque indicateur de qualité de l’emploi et le statut </w:t>
      </w:r>
      <w:r>
        <w:rPr>
          <w:rFonts w:ascii="Times New Roman" w:eastAsiaTheme="minorHAnsi" w:hAnsi="Times New Roman"/>
          <w:b w:val="0"/>
          <w:noProof/>
          <w:sz w:val="20"/>
          <w:lang w:val="fr-BE"/>
        </w:rPr>
        <w:t>professionnel par rapport au groupe de référence de salariés sous contrat à durée indéterminée. Les résultats proviennent de régressions à plusieurs niveaux tenant compte des caractéristiques individuelles, de la profession, du secteur et d’autres critères</w:t>
      </w:r>
      <w:r>
        <w:rPr>
          <w:rFonts w:ascii="Times New Roman" w:eastAsiaTheme="minorHAnsi" w:hAnsi="Times New Roman"/>
          <w:b w:val="0"/>
          <w:noProof/>
          <w:sz w:val="20"/>
          <w:lang w:val="fr-BE"/>
        </w:rPr>
        <w:t>.</w:t>
      </w:r>
    </w:p>
    <w:p w:rsidR="00723CC0" w:rsidRDefault="00723CC0">
      <w:pPr>
        <w:jc w:val="both"/>
        <w:rPr>
          <w:rFonts w:ascii="Times New Roman" w:hAnsi="Times New Roman"/>
          <w:noProof/>
          <w:sz w:val="24"/>
          <w:szCs w:val="24"/>
          <w:lang w:val="fr-BE"/>
        </w:rPr>
      </w:pPr>
    </w:p>
    <w:p w:rsidR="00723CC0" w:rsidRDefault="00242021">
      <w:pPr>
        <w:pStyle w:val="caption1"/>
        <w:keepNext/>
        <w:spacing w:line="360" w:lineRule="auto"/>
        <w:jc w:val="both"/>
        <w:rPr>
          <w:rFonts w:ascii="Times New Roman" w:hAnsi="Times New Roman"/>
          <w:b w:val="0"/>
          <w:noProof/>
          <w:sz w:val="24"/>
          <w:lang w:val="fr-BE"/>
        </w:rPr>
      </w:pPr>
      <w:r>
        <w:rPr>
          <w:rFonts w:ascii="Times New Roman" w:hAnsi="Times New Roman"/>
          <w:noProof/>
          <w:sz w:val="24"/>
          <w:lang w:val="fr-BE"/>
        </w:rPr>
        <w:t xml:space="preserve">Des politiques actives du marché du travail (PAMT) efficaces sont une composante essentielle d’un marché du travail qui fonctionne bien. </w:t>
      </w:r>
      <w:r>
        <w:rPr>
          <w:rFonts w:ascii="Times New Roman" w:hAnsi="Times New Roman"/>
          <w:b w:val="0"/>
          <w:noProof/>
          <w:sz w:val="24"/>
          <w:lang w:val="fr-BE"/>
        </w:rPr>
        <w:t>Elles</w:t>
      </w:r>
      <w:r>
        <w:rPr>
          <w:rFonts w:ascii="Times New Roman" w:hAnsi="Times New Roman"/>
          <w:noProof/>
          <w:sz w:val="24"/>
          <w:lang w:val="fr-BE"/>
        </w:rPr>
        <w:t xml:space="preserve"> </w:t>
      </w:r>
      <w:r>
        <w:rPr>
          <w:rFonts w:ascii="Times New Roman" w:hAnsi="Times New Roman"/>
          <w:b w:val="0"/>
          <w:noProof/>
          <w:sz w:val="24"/>
          <w:lang w:val="fr-BE"/>
        </w:rPr>
        <w:t>augmentent les chances des demandeurs d’emploi de trouver un nouvel emploi et améliorent leur adéquation aux b</w:t>
      </w:r>
      <w:r>
        <w:rPr>
          <w:rFonts w:ascii="Times New Roman" w:hAnsi="Times New Roman"/>
          <w:b w:val="0"/>
          <w:noProof/>
          <w:sz w:val="24"/>
          <w:lang w:val="fr-BE"/>
        </w:rPr>
        <w:t>esoins du marché du travail. Le principal problème auquel les PAMT cherchent à remédier est le chômage, notamment celui de longue durée (c’est-à-dire d’une durée de plus d’un an). Les données montrent que plus un demandeur d’emploi reste longtemps au chôma</w:t>
      </w:r>
      <w:r>
        <w:rPr>
          <w:rFonts w:ascii="Times New Roman" w:hAnsi="Times New Roman"/>
          <w:b w:val="0"/>
          <w:noProof/>
          <w:sz w:val="24"/>
          <w:lang w:val="fr-BE"/>
        </w:rPr>
        <w:t>ge, plus le risque de dépréciation des compétences, de découragement et de détachement général du marché du travail est élevé. Le chômage de longue durée est donc un indicateur à la fois de l’efficacité des PAMT et des difficultés que rencontre un pays pou</w:t>
      </w:r>
      <w:r>
        <w:rPr>
          <w:rFonts w:ascii="Times New Roman" w:hAnsi="Times New Roman"/>
          <w:b w:val="0"/>
          <w:noProof/>
          <w:sz w:val="24"/>
          <w:lang w:val="fr-BE"/>
        </w:rPr>
        <w:t>r activer sa population au chômage</w:t>
      </w:r>
      <w:r>
        <w:rPr>
          <w:rStyle w:val="FootnoteReference"/>
          <w:rFonts w:ascii="Times New Roman" w:hAnsi="Times New Roman"/>
          <w:b w:val="0"/>
          <w:noProof/>
          <w:sz w:val="24"/>
        </w:rPr>
        <w:footnoteReference w:id="72"/>
      </w:r>
      <w:r>
        <w:rPr>
          <w:rFonts w:ascii="Times New Roman" w:hAnsi="Times New Roman"/>
          <w:b w:val="0"/>
          <w:noProof/>
          <w:sz w:val="24"/>
          <w:lang w:val="fr-BE"/>
        </w:rPr>
        <w:t xml:space="preserve">. Le graphique 45 montre le taux de chômage de longue durée (c’est-à-dire le rapport entre le nombre de personnes au chômage depuis plus d’un an et la population active) en 2017 et son évolution par rapport à 2016. Comme </w:t>
      </w:r>
      <w:r>
        <w:rPr>
          <w:rFonts w:ascii="Times New Roman" w:hAnsi="Times New Roman"/>
          <w:b w:val="0"/>
          <w:noProof/>
          <w:sz w:val="24"/>
          <w:lang w:val="fr-BE"/>
        </w:rPr>
        <w:t>cela a également été indiqué au chapitre 1, le chômage de longue durée a diminué dans tous les États membres en 2017, sur fond de relance du marché du travail. Malgré une tendance globalement convergente (comme en témoigne la pente négative de la droite de</w:t>
      </w:r>
      <w:r>
        <w:rPr>
          <w:rFonts w:ascii="Times New Roman" w:hAnsi="Times New Roman"/>
          <w:b w:val="0"/>
          <w:noProof/>
          <w:sz w:val="24"/>
          <w:lang w:val="fr-BE"/>
        </w:rPr>
        <w:t xml:space="preserve"> régression), il subsiste des disparités importantes entre les États membres, qui affichent, pour 2017, des taux allant de 1 % en République tchèque à 15,6 % en Grèce. Tout comme l’Espagne (qui affiche un taux de 7,7 %), la Grèce est classée dans la catégo</w:t>
      </w:r>
      <w:r>
        <w:rPr>
          <w:rFonts w:ascii="Times New Roman" w:hAnsi="Times New Roman"/>
          <w:b w:val="0"/>
          <w:noProof/>
          <w:sz w:val="24"/>
          <w:lang w:val="fr-BE"/>
        </w:rPr>
        <w:t>rie «faible mais en amélioration», car elle combine un niveau beaucoup plus élevé que la moyenne à un taux de réduction rapide au cours de la dernière année. L’Italie, qui a enregistré un taux de chômage de longue durée relativement plus faible (6,5 %), es</w:t>
      </w:r>
      <w:r>
        <w:rPr>
          <w:rFonts w:ascii="Times New Roman" w:hAnsi="Times New Roman"/>
          <w:b w:val="0"/>
          <w:noProof/>
          <w:sz w:val="24"/>
          <w:lang w:val="fr-BE"/>
        </w:rPr>
        <w:t>t classée dans la catégorie «critique», compte tenu de la faible amélioration de sa situation en 2017 par rapport à l’année précédente. La Slovaquie, qui affiche un taux de 5,1 %, est classée dans la catégorie «à surveiller». Parmi les pays classés dans la</w:t>
      </w:r>
      <w:r>
        <w:rPr>
          <w:rFonts w:ascii="Times New Roman" w:hAnsi="Times New Roman"/>
          <w:b w:val="0"/>
          <w:noProof/>
          <w:sz w:val="24"/>
          <w:lang w:val="fr-BE"/>
        </w:rPr>
        <w:t xml:space="preserve"> catégorie «mieux que la moyenne», il convient de mentionner Chypre, le Portugal et la Croatie, qui sont classés dans cette catégorie en raison de leurs résultats en termes de variation annuelle, qui indiquent une amélioration considérable en 2017 (le taux</w:t>
      </w:r>
      <w:r>
        <w:rPr>
          <w:rFonts w:ascii="Times New Roman" w:hAnsi="Times New Roman"/>
          <w:b w:val="0"/>
          <w:noProof/>
          <w:sz w:val="24"/>
          <w:lang w:val="fr-BE"/>
        </w:rPr>
        <w:t xml:space="preserve"> est proche de la moyenne de l’UE, mais lui est supérieur).</w:t>
      </w:r>
    </w:p>
    <w:p w:rsidR="00723CC0" w:rsidRDefault="00723CC0">
      <w:pPr>
        <w:rPr>
          <w:noProof/>
          <w:lang w:val="fr-BE"/>
        </w:rPr>
      </w:pPr>
    </w:p>
    <w:p w:rsidR="00723CC0" w:rsidRDefault="00242021">
      <w:pPr>
        <w:keepNext/>
        <w:jc w:val="both"/>
        <w:rPr>
          <w:rFonts w:ascii="Times New Roman" w:hAnsi="Times New Roman"/>
          <w:b/>
          <w:noProof/>
          <w:sz w:val="24"/>
          <w:lang w:val="fr-BE"/>
        </w:rPr>
      </w:pPr>
      <w:bookmarkStart w:id="71" w:name="_Ref528664830"/>
      <w:r>
        <w:rPr>
          <w:rFonts w:ascii="Times New Roman" w:hAnsi="Times New Roman"/>
          <w:b/>
          <w:noProof/>
          <w:sz w:val="24"/>
          <w:lang w:val="fr-BE"/>
        </w:rPr>
        <w:t>Graphique </w:t>
      </w:r>
      <w:r>
        <w:rPr>
          <w:rFonts w:ascii="Times New Roman" w:hAnsi="Times New Roman"/>
          <w:b/>
          <w:noProof/>
          <w:sz w:val="24"/>
        </w:rPr>
        <w:fldChar w:fldCharType="begin" w:fldLock="1"/>
      </w:r>
      <w:r>
        <w:rPr>
          <w:rFonts w:ascii="Times New Roman" w:hAnsi="Times New Roman"/>
          <w:b/>
          <w:noProof/>
          <w:sz w:val="24"/>
          <w:lang w:val="fr-BE"/>
        </w:rPr>
        <w:instrText xml:space="preserve"> SEQ Figure \* ARABIC </w:instrText>
      </w:r>
      <w:r>
        <w:rPr>
          <w:rFonts w:ascii="Times New Roman" w:hAnsi="Times New Roman"/>
          <w:b/>
          <w:noProof/>
          <w:sz w:val="24"/>
        </w:rPr>
        <w:fldChar w:fldCharType="separate"/>
      </w:r>
      <w:r>
        <w:rPr>
          <w:rFonts w:ascii="Times New Roman" w:hAnsi="Times New Roman"/>
          <w:b/>
          <w:noProof/>
          <w:sz w:val="24"/>
          <w:lang w:val="fr-BE"/>
        </w:rPr>
        <w:t>45</w:t>
      </w:r>
      <w:r>
        <w:rPr>
          <w:rFonts w:ascii="Times New Roman" w:hAnsi="Times New Roman"/>
          <w:b/>
          <w:noProof/>
          <w:sz w:val="24"/>
        </w:rPr>
        <w:fldChar w:fldCharType="end"/>
      </w:r>
      <w:bookmarkEnd w:id="71"/>
      <w:r>
        <w:rPr>
          <w:rFonts w:ascii="Times New Roman" w:hAnsi="Times New Roman"/>
          <w:b/>
          <w:noProof/>
          <w:sz w:val="24"/>
          <w:lang w:val="fr-BE"/>
        </w:rPr>
        <w:t>: Taux de chômage de longue durée (indicateur clé du tableau de bord social)</w:t>
      </w:r>
    </w:p>
    <w:p w:rsidR="00723CC0" w:rsidRDefault="00242021">
      <w:pPr>
        <w:keepNext/>
        <w:jc w:val="both"/>
        <w:rPr>
          <w:rFonts w:ascii="Times New Roman" w:hAnsi="Times New Roman"/>
          <w:b/>
          <w:noProof/>
          <w:sz w:val="24"/>
        </w:rPr>
      </w:pPr>
      <w:r>
        <w:rPr>
          <w:rFonts w:ascii="Times New Roman" w:hAnsi="Times New Roman"/>
          <w:b/>
          <w:noProof/>
          <w:sz w:val="24"/>
          <w:lang w:val="en-GB" w:eastAsia="en-GB" w:bidi="ar-SA"/>
        </w:rPr>
        <w:drawing>
          <wp:inline distT="0" distB="0" distL="0" distR="0">
            <wp:extent cx="5567993" cy="440502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5571889" cy="4408104"/>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Eurostat, EFT. Période: niveaux de 2017 et variations annuelles par rapport à 2016. Note: les axes sont centrés sur la moyenne non pondérée de l’UE. La légende figure dans l’annexe. </w:t>
      </w:r>
    </w:p>
    <w:p w:rsidR="00723CC0" w:rsidRDefault="00723CC0">
      <w:pPr>
        <w:pStyle w:val="caption1"/>
        <w:spacing w:line="360" w:lineRule="auto"/>
        <w:jc w:val="both"/>
        <w:rPr>
          <w:rFonts w:ascii="Times New Roman" w:hAnsi="Times New Roman"/>
          <w:noProof/>
          <w:sz w:val="24"/>
          <w:szCs w:val="24"/>
          <w:lang w:val="fr-BE"/>
        </w:rPr>
      </w:pPr>
    </w:p>
    <w:p w:rsidR="00723CC0" w:rsidRDefault="00242021">
      <w:pPr>
        <w:pStyle w:val="caption1"/>
        <w:spacing w:line="360" w:lineRule="auto"/>
        <w:jc w:val="both"/>
        <w:rPr>
          <w:rFonts w:ascii="Times New Roman" w:hAnsi="Times New Roman"/>
          <w:b w:val="0"/>
          <w:noProof/>
          <w:sz w:val="24"/>
          <w:szCs w:val="24"/>
          <w:lang w:val="fr-BE"/>
        </w:rPr>
      </w:pPr>
      <w:r>
        <w:rPr>
          <w:rFonts w:ascii="Times New Roman" w:hAnsi="Times New Roman"/>
          <w:noProof/>
          <w:sz w:val="24"/>
          <w:lang w:val="fr-BE"/>
        </w:rPr>
        <w:t xml:space="preserve">Dans la plupart des États membres, le taux de chômage de longue </w:t>
      </w:r>
      <w:r>
        <w:rPr>
          <w:rFonts w:ascii="Times New Roman" w:hAnsi="Times New Roman"/>
          <w:noProof/>
          <w:sz w:val="24"/>
          <w:lang w:val="fr-BE"/>
        </w:rPr>
        <w:t xml:space="preserve">durée n’a pas encore retrouvé son niveau d’avant la crise. </w:t>
      </w:r>
      <w:r>
        <w:rPr>
          <w:rFonts w:ascii="Times New Roman" w:hAnsi="Times New Roman"/>
          <w:b w:val="0"/>
          <w:noProof/>
          <w:sz w:val="24"/>
          <w:lang w:val="fr-BE"/>
        </w:rPr>
        <w:t>L’amélioration par rapport à 2013 (qui est l’année de référence où la crise a atteint son niveau record) a été particulièrement importante (de plus de 4 points de pourcentage) en Croatie, en Espagn</w:t>
      </w:r>
      <w:r>
        <w:rPr>
          <w:rFonts w:ascii="Times New Roman" w:hAnsi="Times New Roman"/>
          <w:b w:val="0"/>
          <w:noProof/>
          <w:sz w:val="24"/>
          <w:lang w:val="fr-BE"/>
        </w:rPr>
        <w:t xml:space="preserve">e, en Slovaquie, au Portugal, en Irlande et en Bulgarie. Néanmoins, dans certains États membres, le taux de chômage de longue durée en 2017 est supérieur ou égal à celui de 2013, notamment en France (même taux), en Autriche (+0,5 point de pourcentage), en </w:t>
      </w:r>
      <w:r>
        <w:rPr>
          <w:rFonts w:ascii="Times New Roman" w:hAnsi="Times New Roman"/>
          <w:b w:val="0"/>
          <w:noProof/>
          <w:sz w:val="24"/>
          <w:lang w:val="fr-BE"/>
        </w:rPr>
        <w:t>Finlande (+0,4 point de pourcentage) et au Luxembourg (+0,3 point de pourcentage). En outre, dans 21 États membres, le taux de chômage de longue durée reste plus élevé qu’en 2008, les écarts les plus importants étant enregistrés en Grèce (+11,9 points de p</w:t>
      </w:r>
      <w:r>
        <w:rPr>
          <w:rFonts w:ascii="Times New Roman" w:hAnsi="Times New Roman"/>
          <w:b w:val="0"/>
          <w:noProof/>
          <w:sz w:val="24"/>
          <w:lang w:val="fr-BE"/>
        </w:rPr>
        <w:t>ourcentage), en Espagne (+5,7 points de pourcentage), à Chypre (+4 points de pourcentage) et en Italie (+3,5 points de pourcentage). Cela exprime l’intensité de la récession que ces pays ont connue ces dernières années et l’incidence que cette récession co</w:t>
      </w:r>
      <w:r>
        <w:rPr>
          <w:rFonts w:ascii="Times New Roman" w:hAnsi="Times New Roman"/>
          <w:b w:val="0"/>
          <w:noProof/>
          <w:sz w:val="24"/>
          <w:lang w:val="fr-BE"/>
        </w:rPr>
        <w:t xml:space="preserve">ntinue d’exercer sur les résultats du marché du travail. Dans le même temps, cela indique aussi les défis auxquels sont confrontés les services publics de l’emploi et les systèmes de politiques actives du marché du travail, qui ont souvent été soumis à de </w:t>
      </w:r>
      <w:r>
        <w:rPr>
          <w:rFonts w:ascii="Times New Roman" w:hAnsi="Times New Roman"/>
          <w:b w:val="0"/>
          <w:noProof/>
          <w:sz w:val="24"/>
          <w:lang w:val="fr-BE"/>
        </w:rPr>
        <w:t>fortes pressions en raison de la hausse soudaine du nombre de demandeurs d’emploi.</w:t>
      </w:r>
    </w:p>
    <w:p w:rsidR="00723CC0" w:rsidRDefault="00723CC0">
      <w:pPr>
        <w:spacing w:line="240" w:lineRule="auto"/>
        <w:jc w:val="both"/>
        <w:rPr>
          <w:rFonts w:ascii="Times New Roman" w:hAnsi="Times New Roman" w:cs="Times New Roman"/>
          <w:noProof/>
          <w:sz w:val="20"/>
          <w:szCs w:val="20"/>
          <w:lang w:val="fr-BE"/>
        </w:rPr>
      </w:pPr>
    </w:p>
    <w:p w:rsidR="00723CC0" w:rsidRDefault="00242021">
      <w:pPr>
        <w:pStyle w:val="caption1"/>
        <w:keepNext/>
        <w:rPr>
          <w:rFonts w:ascii="Times New Roman" w:hAnsi="Times New Roman"/>
          <w:noProof/>
          <w:sz w:val="24"/>
          <w:szCs w:val="24"/>
          <w:lang w:val="fr-BE"/>
        </w:rPr>
      </w:pPr>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46</w:t>
      </w:r>
      <w:r>
        <w:rPr>
          <w:rFonts w:ascii="Times New Roman" w:hAnsi="Times New Roman"/>
          <w:noProof/>
          <w:sz w:val="24"/>
          <w:szCs w:val="24"/>
        </w:rPr>
        <w:fldChar w:fldCharType="end"/>
      </w:r>
      <w:r>
        <w:rPr>
          <w:rFonts w:ascii="Times New Roman" w:hAnsi="Times New Roman"/>
          <w:noProof/>
          <w:sz w:val="24"/>
          <w:lang w:val="fr-BE"/>
        </w:rPr>
        <w:t>: Chômage de longue durée exprimé en pourcentage de la population active</w:t>
      </w:r>
    </w:p>
    <w:p w:rsidR="00723CC0" w:rsidRDefault="00242021">
      <w:pPr>
        <w:keepNext/>
        <w:spacing w:line="36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extent cx="5565913" cy="2587055"/>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5572104" cy="2589933"/>
                    </a:xfrm>
                    <a:prstGeom prst="rect">
                      <a:avLst/>
                    </a:prstGeom>
                    <a:noFill/>
                  </pic:spPr>
                </pic:pic>
              </a:graphicData>
            </a:graphic>
          </wp:inline>
        </w:drawing>
      </w:r>
    </w:p>
    <w:p w:rsidR="00723CC0" w:rsidRDefault="00242021">
      <w:pPr>
        <w:spacing w:line="36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EFT.</w:t>
      </w:r>
    </w:p>
    <w:p w:rsidR="00723CC0" w:rsidRDefault="00723CC0">
      <w:pPr>
        <w:jc w:val="both"/>
        <w:rPr>
          <w:rFonts w:ascii="Times New Roman" w:hAnsi="Times New Roman"/>
          <w:noProof/>
          <w:sz w:val="24"/>
          <w:szCs w:val="24"/>
          <w:lang w:val="fr-BE"/>
        </w:rPr>
      </w:pP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 xml:space="preserve">La participation aux politiques actives du marché du travail continue à varier sensiblement dans l’UE. </w:t>
      </w:r>
      <w:r>
        <w:rPr>
          <w:rFonts w:ascii="Times New Roman" w:hAnsi="Times New Roman"/>
          <w:noProof/>
          <w:sz w:val="24"/>
          <w:lang w:val="fr-BE"/>
        </w:rPr>
        <w:t>Les politiques actives du marché du travail (PAMT) constituent l’une des pierres angulaires des transitions efficaces sur le marché du travail et des bon</w:t>
      </w:r>
      <w:r>
        <w:rPr>
          <w:rFonts w:ascii="Times New Roman" w:hAnsi="Times New Roman"/>
          <w:noProof/>
          <w:sz w:val="24"/>
          <w:lang w:val="fr-BE"/>
        </w:rPr>
        <w:t xml:space="preserve">s résultats des marchés du travail. Associées à une infrastructure efficace d’apprentissage tout au long de la vie, les PAMT constituent la dimension réelle de soutien (et de sécurité) d’une structure de flexicurité bien équilibrée, qui est reconnue comme </w:t>
      </w:r>
      <w:r>
        <w:rPr>
          <w:rFonts w:ascii="Times New Roman" w:hAnsi="Times New Roman"/>
          <w:noProof/>
          <w:sz w:val="24"/>
          <w:lang w:val="fr-BE"/>
        </w:rPr>
        <w:t>étant un facteur d’amélioration de la performance du marché du travail. Dans ce contexte, les disparités qui existent entre les États membres en matière de participation aux mesures d’activation sont frappantes. D’un côté, il existe un grand groupe d’États</w:t>
      </w:r>
      <w:r>
        <w:rPr>
          <w:rFonts w:ascii="Times New Roman" w:hAnsi="Times New Roman"/>
          <w:noProof/>
          <w:sz w:val="24"/>
          <w:lang w:val="fr-BE"/>
        </w:rPr>
        <w:t xml:space="preserve"> membres (Grèce, Roumanie, Bulgarie, Lettonie, Slovénie, Croatie, Chypre et Malte) où moins de 10 % des personnes désireuses de travailler ont participé à des PAMT en 2016. En outre, dans la plupart des cas, cette part a diminué au cours des dernières anné</w:t>
      </w:r>
      <w:r>
        <w:rPr>
          <w:rFonts w:ascii="Times New Roman" w:hAnsi="Times New Roman"/>
          <w:noProof/>
          <w:sz w:val="24"/>
          <w:lang w:val="fr-BE"/>
        </w:rPr>
        <w:t>es. De l’autre côté, un autre groupe de pays enregistre des taux de participation de plus de 40 % (Suède, France, Danemark, Hongrie, Luxembourg et Belgique); pour ce groupe, la tendance est généralement positive ou constante depuis 2013. Cela semble indiqu</w:t>
      </w:r>
      <w:r>
        <w:rPr>
          <w:rFonts w:ascii="Times New Roman" w:hAnsi="Times New Roman"/>
          <w:noProof/>
          <w:sz w:val="24"/>
          <w:lang w:val="fr-BE"/>
        </w:rPr>
        <w:t>er qu’il n’y a pas de convergence en ce qui concerne l’indicateur relatif à ces politiques</w:t>
      </w:r>
      <w:r>
        <w:rPr>
          <w:rStyle w:val="FootnoteReference"/>
          <w:rFonts w:ascii="Times New Roman" w:hAnsi="Times New Roman"/>
          <w:noProof/>
          <w:sz w:val="24"/>
        </w:rPr>
        <w:footnoteReference w:id="73"/>
      </w:r>
      <w:r>
        <w:rPr>
          <w:rFonts w:ascii="Times New Roman" w:hAnsi="Times New Roman"/>
          <w:noProof/>
          <w:sz w:val="24"/>
          <w:lang w:val="fr-BE"/>
        </w:rPr>
        <w:t>. Dans la plupart des pays, les taux de participation ont chuté après la crise (les exceptions notables étant la Belgique, la Hongrie, la Suède, la République tchèqu</w:t>
      </w:r>
      <w:r>
        <w:rPr>
          <w:rFonts w:ascii="Times New Roman" w:hAnsi="Times New Roman"/>
          <w:noProof/>
          <w:sz w:val="24"/>
          <w:lang w:val="fr-BE"/>
        </w:rPr>
        <w:t>e et l’Estonie), ce qui indique que l’augmentation du nombre de chercheurs d’emploi n’a pas été suivie d’une augmentation proportionnelle de la participation aux PAMT.</w:t>
      </w:r>
    </w:p>
    <w:p w:rsidR="00723CC0" w:rsidRDefault="00723CC0">
      <w:pPr>
        <w:spacing w:line="360" w:lineRule="auto"/>
        <w:jc w:val="both"/>
        <w:rPr>
          <w:noProof/>
          <w:lang w:val="fr-BE"/>
        </w:rPr>
      </w:pPr>
    </w:p>
    <w:p w:rsidR="00723CC0" w:rsidRDefault="00242021">
      <w:pPr>
        <w:pStyle w:val="caption1"/>
        <w:keepNext/>
        <w:spacing w:after="0" w:line="240" w:lineRule="auto"/>
        <w:rPr>
          <w:rFonts w:ascii="Times New Roman" w:hAnsi="Times New Roman"/>
          <w:noProof/>
          <w:sz w:val="24"/>
          <w:szCs w:val="24"/>
          <w:lang w:val="fr-BE"/>
        </w:rPr>
      </w:pPr>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47</w:t>
      </w:r>
      <w:r>
        <w:rPr>
          <w:rFonts w:ascii="Times New Roman" w:hAnsi="Times New Roman"/>
          <w:noProof/>
          <w:sz w:val="24"/>
          <w:szCs w:val="24"/>
        </w:rPr>
        <w:fldChar w:fldCharType="end"/>
      </w:r>
      <w:r>
        <w:rPr>
          <w:rFonts w:ascii="Times New Roman" w:hAnsi="Times New Roman"/>
          <w:noProof/>
          <w:sz w:val="24"/>
          <w:lang w:val="fr-BE"/>
        </w:rPr>
        <w:t>: Participants à des PAMT sur 100 personnes qui so</w:t>
      </w:r>
      <w:r>
        <w:rPr>
          <w:rFonts w:ascii="Times New Roman" w:hAnsi="Times New Roman"/>
          <w:noProof/>
          <w:sz w:val="24"/>
          <w:lang w:val="fr-BE"/>
        </w:rPr>
        <w:t>uhaitent travailler</w:t>
      </w:r>
    </w:p>
    <w:p w:rsidR="00723CC0" w:rsidRDefault="00242021">
      <w:pPr>
        <w:keepNext/>
        <w:spacing w:after="0"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extent cx="5828306" cy="2492778"/>
            <wp:effectExtent l="0" t="0" r="127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5830332" cy="2493645"/>
                    </a:xfrm>
                    <a:prstGeom prst="rect">
                      <a:avLst/>
                    </a:prstGeom>
                    <a:noFill/>
                  </pic:spPr>
                </pic:pic>
              </a:graphicData>
            </a:graphic>
          </wp:inline>
        </w:drawing>
      </w:r>
    </w:p>
    <w:p w:rsidR="00723CC0" w:rsidRDefault="00242021">
      <w:pPr>
        <w:spacing w:after="0" w:line="24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base de données PMT et EFT. Aucune donnée récente disponible pour le Royaume-Uni; pas de chiffres relatifs à 2016 pour l’Italie.</w:t>
      </w:r>
    </w:p>
    <w:p w:rsidR="00723CC0" w:rsidRDefault="00723CC0">
      <w:pPr>
        <w:spacing w:line="360" w:lineRule="auto"/>
        <w:jc w:val="both"/>
        <w:rPr>
          <w:rFonts w:ascii="Times New Roman" w:hAnsi="Times New Roman" w:cs="Times New Roman"/>
          <w:b/>
          <w:noProof/>
          <w:sz w:val="24"/>
          <w:szCs w:val="24"/>
          <w:lang w:val="fr-BE"/>
        </w:rPr>
      </w:pP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 xml:space="preserve">L’investissement total dans les politiques actives du marché du travail semble également diverger considérablement entre les États membres. </w:t>
      </w:r>
      <w:r>
        <w:rPr>
          <w:rFonts w:ascii="Times New Roman" w:hAnsi="Times New Roman"/>
          <w:noProof/>
          <w:sz w:val="24"/>
          <w:lang w:val="fr-BE"/>
        </w:rPr>
        <w:t>Si la part des chômeurs de longue durée correspond à une estimation approximative de l’efficacité des politiques act</w:t>
      </w:r>
      <w:r>
        <w:rPr>
          <w:rFonts w:ascii="Times New Roman" w:hAnsi="Times New Roman"/>
          <w:noProof/>
          <w:sz w:val="24"/>
          <w:lang w:val="fr-BE"/>
        </w:rPr>
        <w:t>ives du marché du travail, cette divergence est tout aussi préoccupante. Bien que les dépenses consacrées aux services et mesures relatifs au marché du travail soient dans une certaine mesure liées à l’état du chômage et de la compétitivité dans un État me</w:t>
      </w:r>
      <w:r>
        <w:rPr>
          <w:rFonts w:ascii="Times New Roman" w:hAnsi="Times New Roman"/>
          <w:noProof/>
          <w:sz w:val="24"/>
          <w:lang w:val="fr-BE"/>
        </w:rPr>
        <w:t>mbre donné, les chiffres montrent des différences importantes en ce qui concerne l’engagement à mettre en place des systèmes efficaces de politiques actives du marché du travail. Les dépenses consacrées aux services et mesures relatifs au marché du travail</w:t>
      </w:r>
      <w:r>
        <w:rPr>
          <w:rFonts w:ascii="Times New Roman" w:hAnsi="Times New Roman"/>
          <w:noProof/>
          <w:sz w:val="24"/>
          <w:lang w:val="fr-BE"/>
        </w:rPr>
        <w:t xml:space="preserve"> varient de 1,5 % à moins de 0,1 % du PIB dans certains des États membres les moins engagés (graphique 48). En outre, les États membres où les investissements dans les PAMT sont les moins importants ont également tendance à être ceux dans lesquels une part</w:t>
      </w:r>
      <w:r>
        <w:rPr>
          <w:rFonts w:ascii="Times New Roman" w:hAnsi="Times New Roman"/>
          <w:noProof/>
          <w:sz w:val="24"/>
          <w:lang w:val="fr-BE"/>
        </w:rPr>
        <w:t xml:space="preserve">ie importante du système de PAMT est cofinancée par le FSE et où la viabilité à long terme du système est mise en doute. </w:t>
      </w:r>
    </w:p>
    <w:p w:rsidR="00723CC0" w:rsidRDefault="00723CC0">
      <w:pPr>
        <w:spacing w:line="360" w:lineRule="auto"/>
        <w:jc w:val="both"/>
        <w:rPr>
          <w:rFonts w:ascii="Times New Roman" w:hAnsi="Times New Roman" w:cs="Times New Roman"/>
          <w:noProof/>
          <w:sz w:val="24"/>
          <w:szCs w:val="24"/>
          <w:lang w:val="fr-BE"/>
        </w:rPr>
      </w:pPr>
    </w:p>
    <w:p w:rsidR="00723CC0" w:rsidRDefault="00242021">
      <w:pPr>
        <w:pStyle w:val="caption1"/>
        <w:keepNext/>
        <w:spacing w:after="0" w:line="240" w:lineRule="auto"/>
        <w:rPr>
          <w:rFonts w:ascii="Times New Roman" w:eastAsiaTheme="minorHAnsi" w:hAnsi="Times New Roman"/>
          <w:noProof/>
          <w:sz w:val="24"/>
          <w:szCs w:val="24"/>
          <w:lang w:val="fr-BE"/>
        </w:rPr>
      </w:pPr>
      <w:bookmarkStart w:id="72" w:name="_Ref529471989"/>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48</w:t>
      </w:r>
      <w:r>
        <w:rPr>
          <w:rFonts w:ascii="Times New Roman" w:hAnsi="Times New Roman"/>
          <w:noProof/>
          <w:sz w:val="24"/>
          <w:szCs w:val="24"/>
        </w:rPr>
        <w:fldChar w:fldCharType="end"/>
      </w:r>
      <w:bookmarkEnd w:id="72"/>
      <w:r>
        <w:rPr>
          <w:rFonts w:ascii="Times New Roman" w:hAnsi="Times New Roman"/>
          <w:noProof/>
          <w:sz w:val="24"/>
          <w:lang w:val="fr-BE"/>
        </w:rPr>
        <w:t>: Dépenses consacrées aux services et mesures relatifs au marché du travail (2016) et proportion</w:t>
      </w:r>
      <w:r>
        <w:rPr>
          <w:rFonts w:ascii="Times New Roman" w:hAnsi="Times New Roman"/>
          <w:noProof/>
          <w:sz w:val="24"/>
          <w:lang w:val="fr-BE"/>
        </w:rPr>
        <w:t xml:space="preserve"> de chômeurs de longue durée (2017) </w:t>
      </w:r>
    </w:p>
    <w:p w:rsidR="00723CC0" w:rsidRDefault="00242021">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375082" cy="2456953"/>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5377723" cy="2458160"/>
                    </a:xfrm>
                    <a:prstGeom prst="rect">
                      <a:avLst/>
                    </a:prstGeom>
                    <a:noFill/>
                  </pic:spPr>
                </pic:pic>
              </a:graphicData>
            </a:graphic>
          </wp:inline>
        </w:drawing>
      </w:r>
    </w:p>
    <w:p w:rsidR="00723CC0" w:rsidRDefault="00242021">
      <w:pPr>
        <w:spacing w:line="360" w:lineRule="auto"/>
        <w:jc w:val="both"/>
        <w:rPr>
          <w:rFonts w:ascii="Times New Roman" w:eastAsia="Calibri" w:hAnsi="Times New Roman"/>
          <w:noProof/>
          <w:sz w:val="24"/>
          <w:lang w:val="fr-BE"/>
        </w:rPr>
      </w:pPr>
      <w:r>
        <w:rPr>
          <w:rFonts w:ascii="Times New Roman" w:hAnsi="Times New Roman"/>
          <w:b/>
          <w:noProof/>
          <w:sz w:val="24"/>
          <w:lang w:val="fr-BE"/>
        </w:rPr>
        <w:t>Les services publics de l’emploi (SPE) sont les principales institutions du marché du travail chargées de fournir une aide à la recherche d’emploi et d’orienter les demandeurs d’emploi vers des mesures d’activation.</w:t>
      </w:r>
      <w:r>
        <w:rPr>
          <w:rFonts w:ascii="Times New Roman" w:hAnsi="Times New Roman"/>
          <w:noProof/>
          <w:sz w:val="24"/>
          <w:lang w:val="fr-BE"/>
        </w:rPr>
        <w:t xml:space="preserve"> B</w:t>
      </w:r>
      <w:r>
        <w:rPr>
          <w:rFonts w:ascii="Times New Roman" w:hAnsi="Times New Roman"/>
          <w:noProof/>
          <w:sz w:val="24"/>
          <w:lang w:val="fr-BE"/>
        </w:rPr>
        <w:t>ien que structurés différemment d’un pays à l’autre, tous les SPE visent à faire correspondre l’offre et la demande sur le marché du travail en fournissant des services à la fois aux employeurs et aux demandeurs d’emploi enregistrés. En particulier, ils so</w:t>
      </w:r>
      <w:r>
        <w:rPr>
          <w:rFonts w:ascii="Times New Roman" w:hAnsi="Times New Roman"/>
          <w:noProof/>
          <w:sz w:val="24"/>
          <w:lang w:val="fr-BE"/>
        </w:rPr>
        <w:t>nt chargés d’établir le profil des clients, de leur fournir des conseils et un soutien personnalisé, de les orienter vers des mesures de formation et d’activation et, dans de nombreux pays, d’assurer le versement des prestations de chômage et/ou des presta</w:t>
      </w:r>
      <w:r>
        <w:rPr>
          <w:rFonts w:ascii="Times New Roman" w:hAnsi="Times New Roman"/>
          <w:noProof/>
          <w:sz w:val="24"/>
          <w:lang w:val="fr-BE"/>
        </w:rPr>
        <w:t xml:space="preserve">tions sociales.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Néanmoins, l’aptitude des services publics de l’emploi à fournir une aide à la recherche d’emploi varie d’un État membre à l’autre,</w:t>
      </w:r>
      <w:r>
        <w:rPr>
          <w:noProof/>
          <w:lang w:val="fr-BE"/>
        </w:rPr>
        <w:t xml:space="preserve"> </w:t>
      </w:r>
      <w:r>
        <w:rPr>
          <w:rFonts w:ascii="Times New Roman" w:hAnsi="Times New Roman"/>
          <w:noProof/>
          <w:sz w:val="24"/>
          <w:lang w:val="fr-BE"/>
        </w:rPr>
        <w:t>en fonction notamment de leur capacité, de la qualité des services fournis et de la coordination avec d’aut</w:t>
      </w:r>
      <w:r>
        <w:rPr>
          <w:rFonts w:ascii="Times New Roman" w:hAnsi="Times New Roman"/>
          <w:noProof/>
          <w:sz w:val="24"/>
          <w:lang w:val="fr-BE"/>
        </w:rPr>
        <w:t>res acteurs. Ces disparités reflètent très souvent l’utilisation que les chômeurs font des SPE pour chercher un emploi (au-delà des obligations d’enregistrement formel, qui sont généralement nécessaires pour accéder aux prestations de chômage et à d’autres</w:t>
      </w:r>
      <w:r>
        <w:rPr>
          <w:rFonts w:ascii="Times New Roman" w:hAnsi="Times New Roman"/>
          <w:noProof/>
          <w:sz w:val="24"/>
          <w:lang w:val="fr-BE"/>
        </w:rPr>
        <w:t xml:space="preserve"> prestations sociales). Le graphique 49 montre la proportion de chômeurs utilisant les services publics de l’emploi pour chercher un emploi. Les valeurs ne diffèrent pas beaucoup de celles qui ont été publiées dans le rapport conjoint sur l’emploi de 2018.</w:t>
      </w:r>
      <w:r>
        <w:rPr>
          <w:rFonts w:ascii="Times New Roman" w:hAnsi="Times New Roman"/>
          <w:noProof/>
          <w:sz w:val="24"/>
          <w:lang w:val="fr-BE"/>
        </w:rPr>
        <w:t xml:space="preserve"> En bas de l’échelle, l’Espagne, l’Italie et la Roumanie enregistrent les pourcentages les plus faibles en 2017 (moins de 30 %), devant les Pays-Bas, le Royaume-Uni et le Portugal (qui affichent une proportion comprise entre 30 % et 40 %). À l’inverse, dan</w:t>
      </w:r>
      <w:r>
        <w:rPr>
          <w:rFonts w:ascii="Times New Roman" w:hAnsi="Times New Roman"/>
          <w:noProof/>
          <w:sz w:val="24"/>
          <w:lang w:val="fr-BE"/>
        </w:rPr>
        <w:t>s des États membres tels que la Lituanie, la Slovaquie, la République tchèque, l’Autriche, la Slovénie, l’Allemagne et la Grèce, la proportion de chômeurs qui déclarent utiliser des services publics de l’emploi pour rechercher un emploi est supérieure à 70</w:t>
      </w:r>
      <w:r>
        <w:rPr>
          <w:rFonts w:ascii="Times New Roman" w:hAnsi="Times New Roman"/>
          <w:noProof/>
          <w:sz w:val="24"/>
          <w:lang w:val="fr-BE"/>
        </w:rPr>
        <w:t> %. En moyenne, l’utilisation des SPE par les chômeurs est en recul constant depuis le début de la crise, puisqu’elle est passée de 58,1 % en 2008 à 45,2 % en 2017 (1 point de pourcentage de moins qu’en 2016). Toutefois, on constate une tendance inverse da</w:t>
      </w:r>
      <w:r>
        <w:rPr>
          <w:rFonts w:ascii="Times New Roman" w:hAnsi="Times New Roman"/>
          <w:noProof/>
          <w:sz w:val="24"/>
          <w:lang w:val="fr-BE"/>
        </w:rPr>
        <w:t xml:space="preserve">ns quelques États membres, avec des augmentations notables en Lettonie et à Chypre (de plus de 30 points de pourcentage), en Estonie et en Grèce (d’environ 15 points de pourcentage), ainsi qu’en Roumanie et en Slovénie (d’environ 9 points de pourcentage). </w:t>
      </w:r>
      <w:r>
        <w:rPr>
          <w:rFonts w:ascii="Times New Roman" w:hAnsi="Times New Roman"/>
          <w:noProof/>
          <w:sz w:val="24"/>
          <w:lang w:val="fr-BE"/>
        </w:rPr>
        <w:t>Dans certains de ces pays, cependant, l’existence de taux plus élevés peut être due au fait que l’obligation de s’enregistrer pour avoir accès aux prestations est plus stricte. Le graphique 50 donne une idée de l’usage que font les chômeurs de certaines au</w:t>
      </w:r>
      <w:r>
        <w:rPr>
          <w:rFonts w:ascii="Times New Roman" w:hAnsi="Times New Roman"/>
          <w:noProof/>
          <w:sz w:val="24"/>
          <w:lang w:val="fr-BE"/>
        </w:rPr>
        <w:t>tres méthodes de recherche d’emploi, dont les agences d’emploi privées, les candidatures directes auprès des employeurs et les méthodes informelles (par exemple par l’intermédiaire d’amis, de membres de la famille et de syndicats). Bien qu’il soit difficil</w:t>
      </w:r>
      <w:r>
        <w:rPr>
          <w:rFonts w:ascii="Times New Roman" w:hAnsi="Times New Roman"/>
          <w:noProof/>
          <w:sz w:val="24"/>
          <w:lang w:val="fr-BE"/>
        </w:rPr>
        <w:t>e de dégager des règles générales, il semble que, dans les États membres où le recours aux services publics de l’emploi est peu répandu, les méthodes informelles soient les plus utilisées.</w:t>
      </w:r>
    </w:p>
    <w:p w:rsidR="00723CC0" w:rsidRDefault="00242021">
      <w:pPr>
        <w:pStyle w:val="caption1"/>
        <w:keepNext/>
        <w:spacing w:line="360" w:lineRule="auto"/>
        <w:rPr>
          <w:rFonts w:ascii="Times New Roman" w:hAnsi="Times New Roman"/>
          <w:noProof/>
          <w:sz w:val="24"/>
          <w:szCs w:val="24"/>
          <w:lang w:val="fr-BE"/>
        </w:rPr>
      </w:pPr>
      <w:bookmarkStart w:id="73" w:name="_Ref528664855"/>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49</w:t>
      </w:r>
      <w:r>
        <w:rPr>
          <w:rFonts w:ascii="Times New Roman" w:hAnsi="Times New Roman"/>
          <w:noProof/>
          <w:sz w:val="24"/>
          <w:szCs w:val="24"/>
        </w:rPr>
        <w:fldChar w:fldCharType="end"/>
      </w:r>
      <w:bookmarkEnd w:id="73"/>
      <w:r>
        <w:rPr>
          <w:rFonts w:ascii="Times New Roman" w:hAnsi="Times New Roman"/>
          <w:noProof/>
          <w:sz w:val="24"/>
          <w:lang w:val="fr-BE"/>
        </w:rPr>
        <w:t xml:space="preserve">: Part de chômeurs utilisant </w:t>
      </w:r>
      <w:r>
        <w:rPr>
          <w:rFonts w:ascii="Times New Roman" w:hAnsi="Times New Roman"/>
          <w:noProof/>
          <w:sz w:val="24"/>
          <w:lang w:val="fr-BE"/>
        </w:rPr>
        <w:t>les services publics de l’emploi pour chercher un emploi</w:t>
      </w:r>
    </w:p>
    <w:p w:rsidR="00723CC0" w:rsidRDefault="00242021">
      <w:pPr>
        <w:rPr>
          <w:noProof/>
        </w:rPr>
      </w:pPr>
      <w:r>
        <w:rPr>
          <w:noProof/>
          <w:lang w:val="en-GB" w:eastAsia="en-GB" w:bidi="ar-SA"/>
        </w:rPr>
        <w:drawing>
          <wp:inline distT="0" distB="0" distL="0" distR="0">
            <wp:extent cx="5740842" cy="2091193"/>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5743521" cy="2092169"/>
                    </a:xfrm>
                    <a:prstGeom prst="rect">
                      <a:avLst/>
                    </a:prstGeom>
                    <a:noFill/>
                  </pic:spPr>
                </pic:pic>
              </a:graphicData>
            </a:graphic>
          </wp:inline>
        </w:drawing>
      </w:r>
    </w:p>
    <w:p w:rsidR="00723CC0" w:rsidRDefault="00242021">
      <w:pPr>
        <w:spacing w:line="36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EFT.</w:t>
      </w:r>
    </w:p>
    <w:p w:rsidR="00723CC0" w:rsidRDefault="00723CC0">
      <w:pPr>
        <w:autoSpaceDE w:val="0"/>
        <w:autoSpaceDN w:val="0"/>
        <w:adjustRightInd w:val="0"/>
        <w:spacing w:line="360" w:lineRule="auto"/>
        <w:jc w:val="both"/>
        <w:rPr>
          <w:rFonts w:ascii="Times New Roman" w:hAnsi="Times New Roman" w:cs="Times New Roman"/>
          <w:b/>
          <w:bCs/>
          <w:noProof/>
          <w:sz w:val="24"/>
          <w:szCs w:val="24"/>
          <w:lang w:val="fr-BE"/>
        </w:rPr>
      </w:pPr>
    </w:p>
    <w:p w:rsidR="00723CC0" w:rsidRDefault="00242021">
      <w:pPr>
        <w:pStyle w:val="caption1"/>
        <w:keepNext/>
        <w:spacing w:line="360" w:lineRule="auto"/>
        <w:rPr>
          <w:rFonts w:ascii="Times New Roman" w:hAnsi="Times New Roman"/>
          <w:noProof/>
          <w:sz w:val="24"/>
          <w:szCs w:val="24"/>
          <w:lang w:val="fr-BE"/>
        </w:rPr>
      </w:pPr>
      <w:bookmarkStart w:id="74" w:name="_Ref528664868"/>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50</w:t>
      </w:r>
      <w:r>
        <w:rPr>
          <w:rFonts w:ascii="Times New Roman" w:hAnsi="Times New Roman"/>
          <w:noProof/>
          <w:sz w:val="24"/>
          <w:szCs w:val="24"/>
        </w:rPr>
        <w:fldChar w:fldCharType="end"/>
      </w:r>
      <w:bookmarkEnd w:id="74"/>
      <w:r>
        <w:rPr>
          <w:rFonts w:ascii="Times New Roman" w:hAnsi="Times New Roman"/>
          <w:noProof/>
          <w:sz w:val="24"/>
          <w:lang w:val="fr-BE"/>
        </w:rPr>
        <w:t>: Part de chômeurs utilisant des méthodes particulières de recherche d’emploi (2017)</w:t>
      </w:r>
    </w:p>
    <w:p w:rsidR="00723CC0" w:rsidRDefault="00242021">
      <w:pPr>
        <w:autoSpaceDE w:val="0"/>
        <w:autoSpaceDN w:val="0"/>
        <w:adjustRightInd w:val="0"/>
        <w:spacing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lang w:val="en-GB" w:eastAsia="en-GB" w:bidi="ar-SA"/>
        </w:rPr>
        <w:drawing>
          <wp:inline distT="0" distB="0" distL="0" distR="0">
            <wp:extent cx="5739126" cy="2054444"/>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5738991" cy="2054396"/>
                    </a:xfrm>
                    <a:prstGeom prst="rect">
                      <a:avLst/>
                    </a:prstGeom>
                    <a:noFill/>
                  </pic:spPr>
                </pic:pic>
              </a:graphicData>
            </a:graphic>
          </wp:inline>
        </w:drawing>
      </w:r>
    </w:p>
    <w:p w:rsidR="00723CC0" w:rsidRDefault="00242021">
      <w:pPr>
        <w:spacing w:line="36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EFT.</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 xml:space="preserve">La fourniture de </w:t>
      </w:r>
      <w:r>
        <w:rPr>
          <w:rFonts w:ascii="Times New Roman" w:hAnsi="Times New Roman"/>
          <w:b/>
          <w:noProof/>
          <w:sz w:val="24"/>
          <w:lang w:val="fr-BE"/>
        </w:rPr>
        <w:t>prestations de chômage adéquates, d’une durée raisonnable, accessibles à tous les travailleurs et accompagnées de politiques du marché de l’emploi actives et efficaces est essentielle pour aider les demandeurs d’emploi lors des transitions sur le marché du</w:t>
      </w:r>
      <w:r>
        <w:rPr>
          <w:rFonts w:ascii="Times New Roman" w:hAnsi="Times New Roman"/>
          <w:b/>
          <w:noProof/>
          <w:sz w:val="24"/>
          <w:lang w:val="fr-BE"/>
        </w:rPr>
        <w:t xml:space="preserve"> travail.</w:t>
      </w:r>
      <w:r>
        <w:rPr>
          <w:rFonts w:ascii="Times New Roman" w:hAnsi="Times New Roman"/>
          <w:noProof/>
          <w:sz w:val="24"/>
          <w:lang w:val="fr-BE"/>
        </w:rPr>
        <w:t xml:space="preserve"> Le rapport conjoint sur l’emploi de 2018 contient une analyse comparative approfondie des principales caractéristiques des systèmes de prestations de chômage dans l’UE, établie sur la base des résultats de l’analyse comparative des prestations de</w:t>
      </w:r>
      <w:r>
        <w:rPr>
          <w:rFonts w:ascii="Times New Roman" w:hAnsi="Times New Roman"/>
          <w:noProof/>
          <w:sz w:val="24"/>
          <w:lang w:val="fr-BE"/>
        </w:rPr>
        <w:t xml:space="preserve"> chômage et des PAMT menées au sein du Comité de l’emploi. L’analyse, qui a porté sur un certain nombre d’indicateurs de performance et de leviers d’action (pour l’année 2016 ou 2017, en fonction de la disponibilité des données), reste globalement valable,</w:t>
      </w:r>
      <w:r>
        <w:rPr>
          <w:rFonts w:ascii="Times New Roman" w:hAnsi="Times New Roman"/>
          <w:noProof/>
          <w:sz w:val="24"/>
          <w:lang w:val="fr-BE"/>
        </w:rPr>
        <w:t xml:space="preserve"> compte tenu du peu de modifications apportées aux politiques au cours de la période de référence dudit rapport (pour plus de détails sur les réformes engagées par les États membres dans ce domaine, voir la section 3.3.2; pour un aperçu à long terme des ré</w:t>
      </w:r>
      <w:r>
        <w:rPr>
          <w:rFonts w:ascii="Times New Roman" w:hAnsi="Times New Roman"/>
          <w:noProof/>
          <w:sz w:val="24"/>
          <w:lang w:val="fr-BE"/>
        </w:rPr>
        <w:t>formes engagées par les États membres, voir Commission européenne, 2018</w:t>
      </w:r>
      <w:r>
        <w:rPr>
          <w:rStyle w:val="FootnoteReference"/>
          <w:rFonts w:ascii="Times New Roman" w:hAnsi="Times New Roman"/>
          <w:noProof/>
          <w:sz w:val="24"/>
        </w:rPr>
        <w:footnoteReference w:id="74"/>
      </w:r>
      <w:r>
        <w:rPr>
          <w:rFonts w:ascii="Times New Roman" w:hAnsi="Times New Roman"/>
          <w:noProof/>
          <w:sz w:val="24"/>
          <w:lang w:val="fr-BE"/>
        </w:rPr>
        <w:t>). La présente section contient une mise à jour des données de l’exercice, notamment en ce qui concerne les indicateurs de leviers d’action. En outre, elle passe en revue les indicateu</w:t>
      </w:r>
      <w:r>
        <w:rPr>
          <w:rFonts w:ascii="Times New Roman" w:hAnsi="Times New Roman"/>
          <w:noProof/>
          <w:sz w:val="24"/>
          <w:lang w:val="fr-BE"/>
        </w:rPr>
        <w:t xml:space="preserve">rs supplémentaires relatifs à la rigueur des exigences en matière de recherche d’emploi pour les demandeurs d’emploi au chômage qui ont été approuvés par le Comité de l’emploi en 2018.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La proportion de chômeurs de courte durée</w:t>
      </w:r>
      <w:r>
        <w:rPr>
          <w:rStyle w:val="FootnoteReference"/>
          <w:rFonts w:ascii="Times New Roman" w:hAnsi="Times New Roman"/>
          <w:b/>
          <w:noProof/>
          <w:sz w:val="24"/>
        </w:rPr>
        <w:footnoteReference w:id="75"/>
      </w:r>
      <w:r>
        <w:rPr>
          <w:rFonts w:ascii="Times New Roman" w:hAnsi="Times New Roman"/>
          <w:b/>
          <w:noProof/>
          <w:sz w:val="24"/>
          <w:lang w:val="fr-BE"/>
        </w:rPr>
        <w:t xml:space="preserve"> touchant une prestation de </w:t>
      </w:r>
      <w:r>
        <w:rPr>
          <w:rFonts w:ascii="Times New Roman" w:hAnsi="Times New Roman"/>
          <w:b/>
          <w:noProof/>
          <w:sz w:val="24"/>
          <w:lang w:val="fr-BE"/>
        </w:rPr>
        <w:t>chômage s’élève à environ un tiers, en moyenne.</w:t>
      </w:r>
      <w:r>
        <w:rPr>
          <w:rFonts w:ascii="Times New Roman" w:hAnsi="Times New Roman"/>
          <w:noProof/>
          <w:sz w:val="24"/>
          <w:lang w:val="fr-BE"/>
        </w:rPr>
        <w:t xml:space="preserve"> Cette part a légèrement diminué au lendemain de la crise (de 34,4 % en 2008 à 32,7 % en 2017) et est restée stable ces dernières années. Toutefois, des différences importantes subsistent entre les pays (graph</w:t>
      </w:r>
      <w:r>
        <w:rPr>
          <w:rFonts w:ascii="Times New Roman" w:hAnsi="Times New Roman"/>
          <w:noProof/>
          <w:sz w:val="24"/>
          <w:lang w:val="fr-BE"/>
        </w:rPr>
        <w:t xml:space="preserve">ique 51). Ces différences dépendent de la conception des politiques relevant des systèmes de prestations de chômage (notamment en ce qui concerne les conditions d’admissibilité, la durée maximale, la rigueur des exigences en matière de recherche d’emploi, </w:t>
      </w:r>
      <w:r>
        <w:rPr>
          <w:rFonts w:ascii="Times New Roman" w:hAnsi="Times New Roman"/>
          <w:noProof/>
          <w:sz w:val="24"/>
          <w:lang w:val="fr-BE"/>
        </w:rPr>
        <w:t xml:space="preserve">les chevauchements avec d’autres régimes de protection sociale) ainsi que de la situation conjoncturelle des différents pays. Sur le long terme, entre 2008 et 2017, les plus fortes hausses en matière de couverture ont été enregistrées en Lettonie (près de </w:t>
      </w:r>
      <w:r>
        <w:rPr>
          <w:rFonts w:ascii="Times New Roman" w:hAnsi="Times New Roman"/>
          <w:noProof/>
          <w:sz w:val="24"/>
          <w:lang w:val="fr-BE"/>
        </w:rPr>
        <w:t>16 points de pourcentage), en Italie (10 points de pourcentage) et en France (9 points de pourcentage). En revanche, les baisses les plus importantes ont été enregistrées en Hongrie (-15 points de pourcentage), au Luxembourg (-12 points de pourcentage), en</w:t>
      </w:r>
      <w:r>
        <w:rPr>
          <w:rFonts w:ascii="Times New Roman" w:hAnsi="Times New Roman"/>
          <w:noProof/>
          <w:sz w:val="24"/>
          <w:lang w:val="fr-BE"/>
        </w:rPr>
        <w:t xml:space="preserve"> Croatie et en Allemagne (-10 points de pourcentage). Cette dernière présente cependant toujours le taux de couverture le plus élevé (62,8 %), devant la Finlande, l’Autriche, la Belgique et la France, qui affichent des taux supérieurs à 50 %. A contrario, </w:t>
      </w:r>
      <w:r>
        <w:rPr>
          <w:rFonts w:ascii="Times New Roman" w:hAnsi="Times New Roman"/>
          <w:noProof/>
          <w:sz w:val="24"/>
          <w:lang w:val="fr-BE"/>
        </w:rPr>
        <w:t xml:space="preserve">le niveau de couverture le plus faible est enregistré à Malte, en Croatie, en Pologne, en Roumanie et en Bulgarie, qui affichent des taux nettement inférieurs à 15 %, sans aucun signe d’amélioration. </w:t>
      </w:r>
    </w:p>
    <w:p w:rsidR="00723CC0" w:rsidRDefault="00242021">
      <w:pPr>
        <w:pStyle w:val="caption2"/>
        <w:keepNext/>
        <w:jc w:val="both"/>
        <w:rPr>
          <w:rFonts w:ascii="Times New Roman" w:hAnsi="Times New Roman" w:cs="Times New Roman"/>
          <w:noProof/>
          <w:color w:val="auto"/>
          <w:sz w:val="24"/>
          <w:szCs w:val="24"/>
          <w:lang w:val="fr-BE"/>
        </w:rPr>
      </w:pPr>
      <w:bookmarkStart w:id="75" w:name="_Ref529472440"/>
      <w:r>
        <w:rPr>
          <w:rFonts w:ascii="Times New Roman" w:hAnsi="Times New Roman"/>
          <w:noProof/>
          <w:color w:val="auto"/>
          <w:sz w:val="24"/>
          <w:lang w:val="fr-BE"/>
        </w:rPr>
        <w:t>Graphique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lang w:val="fr-BE"/>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lang w:val="fr-BE"/>
        </w:rPr>
        <w:t>51</w:t>
      </w:r>
      <w:r>
        <w:rPr>
          <w:rFonts w:ascii="Times New Roman" w:hAnsi="Times New Roman" w:cs="Times New Roman"/>
          <w:noProof/>
          <w:color w:val="auto"/>
          <w:sz w:val="24"/>
          <w:szCs w:val="24"/>
        </w:rPr>
        <w:fldChar w:fldCharType="end"/>
      </w:r>
      <w:bookmarkEnd w:id="75"/>
      <w:r>
        <w:rPr>
          <w:rFonts w:ascii="Times New Roman" w:hAnsi="Times New Roman"/>
          <w:noProof/>
          <w:color w:val="auto"/>
          <w:sz w:val="24"/>
          <w:lang w:val="fr-BE"/>
        </w:rPr>
        <w:t>: Couverture des p</w:t>
      </w:r>
      <w:r>
        <w:rPr>
          <w:rFonts w:ascii="Times New Roman" w:hAnsi="Times New Roman"/>
          <w:noProof/>
          <w:color w:val="auto"/>
          <w:sz w:val="24"/>
          <w:lang w:val="fr-BE"/>
        </w:rPr>
        <w:t>restations de chômage pour les chômeurs de courte durée</w:t>
      </w:r>
    </w:p>
    <w:p w:rsidR="00723CC0" w:rsidRDefault="00242021">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836258" cy="2908458"/>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5835572" cy="2908116"/>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Source: calcul à partir d’Eurostat, données de l’EFT. Note: données non disponibles pour l’Irlande et les Pays-Bas.</w:t>
      </w:r>
    </w:p>
    <w:p w:rsidR="00723CC0" w:rsidRDefault="00723CC0">
      <w:pPr>
        <w:spacing w:line="360" w:lineRule="auto"/>
        <w:jc w:val="both"/>
        <w:rPr>
          <w:rFonts w:ascii="Times New Roman" w:hAnsi="Times New Roman" w:cs="Times New Roman"/>
          <w:noProof/>
          <w:sz w:val="24"/>
          <w:szCs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Aucun changement important n’est intervenu entre 2016 et 2018 dans la conception </w:t>
      </w:r>
      <w:r>
        <w:rPr>
          <w:rFonts w:ascii="Times New Roman" w:hAnsi="Times New Roman"/>
          <w:b/>
          <w:noProof/>
          <w:sz w:val="24"/>
          <w:lang w:val="fr-BE"/>
        </w:rPr>
        <w:t>des prestations de chômage dans les États membres.</w:t>
      </w:r>
      <w:r>
        <w:rPr>
          <w:rFonts w:ascii="Times New Roman" w:hAnsi="Times New Roman"/>
          <w:noProof/>
          <w:sz w:val="24"/>
          <w:lang w:val="fr-BE"/>
        </w:rPr>
        <w:t xml:space="preserve"> Pour avoir droit aux prestations de chômage, les chômeurs sont généralement tenus d’avoir travaillé durant une période minimale et/ou d’avoir versé des cotisations d’assurance durant un certain temps. Comm</w:t>
      </w:r>
      <w:r>
        <w:rPr>
          <w:rFonts w:ascii="Times New Roman" w:hAnsi="Times New Roman"/>
          <w:noProof/>
          <w:sz w:val="24"/>
          <w:lang w:val="fr-BE"/>
        </w:rPr>
        <w:t>e indiqué dans le graphique 52, la durée de cette période minimale varie de moins de 20 semaines en France et en Italie à un an (52 semaines) ou plus en Pologne, en Roumanie et en Slovaquie. Presque aucun changement n’a été enregistré entre 2016 et 2018, à</w:t>
      </w:r>
      <w:r>
        <w:rPr>
          <w:rFonts w:ascii="Times New Roman" w:hAnsi="Times New Roman"/>
          <w:noProof/>
          <w:sz w:val="24"/>
          <w:lang w:val="fr-BE"/>
        </w:rPr>
        <w:t xml:space="preserve"> trois exceptions près. En Autriche, une période d’assurance de 52 semaines au cours des 24 derniers mois est toujours requise pour la première demande. Toutefois, pour les demandes suivantes, cette période a été réduite à 28 semaines. En Bulgarie, la duré</w:t>
      </w:r>
      <w:r>
        <w:rPr>
          <w:rFonts w:ascii="Times New Roman" w:hAnsi="Times New Roman"/>
          <w:noProof/>
          <w:sz w:val="24"/>
          <w:lang w:val="fr-BE"/>
        </w:rPr>
        <w:t xml:space="preserve">e de la période d’acquisition requise est passée de 9 mois au cours des 15 mois précédant le chômage à au moins 12 mois au cours des 18 mois précédant le chômage. Une baisse similaire a eu lieu en Lettonie, où l’obligation d’avoir versé au moins 9 mois de </w:t>
      </w:r>
      <w:r>
        <w:rPr>
          <w:rFonts w:ascii="Times New Roman" w:hAnsi="Times New Roman"/>
          <w:noProof/>
          <w:sz w:val="24"/>
          <w:lang w:val="fr-BE"/>
        </w:rPr>
        <w:t>cotisations au cours des 12 mois précédant le chômage a été remplacée par l’obligation de justifier d’au moins 12 mois d’assurance au cours des 16 mois précédant le chômage. En ce qui concerne la durée maximale des prestations (graphique 53), aucun changem</w:t>
      </w:r>
      <w:r>
        <w:rPr>
          <w:rFonts w:ascii="Times New Roman" w:hAnsi="Times New Roman"/>
          <w:noProof/>
          <w:sz w:val="24"/>
          <w:lang w:val="fr-BE"/>
        </w:rPr>
        <w:t>ent n’a eu lieu entre 2017 et 2018. La Belgique reste dans la tranche supérieure, la durée des prestations y étant illimitée – fait qui s’inscrit dans un contexte où il n’existe pas de régime d’assistance chômage. La Hongrie et Malte se situent à l’autre e</w:t>
      </w:r>
      <w:r>
        <w:rPr>
          <w:rFonts w:ascii="Times New Roman" w:hAnsi="Times New Roman"/>
          <w:noProof/>
          <w:sz w:val="24"/>
          <w:lang w:val="fr-BE"/>
        </w:rPr>
        <w:t>xtrémité du spectre. La durée maximale reste plus courte que les périodes de cotisation dans la plupart des États membres; elle n’est égale que dans quatre pays (France, Pays-Bas, Grèce, Luxembourg), et elle est supérieure dans trois autres (Finlande, Dane</w:t>
      </w:r>
      <w:r>
        <w:rPr>
          <w:rFonts w:ascii="Times New Roman" w:hAnsi="Times New Roman"/>
          <w:noProof/>
          <w:sz w:val="24"/>
          <w:lang w:val="fr-BE"/>
        </w:rPr>
        <w:t>mark, Belgique). En ce qui concerne le niveau et l’adéquation des prestations de chômage, les États membres présentent également d’importantes disparités.</w:t>
      </w:r>
      <w:r>
        <w:rPr>
          <w:rFonts w:ascii="Times New Roman" w:hAnsi="Times New Roman"/>
          <w:b/>
          <w:noProof/>
          <w:sz w:val="24"/>
          <w:lang w:val="fr-BE"/>
        </w:rPr>
        <w:t xml:space="preserve"> </w:t>
      </w:r>
      <w:r>
        <w:rPr>
          <w:rFonts w:ascii="Times New Roman" w:hAnsi="Times New Roman"/>
          <w:noProof/>
          <w:sz w:val="24"/>
          <w:lang w:val="fr-BE"/>
        </w:rPr>
        <w:t>Les taux de remplacement nets pour un travailleur à bas salaire ayant une courte expérience professio</w:t>
      </w:r>
      <w:r>
        <w:rPr>
          <w:rFonts w:ascii="Times New Roman" w:hAnsi="Times New Roman"/>
          <w:noProof/>
          <w:sz w:val="24"/>
          <w:lang w:val="fr-BE"/>
        </w:rPr>
        <w:t>nnelle (1 an) vont de moins de 20 % des revenus (nets) précédents en Hongrie à environ 90 % au Luxembourg (graphique 54). La comparaison entre les taux de remplacement nets aux 2</w:t>
      </w:r>
      <w:r>
        <w:rPr>
          <w:rFonts w:ascii="Times New Roman" w:hAnsi="Times New Roman"/>
          <w:noProof/>
          <w:sz w:val="24"/>
          <w:vertAlign w:val="superscript"/>
          <w:lang w:val="fr-BE"/>
        </w:rPr>
        <w:t>e</w:t>
      </w:r>
      <w:r>
        <w:rPr>
          <w:rFonts w:ascii="Times New Roman" w:hAnsi="Times New Roman"/>
          <w:noProof/>
          <w:sz w:val="24"/>
          <w:lang w:val="fr-BE"/>
        </w:rPr>
        <w:t xml:space="preserve"> et 12</w:t>
      </w:r>
      <w:r>
        <w:rPr>
          <w:rFonts w:ascii="Times New Roman" w:hAnsi="Times New Roman"/>
          <w:noProof/>
          <w:sz w:val="24"/>
          <w:vertAlign w:val="superscript"/>
          <w:lang w:val="fr-BE"/>
        </w:rPr>
        <w:t>e</w:t>
      </w:r>
      <w:r>
        <w:rPr>
          <w:rFonts w:ascii="Times New Roman" w:hAnsi="Times New Roman"/>
          <w:noProof/>
          <w:sz w:val="24"/>
          <w:lang w:val="fr-BE"/>
        </w:rPr>
        <w:t xml:space="preserve"> mois de la période de chômage fait apparaître soit l’effet de l’expir</w:t>
      </w:r>
      <w:r>
        <w:rPr>
          <w:rFonts w:ascii="Times New Roman" w:hAnsi="Times New Roman"/>
          <w:noProof/>
          <w:sz w:val="24"/>
          <w:lang w:val="fr-BE"/>
        </w:rPr>
        <w:t>ation des prestations (les individus relevant alors d’autres régimes, tels que l’assistance chômage ou l’assistance sociale), soit celui de la réduction du taux des prestations dans le temps</w:t>
      </w:r>
      <w:bookmarkStart w:id="76" w:name="_Ref529472960"/>
      <w:r>
        <w:rPr>
          <w:rStyle w:val="FootnoteReference"/>
          <w:rFonts w:ascii="Times New Roman" w:hAnsi="Times New Roman"/>
          <w:noProof/>
          <w:sz w:val="24"/>
        </w:rPr>
        <w:footnoteReference w:id="76"/>
      </w:r>
      <w:bookmarkEnd w:id="76"/>
      <w:r>
        <w:rPr>
          <w:rFonts w:ascii="Times New Roman" w:hAnsi="Times New Roman"/>
          <w:noProof/>
          <w:sz w:val="24"/>
          <w:lang w:val="fr-BE"/>
        </w:rPr>
        <w:t>.</w:t>
      </w:r>
    </w:p>
    <w:p w:rsidR="00723CC0" w:rsidRDefault="00723CC0">
      <w:pPr>
        <w:rPr>
          <w:noProof/>
          <w:lang w:val="fr-BE"/>
        </w:rPr>
      </w:pPr>
    </w:p>
    <w:p w:rsidR="00723CC0" w:rsidRDefault="00723CC0">
      <w:pPr>
        <w:rPr>
          <w:noProof/>
          <w:lang w:val="fr-BE"/>
        </w:rPr>
      </w:pPr>
    </w:p>
    <w:p w:rsidR="00723CC0" w:rsidRDefault="00723CC0">
      <w:pPr>
        <w:rPr>
          <w:noProof/>
          <w:lang w:val="fr-BE"/>
        </w:rPr>
      </w:pPr>
    </w:p>
    <w:p w:rsidR="00723CC0" w:rsidRDefault="00723CC0">
      <w:pPr>
        <w:rPr>
          <w:noProof/>
          <w:lang w:val="fr-BE"/>
        </w:rPr>
      </w:pPr>
    </w:p>
    <w:p w:rsidR="00723CC0" w:rsidRDefault="00723CC0">
      <w:pPr>
        <w:rPr>
          <w:noProof/>
          <w:lang w:val="fr-BE"/>
        </w:rPr>
      </w:pPr>
    </w:p>
    <w:p w:rsidR="00723CC0" w:rsidRDefault="00723CC0">
      <w:pPr>
        <w:rPr>
          <w:noProof/>
          <w:lang w:val="fr-BE"/>
        </w:rPr>
      </w:pPr>
    </w:p>
    <w:p w:rsidR="00723CC0" w:rsidRDefault="00723CC0">
      <w:pPr>
        <w:rPr>
          <w:noProof/>
          <w:lang w:val="fr-BE"/>
        </w:rPr>
      </w:pPr>
    </w:p>
    <w:p w:rsidR="00723CC0" w:rsidRDefault="00723CC0">
      <w:pPr>
        <w:rPr>
          <w:noProof/>
          <w:lang w:val="fr-BE"/>
        </w:rPr>
      </w:pPr>
    </w:p>
    <w:p w:rsidR="00723CC0" w:rsidRDefault="00723CC0">
      <w:pPr>
        <w:rPr>
          <w:noProof/>
          <w:lang w:val="fr-BE"/>
        </w:rPr>
      </w:pPr>
    </w:p>
    <w:p w:rsidR="00723CC0" w:rsidRDefault="00723CC0">
      <w:pPr>
        <w:rPr>
          <w:noProof/>
          <w:lang w:val="fr-BE"/>
        </w:rPr>
      </w:pPr>
    </w:p>
    <w:p w:rsidR="00723CC0" w:rsidRDefault="00723CC0">
      <w:pPr>
        <w:rPr>
          <w:noProof/>
          <w:lang w:val="fr-BE"/>
        </w:rPr>
      </w:pPr>
    </w:p>
    <w:p w:rsidR="00723CC0" w:rsidRDefault="00242021">
      <w:pPr>
        <w:pStyle w:val="caption2"/>
        <w:keepNext/>
        <w:jc w:val="both"/>
        <w:rPr>
          <w:rFonts w:ascii="Times New Roman" w:hAnsi="Times New Roman" w:cs="Times New Roman"/>
          <w:b w:val="0"/>
          <w:noProof/>
          <w:color w:val="auto"/>
          <w:sz w:val="24"/>
          <w:szCs w:val="24"/>
          <w:lang w:val="fr-BE"/>
        </w:rPr>
      </w:pPr>
      <w:bookmarkStart w:id="77" w:name="_Ref527621010"/>
      <w:r>
        <w:rPr>
          <w:rFonts w:ascii="Times New Roman" w:hAnsi="Times New Roman"/>
          <w:noProof/>
          <w:color w:val="auto"/>
          <w:sz w:val="24"/>
          <w:lang w:val="fr-BE"/>
        </w:rPr>
        <w:t>Graphique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lang w:val="fr-BE"/>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lang w:val="fr-BE"/>
        </w:rPr>
        <w:t>52</w:t>
      </w:r>
      <w:r>
        <w:rPr>
          <w:rFonts w:ascii="Times New Roman" w:hAnsi="Times New Roman" w:cs="Times New Roman"/>
          <w:noProof/>
          <w:color w:val="auto"/>
          <w:sz w:val="24"/>
          <w:szCs w:val="24"/>
        </w:rPr>
        <w:fldChar w:fldCharType="end"/>
      </w:r>
      <w:bookmarkEnd w:id="77"/>
      <w:r>
        <w:rPr>
          <w:rFonts w:ascii="Times New Roman" w:hAnsi="Times New Roman"/>
          <w:noProof/>
          <w:color w:val="auto"/>
          <w:sz w:val="24"/>
          <w:lang w:val="fr-BE"/>
        </w:rPr>
        <w:t xml:space="preserve">: Durée de la </w:t>
      </w:r>
      <w:r>
        <w:rPr>
          <w:rFonts w:ascii="Times New Roman" w:hAnsi="Times New Roman"/>
          <w:noProof/>
          <w:color w:val="auto"/>
          <w:sz w:val="24"/>
          <w:lang w:val="fr-BE"/>
        </w:rPr>
        <w:t>période d’acquisition requise, 2016 et 2018 (en semaines)</w:t>
      </w:r>
    </w:p>
    <w:p w:rsidR="00723CC0" w:rsidRDefault="00242021">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088835" cy="298969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0" y="0"/>
                      <a:ext cx="5095133" cy="2993390"/>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base de données MISSOC (système d’information mutuelle sur la protection sociale) et législations nationales. Note: à Malte (2018), la période d’acquisition minimale est de 50 semaines de </w:t>
      </w:r>
      <w:r>
        <w:rPr>
          <w:rFonts w:ascii="Times New Roman" w:hAnsi="Times New Roman"/>
          <w:noProof/>
          <w:sz w:val="20"/>
          <w:lang w:val="fr-BE"/>
        </w:rPr>
        <w:t>cotisations versées, dont au moins 20 payées ou créditées au cours des 2 années civiles précédentes; en Irlande (2016 et 2018), il faut avoir versé au moins 104 cotisations hebdomadaires depuis le premier jour de travail.</w:t>
      </w:r>
    </w:p>
    <w:p w:rsidR="00723CC0" w:rsidRDefault="00723CC0">
      <w:pPr>
        <w:pStyle w:val="caption2"/>
        <w:keepNext/>
        <w:jc w:val="both"/>
        <w:rPr>
          <w:rFonts w:ascii="Times New Roman" w:hAnsi="Times New Roman" w:cs="Times New Roman"/>
          <w:noProof/>
          <w:color w:val="auto"/>
          <w:sz w:val="24"/>
          <w:szCs w:val="24"/>
          <w:lang w:val="fr-BE"/>
        </w:rPr>
      </w:pPr>
      <w:bookmarkStart w:id="78" w:name="_Ref527621296"/>
    </w:p>
    <w:p w:rsidR="00723CC0" w:rsidRDefault="00242021">
      <w:pPr>
        <w:pStyle w:val="caption2"/>
        <w:keepNext/>
        <w:jc w:val="both"/>
        <w:rPr>
          <w:rFonts w:ascii="Times New Roman" w:hAnsi="Times New Roman" w:cs="Times New Roman"/>
          <w:noProof/>
          <w:color w:val="auto"/>
          <w:sz w:val="24"/>
          <w:szCs w:val="24"/>
          <w:lang w:val="fr-BE"/>
        </w:rPr>
      </w:pPr>
      <w:r>
        <w:rPr>
          <w:rFonts w:ascii="Times New Roman" w:hAnsi="Times New Roman"/>
          <w:noProof/>
          <w:color w:val="auto"/>
          <w:sz w:val="24"/>
          <w:lang w:val="fr-BE"/>
        </w:rPr>
        <w:t>Graphique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lang w:val="fr-BE"/>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lang w:val="fr-BE"/>
        </w:rPr>
        <w:t>5</w:t>
      </w:r>
      <w:r>
        <w:rPr>
          <w:rFonts w:ascii="Times New Roman" w:hAnsi="Times New Roman" w:cs="Times New Roman"/>
          <w:noProof/>
          <w:color w:val="auto"/>
          <w:sz w:val="24"/>
          <w:szCs w:val="24"/>
          <w:lang w:val="fr-BE"/>
        </w:rPr>
        <w:t>3</w:t>
      </w:r>
      <w:r>
        <w:rPr>
          <w:rFonts w:ascii="Times New Roman" w:hAnsi="Times New Roman" w:cs="Times New Roman"/>
          <w:noProof/>
          <w:color w:val="auto"/>
          <w:sz w:val="24"/>
          <w:szCs w:val="24"/>
        </w:rPr>
        <w:fldChar w:fldCharType="end"/>
      </w:r>
      <w:bookmarkEnd w:id="78"/>
      <w:r>
        <w:rPr>
          <w:rFonts w:ascii="Times New Roman" w:hAnsi="Times New Roman"/>
          <w:noProof/>
          <w:color w:val="auto"/>
          <w:sz w:val="24"/>
          <w:lang w:val="fr-BE"/>
        </w:rPr>
        <w:t>: Durée maximale des prestations avec une durée de travail d’un an, 2017 et 2018</w:t>
      </w:r>
    </w:p>
    <w:p w:rsidR="00723CC0" w:rsidRDefault="00242021">
      <w:pPr>
        <w:spacing w:line="360" w:lineRule="auto"/>
        <w:jc w:val="both"/>
        <w:rPr>
          <w:rFonts w:ascii="Times New Roman" w:hAnsi="Times New Roman" w:cs="Times New Roman"/>
          <w:noProof/>
          <w:sz w:val="20"/>
          <w:szCs w:val="20"/>
        </w:rPr>
      </w:pPr>
      <w:r>
        <w:rPr>
          <w:rFonts w:ascii="Times New Roman" w:hAnsi="Times New Roman" w:cs="Times New Roman"/>
          <w:noProof/>
          <w:sz w:val="20"/>
          <w:szCs w:val="20"/>
          <w:lang w:val="en-GB" w:eastAsia="en-GB" w:bidi="ar-SA"/>
        </w:rPr>
        <w:drawing>
          <wp:inline distT="0" distB="0" distL="0" distR="0">
            <wp:extent cx="4675367" cy="2588713"/>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0" y="0"/>
                      <a:ext cx="4679136" cy="2590800"/>
                    </a:xfrm>
                    <a:prstGeom prst="rect">
                      <a:avLst/>
                    </a:prstGeom>
                    <a:noFill/>
                  </pic:spPr>
                </pic:pic>
              </a:graphicData>
            </a:graphic>
          </wp:inline>
        </w:drawing>
      </w:r>
    </w:p>
    <w:p w:rsidR="00723CC0" w:rsidRDefault="00242021">
      <w:pPr>
        <w:spacing w:line="240" w:lineRule="auto"/>
        <w:jc w:val="both"/>
        <w:rPr>
          <w:rFonts w:ascii="Times New Roman" w:hAnsi="Times New Roman"/>
          <w:noProof/>
          <w:sz w:val="20"/>
          <w:lang w:val="fr-BE"/>
        </w:rPr>
      </w:pPr>
      <w:r>
        <w:rPr>
          <w:rFonts w:ascii="Times New Roman" w:hAnsi="Times New Roman"/>
          <w:noProof/>
          <w:sz w:val="20"/>
          <w:lang w:val="fr-BE"/>
        </w:rPr>
        <w:t>Source: base de données MISSOC (système d’information mutuelle sur la protection sociale) et législations nationales (janvier 2017 et janvier 2018). Note: en Belgique, la durée des prestations n’est pas limitée. À Chypre, les semaines sont calculées sur la</w:t>
      </w:r>
      <w:r>
        <w:rPr>
          <w:rFonts w:ascii="Times New Roman" w:hAnsi="Times New Roman"/>
          <w:noProof/>
          <w:sz w:val="20"/>
          <w:lang w:val="fr-BE"/>
        </w:rPr>
        <w:t xml:space="preserve"> base de 6 jours ouvrables par semaine. En Irlande, les prestations sont versées durant 39 semaines (234 jours) uniquement aux personnes ayant payé au moins 260 cotisations hebdomadaires au titre de la </w:t>
      </w:r>
      <w:r>
        <w:rPr>
          <w:rFonts w:ascii="Times New Roman" w:hAnsi="Times New Roman"/>
          <w:i/>
          <w:noProof/>
          <w:sz w:val="20"/>
          <w:lang w:val="fr-BE"/>
        </w:rPr>
        <w:t>pay related social insurance</w:t>
      </w:r>
      <w:r>
        <w:rPr>
          <w:rFonts w:ascii="Times New Roman" w:hAnsi="Times New Roman"/>
          <w:noProof/>
          <w:sz w:val="20"/>
          <w:lang w:val="fr-BE"/>
        </w:rPr>
        <w:t xml:space="preserve"> (PRSI). En Slovaquie, une</w:t>
      </w:r>
      <w:r>
        <w:rPr>
          <w:rFonts w:ascii="Times New Roman" w:hAnsi="Times New Roman"/>
          <w:noProof/>
          <w:sz w:val="20"/>
          <w:lang w:val="fr-BE"/>
        </w:rPr>
        <w:t xml:space="preserve"> personne ayant une période de cotisation d’un an ne peut prétendre à des prestations de chômage (au moins deux années de cotisations à l’assurance chômage au cours des trois dernières années sont requises). En Pologne, la durée dépend du taux de chômage d</w:t>
      </w:r>
      <w:r>
        <w:rPr>
          <w:rFonts w:ascii="Times New Roman" w:hAnsi="Times New Roman"/>
          <w:noProof/>
          <w:sz w:val="20"/>
          <w:lang w:val="fr-BE"/>
        </w:rPr>
        <w:t>e la région par rapport à la moyenne nationale.</w:t>
      </w:r>
    </w:p>
    <w:p w:rsidR="00723CC0" w:rsidRDefault="00723CC0">
      <w:pPr>
        <w:spacing w:line="240" w:lineRule="auto"/>
        <w:jc w:val="both"/>
        <w:rPr>
          <w:rFonts w:ascii="Times New Roman" w:hAnsi="Times New Roman" w:cs="Times New Roman"/>
          <w:noProof/>
          <w:sz w:val="20"/>
          <w:szCs w:val="20"/>
          <w:lang w:val="fr-BE"/>
        </w:rPr>
      </w:pPr>
    </w:p>
    <w:p w:rsidR="00723CC0" w:rsidRDefault="00242021">
      <w:pPr>
        <w:pStyle w:val="caption3"/>
        <w:keepNext/>
        <w:spacing w:line="240" w:lineRule="auto"/>
        <w:rPr>
          <w:rFonts w:ascii="Times New Roman" w:hAnsi="Times New Roman"/>
          <w:noProof/>
          <w:sz w:val="24"/>
          <w:szCs w:val="24"/>
          <w:lang w:val="fr-BE"/>
        </w:rPr>
      </w:pPr>
      <w:bookmarkStart w:id="79" w:name="_Ref529005712"/>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fr-BE"/>
        </w:rPr>
        <w:t>54</w:t>
      </w:r>
      <w:r>
        <w:rPr>
          <w:rFonts w:ascii="Times New Roman" w:hAnsi="Times New Roman"/>
          <w:noProof/>
          <w:sz w:val="24"/>
          <w:szCs w:val="24"/>
        </w:rPr>
        <w:fldChar w:fldCharType="end"/>
      </w:r>
      <w:bookmarkEnd w:id="79"/>
      <w:r>
        <w:rPr>
          <w:rFonts w:ascii="Times New Roman" w:hAnsi="Times New Roman"/>
          <w:noProof/>
          <w:sz w:val="24"/>
          <w:lang w:val="fr-BE"/>
        </w:rPr>
        <w:t>: Taux de remplacement net des prestations de chômage à 67 % du salaire moyen, aux 2</w:t>
      </w:r>
      <w:r>
        <w:rPr>
          <w:rFonts w:ascii="Times New Roman" w:hAnsi="Times New Roman"/>
          <w:noProof/>
          <w:sz w:val="24"/>
          <w:vertAlign w:val="superscript"/>
          <w:lang w:val="fr-BE"/>
        </w:rPr>
        <w:t>e</w:t>
      </w:r>
      <w:r>
        <w:rPr>
          <w:rFonts w:ascii="Times New Roman" w:hAnsi="Times New Roman"/>
          <w:noProof/>
          <w:sz w:val="24"/>
          <w:lang w:val="fr-BE"/>
        </w:rPr>
        <w:t xml:space="preserve"> et 12</w:t>
      </w:r>
      <w:r>
        <w:rPr>
          <w:rFonts w:ascii="Times New Roman" w:hAnsi="Times New Roman"/>
          <w:noProof/>
          <w:sz w:val="24"/>
          <w:vertAlign w:val="superscript"/>
          <w:lang w:val="fr-BE"/>
        </w:rPr>
        <w:t>e</w:t>
      </w:r>
      <w:r>
        <w:rPr>
          <w:rFonts w:ascii="Times New Roman" w:hAnsi="Times New Roman"/>
          <w:noProof/>
          <w:sz w:val="24"/>
          <w:lang w:val="fr-BE"/>
        </w:rPr>
        <w:t xml:space="preserve"> mois de chômage (2018) </w:t>
      </w:r>
    </w:p>
    <w:p w:rsidR="00723CC0" w:rsidRDefault="00242021">
      <w:pPr>
        <w:pStyle w:val="caption2"/>
        <w:rPr>
          <w:rFonts w:ascii="Times New Roman" w:hAnsi="Times New Roman"/>
          <w:noProof/>
          <w:sz w:val="24"/>
          <w:szCs w:val="24"/>
        </w:rPr>
      </w:pPr>
      <w:r>
        <w:rPr>
          <w:rFonts w:ascii="Times New Roman" w:hAnsi="Times New Roman"/>
          <w:noProof/>
          <w:color w:val="auto"/>
          <w:sz w:val="24"/>
          <w:lang w:val="fr-BE"/>
        </w:rPr>
        <w:t xml:space="preserve"> </w:t>
      </w:r>
      <w:r>
        <w:rPr>
          <w:rFonts w:ascii="Times New Roman" w:hAnsi="Times New Roman"/>
          <w:noProof/>
          <w:color w:val="auto"/>
          <w:sz w:val="24"/>
          <w:lang w:val="en-GB" w:eastAsia="en-GB" w:bidi="ar-SA"/>
        </w:rPr>
        <w:drawing>
          <wp:inline distT="0" distB="0" distL="0" distR="0">
            <wp:extent cx="5279390" cy="26581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0" y="0"/>
                      <a:ext cx="5279390" cy="2658110"/>
                    </a:xfrm>
                    <a:prstGeom prst="rect">
                      <a:avLst/>
                    </a:prstGeom>
                    <a:noFill/>
                  </pic:spPr>
                </pic:pic>
              </a:graphicData>
            </a:graphic>
          </wp:inline>
        </w:drawing>
      </w:r>
    </w:p>
    <w:p w:rsidR="00723CC0" w:rsidRDefault="00242021">
      <w:pPr>
        <w:keepNext/>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Source: Commission européenne, sur la base du modè</w:t>
      </w:r>
      <w:r>
        <w:rPr>
          <w:rFonts w:ascii="Times New Roman" w:hAnsi="Times New Roman"/>
          <w:noProof/>
          <w:sz w:val="20"/>
          <w:lang w:val="fr-BE"/>
        </w:rPr>
        <w:t>le impôts-prestations de l’OCDE.</w:t>
      </w:r>
      <w:r>
        <w:rPr>
          <w:noProof/>
          <w:lang w:val="fr-BE"/>
        </w:rPr>
        <w:t xml:space="preserve"> </w:t>
      </w:r>
      <w:r>
        <w:rPr>
          <w:rFonts w:ascii="Times New Roman" w:hAnsi="Times New Roman"/>
          <w:noProof/>
          <w:sz w:val="20"/>
          <w:lang w:val="fr-BE"/>
        </w:rPr>
        <w:t>Note: l’indicateur est calculé pour une personne seule âgée de 20 ans, sans enfant et ayant une courte expérience professionnelle (1 an). De plus amples détails méthodologiques sont fournis en note de bas de page</w:t>
      </w:r>
      <w:r>
        <w:rPr>
          <w:rFonts w:ascii="Times New Roman" w:hAnsi="Times New Roman" w:cs="Times New Roman"/>
          <w:noProof/>
          <w:sz w:val="20"/>
          <w:szCs w:val="20"/>
        </w:rPr>
        <w:fldChar w:fldCharType="begin" w:fldLock="1"/>
      </w:r>
      <w:r>
        <w:rPr>
          <w:rFonts w:ascii="Times New Roman" w:hAnsi="Times New Roman" w:cs="Times New Roman"/>
          <w:noProof/>
          <w:sz w:val="20"/>
          <w:szCs w:val="20"/>
          <w:lang w:val="fr-BE"/>
        </w:rPr>
        <w:instrText xml:space="preserve"> NOTEREF _R</w:instrText>
      </w:r>
      <w:r>
        <w:rPr>
          <w:rFonts w:ascii="Times New Roman" w:hAnsi="Times New Roman" w:cs="Times New Roman"/>
          <w:noProof/>
          <w:sz w:val="20"/>
          <w:szCs w:val="20"/>
          <w:lang w:val="fr-BE"/>
        </w:rPr>
        <w:instrText xml:space="preserve">ef529472960 \h  \* MERGEFORMAT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Pr>
          <w:rFonts w:ascii="Times New Roman" w:hAnsi="Times New Roman" w:cs="Times New Roman"/>
          <w:noProof/>
          <w:sz w:val="20"/>
          <w:szCs w:val="20"/>
          <w:lang w:val="fr-BE"/>
        </w:rPr>
        <w:t>76</w:t>
      </w:r>
      <w:r>
        <w:rPr>
          <w:rFonts w:ascii="Times New Roman" w:hAnsi="Times New Roman" w:cs="Times New Roman"/>
          <w:noProof/>
          <w:sz w:val="20"/>
          <w:szCs w:val="20"/>
        </w:rPr>
        <w:fldChar w:fldCharType="end"/>
      </w:r>
      <w:r>
        <w:rPr>
          <w:rFonts w:ascii="Times New Roman" w:hAnsi="Times New Roman"/>
          <w:noProof/>
          <w:sz w:val="20"/>
          <w:lang w:val="fr-BE"/>
        </w:rPr>
        <w:t>.</w:t>
      </w:r>
    </w:p>
    <w:p w:rsidR="00723CC0" w:rsidRDefault="00723CC0">
      <w:pPr>
        <w:pStyle w:val="caption2"/>
        <w:rPr>
          <w:rFonts w:ascii="Times New Roman" w:hAnsi="Times New Roman" w:cs="Times New Roman"/>
          <w:noProof/>
          <w:color w:val="auto"/>
          <w:sz w:val="24"/>
          <w:szCs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Les États membres ont mis au point plusieurs stratégies pour activer les bénéficiaires de prestations de chômage. </w:t>
      </w:r>
      <w:r>
        <w:rPr>
          <w:rFonts w:ascii="Times New Roman" w:hAnsi="Times New Roman"/>
          <w:noProof/>
          <w:sz w:val="24"/>
          <w:lang w:val="fr-BE"/>
        </w:rPr>
        <w:t>Les instruments politiques adoptés suivent le principe d’obligation récipro</w:t>
      </w:r>
      <w:r>
        <w:rPr>
          <w:rFonts w:ascii="Times New Roman" w:hAnsi="Times New Roman"/>
          <w:noProof/>
          <w:sz w:val="24"/>
          <w:lang w:val="fr-BE"/>
        </w:rPr>
        <w:t>que. En particulier, les bénéficiaires de prestations de chômage sont tenus d’entreprendre des activités de recherche d’emploi; dans le même temps, les autorités publiques doivent les aider à chercher un emploi et à surmonter les éventuels obstacles qui le</w:t>
      </w:r>
      <w:r>
        <w:rPr>
          <w:rFonts w:ascii="Times New Roman" w:hAnsi="Times New Roman"/>
          <w:noProof/>
          <w:sz w:val="24"/>
          <w:lang w:val="fr-BE"/>
        </w:rPr>
        <w:t xml:space="preserve">s empêchent de retrouver un emploi, tout en veillant à ce qu’ils satisfassent aux conditions de disponibilité pour le travail (et en les sanctionnant si nécessaire). Le principe d’intervention précoce et de services sur mesure pour les demandeurs d’emploi </w:t>
      </w:r>
      <w:r>
        <w:rPr>
          <w:rFonts w:ascii="Times New Roman" w:hAnsi="Times New Roman"/>
          <w:noProof/>
          <w:sz w:val="24"/>
          <w:lang w:val="fr-BE"/>
        </w:rPr>
        <w:t>au chômage a également été largement adopté par les États membres dans le but de réduire les périodes de chômage, d’assurer la qualité de l’adéquation entre l’offre et la demande et de prévenir le chômage de longue durée et le découragement. En effet, dans</w:t>
      </w:r>
      <w:r>
        <w:rPr>
          <w:rFonts w:ascii="Times New Roman" w:hAnsi="Times New Roman"/>
          <w:noProof/>
          <w:sz w:val="24"/>
          <w:lang w:val="fr-BE"/>
        </w:rPr>
        <w:t xml:space="preserve"> la plupart des États membres, les services publics de l’emploi doivent obligatoirement fournir certains types de soutien précoce aux demandeurs d’emploi (analyse des profils, conception de plans d’action individuels, conseil personnalisé).</w:t>
      </w:r>
      <w:r>
        <w:rPr>
          <w:rFonts w:ascii="Times New Roman" w:hAnsi="Times New Roman"/>
          <w:b/>
          <w:noProof/>
          <w:sz w:val="24"/>
          <w:lang w:val="fr-BE"/>
        </w:rPr>
        <w:t xml:space="preserve">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Le niveau de r</w:t>
      </w:r>
      <w:r>
        <w:rPr>
          <w:rFonts w:ascii="Times New Roman" w:hAnsi="Times New Roman"/>
          <w:b/>
          <w:noProof/>
          <w:sz w:val="24"/>
          <w:lang w:val="fr-BE"/>
        </w:rPr>
        <w:t>igueur des conditions de disponibilité au travail et des exigences en matière de recherche d’emploi</w:t>
      </w:r>
      <w:r>
        <w:rPr>
          <w:rStyle w:val="FootnoteReference"/>
          <w:rFonts w:ascii="Times New Roman" w:hAnsi="Times New Roman"/>
          <w:b/>
          <w:noProof/>
          <w:sz w:val="24"/>
        </w:rPr>
        <w:footnoteReference w:id="77"/>
      </w:r>
      <w:r>
        <w:rPr>
          <w:rFonts w:ascii="Times New Roman" w:hAnsi="Times New Roman"/>
          <w:b/>
          <w:noProof/>
          <w:sz w:val="24"/>
          <w:lang w:val="fr-BE"/>
        </w:rPr>
        <w:t xml:space="preserve"> liées aux prestations de chômage est très varié. </w:t>
      </w:r>
      <w:r>
        <w:rPr>
          <w:rFonts w:ascii="Times New Roman" w:hAnsi="Times New Roman"/>
          <w:noProof/>
          <w:sz w:val="24"/>
          <w:lang w:val="fr-BE"/>
        </w:rPr>
        <w:t>Le graphique 55 montre la rigueur des exigences en matière de disponibilité et des critères de travail ada</w:t>
      </w:r>
      <w:r>
        <w:rPr>
          <w:rFonts w:ascii="Times New Roman" w:hAnsi="Times New Roman"/>
          <w:noProof/>
          <w:sz w:val="24"/>
          <w:lang w:val="fr-BE"/>
        </w:rPr>
        <w:t>pté pour les bénéficiaires de prestations de chômage. C’est en Pologne, au Danemark, à Malte et en Croatie que ces exigences et critères se révèlent les plus stricts, alors qu’ils sont les moins stricts en Belgique, en Lituanie, en Bulgarie, à Chypre, en F</w:t>
      </w:r>
      <w:r>
        <w:rPr>
          <w:rFonts w:ascii="Times New Roman" w:hAnsi="Times New Roman"/>
          <w:noProof/>
          <w:sz w:val="24"/>
          <w:lang w:val="fr-BE"/>
        </w:rPr>
        <w:t>inlande et en Espagne. Le graphique 56 montre une grande variation dans la rigueur des exigences en matière de recherche d’emploi et de suivi. En particulier, Malte, le Royaume-Uni et le Luxembourg appliquent des exigences plus strictes, tandis que Chypre,</w:t>
      </w:r>
      <w:r>
        <w:rPr>
          <w:rFonts w:ascii="Times New Roman" w:hAnsi="Times New Roman"/>
          <w:noProof/>
          <w:sz w:val="24"/>
          <w:lang w:val="fr-BE"/>
        </w:rPr>
        <w:t xml:space="preserve"> la Grèce et la Pologne appliquent les exigences les moins strictes. Enfin, le graphique 57 montre également une grande diversité dans le degré de sévérité des sanctions appliquées lorsque les bénéficiaires de prestations de chômage ne respectent pas les e</w:t>
      </w:r>
      <w:r>
        <w:rPr>
          <w:rFonts w:ascii="Times New Roman" w:hAnsi="Times New Roman"/>
          <w:noProof/>
          <w:sz w:val="24"/>
          <w:lang w:val="fr-BE"/>
        </w:rPr>
        <w:t>xigences en matière de disponibilité et de recherche d’emploi. Les sanctions se révèlent les plus strictes en Slovénie, en Roumanie, au Luxembourg, en Grèce, en Croatie et au Portugal, tandis qu’elles sont les moins strictes en Autriche, en Hongrie, à Chyp</w:t>
      </w:r>
      <w:r>
        <w:rPr>
          <w:rFonts w:ascii="Times New Roman" w:hAnsi="Times New Roman"/>
          <w:noProof/>
          <w:sz w:val="24"/>
          <w:lang w:val="fr-BE"/>
        </w:rPr>
        <w:t>re, en Irlande, au Danemark et en Allemagne (cependant, dans certains cas, cela va de pair avec une courte durée des prestations). Il apparaît que Malte, la Croatie et l’Estonie appliquent des dispositions plus strictes dans tous les domaines. Toutefois, d</w:t>
      </w:r>
      <w:r>
        <w:rPr>
          <w:rFonts w:ascii="Times New Roman" w:hAnsi="Times New Roman"/>
          <w:noProof/>
          <w:sz w:val="24"/>
          <w:lang w:val="fr-BE"/>
        </w:rPr>
        <w:t>ans plusieurs États membres, des dispositions strictes à certains égards cohabitent avec des dispositions moins strictes à d’autres égards. Par exemple, le Danemark est deuxième du classement des dispositions les plus strictes en matière d’exigences de dis</w:t>
      </w:r>
      <w:r>
        <w:rPr>
          <w:rFonts w:ascii="Times New Roman" w:hAnsi="Times New Roman"/>
          <w:noProof/>
          <w:sz w:val="24"/>
          <w:lang w:val="fr-BE"/>
        </w:rPr>
        <w:t>ponibilité et de critères de travail adapté, mais ses sanctions relatives aux prestations figurent parmi les moins strictes. Ces différentes approches donnent un aperçu de la manière dont les systèmes nationaux gèrent la question du risque moral inhérent a</w:t>
      </w:r>
      <w:r>
        <w:rPr>
          <w:rFonts w:ascii="Times New Roman" w:hAnsi="Times New Roman"/>
          <w:noProof/>
          <w:sz w:val="24"/>
          <w:lang w:val="fr-BE"/>
        </w:rPr>
        <w:t>ux prestations d’assurance chômage. Par exemple, des exigences plus strictes en matière de recherche d’emploi et de disponibilité sont censées encourager les personnes à rechercher un emploi plus intensivement et à accepter plus rapidement les offres d’emp</w:t>
      </w:r>
      <w:r>
        <w:rPr>
          <w:rFonts w:ascii="Times New Roman" w:hAnsi="Times New Roman"/>
          <w:noProof/>
          <w:sz w:val="24"/>
          <w:lang w:val="fr-BE"/>
        </w:rPr>
        <w:t>loi, ce qui permet de compenser l’éventuel effet financier dissuasif engendré par les systèmes de prestations de chômage et de réduire la durée du chômage. Dans le même temps, des exigences excessivement strictes peuvent avoir des effets contre-productifs,</w:t>
      </w:r>
      <w:r>
        <w:rPr>
          <w:rFonts w:ascii="Times New Roman" w:hAnsi="Times New Roman"/>
          <w:noProof/>
          <w:sz w:val="24"/>
          <w:lang w:val="fr-BE"/>
        </w:rPr>
        <w:t xml:space="preserve"> par exemple en réduisant la couverture des prestations ou la qualité de l’adéquation des relations de travail, qui risquent d’être éphémères (ce qui signifie que davantage de personnes risquent de retourner plus fréquemment au chômage).</w:t>
      </w:r>
      <w:r>
        <w:rPr>
          <w:rFonts w:ascii="Times New Roman" w:hAnsi="Times New Roman"/>
          <w:noProof/>
          <w:sz w:val="24"/>
          <w:highlight w:val="yellow"/>
          <w:lang w:val="fr-BE"/>
        </w:rPr>
        <w:t xml:space="preserve"> </w:t>
      </w:r>
    </w:p>
    <w:p w:rsidR="00723CC0" w:rsidRDefault="00242021">
      <w:pPr>
        <w:pStyle w:val="caption1"/>
        <w:keepNext/>
        <w:spacing w:line="360" w:lineRule="auto"/>
        <w:rPr>
          <w:rFonts w:ascii="Times New Roman" w:hAnsi="Times New Roman"/>
          <w:noProof/>
          <w:sz w:val="24"/>
          <w:szCs w:val="24"/>
          <w:lang w:val="fr-BE"/>
        </w:rPr>
      </w:pPr>
      <w:bookmarkStart w:id="80" w:name="_Ref528664978"/>
      <w:r>
        <w:rPr>
          <w:rFonts w:ascii="Times New Roman" w:hAnsi="Times New Roman"/>
          <w:noProof/>
          <w:sz w:val="24"/>
          <w:lang w:val="fr-BE"/>
        </w:rPr>
        <w:t>Graphique </w:t>
      </w:r>
      <w:r>
        <w:rPr>
          <w:rFonts w:ascii="Times New Roman" w:hAnsi="Times New Roman"/>
          <w:noProof/>
          <w:sz w:val="24"/>
          <w:szCs w:val="24"/>
        </w:rPr>
        <w:fldChar w:fldCharType="begin" w:fldLock="1"/>
      </w:r>
      <w:r>
        <w:rPr>
          <w:rFonts w:ascii="Times New Roman" w:hAnsi="Times New Roman"/>
          <w:noProof/>
          <w:sz w:val="24"/>
          <w:szCs w:val="24"/>
          <w:lang w:val="fr-BE"/>
        </w:rPr>
        <w:instrText xml:space="preserve"> SEQ Fi</w:instrText>
      </w:r>
      <w:r>
        <w:rPr>
          <w:rFonts w:ascii="Times New Roman" w:hAnsi="Times New Roman"/>
          <w:noProof/>
          <w:sz w:val="24"/>
          <w:szCs w:val="24"/>
          <w:lang w:val="fr-BE"/>
        </w:rPr>
        <w:instrText xml:space="preserve">gure \* ARABIC </w:instrText>
      </w:r>
      <w:r>
        <w:rPr>
          <w:rFonts w:ascii="Times New Roman" w:hAnsi="Times New Roman"/>
          <w:noProof/>
          <w:sz w:val="24"/>
          <w:szCs w:val="24"/>
        </w:rPr>
        <w:fldChar w:fldCharType="separate"/>
      </w:r>
      <w:r>
        <w:rPr>
          <w:rFonts w:ascii="Times New Roman" w:hAnsi="Times New Roman"/>
          <w:noProof/>
          <w:sz w:val="24"/>
          <w:szCs w:val="24"/>
          <w:lang w:val="fr-BE"/>
        </w:rPr>
        <w:t>55</w:t>
      </w:r>
      <w:r>
        <w:rPr>
          <w:rFonts w:ascii="Times New Roman" w:hAnsi="Times New Roman"/>
          <w:noProof/>
          <w:sz w:val="24"/>
          <w:szCs w:val="24"/>
        </w:rPr>
        <w:fldChar w:fldCharType="end"/>
      </w:r>
      <w:bookmarkEnd w:id="80"/>
      <w:r>
        <w:rPr>
          <w:rFonts w:ascii="Times New Roman" w:hAnsi="Times New Roman"/>
          <w:noProof/>
          <w:sz w:val="24"/>
          <w:lang w:val="fr-BE"/>
        </w:rPr>
        <w:t>: Exigences en matière de disponibilité et critères de travail adapté, 2017</w:t>
      </w:r>
    </w:p>
    <w:p w:rsidR="00723CC0" w:rsidRDefault="00242021">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724940" cy="264778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0" y="0"/>
                      <a:ext cx="5732636" cy="2651344"/>
                    </a:xfrm>
                    <a:prstGeom prst="rect">
                      <a:avLst/>
                    </a:prstGeom>
                    <a:noFill/>
                  </pic:spPr>
                </pic:pic>
              </a:graphicData>
            </a:graphic>
          </wp:inline>
        </w:drawing>
      </w:r>
    </w:p>
    <w:p w:rsidR="00723CC0" w:rsidRDefault="00242021">
      <w:pPr>
        <w:spacing w:line="36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OCDE. Note: évaluation sur une échelle de 1 [le ou la moins strict(e)] à 5 [le ou la plus strict(e)]. </w:t>
      </w:r>
    </w:p>
    <w:p w:rsidR="00723CC0" w:rsidRDefault="00242021">
      <w:pPr>
        <w:keepNext/>
        <w:spacing w:line="360" w:lineRule="auto"/>
        <w:jc w:val="both"/>
        <w:rPr>
          <w:rFonts w:ascii="Times New Roman" w:hAnsi="Times New Roman" w:cs="Times New Roman"/>
          <w:b/>
          <w:noProof/>
          <w:sz w:val="24"/>
          <w:szCs w:val="24"/>
          <w:lang w:val="fr-BE"/>
        </w:rPr>
      </w:pPr>
      <w:bookmarkStart w:id="81" w:name="_Ref528664987"/>
      <w:r>
        <w:rPr>
          <w:rFonts w:ascii="Times New Roman" w:hAnsi="Times New Roman"/>
          <w:b/>
          <w:noProof/>
          <w:sz w:val="24"/>
          <w:lang w:val="fr-BE"/>
        </w:rPr>
        <w:t>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56</w:t>
      </w:r>
      <w:r>
        <w:rPr>
          <w:rFonts w:ascii="Times New Roman" w:hAnsi="Times New Roman"/>
          <w:b/>
          <w:noProof/>
          <w:sz w:val="24"/>
          <w:szCs w:val="24"/>
        </w:rPr>
        <w:fldChar w:fldCharType="end"/>
      </w:r>
      <w:bookmarkEnd w:id="81"/>
      <w:r>
        <w:rPr>
          <w:rFonts w:ascii="Times New Roman" w:hAnsi="Times New Roman"/>
          <w:b/>
          <w:noProof/>
          <w:sz w:val="24"/>
          <w:lang w:val="fr-BE"/>
        </w:rPr>
        <w:t xml:space="preserve">: </w:t>
      </w:r>
      <w:r>
        <w:rPr>
          <w:rFonts w:ascii="Times New Roman" w:hAnsi="Times New Roman"/>
          <w:b/>
          <w:noProof/>
          <w:sz w:val="24"/>
          <w:lang w:val="fr-BE"/>
        </w:rPr>
        <w:t>Exigences en matière de recherche d’emploi et de suivi, 2017</w:t>
      </w:r>
      <w:r>
        <w:rPr>
          <w:rFonts w:ascii="Times New Roman" w:hAnsi="Times New Roman"/>
          <w:noProof/>
          <w:sz w:val="24"/>
          <w:highlight w:val="yellow"/>
          <w:lang w:val="fr-BE"/>
        </w:rPr>
        <w:t xml:space="preserve"> </w:t>
      </w:r>
    </w:p>
    <w:p w:rsidR="00723CC0" w:rsidRDefault="00242021">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w:drawing>
          <wp:inline distT="0" distB="0" distL="0" distR="0">
            <wp:extent cx="5311366" cy="2585221"/>
            <wp:effectExtent l="0" t="0" r="381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5311366" cy="2585221"/>
                    </a:xfrm>
                    <a:prstGeom prst="rect">
                      <a:avLst/>
                    </a:prstGeom>
                    <a:noFill/>
                  </pic:spPr>
                </pic:pic>
              </a:graphicData>
            </a:graphic>
          </wp:inline>
        </w:drawing>
      </w:r>
    </w:p>
    <w:p w:rsidR="00723CC0" w:rsidRDefault="00242021">
      <w:pPr>
        <w:spacing w:line="36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OCDE. Note: évaluation sur une échelle de 1 (la moins stricte) à 5 (la plus stricte). </w:t>
      </w:r>
    </w:p>
    <w:p w:rsidR="00723CC0" w:rsidRDefault="00723CC0">
      <w:pPr>
        <w:spacing w:line="360" w:lineRule="auto"/>
        <w:jc w:val="both"/>
        <w:rPr>
          <w:rFonts w:ascii="Times New Roman" w:hAnsi="Times New Roman" w:cs="Times New Roman"/>
          <w:b/>
          <w:noProof/>
          <w:sz w:val="24"/>
          <w:szCs w:val="24"/>
          <w:lang w:val="fr-BE"/>
        </w:rPr>
      </w:pPr>
    </w:p>
    <w:p w:rsidR="00723CC0" w:rsidRDefault="00723CC0">
      <w:pPr>
        <w:spacing w:line="360" w:lineRule="auto"/>
        <w:jc w:val="both"/>
        <w:rPr>
          <w:rFonts w:ascii="Times New Roman" w:hAnsi="Times New Roman" w:cs="Times New Roman"/>
          <w:b/>
          <w:noProof/>
          <w:sz w:val="24"/>
          <w:szCs w:val="24"/>
          <w:lang w:val="fr-BE"/>
        </w:rPr>
      </w:pPr>
    </w:p>
    <w:p w:rsidR="00723CC0" w:rsidRDefault="00723CC0">
      <w:pPr>
        <w:spacing w:line="360" w:lineRule="auto"/>
        <w:jc w:val="both"/>
        <w:rPr>
          <w:rFonts w:ascii="Times New Roman" w:hAnsi="Times New Roman" w:cs="Times New Roman"/>
          <w:b/>
          <w:noProof/>
          <w:sz w:val="24"/>
          <w:szCs w:val="24"/>
          <w:lang w:val="fr-BE"/>
        </w:rPr>
      </w:pPr>
    </w:p>
    <w:p w:rsidR="00723CC0" w:rsidRDefault="00242021">
      <w:pPr>
        <w:keepNext/>
        <w:spacing w:line="360" w:lineRule="auto"/>
        <w:jc w:val="both"/>
        <w:rPr>
          <w:rFonts w:ascii="Times New Roman" w:hAnsi="Times New Roman" w:cs="Times New Roman"/>
          <w:b/>
          <w:noProof/>
          <w:sz w:val="24"/>
          <w:szCs w:val="24"/>
          <w:lang w:val="fr-BE"/>
        </w:rPr>
      </w:pPr>
      <w:bookmarkStart w:id="82" w:name="_Ref528665002"/>
      <w:r>
        <w:rPr>
          <w:rFonts w:ascii="Times New Roman" w:hAnsi="Times New Roman"/>
          <w:b/>
          <w:noProof/>
          <w:sz w:val="24"/>
          <w:lang w:val="fr-BE"/>
        </w:rPr>
        <w:t>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57</w:t>
      </w:r>
      <w:r>
        <w:rPr>
          <w:rFonts w:ascii="Times New Roman" w:hAnsi="Times New Roman"/>
          <w:b/>
          <w:noProof/>
          <w:sz w:val="24"/>
          <w:szCs w:val="24"/>
        </w:rPr>
        <w:fldChar w:fldCharType="end"/>
      </w:r>
      <w:bookmarkEnd w:id="82"/>
      <w:r>
        <w:rPr>
          <w:rFonts w:ascii="Times New Roman" w:hAnsi="Times New Roman"/>
          <w:b/>
          <w:noProof/>
          <w:sz w:val="24"/>
          <w:lang w:val="fr-BE"/>
        </w:rPr>
        <w:t>: Sévérité des sanctions relatives aux prestations, 2017</w:t>
      </w:r>
      <w:r>
        <w:rPr>
          <w:rFonts w:ascii="Times New Roman" w:hAnsi="Times New Roman"/>
          <w:noProof/>
          <w:sz w:val="24"/>
          <w:highlight w:val="yellow"/>
          <w:lang w:val="fr-BE"/>
        </w:rPr>
        <w:t xml:space="preserve"> </w:t>
      </w:r>
    </w:p>
    <w:p w:rsidR="00723CC0" w:rsidRDefault="00242021">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564708" cy="276705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5566161" cy="2767776"/>
                    </a:xfrm>
                    <a:prstGeom prst="rect">
                      <a:avLst/>
                    </a:prstGeom>
                    <a:noFill/>
                  </pic:spPr>
                </pic:pic>
              </a:graphicData>
            </a:graphic>
          </wp:inline>
        </w:drawing>
      </w:r>
    </w:p>
    <w:p w:rsidR="00723CC0" w:rsidRDefault="00242021">
      <w:pPr>
        <w:spacing w:line="360" w:lineRule="auto"/>
        <w:jc w:val="both"/>
        <w:rPr>
          <w:rFonts w:ascii="Times New Roman" w:hAnsi="Times New Roman" w:cs="Times New Roman"/>
          <w:noProof/>
          <w:sz w:val="20"/>
          <w:szCs w:val="20"/>
          <w:lang w:val="fr-BE"/>
        </w:rPr>
      </w:pPr>
      <w:r>
        <w:rPr>
          <w:rFonts w:ascii="Times New Roman" w:hAnsi="Times New Roman"/>
          <w:noProof/>
          <w:sz w:val="20"/>
          <w:lang w:val="fr-BE"/>
        </w:rPr>
        <w:t>Source: OCDE. Note: évaluation sur une échelle de 1 (la moins stricte) à 5 (la plus stricte).</w:t>
      </w:r>
    </w:p>
    <w:p w:rsidR="00723CC0" w:rsidRDefault="00723CC0">
      <w:pPr>
        <w:autoSpaceDE w:val="0"/>
        <w:autoSpaceDN w:val="0"/>
        <w:adjustRightInd w:val="0"/>
        <w:spacing w:line="360" w:lineRule="auto"/>
        <w:jc w:val="both"/>
        <w:rPr>
          <w:rFonts w:ascii="Times New Roman" w:hAnsi="Times New Roman" w:cs="Times New Roman"/>
          <w:b/>
          <w:bCs/>
          <w:noProof/>
          <w:sz w:val="24"/>
          <w:szCs w:val="24"/>
          <w:lang w:val="fr-BE"/>
        </w:rPr>
      </w:pPr>
    </w:p>
    <w:p w:rsidR="00723CC0" w:rsidRDefault="00242021">
      <w:pPr>
        <w:autoSpaceDE w:val="0"/>
        <w:autoSpaceDN w:val="0"/>
        <w:adjustRightInd w:val="0"/>
        <w:spacing w:line="360" w:lineRule="auto"/>
        <w:jc w:val="both"/>
        <w:rPr>
          <w:rFonts w:ascii="Times New Roman" w:hAnsi="Times New Roman" w:cs="Times New Roman"/>
          <w:bCs/>
          <w:noProof/>
          <w:sz w:val="24"/>
          <w:szCs w:val="24"/>
          <w:lang w:val="fr-BE"/>
        </w:rPr>
      </w:pPr>
      <w:r>
        <w:rPr>
          <w:rFonts w:ascii="Times New Roman" w:hAnsi="Times New Roman"/>
          <w:b/>
          <w:noProof/>
          <w:sz w:val="24"/>
          <w:lang w:val="fr-BE"/>
        </w:rPr>
        <w:t xml:space="preserve">La suppression des obstacles à la mobilité des travailleurs et des apprenants peut améliorer l’employabilité et le développement des compétences, tout en aidant à exploiter tout le potentiel du marché du travail européen. </w:t>
      </w:r>
      <w:r>
        <w:rPr>
          <w:rFonts w:ascii="Times New Roman" w:hAnsi="Times New Roman"/>
          <w:noProof/>
          <w:sz w:val="24"/>
          <w:lang w:val="fr-BE"/>
        </w:rPr>
        <w:t xml:space="preserve">En 2017, environ 12,4 millions de </w:t>
      </w:r>
      <w:r>
        <w:rPr>
          <w:rFonts w:ascii="Times New Roman" w:hAnsi="Times New Roman"/>
          <w:noProof/>
          <w:sz w:val="24"/>
          <w:lang w:val="fr-BE"/>
        </w:rPr>
        <w:t>citoyens de l’Union en âge de travailler (20-64 ans) vivaient dans un pays autre que celui dont ils avaient la citoyenneté</w:t>
      </w:r>
      <w:r>
        <w:rPr>
          <w:rStyle w:val="FootnoteReference"/>
          <w:rFonts w:ascii="Times New Roman" w:hAnsi="Times New Roman"/>
          <w:noProof/>
          <w:sz w:val="24"/>
        </w:rPr>
        <w:footnoteReference w:id="78"/>
      </w:r>
      <w:r>
        <w:rPr>
          <w:rFonts w:ascii="Times New Roman" w:hAnsi="Times New Roman"/>
          <w:noProof/>
          <w:sz w:val="24"/>
          <w:lang w:val="fr-BE"/>
        </w:rPr>
        <w:t>. Ce nombre a augmenté de 5 % par rapport à 2016, soit au même rythme que les années précédentes. L’Allemagne et le Royaume-Uni ont é</w:t>
      </w:r>
      <w:r>
        <w:rPr>
          <w:rFonts w:ascii="Times New Roman" w:hAnsi="Times New Roman"/>
          <w:noProof/>
          <w:sz w:val="24"/>
          <w:lang w:val="fr-BE"/>
        </w:rPr>
        <w:t>té les principaux pays de résidence en 2017, accueillant respectivement 3 et 2,6 millions de personnes, devant l’Espagne (1,4 million), l’Italie (1,2 million) et la France (environ 1 million). Si l’Allemagne et le Royaume-Uni affichent une tendance à la ha</w:t>
      </w:r>
      <w:r>
        <w:rPr>
          <w:rFonts w:ascii="Times New Roman" w:hAnsi="Times New Roman"/>
          <w:noProof/>
          <w:sz w:val="24"/>
          <w:lang w:val="fr-BE"/>
        </w:rPr>
        <w:t>usse depuis 2015, l’Italie et la France affichent une croissance plus modérée (et inférieure à la moyenne). En revanche, on dénombrait en Espagne un plus petit nombre absolu de citoyens mobiles de l’EU-28, avec une baisse de 1 % par rapport à 2016. Cela s’</w:t>
      </w:r>
      <w:r>
        <w:rPr>
          <w:rFonts w:ascii="Times New Roman" w:hAnsi="Times New Roman"/>
          <w:noProof/>
          <w:sz w:val="24"/>
          <w:lang w:val="fr-BE"/>
        </w:rPr>
        <w:t>inscrit dans la continuité de la tendance à la baisse (qui ralentit) observée depuis 2014. Les principaux pays d’origine restent inchangés par rapport à 2016, les ressortissants roumains, polonais, portugais, italiens et bulgares constituant les plus group</w:t>
      </w:r>
      <w:r>
        <w:rPr>
          <w:rFonts w:ascii="Times New Roman" w:hAnsi="Times New Roman"/>
          <w:noProof/>
          <w:sz w:val="24"/>
          <w:lang w:val="fr-BE"/>
        </w:rPr>
        <w:t>es les plus importants au niveau de l’UE. À eux tous, ils représentent environ 6,6 millions de personnes, soit plus de la moitié du nombre total de citoyens mobiles de l’EU-28 au sein de l’UE. Proportionnellement à la population, les flux de mobilité sorta</w:t>
      </w:r>
      <w:r>
        <w:rPr>
          <w:rFonts w:ascii="Times New Roman" w:hAnsi="Times New Roman"/>
          <w:noProof/>
          <w:sz w:val="24"/>
          <w:lang w:val="fr-BE"/>
        </w:rPr>
        <w:t xml:space="preserve">nts les plus élevés sont enregistrés en Lituanie, en Roumanie et en Lettonie; une tendance à la hausse a pu être observée en Lituanie, en Roumanie, en Lettonie, en Estonie et en Croatie. Les principaux pays d’origine et pays de destination ne changent pas </w:t>
      </w:r>
      <w:r>
        <w:rPr>
          <w:rFonts w:ascii="Times New Roman" w:hAnsi="Times New Roman"/>
          <w:noProof/>
          <w:sz w:val="24"/>
          <w:lang w:val="fr-BE"/>
        </w:rPr>
        <w:t>lorsque l’on se concentre sur les citoyens économiquement actifs (c’est-à-dire les personnes ayant un emploi et les demandeurs d’emploi).</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Les études à l’étranger sont bénéfiques pour le développement des compétences et l’amélioration des perspectives futur</w:t>
      </w:r>
      <w:r>
        <w:rPr>
          <w:rFonts w:ascii="Times New Roman" w:hAnsi="Times New Roman"/>
          <w:b/>
          <w:noProof/>
          <w:sz w:val="24"/>
          <w:lang w:val="fr-BE"/>
        </w:rPr>
        <w:t>es sur le marché du travail</w:t>
      </w:r>
      <w:r>
        <w:rPr>
          <w:rFonts w:ascii="Times New Roman" w:hAnsi="Times New Roman"/>
          <w:noProof/>
          <w:sz w:val="24"/>
          <w:lang w:val="fr-BE"/>
        </w:rPr>
        <w:t>. Les étudiants mobiles contribuent au développement des connaissances, à l’accroissement de la sensibilisation culturelle, à la modernisation technologique et au renforcement des capacités de leur pays lorsqu’ils rentrent chez e</w:t>
      </w:r>
      <w:r>
        <w:rPr>
          <w:rFonts w:ascii="Times New Roman" w:hAnsi="Times New Roman"/>
          <w:noProof/>
          <w:sz w:val="24"/>
          <w:lang w:val="fr-BE"/>
        </w:rPr>
        <w:t>ux après avoir étudié à l’étranger. En outre, les échanges d’étudiants entre les pays renforcent les possibilités de collaboration entre les établissements d’enseignement supérieur, contribuant à l’objectif européen d’ouverture et de modernisation des syst</w:t>
      </w:r>
      <w:r>
        <w:rPr>
          <w:rFonts w:ascii="Times New Roman" w:hAnsi="Times New Roman"/>
          <w:noProof/>
          <w:sz w:val="24"/>
          <w:lang w:val="fr-BE"/>
        </w:rPr>
        <w:t xml:space="preserve">èmes éducatifs. Or, seule une petite partie des Européens sont des diplômés mobiles. En 2016, seuls 10,7 % des diplômés de l’enseignement supérieur provenant d’États membres de l’UE étaient mobiles; 3,1 % ont obtenu leur diplôme à l’étranger et ont achevé </w:t>
      </w:r>
      <w:r>
        <w:rPr>
          <w:rFonts w:ascii="Times New Roman" w:hAnsi="Times New Roman"/>
          <w:noProof/>
          <w:sz w:val="24"/>
          <w:lang w:val="fr-BE"/>
        </w:rPr>
        <w:t xml:space="preserve">leurs études dans un pays différent de celui dans lequel ils ont obtenu leur diplôme, tandis que 7,6 % ont eu recours à la mobilité en vue d’obtenir des crédits et ont effectué une période d’études temporaire et/ou un stage à l’étranger. Les États membres </w:t>
      </w:r>
      <w:r>
        <w:rPr>
          <w:rFonts w:ascii="Times New Roman" w:hAnsi="Times New Roman"/>
          <w:noProof/>
          <w:sz w:val="24"/>
          <w:lang w:val="fr-BE"/>
        </w:rPr>
        <w:t>affichant les pourcentages de diplômés mobiles sortants les plus élevés sont le Luxembourg (84,4 %), les Pays-Bas (23,2 %) et la Finlande (19,5 %). Quatre autres États membres de l’UE affichent des taux de mobilité des étudiants supérieurs à 15 % (Allemagn</w:t>
      </w:r>
      <w:r>
        <w:rPr>
          <w:rFonts w:ascii="Times New Roman" w:hAnsi="Times New Roman"/>
          <w:noProof/>
          <w:sz w:val="24"/>
          <w:lang w:val="fr-BE"/>
        </w:rPr>
        <w:t>e, France, Chypre et Lituanie). Les schémas de mobilité des différents pays s’expliquent par plusieurs facteurs, tels que la proximité géographique, les liens linguistiques ou la disponibilité de programmes de langue anglaise dans des pays non anglophones.</w:t>
      </w:r>
      <w:r>
        <w:rPr>
          <w:rFonts w:ascii="Times New Roman" w:hAnsi="Times New Roman"/>
          <w:noProof/>
          <w:sz w:val="24"/>
          <w:lang w:val="fr-BE"/>
        </w:rPr>
        <w:t xml:space="preserve"> La qualité de l’enseignement des universités et leur réputation constituent également de puissants facteurs d’attraction.</w:t>
      </w:r>
    </w:p>
    <w:p w:rsidR="00723CC0" w:rsidRDefault="00242021">
      <w:pPr>
        <w:autoSpaceDE w:val="0"/>
        <w:autoSpaceDN w:val="0"/>
        <w:adjustRightInd w:val="0"/>
        <w:spacing w:line="360" w:lineRule="auto"/>
        <w:jc w:val="both"/>
        <w:rPr>
          <w:rFonts w:ascii="Times New Roman" w:hAnsi="Times New Roman"/>
          <w:noProof/>
          <w:sz w:val="24"/>
          <w:lang w:val="fr-BE"/>
        </w:rPr>
      </w:pPr>
      <w:r>
        <w:rPr>
          <w:rFonts w:ascii="Times New Roman" w:hAnsi="Times New Roman"/>
          <w:b/>
          <w:noProof/>
          <w:sz w:val="24"/>
          <w:lang w:val="fr-BE"/>
        </w:rPr>
        <w:t>Le dialogue social, qu’il soit bipartite ou tripartite, est un élément essentiel de l’économie sociale de marché européenne.</w:t>
      </w:r>
      <w:r>
        <w:rPr>
          <w:rFonts w:ascii="Times New Roman" w:hAnsi="Times New Roman"/>
          <w:noProof/>
          <w:sz w:val="24"/>
          <w:lang w:val="fr-BE"/>
        </w:rPr>
        <w:t xml:space="preserve"> Il perme</w:t>
      </w:r>
      <w:r>
        <w:rPr>
          <w:rFonts w:ascii="Times New Roman" w:hAnsi="Times New Roman"/>
          <w:noProof/>
          <w:sz w:val="24"/>
          <w:lang w:val="fr-BE"/>
        </w:rPr>
        <w:t xml:space="preserve">t de promouvoir des accords et des mesures stratégiques qui équilibrent les intérêts des employeurs et des travailleurs. Un dialogue social efficace apporte des solutions acceptables pour les partenaires concernés, permettant ainsi de réduire les conflits </w:t>
      </w:r>
      <w:r>
        <w:rPr>
          <w:rFonts w:ascii="Times New Roman" w:hAnsi="Times New Roman"/>
          <w:noProof/>
          <w:sz w:val="24"/>
          <w:lang w:val="fr-BE"/>
        </w:rPr>
        <w:t>dans la société et de renforcer la cohésion sociale. Un élément important de ce dialogue est le respect mutuel et la confiance entre les partenaires, qui vont de pair avec l’expérience d’une bonne coopération antérieure et la valeur ajoutée de tels résulta</w:t>
      </w:r>
      <w:r>
        <w:rPr>
          <w:rFonts w:ascii="Times New Roman" w:hAnsi="Times New Roman"/>
          <w:noProof/>
          <w:sz w:val="24"/>
          <w:lang w:val="fr-BE"/>
        </w:rPr>
        <w:t>ts négociés. Pour permettre de telles négociations, les partenaires sociaux doivent être indépendants les uns des autres ainsi que du gouvernement (autonomie des partenaires sociaux). Par conséquent, le dialogue social est à l’avantage des travailleurs, de</w:t>
      </w:r>
      <w:r>
        <w:rPr>
          <w:rFonts w:ascii="Times New Roman" w:hAnsi="Times New Roman"/>
          <w:noProof/>
          <w:sz w:val="24"/>
          <w:lang w:val="fr-BE"/>
        </w:rPr>
        <w:t xml:space="preserve">s employeurs et des gouvernements. L’initiative </w:t>
      </w:r>
      <w:r>
        <w:rPr>
          <w:rFonts w:ascii="Times New Roman" w:hAnsi="Times New Roman"/>
          <w:noProof/>
          <w:color w:val="000000"/>
          <w:sz w:val="24"/>
          <w:lang w:val="fr-BE"/>
        </w:rPr>
        <w:t>«Nouveau départ pour le dialogue social», lancée en mars 2015, ainsi que les conclusions du Conseil et la déclaration quadripartite signée par les partenaires sociaux européens, la Commission et la présidence</w:t>
      </w:r>
      <w:r>
        <w:rPr>
          <w:rFonts w:ascii="Times New Roman" w:hAnsi="Times New Roman"/>
          <w:noProof/>
          <w:color w:val="000000"/>
          <w:sz w:val="24"/>
          <w:lang w:val="fr-BE"/>
        </w:rPr>
        <w:t xml:space="preserve"> néerlandaise au nom du Conseil sur «Un nouveau départ pour un dialogue social fort», toutes deux adoptées en juin 2016, invitent les États membres à associer étroitement les partenaires sociaux à la conception et à la mise en œuvre des réformes et politiq</w:t>
      </w:r>
      <w:r>
        <w:rPr>
          <w:rFonts w:ascii="Times New Roman" w:hAnsi="Times New Roman"/>
          <w:noProof/>
          <w:color w:val="000000"/>
          <w:sz w:val="24"/>
          <w:lang w:val="fr-BE"/>
        </w:rPr>
        <w:t xml:space="preserve">ues requises, conformément aux pratiques nationales. </w:t>
      </w:r>
      <w:r>
        <w:rPr>
          <w:rFonts w:ascii="Times New Roman" w:hAnsi="Times New Roman"/>
          <w:noProof/>
          <w:sz w:val="24"/>
          <w:lang w:val="fr-BE"/>
        </w:rPr>
        <w:t xml:space="preserve">Le socle européen des droits sociaux et la nouvelle ligne directrice pour l’emploi nº 7 insistent sur le fait que le dialogue social est une valeur fondamentale de l’Union européenne. </w:t>
      </w:r>
    </w:p>
    <w:p w:rsidR="00723CC0" w:rsidRDefault="00242021">
      <w:pPr>
        <w:autoSpaceDE w:val="0"/>
        <w:autoSpaceDN w:val="0"/>
        <w:adjustRightInd w:val="0"/>
        <w:spacing w:line="360" w:lineRule="auto"/>
        <w:jc w:val="both"/>
        <w:rPr>
          <w:rFonts w:ascii="Times New Roman" w:hAnsi="Times New Roman"/>
          <w:noProof/>
          <w:sz w:val="24"/>
          <w:lang w:val="fr-BE"/>
        </w:rPr>
      </w:pPr>
      <w:r>
        <w:rPr>
          <w:rFonts w:ascii="Times New Roman" w:hAnsi="Times New Roman"/>
          <w:b/>
          <w:noProof/>
          <w:sz w:val="24"/>
          <w:lang w:val="fr-BE"/>
        </w:rPr>
        <w:t>L’Union européenne</w:t>
      </w:r>
      <w:r>
        <w:rPr>
          <w:rFonts w:ascii="Times New Roman" w:hAnsi="Times New Roman"/>
          <w:b/>
          <w:noProof/>
          <w:sz w:val="24"/>
          <w:lang w:val="fr-BE"/>
        </w:rPr>
        <w:t xml:space="preserve"> est caractérisée par toute une gamme de systèmes nationaux de dialogue social.</w:t>
      </w:r>
      <w:r>
        <w:rPr>
          <w:rFonts w:ascii="Times New Roman" w:hAnsi="Times New Roman"/>
          <w:noProof/>
          <w:sz w:val="24"/>
          <w:lang w:val="fr-BE"/>
        </w:rPr>
        <w:t xml:space="preserve"> Ces différences sont principalement dues à des divergences entre les cadres institutionnels et les capacités opérationnelles des organisations de partenaires sociaux, qui contr</w:t>
      </w:r>
      <w:r>
        <w:rPr>
          <w:rFonts w:ascii="Times New Roman" w:hAnsi="Times New Roman"/>
          <w:noProof/>
          <w:sz w:val="24"/>
          <w:lang w:val="fr-BE"/>
        </w:rPr>
        <w:t>ibuent à créer des écarts importants dans la qualité du dialogue social. Bien qu’il n’existe pas de modèle universel, la participation constructive et en temps utile des partenaires sociaux à la conception et à la mise en œuvre des politiques, notamment so</w:t>
      </w:r>
      <w:r>
        <w:rPr>
          <w:rFonts w:ascii="Times New Roman" w:hAnsi="Times New Roman"/>
          <w:noProof/>
          <w:sz w:val="24"/>
          <w:lang w:val="fr-BE"/>
        </w:rPr>
        <w:t>us la forme d’une aide visant à renforcer la capacité des partenaires sociaux, devrait être considérée comme le dénominateur commun permettant de mettre en place des systèmes de dialogue social tripartite qui fonctionnent correctement et efficacement. Cela</w:t>
      </w:r>
      <w:r>
        <w:rPr>
          <w:rFonts w:ascii="Times New Roman" w:hAnsi="Times New Roman"/>
          <w:noProof/>
          <w:sz w:val="24"/>
          <w:lang w:val="fr-BE"/>
        </w:rPr>
        <w:t xml:space="preserve"> est également valable pour le dialogue social bipartite. </w:t>
      </w:r>
    </w:p>
    <w:p w:rsidR="00723CC0" w:rsidRDefault="00242021">
      <w:pPr>
        <w:spacing w:before="120" w:line="360" w:lineRule="auto"/>
        <w:jc w:val="both"/>
        <w:rPr>
          <w:rFonts w:ascii="Times New Roman" w:hAnsi="Times New Roman" w:cs="Times New Roman"/>
          <w:bCs/>
          <w:noProof/>
          <w:sz w:val="24"/>
          <w:szCs w:val="24"/>
          <w:lang w:val="fr-BE"/>
        </w:rPr>
      </w:pPr>
      <w:r>
        <w:rPr>
          <w:rFonts w:ascii="Times New Roman" w:hAnsi="Times New Roman"/>
          <w:b/>
          <w:noProof/>
          <w:sz w:val="24"/>
          <w:lang w:val="fr-BE"/>
        </w:rPr>
        <w:t>La capacité des partenaires sociaux contribue grandement à façonner le dialogue social</w:t>
      </w:r>
      <w:r>
        <w:rPr>
          <w:rFonts w:ascii="Times New Roman" w:hAnsi="Times New Roman"/>
          <w:noProof/>
          <w:sz w:val="24"/>
          <w:lang w:val="fr-BE"/>
        </w:rPr>
        <w:t>. Les chiffres relatifs à la composition des partenaires sociaux donnent une indication de leur capacité à repr</w:t>
      </w:r>
      <w:r>
        <w:rPr>
          <w:rFonts w:ascii="Times New Roman" w:hAnsi="Times New Roman"/>
          <w:noProof/>
          <w:sz w:val="24"/>
          <w:lang w:val="fr-BE"/>
        </w:rPr>
        <w:t xml:space="preserve">ésenter les intérêts collectifs respectifs des employeurs et des travailleurs (graphique 58). Plus leur composition est large et représentative, plus leur voix et leur mandat ont des chances d’être solides. Néanmoins, ces chiffres ne donnent pas une image </w:t>
      </w:r>
      <w:r>
        <w:rPr>
          <w:rFonts w:ascii="Times New Roman" w:hAnsi="Times New Roman"/>
          <w:noProof/>
          <w:sz w:val="24"/>
          <w:lang w:val="fr-BE"/>
        </w:rPr>
        <w:t>complète. Par exemple, dans certains États membres où la densité syndicale mesurée est faible (par exemple en France), les syndicats peuvent également bénéficier d’un soutien assez large de la part de non-membres (voir les données de l’Eurobaromètre sur la</w:t>
      </w:r>
      <w:r>
        <w:rPr>
          <w:rFonts w:ascii="Times New Roman" w:hAnsi="Times New Roman"/>
          <w:noProof/>
          <w:sz w:val="24"/>
          <w:lang w:val="fr-BE"/>
        </w:rPr>
        <w:t xml:space="preserve"> confiance dans les syndicats) et ont une forte capacité à participer à l’évolution des politiques. Dans la plupart des États membres, le taux de syndicalisation est en baisse depuis les années 1980, tandis que le taux de densité des employeurs est un peu </w:t>
      </w:r>
      <w:r>
        <w:rPr>
          <w:rFonts w:ascii="Times New Roman" w:hAnsi="Times New Roman"/>
          <w:noProof/>
          <w:sz w:val="24"/>
          <w:lang w:val="fr-BE"/>
        </w:rPr>
        <w:t>plus stable. Au-delà des chiffres agrégés relatifs à sa composition, la structure de représentation – plus ou moins fragmentée – peut également avoir une incidence sur la capacité des partenaires sociaux, en particulier lorsque la représentation fragmentée</w:t>
      </w:r>
      <w:r>
        <w:rPr>
          <w:rFonts w:ascii="Times New Roman" w:hAnsi="Times New Roman"/>
          <w:noProof/>
          <w:sz w:val="24"/>
          <w:lang w:val="fr-BE"/>
        </w:rPr>
        <w:t xml:space="preserve"> est faiblement coordonnée.</w:t>
      </w:r>
    </w:p>
    <w:p w:rsidR="00723CC0" w:rsidRDefault="00242021">
      <w:pPr>
        <w:rPr>
          <w:noProof/>
          <w:lang w:val="fr-BE"/>
        </w:rPr>
      </w:pPr>
      <w:bookmarkStart w:id="83" w:name="_Ref527565603"/>
      <w:r>
        <w:rPr>
          <w:noProof/>
          <w:lang w:val="fr-BE"/>
        </w:rPr>
        <w:br w:type="page"/>
      </w:r>
    </w:p>
    <w:p w:rsidR="00723CC0" w:rsidRDefault="00723CC0">
      <w:pPr>
        <w:rPr>
          <w:noProof/>
          <w:lang w:val="fr-BE"/>
        </w:rPr>
      </w:pPr>
    </w:p>
    <w:p w:rsidR="00723CC0" w:rsidRDefault="00242021">
      <w:pPr>
        <w:pStyle w:val="caption2"/>
        <w:keepNext/>
        <w:rPr>
          <w:rFonts w:ascii="Times New Roman" w:hAnsi="Times New Roman" w:cs="Times New Roman"/>
          <w:noProof/>
          <w:color w:val="auto"/>
          <w:sz w:val="24"/>
          <w:szCs w:val="24"/>
        </w:rPr>
      </w:pPr>
      <w:r>
        <w:rPr>
          <w:rFonts w:ascii="Times New Roman" w:hAnsi="Times New Roman"/>
          <w:noProof/>
          <w:color w:val="auto"/>
          <w:sz w:val="24"/>
        </w:rPr>
        <w:t xml:space="preserve">Graphique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rPr>
        <w:t>58</w:t>
      </w:r>
      <w:r>
        <w:rPr>
          <w:rFonts w:ascii="Times New Roman" w:hAnsi="Times New Roman" w:cs="Times New Roman"/>
          <w:noProof/>
          <w:color w:val="auto"/>
          <w:sz w:val="24"/>
          <w:szCs w:val="24"/>
        </w:rPr>
        <w:fldChar w:fldCharType="end"/>
      </w:r>
      <w:bookmarkEnd w:id="83"/>
      <w:r>
        <w:rPr>
          <w:rFonts w:ascii="Times New Roman" w:hAnsi="Times New Roman"/>
          <w:noProof/>
          <w:color w:val="auto"/>
          <w:sz w:val="24"/>
        </w:rPr>
        <w:t>: Taux de syndicalisation</w:t>
      </w:r>
    </w:p>
    <w:p w:rsidR="00723CC0" w:rsidRDefault="00242021">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772647" cy="2202511"/>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5780798" cy="2205621"/>
                    </a:xfrm>
                    <a:prstGeom prst="rect">
                      <a:avLst/>
                    </a:prstGeom>
                    <a:noFill/>
                  </pic:spPr>
                </pic:pic>
              </a:graphicData>
            </a:graphic>
          </wp:inline>
        </w:drawing>
      </w:r>
    </w:p>
    <w:p w:rsidR="00723CC0" w:rsidRDefault="00242021">
      <w:pPr>
        <w:jc w:val="both"/>
        <w:rPr>
          <w:rFonts w:ascii="Times New Roman" w:hAnsi="Times New Roman" w:cs="Times New Roman"/>
          <w:noProof/>
          <w:sz w:val="18"/>
          <w:szCs w:val="24"/>
          <w:lang w:val="fr-BE"/>
        </w:rPr>
      </w:pPr>
      <w:r>
        <w:rPr>
          <w:rFonts w:ascii="Times New Roman" w:hAnsi="Times New Roman"/>
          <w:noProof/>
          <w:sz w:val="18"/>
          <w:lang w:val="fr-BE"/>
        </w:rPr>
        <w:t xml:space="preserve">Source: OCDE et base de données ICTWSS (la source contenant les données les plus récentes par État membre a été utilisée). Note: taux calculé en tant que part </w:t>
      </w:r>
      <w:r>
        <w:rPr>
          <w:rFonts w:ascii="Times New Roman" w:hAnsi="Times New Roman"/>
          <w:noProof/>
          <w:sz w:val="18"/>
          <w:lang w:val="fr-BE"/>
        </w:rPr>
        <w:t xml:space="preserve">de salariés qui sont membres d’un syndicat. Années de données: 2017 pour SE, 2016 pour AT, CZ, DK, FI, DE, HU, IE, IT, LT, NL, UK; 2015 pour BE, EE, FR, LV, LU, PT, SK, SI, ES; 2014 pour PL; 2013 pour CY, EL; 2012 pour HR, MT, BG et RO. Les données sur la </w:t>
      </w:r>
      <w:r>
        <w:rPr>
          <w:rFonts w:ascii="Times New Roman" w:hAnsi="Times New Roman"/>
          <w:noProof/>
          <w:sz w:val="18"/>
          <w:lang w:val="fr-BE"/>
        </w:rPr>
        <w:t>densité des employeurs pour certains États membres ont été mises à jour moins fréquemment au cours des dernières années et ne sont donc pas présentées dans un graphique.</w:t>
      </w:r>
    </w:p>
    <w:p w:rsidR="00723CC0" w:rsidRDefault="00723CC0">
      <w:pPr>
        <w:autoSpaceDE w:val="0"/>
        <w:autoSpaceDN w:val="0"/>
        <w:adjustRightInd w:val="0"/>
        <w:spacing w:line="360" w:lineRule="auto"/>
        <w:jc w:val="both"/>
        <w:rPr>
          <w:rFonts w:ascii="Times New Roman" w:hAnsi="Times New Roman" w:cs="Times New Roman"/>
          <w:b/>
          <w:bCs/>
          <w:noProof/>
          <w:sz w:val="24"/>
          <w:szCs w:val="24"/>
          <w:lang w:val="fr-BE"/>
        </w:rPr>
      </w:pPr>
    </w:p>
    <w:p w:rsidR="00723CC0" w:rsidRDefault="00242021">
      <w:pPr>
        <w:autoSpaceDE w:val="0"/>
        <w:autoSpaceDN w:val="0"/>
        <w:adjustRightInd w:val="0"/>
        <w:spacing w:line="360" w:lineRule="auto"/>
        <w:jc w:val="both"/>
        <w:rPr>
          <w:rFonts w:ascii="Times New Roman" w:hAnsi="Times New Roman" w:cs="Times New Roman"/>
          <w:bCs/>
          <w:noProof/>
          <w:sz w:val="24"/>
          <w:szCs w:val="24"/>
          <w:lang w:val="fr-BE"/>
        </w:rPr>
      </w:pPr>
      <w:r>
        <w:rPr>
          <w:rFonts w:ascii="Times New Roman" w:hAnsi="Times New Roman"/>
          <w:b/>
          <w:noProof/>
          <w:sz w:val="24"/>
          <w:lang w:val="fr-BE"/>
        </w:rPr>
        <w:t>Dans plusieurs États membres, les mesures de renforcement des capacités sont soutenue</w:t>
      </w:r>
      <w:r>
        <w:rPr>
          <w:rFonts w:ascii="Times New Roman" w:hAnsi="Times New Roman"/>
          <w:b/>
          <w:noProof/>
          <w:sz w:val="24"/>
          <w:lang w:val="fr-BE"/>
        </w:rPr>
        <w:t>s par les Fonds structurels et d’investissement européens</w:t>
      </w:r>
      <w:r>
        <w:rPr>
          <w:rFonts w:ascii="Times New Roman" w:hAnsi="Times New Roman"/>
          <w:noProof/>
          <w:sz w:val="24"/>
          <w:lang w:val="fr-BE"/>
        </w:rPr>
        <w:t>. Une aide financière a été allouée, entre autres, en Bulgarie, à Chypre, en République tchèque, en Grèce, en France, en Lituanie, en Lettonie, en Pologne, en Slovaquie et au Portugal. Au Portugal, l</w:t>
      </w:r>
      <w:r>
        <w:rPr>
          <w:rFonts w:ascii="Times New Roman" w:hAnsi="Times New Roman"/>
          <w:noProof/>
          <w:sz w:val="24"/>
          <w:lang w:val="fr-BE"/>
        </w:rPr>
        <w:t xml:space="preserve">e Fonds social européen (FSE) soutient le renforcement des capacités institutionnelles des partenaires sociaux en tenant compte de leur rôle important dans la modernisation des institutions du marché du travail, y compris la gestion et la mise en œuvre de </w:t>
      </w:r>
      <w:r>
        <w:rPr>
          <w:rFonts w:ascii="Times New Roman" w:hAnsi="Times New Roman"/>
          <w:noProof/>
          <w:sz w:val="24"/>
          <w:lang w:val="fr-BE"/>
        </w:rPr>
        <w:t>politiques actives du marché du travail et de l’enseignement et de la formation professionnels. En Lettonie, le FSE soutient le renforcement du dialogue social bipartite. Les projets visent à mettre en place un cadre juridique en vue de faciliter le dialog</w:t>
      </w:r>
      <w:r>
        <w:rPr>
          <w:rFonts w:ascii="Times New Roman" w:hAnsi="Times New Roman"/>
          <w:noProof/>
          <w:sz w:val="24"/>
          <w:lang w:val="fr-BE"/>
        </w:rPr>
        <w:t>ue social dans différents secteurs. Il reste cependant de la marge pour améliorer l’utilisation des fonds européens disponibles dans plusieurs États membres afin d’accroître les capacités des partenaires sociaux.</w:t>
      </w:r>
    </w:p>
    <w:p w:rsidR="00723CC0" w:rsidRDefault="00242021">
      <w:pPr>
        <w:autoSpaceDE w:val="0"/>
        <w:autoSpaceDN w:val="0"/>
        <w:adjustRightInd w:val="0"/>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L’évolution du monde du travail ouvre de no</w:t>
      </w:r>
      <w:r>
        <w:rPr>
          <w:rFonts w:ascii="Times New Roman" w:hAnsi="Times New Roman"/>
          <w:b/>
          <w:noProof/>
          <w:sz w:val="24"/>
          <w:lang w:val="fr-BE"/>
        </w:rPr>
        <w:t xml:space="preserve">uvelles perspectives aux organisations de partenaires sociaux, mais s’accompagne aussi de nouvelles menaces. </w:t>
      </w:r>
      <w:r>
        <w:rPr>
          <w:rFonts w:ascii="Times New Roman" w:hAnsi="Times New Roman"/>
          <w:noProof/>
          <w:sz w:val="24"/>
          <w:lang w:val="fr-BE"/>
        </w:rPr>
        <w:t>Aujourd’hui déjà, les travailleurs soumis à des arrangements contractuels différents ont des modes de représentation très différents. En particulie</w:t>
      </w:r>
      <w:r>
        <w:rPr>
          <w:rFonts w:ascii="Times New Roman" w:hAnsi="Times New Roman"/>
          <w:noProof/>
          <w:sz w:val="24"/>
          <w:lang w:val="fr-BE"/>
        </w:rPr>
        <w:t>r, la proportion de syndiqués est bien plus élevée chez les travailleurs sous contrat à durée indéterminée que chez les travailleurs sous contrat à durée déterminée. En outre, la plupart des nouvelles formes d’emploi souffrent d’un manque de représentation</w:t>
      </w:r>
      <w:r>
        <w:rPr>
          <w:rFonts w:ascii="Times New Roman" w:hAnsi="Times New Roman"/>
          <w:noProof/>
          <w:sz w:val="24"/>
          <w:lang w:val="fr-BE"/>
        </w:rPr>
        <w:t>. Une recherche menée aux Pays-Bas semble indiquer que ces évolutions pourraient avoir des incidences sur les résultats de la négociation collective, avec des hausses de salaires moindres dans les secteurs comptant de nombreux travailleurs indépendants (et</w:t>
      </w:r>
      <w:r>
        <w:rPr>
          <w:rFonts w:ascii="Times New Roman" w:hAnsi="Times New Roman"/>
          <w:noProof/>
          <w:sz w:val="24"/>
          <w:lang w:val="fr-BE"/>
        </w:rPr>
        <w:t xml:space="preserve"> une participation plus faible aux organisations de partenaires sociaux) par rapport à d’autres secteurs</w:t>
      </w:r>
      <w:r>
        <w:rPr>
          <w:rStyle w:val="FootnoteReference"/>
          <w:rFonts w:ascii="Times New Roman" w:hAnsi="Times New Roman"/>
          <w:noProof/>
          <w:sz w:val="24"/>
        </w:rPr>
        <w:footnoteReference w:id="79"/>
      </w:r>
      <w:r>
        <w:rPr>
          <w:rFonts w:ascii="Times New Roman" w:hAnsi="Times New Roman"/>
          <w:noProof/>
          <w:sz w:val="24"/>
          <w:lang w:val="fr-BE"/>
        </w:rPr>
        <w:t>. Dans le même temps, les entreprises du secteur des services, qui est en pleine expansion, sont moins susceptibles d’être membres d’organisations d’em</w:t>
      </w:r>
      <w:r>
        <w:rPr>
          <w:rFonts w:ascii="Times New Roman" w:hAnsi="Times New Roman"/>
          <w:noProof/>
          <w:sz w:val="24"/>
          <w:lang w:val="fr-BE"/>
        </w:rPr>
        <w:t>ployeurs que les entreprises du secteur industriel. Ces dernières années, des organisations de partenaires sociaux ont pris des initiatives pour attirer de nouveaux membres ou renforcer la voix de certains groupes sous-représentés (jeunes et travailleurs d</w:t>
      </w:r>
      <w:r>
        <w:rPr>
          <w:rFonts w:ascii="Times New Roman" w:hAnsi="Times New Roman"/>
          <w:noProof/>
          <w:sz w:val="24"/>
          <w:lang w:val="fr-BE"/>
        </w:rPr>
        <w:t>e plateforme) grâce à des stratégies ciblées, à des efforts de recrutement et à la création de structures spécifiques au sein de l’organisation</w:t>
      </w:r>
      <w:r>
        <w:rPr>
          <w:rStyle w:val="FootnoteReference"/>
          <w:rFonts w:ascii="Times New Roman" w:hAnsi="Times New Roman"/>
          <w:noProof/>
          <w:sz w:val="24"/>
        </w:rPr>
        <w:footnoteReference w:id="80"/>
      </w:r>
      <w:r>
        <w:rPr>
          <w:rFonts w:ascii="Times New Roman" w:hAnsi="Times New Roman"/>
          <w:noProof/>
          <w:sz w:val="24"/>
          <w:lang w:val="fr-BE"/>
        </w:rPr>
        <w:t>.</w:t>
      </w:r>
    </w:p>
    <w:p w:rsidR="00723CC0" w:rsidRDefault="00242021">
      <w:pPr>
        <w:autoSpaceDE w:val="0"/>
        <w:autoSpaceDN w:val="0"/>
        <w:adjustRightInd w:val="0"/>
        <w:spacing w:line="360" w:lineRule="auto"/>
        <w:jc w:val="both"/>
        <w:rPr>
          <w:rFonts w:ascii="Times New Roman" w:hAnsi="Times New Roman" w:cs="Times New Roman"/>
          <w:bCs/>
          <w:noProof/>
          <w:sz w:val="24"/>
          <w:szCs w:val="24"/>
          <w:lang w:val="fr-BE"/>
        </w:rPr>
      </w:pPr>
      <w:r>
        <w:rPr>
          <w:rFonts w:ascii="Times New Roman" w:hAnsi="Times New Roman"/>
          <w:b/>
          <w:noProof/>
          <w:sz w:val="24"/>
          <w:lang w:val="fr-BE"/>
        </w:rPr>
        <w:t xml:space="preserve">Dans l’UE, la représentativité des organisations de partenaires sociaux est généralement évaluée à l’aide de </w:t>
      </w:r>
      <w:r>
        <w:rPr>
          <w:rFonts w:ascii="Times New Roman" w:hAnsi="Times New Roman"/>
          <w:b/>
          <w:noProof/>
          <w:sz w:val="24"/>
          <w:lang w:val="fr-BE"/>
        </w:rPr>
        <w:t>deux principes différents</w:t>
      </w:r>
      <w:r>
        <w:rPr>
          <w:rFonts w:ascii="Times New Roman" w:hAnsi="Times New Roman"/>
          <w:noProof/>
          <w:sz w:val="24"/>
          <w:lang w:val="fr-BE"/>
        </w:rPr>
        <w:t>. D’une part, certains pays s’appuient principalement sur la «conformité juridique», ce qui signifie qu’un certain nombre d’exigences juridiques réglementent la représentativité des partenaires sociaux et précisent les conditions p</w:t>
      </w:r>
      <w:r>
        <w:rPr>
          <w:rFonts w:ascii="Times New Roman" w:hAnsi="Times New Roman"/>
          <w:noProof/>
          <w:sz w:val="24"/>
          <w:lang w:val="fr-BE"/>
        </w:rPr>
        <w:t>réalables de participation aux négociations collectives et aux conventions collectives contraignantes (par exemple, élections et densité ou affiliation du côté syndical, et couverture des salariés ou densité d’affiliation du côté de l’employeur). D’autre p</w:t>
      </w:r>
      <w:r>
        <w:rPr>
          <w:rFonts w:ascii="Times New Roman" w:hAnsi="Times New Roman"/>
          <w:noProof/>
          <w:sz w:val="24"/>
          <w:lang w:val="fr-BE"/>
        </w:rPr>
        <w:t>art, d’autres États membres se fondent sur le principe de «reconnaissance mutuelle», qui implique l’autorégulation des partenaires sociaux. Enfin, certains pays utilisent une combinaison de ces deux principes. Dans la pratique, un manque de transparence pe</w:t>
      </w:r>
      <w:r>
        <w:rPr>
          <w:rFonts w:ascii="Times New Roman" w:hAnsi="Times New Roman"/>
          <w:noProof/>
          <w:sz w:val="24"/>
          <w:lang w:val="fr-BE"/>
        </w:rPr>
        <w:t>ut rendre difficile l’évaluation univoque de la représentativité des différentes organisations</w:t>
      </w:r>
      <w:r>
        <w:rPr>
          <w:rStyle w:val="FootnoteReference"/>
          <w:rFonts w:ascii="Times New Roman" w:hAnsi="Times New Roman"/>
          <w:noProof/>
          <w:sz w:val="24"/>
        </w:rPr>
        <w:footnoteReference w:id="81"/>
      </w:r>
      <w:r>
        <w:rPr>
          <w:rFonts w:ascii="Times New Roman" w:hAnsi="Times New Roman"/>
          <w:noProof/>
          <w:sz w:val="24"/>
          <w:lang w:val="fr-BE"/>
        </w:rPr>
        <w:t>.</w:t>
      </w:r>
    </w:p>
    <w:p w:rsidR="00723CC0" w:rsidRDefault="00242021">
      <w:pPr>
        <w:autoSpaceDE w:val="0"/>
        <w:autoSpaceDN w:val="0"/>
        <w:adjustRightInd w:val="0"/>
        <w:spacing w:line="360" w:lineRule="auto"/>
        <w:jc w:val="both"/>
        <w:rPr>
          <w:rFonts w:ascii="Times New Roman" w:hAnsi="Times New Roman" w:cs="Times New Roman"/>
          <w:bCs/>
          <w:noProof/>
          <w:sz w:val="24"/>
          <w:szCs w:val="24"/>
          <w:lang w:val="fr-BE"/>
        </w:rPr>
      </w:pPr>
      <w:r>
        <w:rPr>
          <w:rFonts w:ascii="Times New Roman" w:hAnsi="Times New Roman"/>
          <w:b/>
          <w:noProof/>
          <w:sz w:val="24"/>
          <w:lang w:val="fr-BE"/>
        </w:rPr>
        <w:t xml:space="preserve">Le Semestre européen consacre une attention croissante au dialogue social. </w:t>
      </w:r>
      <w:r>
        <w:rPr>
          <w:rFonts w:ascii="Times New Roman" w:hAnsi="Times New Roman"/>
          <w:noProof/>
          <w:sz w:val="24"/>
          <w:lang w:val="fr-BE"/>
        </w:rPr>
        <w:t>En 2017, un premier exercice de surveillance multilatérale à part entière sur la par</w:t>
      </w:r>
      <w:r>
        <w:rPr>
          <w:rFonts w:ascii="Times New Roman" w:hAnsi="Times New Roman"/>
          <w:noProof/>
          <w:sz w:val="24"/>
          <w:lang w:val="fr-BE"/>
        </w:rPr>
        <w:t>ticipation des partenaires sociaux aux réformes et aux politiques a été organisé au sein du Comité de l’emploi. Il a été étayé sur le plan institutionnel par les lignes directrices pour l’emploi; dans ce contexte, la situation de 14 États membres a été exa</w:t>
      </w:r>
      <w:r>
        <w:rPr>
          <w:rFonts w:ascii="Times New Roman" w:hAnsi="Times New Roman"/>
          <w:noProof/>
          <w:sz w:val="24"/>
          <w:lang w:val="fr-BE"/>
        </w:rPr>
        <w:t>minée et des conclusions spécifiques ont été formulées pour chaque pays. Les représentants des partenaires sociaux nationaux étaient présents et ont donné leur avis sur l’état d’avancement des travaux. Bien que le fonctionnement du dialogue social soit pro</w:t>
      </w:r>
      <w:r>
        <w:rPr>
          <w:rFonts w:ascii="Times New Roman" w:hAnsi="Times New Roman"/>
          <w:noProof/>
          <w:sz w:val="24"/>
          <w:lang w:val="fr-BE"/>
        </w:rPr>
        <w:t>pre à chaque pays, l’examen a révélé certains défis communs à plusieurs des États membres sur lesquels il a porté, tels que les problèmes de capacités des partenaires sociaux et la nécessité d’organiser une consultation plus prévisible, constructive et opp</w:t>
      </w:r>
      <w:r>
        <w:rPr>
          <w:rFonts w:ascii="Times New Roman" w:hAnsi="Times New Roman"/>
          <w:noProof/>
          <w:sz w:val="24"/>
          <w:lang w:val="fr-BE"/>
        </w:rPr>
        <w:t>ortune des partenaires sociaux lors des différentes phases des réformes. Dans la droite ligne des conclusions de l’exercice de surveillance multilatérale et de l’analyse approfondie figurant dans les rapports par pays, les recommandations par pays proposée</w:t>
      </w:r>
      <w:r>
        <w:rPr>
          <w:rFonts w:ascii="Times New Roman" w:hAnsi="Times New Roman"/>
          <w:noProof/>
          <w:sz w:val="24"/>
          <w:lang w:val="fr-BE"/>
        </w:rPr>
        <w:t>s par la Commission en mai et adoptées par le Conseil en juillet 2018 ont résolument mis l’accent sur le dialogue social. En ce qui concerne deux États membres (la Hongrie et la Roumanie), les recommandations plaident explicitement en faveur d’une améliora</w:t>
      </w:r>
      <w:r>
        <w:rPr>
          <w:rFonts w:ascii="Times New Roman" w:hAnsi="Times New Roman"/>
          <w:noProof/>
          <w:sz w:val="24"/>
          <w:lang w:val="fr-BE"/>
        </w:rPr>
        <w:t>tion du dialogue social; en ce qui concerne plusieurs autres États membres, les considérants des recommandations rappellent le rôle des partenaires sociaux et, dans certains cas, les défis existants. Il est parfois possible d’améliorer la capacité des part</w:t>
      </w:r>
      <w:r>
        <w:rPr>
          <w:rFonts w:ascii="Times New Roman" w:hAnsi="Times New Roman"/>
          <w:noProof/>
          <w:sz w:val="24"/>
          <w:lang w:val="fr-BE"/>
        </w:rPr>
        <w:t>enaires sociaux et de leur fournir un cadre adéquat pour assurer leur consultation prévisible et en temps utile sur l’élaboration des politiques, et notamment des réformes, y compris à toutes les étapes clés du Semestre européen.</w:t>
      </w:r>
    </w:p>
    <w:p w:rsidR="00723CC0" w:rsidRDefault="00242021">
      <w:pPr>
        <w:autoSpaceDE w:val="0"/>
        <w:autoSpaceDN w:val="0"/>
        <w:adjustRightInd w:val="0"/>
        <w:spacing w:line="360" w:lineRule="auto"/>
        <w:jc w:val="both"/>
        <w:rPr>
          <w:rFonts w:ascii="Times New Roman" w:hAnsi="Times New Roman" w:cs="Times New Roman"/>
          <w:bCs/>
          <w:noProof/>
          <w:sz w:val="24"/>
          <w:szCs w:val="24"/>
          <w:lang w:val="fr-BE"/>
        </w:rPr>
      </w:pPr>
      <w:r>
        <w:rPr>
          <w:rFonts w:ascii="Times New Roman" w:hAnsi="Times New Roman"/>
          <w:b/>
          <w:noProof/>
          <w:sz w:val="24"/>
          <w:lang w:val="fr-BE"/>
        </w:rPr>
        <w:t>La consultation des organi</w:t>
      </w:r>
      <w:r>
        <w:rPr>
          <w:rFonts w:ascii="Times New Roman" w:hAnsi="Times New Roman"/>
          <w:b/>
          <w:noProof/>
          <w:sz w:val="24"/>
          <w:lang w:val="fr-BE"/>
        </w:rPr>
        <w:t xml:space="preserve">sations de la société civile joue aussi un rôle important pour garantir l’efficacité de la conception et de la mise en œuvre des réformes. </w:t>
      </w:r>
      <w:r>
        <w:rPr>
          <w:rFonts w:ascii="Times New Roman" w:hAnsi="Times New Roman"/>
          <w:noProof/>
          <w:sz w:val="24"/>
          <w:lang w:val="fr-BE"/>
        </w:rPr>
        <w:t>Comme souligné dans les lignes directrices révisées pour l’emploi adoptées en juillet 2018, les États membres devraie</w:t>
      </w:r>
      <w:r>
        <w:rPr>
          <w:rFonts w:ascii="Times New Roman" w:hAnsi="Times New Roman"/>
          <w:noProof/>
          <w:sz w:val="24"/>
          <w:lang w:val="fr-BE"/>
        </w:rPr>
        <w:t>nt tenir compte de l’expérience des organisations de la société civile en matière d’emploi et de questions sociales, lorsque la situation s’y prête et en s’appuyant sur les pratiques nationales existantes. Pour que leur participation soit utile à la mise e</w:t>
      </w:r>
      <w:r>
        <w:rPr>
          <w:rFonts w:ascii="Times New Roman" w:hAnsi="Times New Roman"/>
          <w:noProof/>
          <w:sz w:val="24"/>
          <w:lang w:val="fr-BE"/>
        </w:rPr>
        <w:t>n lumière des défis politiques et des mesures correctives, il est important que le dialogue obéisse aux principes d’ouverture, de pluralisme et de transparence. De premiers éléments</w:t>
      </w:r>
      <w:r>
        <w:rPr>
          <w:rStyle w:val="FootnoteReference"/>
          <w:rFonts w:ascii="Times New Roman" w:hAnsi="Times New Roman"/>
          <w:noProof/>
          <w:sz w:val="24"/>
        </w:rPr>
        <w:footnoteReference w:id="82"/>
      </w:r>
      <w:r>
        <w:rPr>
          <w:rFonts w:ascii="Times New Roman" w:hAnsi="Times New Roman"/>
          <w:noProof/>
          <w:sz w:val="24"/>
          <w:lang w:val="fr-BE"/>
        </w:rPr>
        <w:t xml:space="preserve"> donnent à penser que le degré d’engagement des acteurs de la société civi</w:t>
      </w:r>
      <w:r>
        <w:rPr>
          <w:rFonts w:ascii="Times New Roman" w:hAnsi="Times New Roman"/>
          <w:noProof/>
          <w:sz w:val="24"/>
          <w:lang w:val="fr-BE"/>
        </w:rPr>
        <w:t>le varie sensiblement d’un État membre à l’autre, en ce qui concerne tant le Semestre européen que, plus généralement, la consultation sur les réformes prévues. La consultation des parties prenantes peut être difficile dans les pays où la société civile es</w:t>
      </w:r>
      <w:r>
        <w:rPr>
          <w:rFonts w:ascii="Times New Roman" w:hAnsi="Times New Roman"/>
          <w:noProof/>
          <w:sz w:val="24"/>
          <w:lang w:val="fr-BE"/>
        </w:rPr>
        <w:t xml:space="preserve">t moins organisée: en particulier, une capacité insuffisante à participer activement au débat sur les politiques peut poser un problème dans certains États membres. </w:t>
      </w:r>
    </w:p>
    <w:p w:rsidR="00723CC0" w:rsidRDefault="00723CC0">
      <w:pPr>
        <w:pStyle w:val="Heading3"/>
        <w:rPr>
          <w:noProof/>
          <w:lang w:val="fr-BE"/>
        </w:rPr>
      </w:pPr>
      <w:bookmarkStart w:id="84" w:name="_Toc527539790"/>
      <w:bookmarkEnd w:id="84"/>
    </w:p>
    <w:p w:rsidR="00723CC0" w:rsidRDefault="00723CC0">
      <w:pPr>
        <w:pStyle w:val="Heading3"/>
        <w:rPr>
          <w:noProof/>
          <w:lang w:val="fr-BE"/>
        </w:rPr>
      </w:pPr>
    </w:p>
    <w:p w:rsidR="00723CC0" w:rsidRDefault="00242021">
      <w:pPr>
        <w:pStyle w:val="Heading3"/>
        <w:rPr>
          <w:noProof/>
          <w:lang w:val="fr-BE"/>
        </w:rPr>
      </w:pPr>
      <w:bookmarkStart w:id="85" w:name="_Toc530495157"/>
      <w:r>
        <w:rPr>
          <w:noProof/>
          <w:lang w:val="fr-BE"/>
        </w:rPr>
        <w:t xml:space="preserve">3.3.2. </w:t>
      </w:r>
      <w:r>
        <w:rPr>
          <w:noProof/>
          <w:lang w:val="fr-BE"/>
        </w:rPr>
        <w:tab/>
        <w:t>Stratégies adoptées</w:t>
      </w:r>
      <w:bookmarkEnd w:id="85"/>
      <w:r>
        <w:rPr>
          <w:noProof/>
          <w:lang w:val="fr-BE"/>
        </w:rPr>
        <w:t xml:space="preserve">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Certains États membres sont en train de mener des réformes </w:t>
      </w:r>
      <w:r>
        <w:rPr>
          <w:rFonts w:ascii="Times New Roman" w:hAnsi="Times New Roman"/>
          <w:b/>
          <w:noProof/>
          <w:sz w:val="24"/>
          <w:lang w:val="fr-BE"/>
        </w:rPr>
        <w:t>de leur législation sur la protection de l’emploi dans le but de parvenir à un meilleur équilibre entre flexibilité et sécurité et d’éviter la segmentation.</w:t>
      </w:r>
      <w:r>
        <w:rPr>
          <w:rFonts w:ascii="Times New Roman" w:hAnsi="Times New Roman"/>
          <w:noProof/>
          <w:sz w:val="24"/>
          <w:lang w:val="fr-BE"/>
        </w:rPr>
        <w:t xml:space="preserve"> Dans le cadre d’une réforme plus large du droit du travail, la France a introduit, en janvier 2018,</w:t>
      </w:r>
      <w:r>
        <w:rPr>
          <w:rFonts w:ascii="Times New Roman" w:hAnsi="Times New Roman"/>
          <w:noProof/>
          <w:sz w:val="24"/>
          <w:lang w:val="fr-BE"/>
        </w:rPr>
        <w:t xml:space="preserve"> la prise en compte obligatoire de l’ancienneté et de l’âge aux fins de l’indemnisation des salariés en cas de licenciement abusif pour motif économique, en vue d’assurer une plus grande cohérence des montants dans des cas similaires et de faciliter la rés</w:t>
      </w:r>
      <w:r>
        <w:rPr>
          <w:rFonts w:ascii="Times New Roman" w:hAnsi="Times New Roman"/>
          <w:noProof/>
          <w:sz w:val="24"/>
          <w:lang w:val="fr-BE"/>
        </w:rPr>
        <w:t xml:space="preserve">olution des litiges au stade de la conciliation. En guise de compensation, les indemnités octroyées en cas de licenciement économiquement justifié seront augmentées de 25 %. En outre, les entreprises peuvent, à la suite d’un accord majoritaire, recourir à </w:t>
      </w:r>
      <w:r>
        <w:rPr>
          <w:rFonts w:ascii="Times New Roman" w:hAnsi="Times New Roman"/>
          <w:noProof/>
          <w:sz w:val="24"/>
          <w:lang w:val="fr-BE"/>
        </w:rPr>
        <w:t>la «rupture conventionnelle collective» (RCC), c’est-à-dire une procédure de démission convenue d’un commun accord qui prévoit, en contrepartie, l’octroi d’indemnités au salarié (dont le montant ne peut être inférieur à celui de l’indemnité de départ indiv</w:t>
      </w:r>
      <w:r>
        <w:rPr>
          <w:rFonts w:ascii="Times New Roman" w:hAnsi="Times New Roman"/>
          <w:noProof/>
          <w:sz w:val="24"/>
          <w:lang w:val="fr-BE"/>
        </w:rPr>
        <w:t xml:space="preserve">iduelle), après négociation avec les syndicats. Le recours à ce mécanisme doit être validé par les autorités publiques, notamment en vue d’éviter les abus. Le délai pour contester un licenciement en justice (hors cas de harcèlement et de discrimination) a </w:t>
      </w:r>
      <w:r>
        <w:rPr>
          <w:rFonts w:ascii="Times New Roman" w:hAnsi="Times New Roman"/>
          <w:noProof/>
          <w:sz w:val="24"/>
          <w:lang w:val="fr-BE"/>
        </w:rPr>
        <w:t xml:space="preserve">été réduit de 2 à 1 an. En outre, en décembre 2017, les règles de négociation collective ont été revues pour limiter la portée de l’évaluation des difficultés financières justifiant un licenciement collectif; l’évaluation des difficultés économiques d’une </w:t>
      </w:r>
      <w:r>
        <w:rPr>
          <w:rFonts w:ascii="Times New Roman" w:hAnsi="Times New Roman"/>
          <w:noProof/>
          <w:sz w:val="24"/>
          <w:lang w:val="fr-BE"/>
        </w:rPr>
        <w:t>entreprise est désormais circonscrite au territoire national, sans prise en compte de la dimension mondiale, de sorte que les entreprises ont davantage de marge de manœuvre pour justifier des licenciements collectifs. En 2018, la Belgique a raccourci le dé</w:t>
      </w:r>
      <w:r>
        <w:rPr>
          <w:rFonts w:ascii="Times New Roman" w:hAnsi="Times New Roman"/>
          <w:noProof/>
          <w:sz w:val="24"/>
          <w:lang w:val="fr-BE"/>
        </w:rPr>
        <w:t>lai de préavis au début de chaque nouveau contrat de travail (de 2 à 1 semaine au cours des 3 premiers mois et de 4 à 3 semaines le quatrième mois). En Croatie, une modification de la loi sur le travail a réintroduit, en 2017, la possibilité pour l’employe</w:t>
      </w:r>
      <w:r>
        <w:rPr>
          <w:rFonts w:ascii="Times New Roman" w:hAnsi="Times New Roman"/>
          <w:noProof/>
          <w:sz w:val="24"/>
          <w:lang w:val="fr-BE"/>
        </w:rPr>
        <w:t>ur, abolie en 2014, de saisir la justice pour annuler le refus du comité d’entreprise d’autoriser le licenciement de travailleurs protégés (par exemple pour les membres du comité d’entreprise, les travailleurs handicapés ou âgés, etc.). En Italie, les inde</w:t>
      </w:r>
      <w:r>
        <w:rPr>
          <w:rFonts w:ascii="Times New Roman" w:hAnsi="Times New Roman"/>
          <w:noProof/>
          <w:sz w:val="24"/>
          <w:lang w:val="fr-BE"/>
        </w:rPr>
        <w:t>mnités octroyées aux travailleurs en cas de licenciement abusif ont récemment été augmentées.</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Un certain nombre d’États membres envisagent d’autres mesures dans ce domaine, qui pourraient être adoptées dans un avenir proche. </w:t>
      </w:r>
      <w:r>
        <w:rPr>
          <w:rFonts w:ascii="Times New Roman" w:hAnsi="Times New Roman"/>
          <w:noProof/>
          <w:sz w:val="24"/>
          <w:lang w:val="fr-BE"/>
        </w:rPr>
        <w:t>Aux Pays-Bas, un (projet de) va</w:t>
      </w:r>
      <w:r>
        <w:rPr>
          <w:rFonts w:ascii="Times New Roman" w:hAnsi="Times New Roman"/>
          <w:noProof/>
          <w:sz w:val="24"/>
          <w:lang w:val="fr-BE"/>
        </w:rPr>
        <w:t>ste train de mesures a été soumis à la consultation publique en avril 2018 dans le but d’assurer un plus juste équilibre dans la législation sur la protection de l’emploi. Cet ensemble de mesures prévoit l’introduction d’un motif supplémentaire (dit d’«acc</w:t>
      </w:r>
      <w:r>
        <w:rPr>
          <w:rFonts w:ascii="Times New Roman" w:hAnsi="Times New Roman"/>
          <w:noProof/>
          <w:sz w:val="24"/>
          <w:lang w:val="fr-BE"/>
        </w:rPr>
        <w:t>umulation») pour le licenciement de salariés sous contrat à durée indéterminée, la possibilité de prolonger la période d’essai pour les contrats à durée indéterminée (de 2 à 5 mois), l’allongement à 3 ans (au lieu de 2 ans auparavant) de la période pendant</w:t>
      </w:r>
      <w:r>
        <w:rPr>
          <w:rFonts w:ascii="Times New Roman" w:hAnsi="Times New Roman"/>
          <w:noProof/>
          <w:sz w:val="24"/>
          <w:lang w:val="fr-BE"/>
        </w:rPr>
        <w:t xml:space="preserve"> laquelle plusieurs contrats temporaires peuvent se succéder et la possibilité de différencier les cotisations de chômage selon le type de contrat. En Finlande, le gouvernement prépare une modification de la loi sur les contrats de travail visant à simplif</w:t>
      </w:r>
      <w:r>
        <w:rPr>
          <w:rFonts w:ascii="Times New Roman" w:hAnsi="Times New Roman"/>
          <w:noProof/>
          <w:sz w:val="24"/>
          <w:lang w:val="fr-BE"/>
        </w:rPr>
        <w:t>ier les critères de licenciement individuel dans les entreprises employant au maximum 10 personnes. L’objectif est d’abaisser le seuil pour l’embauche de nouveaux salariés. Cette mesure serait associée à des conditions plus faciles pour le recrutement de j</w:t>
      </w:r>
      <w:r>
        <w:rPr>
          <w:rFonts w:ascii="Times New Roman" w:hAnsi="Times New Roman"/>
          <w:noProof/>
          <w:sz w:val="24"/>
          <w:lang w:val="fr-BE"/>
        </w:rPr>
        <w:t>eunes chômeurs (de moins de 30 ans) sous contrat à durée déterminée. Le projet de proposition a été transmis pour observations au cours de l’été 2018. Sur la base des observations reçues, le gouvernement a revu à la baisse la taille des entreprises concern</w:t>
      </w:r>
      <w:r>
        <w:rPr>
          <w:rFonts w:ascii="Times New Roman" w:hAnsi="Times New Roman"/>
          <w:noProof/>
          <w:sz w:val="24"/>
          <w:lang w:val="fr-BE"/>
        </w:rPr>
        <w:t>ées, de 20 à 10 salariés. La modification envisagée a, pour l’heure, suscité des réactions mitigées compte tenu de l’ampleur des deux mesures, considérées par certains comme insuffisamment ciblées.</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En ce qui concerne les contrats temporaires, certains État</w:t>
      </w:r>
      <w:r>
        <w:rPr>
          <w:rFonts w:ascii="Times New Roman" w:hAnsi="Times New Roman"/>
          <w:b/>
          <w:noProof/>
          <w:sz w:val="24"/>
          <w:lang w:val="fr-BE"/>
        </w:rPr>
        <w:t>s membres prennent des mesures visant à encadrer leur utilisation de conditions plus strictes (pour éviter les abus) ou à laisser davantage de liberté à la négociation collective sur le cadre de mise en œuvre.</w:t>
      </w:r>
      <w:r>
        <w:rPr>
          <w:rFonts w:ascii="Times New Roman" w:hAnsi="Times New Roman"/>
          <w:noProof/>
          <w:sz w:val="24"/>
          <w:lang w:val="fr-BE"/>
        </w:rPr>
        <w:t xml:space="preserve"> En République tchèque, plusieurs mesures desti</w:t>
      </w:r>
      <w:r>
        <w:rPr>
          <w:rFonts w:ascii="Times New Roman" w:hAnsi="Times New Roman"/>
          <w:noProof/>
          <w:sz w:val="24"/>
          <w:lang w:val="fr-BE"/>
        </w:rPr>
        <w:t>nées à prévenir les abus des agences de travail intérimaire ont pris effet en juillet 2017; il s’agit notamment de sanctions plus sévères pour le représentant responsable d’une agence de travail intérimaire qui a perdu sa licence en raison de manquements a</w:t>
      </w:r>
      <w:r>
        <w:rPr>
          <w:rFonts w:ascii="Times New Roman" w:hAnsi="Times New Roman"/>
          <w:noProof/>
          <w:sz w:val="24"/>
          <w:lang w:val="fr-BE"/>
        </w:rPr>
        <w:t>ux obligations. En Slovénie, des modifications apportées à la loi sur l’inspection du travail visent à prévenir le recours illégal aux formes de travail atypiques, y compris l’emploi sous contrat civil, et à sanctionner les employeurs qui ne versent pas le</w:t>
      </w:r>
      <w:r>
        <w:rPr>
          <w:rFonts w:ascii="Times New Roman" w:hAnsi="Times New Roman"/>
          <w:noProof/>
          <w:sz w:val="24"/>
          <w:lang w:val="fr-BE"/>
        </w:rPr>
        <w:t>s salaires en temps utile. En particulier, lorsqu’un inspecteur constate que des activités sont réalisées abusivement sur la base d’un contrat civil, l’employeur est tenu de proposer au travailleur un contrat de travail adéquat dans un délai de trois jours</w:t>
      </w:r>
      <w:r>
        <w:rPr>
          <w:rFonts w:ascii="Times New Roman" w:hAnsi="Times New Roman"/>
          <w:noProof/>
          <w:sz w:val="24"/>
          <w:lang w:val="fr-BE"/>
        </w:rPr>
        <w:t>. La France a permis que la négociation au niveau sectoriel l’emporte sur le droit du travail national pour la mise en place du cadre d’utilisation des contrats à durée déterminée et temporaires (voir section 3.1). Les accords d’entreprise peuvent être moi</w:t>
      </w:r>
      <w:r>
        <w:rPr>
          <w:rFonts w:ascii="Times New Roman" w:hAnsi="Times New Roman"/>
          <w:noProof/>
          <w:sz w:val="24"/>
          <w:lang w:val="fr-BE"/>
        </w:rPr>
        <w:t>ns favorables que ceux conclus à l’échelle de la branche, car ils ne permettent pas, comme ces derniers, de définir des «clauses de verrouillage». Au Portugal, un vaste train de mesures de lutte contre la segmentation du marché du travail a été convenu ave</w:t>
      </w:r>
      <w:r>
        <w:rPr>
          <w:rFonts w:ascii="Times New Roman" w:hAnsi="Times New Roman"/>
          <w:noProof/>
          <w:sz w:val="24"/>
          <w:lang w:val="fr-BE"/>
        </w:rPr>
        <w:t>c les partenaires sociaux en juin 2018 (et devrait être adopté pour la fin de 2018). Les changements sont notamment les suivants: réduction de trois à deux ans (renouvellements compris) de la période maximale couverte par des contrats à durée déterminée, l</w:t>
      </w:r>
      <w:r>
        <w:rPr>
          <w:rFonts w:ascii="Times New Roman" w:hAnsi="Times New Roman"/>
          <w:noProof/>
          <w:sz w:val="24"/>
          <w:lang w:val="fr-BE"/>
        </w:rPr>
        <w:t>a durée totale des renouvellements ne pouvant excéder celle de la période initiale, réduction de six à quatre ans de la durée maximale des contrats à durée indéterminée («contratos de trabalho a termo incerto») et limitation des motifs pouvant être invoqué</w:t>
      </w:r>
      <w:r>
        <w:rPr>
          <w:rFonts w:ascii="Times New Roman" w:hAnsi="Times New Roman"/>
          <w:noProof/>
          <w:sz w:val="24"/>
          <w:lang w:val="fr-BE"/>
        </w:rPr>
        <w:t>s pour justifier le recours aux contrats temporaires pour les jeunes travailleurs et les chômeurs de longue durée. Dans le même temps, la période d’essai passera à 180 jours pour le premier contrat conclu ainsi qu’en cas de recrutement de chômeurs de longu</w:t>
      </w:r>
      <w:r>
        <w:rPr>
          <w:rFonts w:ascii="Times New Roman" w:hAnsi="Times New Roman"/>
          <w:noProof/>
          <w:sz w:val="24"/>
          <w:lang w:val="fr-BE"/>
        </w:rPr>
        <w:t>e durée. L’accord tripartite préconise également de taxer les mouvements de main-d’œuvre excessifs, la définition de ce qui est excessif (par secteur) devant être arrêtée par décret, avec le concours des partenaires sociaux. Enfin, la Grèce prévoit d’accro</w:t>
      </w:r>
      <w:r>
        <w:rPr>
          <w:rFonts w:ascii="Times New Roman" w:hAnsi="Times New Roman"/>
          <w:noProof/>
          <w:sz w:val="24"/>
          <w:lang w:val="fr-BE"/>
        </w:rPr>
        <w:t>ître la protection des travailleurs dans le cadre de l’externalisation. Pour la première fois, un système intégré de règles sera mis en place pour établir la responsabilité mutuelle et solidaire de l’entité adjudicatrice, du contractant et du sous-traitant</w:t>
      </w:r>
      <w:r>
        <w:rPr>
          <w:rFonts w:ascii="Times New Roman" w:hAnsi="Times New Roman"/>
          <w:noProof/>
          <w:sz w:val="24"/>
          <w:lang w:val="fr-BE"/>
        </w:rPr>
        <w:t xml:space="preserve"> pour les travailleurs exécutant des tâches externalisées. La protection des droits des travailleurs est ainsi élargie en ce qui concerne les salaires, les cotisations sociales, les indemnités de licenciement et l’indemnisation en cas d’accident du travail</w:t>
      </w:r>
      <w:r>
        <w:rPr>
          <w:rFonts w:ascii="Times New Roman" w:hAnsi="Times New Roman"/>
          <w:noProof/>
          <w:sz w:val="24"/>
          <w:lang w:val="fr-BE"/>
        </w:rPr>
        <w:t>. En Italie, la durée maximale des contrats temporaires a été réduite de 36 à 24 mois. Le nombre maximum de prolongations est passé de 5 à 4 et, après le douzième mois, une prolongation n’est autorisée que si de nouveaux motifs la justifiant sont donnés of</w:t>
      </w:r>
      <w:r>
        <w:rPr>
          <w:rFonts w:ascii="Times New Roman" w:hAnsi="Times New Roman"/>
          <w:noProof/>
          <w:sz w:val="24"/>
          <w:lang w:val="fr-BE"/>
        </w:rPr>
        <w:t>ficiellement. Le législateur a également augmenté de 0,5 point de pourcentage la cotisation sociale supplémentaire versée par les employeurs pour le renouvellement des contrats temporaires. Enfin, le quota de salariés sous contrat temporaire est passé de 2</w:t>
      </w:r>
      <w:r>
        <w:rPr>
          <w:rFonts w:ascii="Times New Roman" w:hAnsi="Times New Roman"/>
          <w:noProof/>
          <w:sz w:val="24"/>
          <w:lang w:val="fr-BE"/>
        </w:rPr>
        <w:t>0 % à 30 % de l’emploi salarié total, mais inclut désormais également les travailleurs intérimaires.</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Des innovations voient le jour en ce qui concerne les nouvelles formes de travail, y compris à l’égard des travailleurs de plateforme et des travailleurs i</w:t>
      </w:r>
      <w:r>
        <w:rPr>
          <w:rFonts w:ascii="Times New Roman" w:hAnsi="Times New Roman"/>
          <w:b/>
          <w:noProof/>
          <w:sz w:val="24"/>
          <w:lang w:val="fr-BE"/>
        </w:rPr>
        <w:t xml:space="preserve">ndépendants. </w:t>
      </w:r>
      <w:r>
        <w:rPr>
          <w:rFonts w:ascii="Times New Roman" w:hAnsi="Times New Roman"/>
          <w:noProof/>
          <w:sz w:val="24"/>
          <w:lang w:val="fr-BE"/>
        </w:rPr>
        <w:t>La France a instauré la possibilité, pour les plateformes en ligne, d’adopter volontairement une charte sociale à l’égard des travailleurs indépendants. Cette charte devrait prendre la forme d’un ensemble de principes qui s’appliquent aux trav</w:t>
      </w:r>
      <w:r>
        <w:rPr>
          <w:rFonts w:ascii="Times New Roman" w:hAnsi="Times New Roman"/>
          <w:noProof/>
          <w:sz w:val="24"/>
          <w:lang w:val="fr-BE"/>
        </w:rPr>
        <w:t>ailleurs indépendants inscrits sur une plateforme en ligne, y compris une participation des plateformes à l’assurance contre les accidents du travail et la prise en charge obligatoire par celles</w:t>
      </w:r>
      <w:r>
        <w:rPr>
          <w:noProof/>
          <w:lang w:val="fr-BE"/>
        </w:rPr>
        <w:noBreakHyphen/>
      </w:r>
      <w:r>
        <w:rPr>
          <w:rFonts w:ascii="Times New Roman" w:hAnsi="Times New Roman"/>
          <w:noProof/>
          <w:sz w:val="24"/>
          <w:lang w:val="fr-BE"/>
        </w:rPr>
        <w:t>ci de formations à l’intention des travailleurs indépendants.</w:t>
      </w:r>
      <w:r>
        <w:rPr>
          <w:rFonts w:ascii="Times New Roman" w:hAnsi="Times New Roman"/>
          <w:noProof/>
          <w:sz w:val="24"/>
          <w:lang w:val="fr-BE"/>
        </w:rPr>
        <w:t xml:space="preserve"> En Belgique, l’utilisation de «flexi-jobs» (qui existaient déjà dans le secteur de l’hôtellerie et de la restauration) a été étendue à d’autres secteurs, notamment dans le commerce de détail; les retraités ainsi que tout travailleur ayant un contrat couvr</w:t>
      </w:r>
      <w:r>
        <w:rPr>
          <w:rFonts w:ascii="Times New Roman" w:hAnsi="Times New Roman"/>
          <w:noProof/>
          <w:sz w:val="24"/>
          <w:lang w:val="fr-BE"/>
        </w:rPr>
        <w:t>ant au moins quatre cinquièmes d’un temps plein peuvent prétendre à un flexi-job. Les revenus perçus au titre d’un flexi-job sont exonérés d’impôts et de cotisations sociales en ce qui concerne le salarié, tandis que l’employeur verse des cotisations socia</w:t>
      </w:r>
      <w:r>
        <w:rPr>
          <w:rFonts w:ascii="Times New Roman" w:hAnsi="Times New Roman"/>
          <w:noProof/>
          <w:sz w:val="24"/>
          <w:lang w:val="fr-BE"/>
        </w:rPr>
        <w:t>les réduites. En Espagne, la réforme de 2017 de la loi sur les travailleurs autonomes vise à améliorer la qualité de l’emploi pour les travailleurs non salariés, y compris en matière de protection sociale et de sécurité au travail. Les nouvelles mesures pr</w:t>
      </w:r>
      <w:r>
        <w:rPr>
          <w:rFonts w:ascii="Times New Roman" w:hAnsi="Times New Roman"/>
          <w:noProof/>
          <w:sz w:val="24"/>
          <w:lang w:val="fr-BE"/>
        </w:rPr>
        <w:t>olongent de 6 à 12 mois le montant forfaitaire de 50 EUR de cotisations sociales et introduisent une plus grande souplesse dans la détermination des montants. La réforme rend également les paiements de pension compatibles avec le travail indépendant, favor</w:t>
      </w:r>
      <w:r>
        <w:rPr>
          <w:rFonts w:ascii="Times New Roman" w:hAnsi="Times New Roman"/>
          <w:noProof/>
          <w:sz w:val="24"/>
          <w:lang w:val="fr-BE"/>
        </w:rPr>
        <w:t>ise l’équilibre entre le travail et la vie personnelle et améliore l’accès à la formation. En Irlande, le projet de loi sur l’emploi de 2017 s’attaque à certains aspects de la législation actuelle du travail en ce qui concerne les travailleurs faiblement r</w:t>
      </w:r>
      <w:r>
        <w:rPr>
          <w:rFonts w:ascii="Times New Roman" w:hAnsi="Times New Roman"/>
          <w:noProof/>
          <w:sz w:val="24"/>
          <w:lang w:val="fr-BE"/>
        </w:rPr>
        <w:t>émunérés et plus vulnérables. L’objectif du projet de loi est de faire en sorte que les salariés soient mieux informés sur la nature de leur formule de travail (et aux principales modalités de celle</w:t>
      </w:r>
      <w:r>
        <w:rPr>
          <w:noProof/>
          <w:lang w:val="fr-BE"/>
        </w:rPr>
        <w:noBreakHyphen/>
      </w:r>
      <w:r>
        <w:rPr>
          <w:rFonts w:ascii="Times New Roman" w:hAnsi="Times New Roman"/>
          <w:noProof/>
          <w:sz w:val="24"/>
          <w:lang w:val="fr-BE"/>
        </w:rPr>
        <w:t>ci) à un stade précoce, l’idée étant d’instituer en nouve</w:t>
      </w:r>
      <w:r>
        <w:rPr>
          <w:rFonts w:ascii="Times New Roman" w:hAnsi="Times New Roman"/>
          <w:noProof/>
          <w:sz w:val="24"/>
          <w:lang w:val="fr-BE"/>
        </w:rPr>
        <w:t>lle infraction l’absence de communication, par l’employeur, des conditions essentielles d’emploi dans un délai déterminé. En outre, les contrats «zéro heure» sont interdits dans la plupart des cas, une disposition vise à introduire un système de paliers po</w:t>
      </w:r>
      <w:r>
        <w:rPr>
          <w:rFonts w:ascii="Times New Roman" w:hAnsi="Times New Roman"/>
          <w:noProof/>
          <w:sz w:val="24"/>
          <w:lang w:val="fr-BE"/>
        </w:rPr>
        <w:t>ur que les salariés sous contrat à faible nombre d’heures qui travaillent systématiquement plus longtemps que ce qui est prévu contractuellement aient le droit d’être placés dans une tranche d’heures plus conforme à la réalité et, enfin, un paiement minimu</w:t>
      </w:r>
      <w:r>
        <w:rPr>
          <w:rFonts w:ascii="Times New Roman" w:hAnsi="Times New Roman"/>
          <w:noProof/>
          <w:sz w:val="24"/>
          <w:lang w:val="fr-BE"/>
        </w:rPr>
        <w:t xml:space="preserve">m majoré est introduit pour les salariés mobilisés pour travailler pendant une certaine période mais qui n’ont pas effectivement fourni de travail. Au Portugal, l’introduction prévue du «Contrato Geracao» comprend deux volets: d’une part, la mise en place </w:t>
      </w:r>
      <w:r>
        <w:rPr>
          <w:rFonts w:ascii="Times New Roman" w:hAnsi="Times New Roman"/>
          <w:noProof/>
          <w:sz w:val="24"/>
          <w:lang w:val="fr-BE"/>
        </w:rPr>
        <w:t>d’un soutien financier pour les entreprises qui embauchent simultanément un jeune chômeur (ou un jeune à la recherche d’un premier emploi) et un chômeur de longue durée plus âgé et, d’autre part, le soutien à l’emploi des jeunes associé à la mise à la retr</w:t>
      </w:r>
      <w:r>
        <w:rPr>
          <w:rFonts w:ascii="Times New Roman" w:hAnsi="Times New Roman"/>
          <w:noProof/>
          <w:sz w:val="24"/>
          <w:lang w:val="fr-BE"/>
        </w:rPr>
        <w:t>aite partielle d’un travailleur plus âgé.</w:t>
      </w:r>
    </w:p>
    <w:p w:rsidR="00723CC0" w:rsidRDefault="00242021">
      <w:pPr>
        <w:spacing w:line="360" w:lineRule="auto"/>
        <w:jc w:val="both"/>
        <w:rPr>
          <w:rFonts w:ascii="Times New Roman" w:hAnsi="Times New Roman" w:cs="Times New Roman"/>
          <w:noProof/>
          <w:sz w:val="24"/>
          <w:szCs w:val="24"/>
          <w:highlight w:val="green"/>
          <w:lang w:val="fr-BE"/>
        </w:rPr>
      </w:pPr>
      <w:r>
        <w:rPr>
          <w:rFonts w:ascii="Times New Roman" w:hAnsi="Times New Roman"/>
          <w:b/>
          <w:noProof/>
          <w:sz w:val="24"/>
          <w:lang w:val="fr-BE"/>
        </w:rPr>
        <w:t>Certains États membres ont pris des mesures dans le domaine de l’aménagement du temps de travail, mais pas toujours dans un souci d’adaptabilité accrue.</w:t>
      </w:r>
      <w:r>
        <w:rPr>
          <w:rFonts w:ascii="Times New Roman" w:hAnsi="Times New Roman"/>
          <w:noProof/>
          <w:sz w:val="24"/>
          <w:lang w:val="fr-BE"/>
        </w:rPr>
        <w:t xml:space="preserve"> En Belgique, un certain nombre d’obligations concernant le tr</w:t>
      </w:r>
      <w:r>
        <w:rPr>
          <w:rFonts w:ascii="Times New Roman" w:hAnsi="Times New Roman"/>
          <w:noProof/>
          <w:sz w:val="24"/>
          <w:lang w:val="fr-BE"/>
        </w:rPr>
        <w:t>avail à temps partiel ont été modernisées et simplifiées en 2017, notamment grâce à la réduction des formalités en ce qui concerne la détermination des horaires de travail fixes ou variables, la notification et la surveillance des entorses aux règles. En o</w:t>
      </w:r>
      <w:r>
        <w:rPr>
          <w:rFonts w:ascii="Times New Roman" w:hAnsi="Times New Roman"/>
          <w:noProof/>
          <w:sz w:val="24"/>
          <w:lang w:val="fr-BE"/>
        </w:rPr>
        <w:t>utre, le cadre juridique de «l’épargne-carrière» a pris effet en février 2018. Sous réserve de l’existence d’un accord sectoriel ou d’entreprise en la matière, ce régime permet aux salariés d’économiser certaines périodes de temps assimilables à des congés</w:t>
      </w:r>
      <w:r>
        <w:rPr>
          <w:rFonts w:ascii="Times New Roman" w:hAnsi="Times New Roman"/>
          <w:noProof/>
          <w:sz w:val="24"/>
          <w:lang w:val="fr-BE"/>
        </w:rPr>
        <w:t xml:space="preserve"> pour les cumuler et les utiliser à un stade ultérieur. Enfin, la procédure d’introduction du travail de nuit et du travail du dimanche dans le contexte du commerce électronique a été simplifiée. En France, les «accords de compétitivité» couvrent désormais</w:t>
      </w:r>
      <w:r>
        <w:rPr>
          <w:rFonts w:ascii="Times New Roman" w:hAnsi="Times New Roman"/>
          <w:noProof/>
          <w:sz w:val="24"/>
          <w:lang w:val="fr-BE"/>
        </w:rPr>
        <w:t xml:space="preserve"> un plus large éventail de matières (voir section 3.1). Dans le cadre de l’accord tripartite avec les partenaires sociaux sur la réforme du droit du travail, le Portugal prévoit d’éliminer les «banques d’heures» individuelles ainsi que les équivalents au n</w:t>
      </w:r>
      <w:r>
        <w:rPr>
          <w:rFonts w:ascii="Times New Roman" w:hAnsi="Times New Roman"/>
          <w:noProof/>
          <w:sz w:val="24"/>
          <w:lang w:val="fr-BE"/>
        </w:rPr>
        <w:t>iveau collectif reposant sur des accords individuels. Les accords déjà en vigueur expireront un an au plus tard après la mise en application des nouvelles règles. Les nouvelles conventions seront conclues dans le cadre de négociations collectives ou d’acco</w:t>
      </w:r>
      <w:r>
        <w:rPr>
          <w:rFonts w:ascii="Times New Roman" w:hAnsi="Times New Roman"/>
          <w:noProof/>
          <w:sz w:val="24"/>
          <w:lang w:val="fr-BE"/>
        </w:rPr>
        <w:t xml:space="preserve">rds de groupe, qui seront définis après consultation des travailleurs. La mesure spécifie les limites journalières d’heures de travail, les taux d’approbation par les travailleurs et l’application du principe du traitement le plus favorable.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Plusieurs Éta</w:t>
      </w:r>
      <w:r>
        <w:rPr>
          <w:rFonts w:ascii="Times New Roman" w:hAnsi="Times New Roman"/>
          <w:b/>
          <w:noProof/>
          <w:sz w:val="24"/>
          <w:lang w:val="fr-BE"/>
        </w:rPr>
        <w:t xml:space="preserve">ts membres ont adopté des mesures visant à empêcher le recours au travail non déclaré, à améliorer la sécurité au travail et/ou à renforcer les inspections du travail. </w:t>
      </w:r>
      <w:r>
        <w:rPr>
          <w:rFonts w:ascii="Times New Roman" w:hAnsi="Times New Roman"/>
          <w:noProof/>
          <w:sz w:val="24"/>
          <w:lang w:val="fr-BE"/>
        </w:rPr>
        <w:t>En Bulgarie, depuis la fin de l’année 2017, une modification de la loi sur les marchés p</w:t>
      </w:r>
      <w:r>
        <w:rPr>
          <w:rFonts w:ascii="Times New Roman" w:hAnsi="Times New Roman"/>
          <w:noProof/>
          <w:sz w:val="24"/>
          <w:lang w:val="fr-BE"/>
        </w:rPr>
        <w:t>ublics régit l’élimination d’un participant à une procédure de passation de marché public si, au cours des trois années précédentes, celui</w:t>
      </w:r>
      <w:r>
        <w:rPr>
          <w:noProof/>
          <w:lang w:val="fr-BE"/>
        </w:rPr>
        <w:noBreakHyphen/>
      </w:r>
      <w:r>
        <w:rPr>
          <w:rFonts w:ascii="Times New Roman" w:hAnsi="Times New Roman"/>
          <w:noProof/>
          <w:sz w:val="24"/>
          <w:lang w:val="fr-BE"/>
        </w:rPr>
        <w:t>ci a été sanctionné pour avoir employé de la main</w:t>
      </w:r>
      <w:r>
        <w:rPr>
          <w:noProof/>
          <w:lang w:val="fr-BE"/>
        </w:rPr>
        <w:noBreakHyphen/>
      </w:r>
      <w:r>
        <w:rPr>
          <w:rFonts w:ascii="Times New Roman" w:hAnsi="Times New Roman"/>
          <w:noProof/>
          <w:sz w:val="24"/>
          <w:lang w:val="fr-BE"/>
        </w:rPr>
        <w:t>d’œuvre non déclarée. Cette exigence s’applique également aux sous-</w:t>
      </w:r>
      <w:r>
        <w:rPr>
          <w:rFonts w:ascii="Times New Roman" w:hAnsi="Times New Roman"/>
          <w:noProof/>
          <w:sz w:val="24"/>
          <w:lang w:val="fr-BE"/>
        </w:rPr>
        <w:t>traitants, essentiellement des petites et micro</w:t>
      </w:r>
      <w:r>
        <w:rPr>
          <w:noProof/>
          <w:lang w:val="fr-BE"/>
        </w:rPr>
        <w:noBreakHyphen/>
      </w:r>
      <w:r>
        <w:rPr>
          <w:rFonts w:ascii="Times New Roman" w:hAnsi="Times New Roman"/>
          <w:noProof/>
          <w:sz w:val="24"/>
          <w:lang w:val="fr-BE"/>
        </w:rPr>
        <w:t>entreprises (souvent dans le secteur de la construction). De plus, des campagnes d’information sont menées pour sensibiliser les groupes à risque aux inconvénients liés au paiement du salaire «de la main à la</w:t>
      </w:r>
      <w:r>
        <w:rPr>
          <w:rFonts w:ascii="Times New Roman" w:hAnsi="Times New Roman"/>
          <w:noProof/>
          <w:sz w:val="24"/>
          <w:lang w:val="fr-BE"/>
        </w:rPr>
        <w:t xml:space="preserve"> main», notamment en raison du déficit de cotisation à la sécurité sociale. La Grèce a achevé, en 2018, l’échange automatique d’informations entre les bases de données de divers ministères et institutions liées au marché du travail, ainsi que des services </w:t>
      </w:r>
      <w:r>
        <w:rPr>
          <w:rFonts w:ascii="Times New Roman" w:hAnsi="Times New Roman"/>
          <w:noProof/>
          <w:sz w:val="24"/>
          <w:lang w:val="fr-BE"/>
        </w:rPr>
        <w:t xml:space="preserve">de police. En outre, le pays a revu son système d’amendes infligées aux employeurs qui ne déclarent pas les travailleurs dépendants, en prévoyant une réduction substantielle si l’employeur recrute le travailleur non déclaré sous contrat à plein temps dans </w:t>
      </w:r>
      <w:r>
        <w:rPr>
          <w:rFonts w:ascii="Times New Roman" w:hAnsi="Times New Roman"/>
          <w:noProof/>
          <w:sz w:val="24"/>
          <w:lang w:val="fr-BE"/>
        </w:rPr>
        <w:t>les 10 jours suivant l’inspection (la mesure vise à encourager la conversion du travail non déclaré en emploi formel). En Espagne, le plan stratégique 2018-2020, adopté en accord avec les communautés autonomes et en concertation avec les partenaires sociau</w:t>
      </w:r>
      <w:r>
        <w:rPr>
          <w:rFonts w:ascii="Times New Roman" w:hAnsi="Times New Roman"/>
          <w:noProof/>
          <w:sz w:val="24"/>
          <w:lang w:val="fr-BE"/>
        </w:rPr>
        <w:t>x, vise à renforcer la capacité des inspections du travail et à structurer leurs actions de manière concrète et mesurable. Il accorde également une attention particulière aux défis liés aux nouvelles formes d’emploi, aux conditions de travail et à la non-d</w:t>
      </w:r>
      <w:r>
        <w:rPr>
          <w:rFonts w:ascii="Times New Roman" w:hAnsi="Times New Roman"/>
          <w:noProof/>
          <w:sz w:val="24"/>
          <w:lang w:val="fr-BE"/>
        </w:rPr>
        <w:t>iscrimination sur le lieu de travail. En Estonie, la loi relative à la santé et à la sécurité sur le lieu de travail a été modifiée en mai 2018 en vue d’améliorer la protection contre les dangers pour la santé sur le lieu de travail et de faire en sorte qu</w:t>
      </w:r>
      <w:r>
        <w:rPr>
          <w:rFonts w:ascii="Times New Roman" w:hAnsi="Times New Roman"/>
          <w:noProof/>
          <w:sz w:val="24"/>
          <w:lang w:val="fr-BE"/>
        </w:rPr>
        <w:t>e les consignes de sécurité et l’offre de formation aux premiers secours soient adaptées aux particularités de l’entreprise. Comme indiqué plus haut, la Slovénie prend actuellement des mesures pour prévenir le recours illégal aux formes atypiques de travai</w:t>
      </w:r>
      <w:r>
        <w:rPr>
          <w:rFonts w:ascii="Times New Roman" w:hAnsi="Times New Roman"/>
          <w:noProof/>
          <w:sz w:val="24"/>
          <w:lang w:val="fr-BE"/>
        </w:rPr>
        <w:t>l. En outre, l’inspection du travail dispose désormais de pouvoirs supplémentaires pour enquêter sur les cas de non-paiement de salaires (une des violations les plus fréquentes depuis 2009). À Chypre, le réexamen du système d’inspection du travail sera enc</w:t>
      </w:r>
      <w:r>
        <w:rPr>
          <w:rFonts w:ascii="Times New Roman" w:hAnsi="Times New Roman"/>
          <w:noProof/>
          <w:sz w:val="24"/>
          <w:lang w:val="fr-BE"/>
        </w:rPr>
        <w:t>ouragé pour rendre les inspections plus efficaces et plus efficientes dans la lutte contre le travail non déclaré. Il s’agit notamment d’augmenter le montant des amendes et de mettre en place une déclaration électronique de début d’emploi. En outre, un nou</w:t>
      </w:r>
      <w:r>
        <w:rPr>
          <w:rFonts w:ascii="Times New Roman" w:hAnsi="Times New Roman"/>
          <w:noProof/>
          <w:sz w:val="24"/>
          <w:lang w:val="fr-BE"/>
        </w:rPr>
        <w:t>veau projet de loi prévoyant la création d’une inspection du travail centralisée a été soumis en vue de son approbation au cours des prochains mois. Le Portugal est en train de recruter des inspecteurs du travail et organise de nouveaux concours. En outre,</w:t>
      </w:r>
      <w:r>
        <w:rPr>
          <w:rFonts w:ascii="Times New Roman" w:hAnsi="Times New Roman"/>
          <w:noProof/>
          <w:sz w:val="24"/>
          <w:lang w:val="fr-BE"/>
        </w:rPr>
        <w:t xml:space="preserve"> afin de décourager le travail non déclaré ou sous</w:t>
      </w:r>
      <w:r>
        <w:rPr>
          <w:noProof/>
          <w:lang w:val="fr-BE"/>
        </w:rPr>
        <w:noBreakHyphen/>
      </w:r>
      <w:r>
        <w:rPr>
          <w:rFonts w:ascii="Times New Roman" w:hAnsi="Times New Roman"/>
          <w:noProof/>
          <w:sz w:val="24"/>
          <w:lang w:val="fr-BE"/>
        </w:rPr>
        <w:t>déclaré, le Portugal envisage de prolonger de 15 à 35 jours la durée maximale des contrats à très court terme (moyennant une limite annuelle de 70 jours auprès du même employeur). La transparence en matièr</w:t>
      </w:r>
      <w:r>
        <w:rPr>
          <w:rFonts w:ascii="Times New Roman" w:hAnsi="Times New Roman"/>
          <w:noProof/>
          <w:sz w:val="24"/>
          <w:lang w:val="fr-BE"/>
        </w:rPr>
        <w:t xml:space="preserve">e de recours au travail intérimaire sera renforcée; il sera notamment obligatoire d’informer le travailleur du motif de la résiliation du contrat entre l’entreprise utilisatrice et l’agence de travail intérimaire. </w:t>
      </w:r>
    </w:p>
    <w:p w:rsidR="00723CC0" w:rsidRDefault="00242021">
      <w:pPr>
        <w:spacing w:line="360" w:lineRule="auto"/>
        <w:jc w:val="both"/>
        <w:rPr>
          <w:rFonts w:ascii="Times New Roman" w:hAnsi="Times New Roman"/>
          <w:noProof/>
          <w:sz w:val="24"/>
          <w:szCs w:val="24"/>
          <w:lang w:val="fr-BE"/>
        </w:rPr>
      </w:pPr>
      <w:r>
        <w:rPr>
          <w:rFonts w:ascii="Times New Roman" w:hAnsi="Times New Roman"/>
          <w:b/>
          <w:noProof/>
          <w:sz w:val="24"/>
          <w:lang w:val="fr-BE"/>
        </w:rPr>
        <w:t xml:space="preserve">Relativement peu de mesures ont été prises par les États membres pour renforcer leurs systèmes de politiques actives du marché du travail malgré les difficultés qui subsistent. </w:t>
      </w:r>
      <w:r>
        <w:rPr>
          <w:rFonts w:ascii="Times New Roman" w:hAnsi="Times New Roman"/>
          <w:noProof/>
          <w:sz w:val="24"/>
          <w:lang w:val="fr-BE"/>
        </w:rPr>
        <w:t>La Grèce met en place un nouveau système d’exécution de politiques actives du m</w:t>
      </w:r>
      <w:r>
        <w:rPr>
          <w:rFonts w:ascii="Times New Roman" w:hAnsi="Times New Roman"/>
          <w:noProof/>
          <w:sz w:val="24"/>
          <w:lang w:val="fr-BE"/>
        </w:rPr>
        <w:t>arché du travail visant à rendre les politiques d’activation plus efficaces en améliorant les activités d’analyse de profils et de mise en adéquation de l’offre et de la demande. Un meilleur ciblage des politiques actives du marché du travail reste essenti</w:t>
      </w:r>
      <w:r>
        <w:rPr>
          <w:rFonts w:ascii="Times New Roman" w:hAnsi="Times New Roman"/>
          <w:noProof/>
          <w:sz w:val="24"/>
          <w:lang w:val="fr-BE"/>
        </w:rPr>
        <w:t>el pour obtenir de meilleurs résultats dans le cadre de ces réformes; pour l’heure, un projet pilote concernant plus de 2 000 chômeurs a démarré dans une agence locale pour l’emploi. Chypre a lancé la phase pilote d’un nouveau système de suivi et d’évaluat</w:t>
      </w:r>
      <w:r>
        <w:rPr>
          <w:rFonts w:ascii="Times New Roman" w:hAnsi="Times New Roman"/>
          <w:noProof/>
          <w:sz w:val="24"/>
          <w:lang w:val="fr-BE"/>
        </w:rPr>
        <w:t>ion des politiques actives du marché du travail permettant d’améliorer l’efficacité des mesures liées au marché du travail. Les décideurs politiques seront ainsi mieux à même d’élaborer et de remanier les programmes en cours en la matière. En Espagne, un l</w:t>
      </w:r>
      <w:r>
        <w:rPr>
          <w:rFonts w:ascii="Times New Roman" w:hAnsi="Times New Roman"/>
          <w:noProof/>
          <w:sz w:val="24"/>
          <w:lang w:val="fr-BE"/>
        </w:rPr>
        <w:t>arge cadre stratégique pour la coordination du système national pour l’emploi a été élaboré. Cette mesure établit le canevas organisationnel de toutes les actions prévues dans le cadre du système national pour l’emploi espagnol pour la période 2017</w:t>
      </w:r>
      <w:r>
        <w:rPr>
          <w:noProof/>
          <w:lang w:val="fr-BE"/>
        </w:rPr>
        <w:noBreakHyphen/>
      </w:r>
      <w:r>
        <w:rPr>
          <w:rFonts w:ascii="Times New Roman" w:hAnsi="Times New Roman"/>
          <w:noProof/>
          <w:sz w:val="24"/>
          <w:lang w:val="fr-BE"/>
        </w:rPr>
        <w:t>2020 et</w:t>
      </w:r>
      <w:r>
        <w:rPr>
          <w:rFonts w:ascii="Times New Roman" w:hAnsi="Times New Roman"/>
          <w:noProof/>
          <w:sz w:val="24"/>
          <w:lang w:val="fr-BE"/>
        </w:rPr>
        <w:t xml:space="preserve"> pose des jalons pour la conception et la gestion des politiques actives du marché du travail, d’actions de formation et de nombreuses autres stratégies à l’intention des services publics de l’emploi régionaux; elle fixe en outre un cadre pour la détermina</w:t>
      </w:r>
      <w:r>
        <w:rPr>
          <w:rFonts w:ascii="Times New Roman" w:hAnsi="Times New Roman"/>
          <w:noProof/>
          <w:sz w:val="24"/>
          <w:lang w:val="fr-BE"/>
        </w:rPr>
        <w:t>tion des principes, des objectifs, des instruments et des ressources financières.</w:t>
      </w:r>
    </w:p>
    <w:p w:rsidR="00723CC0" w:rsidRDefault="00242021">
      <w:pPr>
        <w:spacing w:line="360" w:lineRule="auto"/>
        <w:jc w:val="both"/>
        <w:rPr>
          <w:rFonts w:ascii="Times New Roman" w:hAnsi="Times New Roman"/>
          <w:noProof/>
          <w:sz w:val="24"/>
          <w:szCs w:val="24"/>
          <w:lang w:val="fr-BE"/>
        </w:rPr>
      </w:pPr>
      <w:r>
        <w:rPr>
          <w:rFonts w:ascii="Times New Roman" w:hAnsi="Times New Roman"/>
          <w:b/>
          <w:noProof/>
          <w:sz w:val="24"/>
          <w:lang w:val="fr-BE"/>
        </w:rPr>
        <w:t>Les États membres continuent de donner la priorité à l’individualisation des services</w:t>
      </w:r>
      <w:r>
        <w:rPr>
          <w:noProof/>
          <w:lang w:val="fr-BE"/>
        </w:rPr>
        <w:t>.</w:t>
      </w:r>
      <w:r>
        <w:rPr>
          <w:rFonts w:ascii="Times New Roman" w:hAnsi="Times New Roman"/>
          <w:noProof/>
          <w:sz w:val="24"/>
          <w:lang w:val="fr-BE"/>
        </w:rPr>
        <w:t xml:space="preserve"> L’Estonie étend le champ d’application des politiques actives du marché du travail à ce</w:t>
      </w:r>
      <w:r>
        <w:rPr>
          <w:rFonts w:ascii="Times New Roman" w:hAnsi="Times New Roman"/>
          <w:noProof/>
          <w:sz w:val="24"/>
          <w:lang w:val="fr-BE"/>
        </w:rPr>
        <w:t>rtains travailleurs salariés pour éviter qu’ils ne se retrouvent au chômage. Font notamment partie du groupe cible les personnes occupées au titre d’un contrat de services ou d’une convention d’autorisation et celles qui touchent le salaire moyen national.</w:t>
      </w:r>
      <w:r>
        <w:rPr>
          <w:rFonts w:ascii="Times New Roman" w:hAnsi="Times New Roman"/>
          <w:noProof/>
          <w:sz w:val="24"/>
          <w:lang w:val="fr-BE"/>
        </w:rPr>
        <w:t xml:space="preserve"> Les niveaux stables des dépenses des services publics de l’emploi consacrées aux politiques actives du marché du travail et aux ressources humaines sont censés remédier aux problèmes qui persistent. La Hongrie a pris de nouvelles mesures pour répondre aux</w:t>
      </w:r>
      <w:r>
        <w:rPr>
          <w:rFonts w:ascii="Times New Roman" w:hAnsi="Times New Roman"/>
          <w:noProof/>
          <w:sz w:val="24"/>
          <w:lang w:val="fr-BE"/>
        </w:rPr>
        <w:t xml:space="preserve"> enjeux du programme de travaux publics en mettant en place des initiatives améliorant la transition vers le marché du travail primaire. Un programme de création d’emplois fait de l’emploi d’une personne dans les travaux publics une catégorie d’aide primai</w:t>
      </w:r>
      <w:r>
        <w:rPr>
          <w:rFonts w:ascii="Times New Roman" w:hAnsi="Times New Roman"/>
          <w:noProof/>
          <w:sz w:val="24"/>
          <w:lang w:val="fr-BE"/>
        </w:rPr>
        <w:t xml:space="preserve">re, alors que deux autres programmes prévoient soit des primes ou des mesures d’incitation à l’embauche, soit un système de mentorat pour faciliter l’intégration sur le marché du travail primaire des personnes issues du programme de travaux publics.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Les m</w:t>
      </w:r>
      <w:r>
        <w:rPr>
          <w:rFonts w:ascii="Times New Roman" w:hAnsi="Times New Roman"/>
          <w:b/>
          <w:noProof/>
          <w:sz w:val="24"/>
          <w:lang w:val="fr-BE"/>
        </w:rPr>
        <w:t>esures visant à améliorer les composantes de formation des politiques actives du marché du travail sont également toujours encouragées</w:t>
      </w:r>
      <w:r>
        <w:rPr>
          <w:noProof/>
          <w:lang w:val="fr-BE"/>
        </w:rPr>
        <w:t>.</w:t>
      </w:r>
      <w:r>
        <w:rPr>
          <w:rFonts w:ascii="Times New Roman" w:hAnsi="Times New Roman"/>
          <w:noProof/>
          <w:sz w:val="24"/>
          <w:lang w:val="fr-BE"/>
        </w:rPr>
        <w:t xml:space="preserve"> En Croatie, un nouveau train de neuf mesures actives du marché du travail a été adopté. Il met davantage l’accent sur la</w:t>
      </w:r>
      <w:r>
        <w:rPr>
          <w:rFonts w:ascii="Times New Roman" w:hAnsi="Times New Roman"/>
          <w:noProof/>
          <w:sz w:val="24"/>
          <w:lang w:val="fr-BE"/>
        </w:rPr>
        <w:t xml:space="preserve"> formation, notamment sur le lieu de travail, en particulier pour les jeunes, les travailleurs plus âgés et les chômeurs de longue durée. Les aides à l’emploi non salarié seront également davantage encouragées. En outre, des subventions seront accordées au</w:t>
      </w:r>
      <w:r>
        <w:rPr>
          <w:rFonts w:ascii="Times New Roman" w:hAnsi="Times New Roman"/>
          <w:noProof/>
          <w:sz w:val="24"/>
          <w:lang w:val="fr-BE"/>
        </w:rPr>
        <w:t>x employeurs afin de favoriser l’emploi des travailleurs de plus de 50 ans. La France continue d’investir dans la formation professionnelle et l’apprentissage par l’intermédiaire du «plan d’investissement dans les compétences» (voir section 3.2). L’objecti</w:t>
      </w:r>
      <w:r>
        <w:rPr>
          <w:rFonts w:ascii="Times New Roman" w:hAnsi="Times New Roman"/>
          <w:noProof/>
          <w:sz w:val="24"/>
          <w:lang w:val="fr-BE"/>
        </w:rPr>
        <w:t xml:space="preserve">f est de proposer une formation qualifiante à un million de chômeurs ayant un faible niveau de qualification et à 800 000 jeunes sans emploi qui ne suivent ni études ni formation, en partie par la préparation à l’apprentissage.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Les services publics de l’e</w:t>
      </w:r>
      <w:r>
        <w:rPr>
          <w:rFonts w:ascii="Times New Roman" w:hAnsi="Times New Roman"/>
          <w:b/>
          <w:noProof/>
          <w:sz w:val="24"/>
          <w:lang w:val="fr-BE"/>
        </w:rPr>
        <w:t xml:space="preserve">mploi (SPE) suivent leur programme de réformes afin d’augmenter les capacités institutionnelles en période de recul du chômage. </w:t>
      </w:r>
      <w:r>
        <w:rPr>
          <w:rFonts w:ascii="Times New Roman" w:hAnsi="Times New Roman"/>
          <w:noProof/>
          <w:sz w:val="24"/>
          <w:lang w:val="fr-BE"/>
        </w:rPr>
        <w:t>À cette fin, les SPE tirent de plus en plus avantage de leur participation au projet d’apprentissage comparatif «Benchlearning»,</w:t>
      </w:r>
      <w:r>
        <w:rPr>
          <w:rFonts w:ascii="Times New Roman" w:hAnsi="Times New Roman"/>
          <w:noProof/>
          <w:sz w:val="24"/>
          <w:lang w:val="fr-BE"/>
        </w:rPr>
        <w:t xml:space="preserve"> mené dans le cadre du réseau européen des services publics de l’emploi. Depuis 2015, le projet Benchlearning aide les SPE à mieux prendre conscience de leurs points forts ainsi que des domaines susceptibles d’être améliorés dans l’objectif de fournir de m</w:t>
      </w:r>
      <w:r>
        <w:rPr>
          <w:rFonts w:ascii="Times New Roman" w:hAnsi="Times New Roman"/>
          <w:noProof/>
          <w:sz w:val="24"/>
          <w:lang w:val="fr-BE"/>
        </w:rPr>
        <w:t>eilleurs services à leurs clients. Étant donné que le nombre de demandeurs d’emploi inscrits a diminué de façon constante au cours des dernières années, les SPE doivent réaffecter leurs ressources de manière stratégique pour répondre aux besoins de leurs c</w:t>
      </w:r>
      <w:r>
        <w:rPr>
          <w:rFonts w:ascii="Times New Roman" w:hAnsi="Times New Roman"/>
          <w:noProof/>
          <w:sz w:val="24"/>
          <w:lang w:val="fr-BE"/>
        </w:rPr>
        <w:t>lients. Certains groupes cibles – comme les chômeurs de longue durée et les travailleurs âgés, de plus en plus nombreux, – ont encore besoin d’un appui intensif, la plupart des SPE faisant face à une clientèle vieillissante. La Lituanie apporte actuellemen</w:t>
      </w:r>
      <w:r>
        <w:rPr>
          <w:rFonts w:ascii="Times New Roman" w:hAnsi="Times New Roman"/>
          <w:noProof/>
          <w:sz w:val="24"/>
          <w:lang w:val="fr-BE"/>
        </w:rPr>
        <w:t>t des modifications au travail des SPE, en optimisant les ressources dans le but d’améliorer le travail avec les clients et de réduire le nombre de dossiers à traiter par gestionnaire, de plus de 400 à moins de 300 dossiers. Chypre poursuit le programme 20</w:t>
      </w:r>
      <w:r>
        <w:rPr>
          <w:rFonts w:ascii="Times New Roman" w:hAnsi="Times New Roman"/>
          <w:noProof/>
          <w:sz w:val="24"/>
          <w:lang w:val="fr-BE"/>
        </w:rPr>
        <w:t>14-2020 d’amélioration et de modernisation des SPE en mettant en œuvre des mesures de réforme en vue du renforcement de ses services publics de l’emploi. Récemment, 20 conseillers supplémentaires ont été recrutés pour assurer une exécution plus efficace et</w:t>
      </w:r>
      <w:r>
        <w:rPr>
          <w:rFonts w:ascii="Times New Roman" w:hAnsi="Times New Roman"/>
          <w:noProof/>
          <w:sz w:val="24"/>
          <w:lang w:val="fr-BE"/>
        </w:rPr>
        <w:t xml:space="preserve"> efficiente de leurs missions actuelles dans le contexte de la mise en œuvre de la garantie pour la jeunesse et de la recommandation du Conseil relative à l’intégration des chômeurs de longue durée sur le marché du travail. Des mesures complémentaires, tel</w:t>
      </w:r>
      <w:r>
        <w:rPr>
          <w:rFonts w:ascii="Times New Roman" w:hAnsi="Times New Roman"/>
          <w:noProof/>
          <w:sz w:val="24"/>
          <w:lang w:val="fr-BE"/>
        </w:rPr>
        <w:t>les que la formation des conseillers en matière d’emploi et des agents des SPE, l’amélioration des systèmes de placement des candidats des SPE et la création d’une plateforme informatique, améliorent les services fournis tant aux demandeurs d’emploi qu’aux</w:t>
      </w:r>
      <w:r>
        <w:rPr>
          <w:rFonts w:ascii="Times New Roman" w:hAnsi="Times New Roman"/>
          <w:noProof/>
          <w:sz w:val="24"/>
          <w:lang w:val="fr-BE"/>
        </w:rPr>
        <w:t xml:space="preserve"> employeurs. L’Espagne a pris des mesures pour améliorer les conditions de travail et d’emploi dans le secteur public en 2018. Le ministère et les partenaires sociaux ont signé un document par lequel ils se sont engagés à promouvoir des mesures permettant </w:t>
      </w:r>
      <w:r>
        <w:rPr>
          <w:rFonts w:ascii="Times New Roman" w:hAnsi="Times New Roman"/>
          <w:noProof/>
          <w:sz w:val="24"/>
          <w:lang w:val="fr-BE"/>
        </w:rPr>
        <w:t>aux fonctionnaires de récupérer leur pouvoir d’achat et de bénéficier de meilleures conditions de travail. Cette mesure est antérieure à un accord conclu en avril 2017 afin de réduire à 8 % à l’horizon 2020 la proportion de contrats temporaires dans le sec</w:t>
      </w:r>
      <w:r>
        <w:rPr>
          <w:rFonts w:ascii="Times New Roman" w:hAnsi="Times New Roman"/>
          <w:noProof/>
          <w:sz w:val="24"/>
          <w:lang w:val="fr-BE"/>
        </w:rPr>
        <w:t>teur public grâce à des concours de recrutement pour pourvoir des postes permanents (250 000 environ). En Grèce, le processus de réorganisation des SPE s’est poursuivi tout au long de la période 2017-2018 dans le but d’améliorer le fonctionnement de ces se</w:t>
      </w:r>
      <w:r>
        <w:rPr>
          <w:rFonts w:ascii="Times New Roman" w:hAnsi="Times New Roman"/>
          <w:noProof/>
          <w:sz w:val="24"/>
          <w:lang w:val="fr-BE"/>
        </w:rPr>
        <w:t>rvices. Une nouvelle méthode d’analyse des profils a été testée en projet pilote à l’automne 2017 et son déploiement a commencé en 2018. Un nouvel outil d’évaluation des compétences est en cours d’élaboration. Le recrutement de conseillers du travail suppl</w:t>
      </w:r>
      <w:r>
        <w:rPr>
          <w:rFonts w:ascii="Times New Roman" w:hAnsi="Times New Roman"/>
          <w:noProof/>
          <w:sz w:val="24"/>
          <w:lang w:val="fr-BE"/>
        </w:rPr>
        <w:t xml:space="preserve">émentaires a commencé au premier semestre de 2018, de sorte que leur nombre sera pratiquement doublé à la fin de 2018. Enfin, l’Autriche a pris des mesures pour évaluer la gestion des SPE et la rendre plus efficace, notamment par l’étude et la révision de </w:t>
      </w:r>
      <w:r>
        <w:rPr>
          <w:rFonts w:ascii="Times New Roman" w:hAnsi="Times New Roman"/>
          <w:noProof/>
          <w:sz w:val="24"/>
          <w:lang w:val="fr-BE"/>
        </w:rPr>
        <w:t>tous les instruments utilisés par les SPE pour assurer une réinsertion efficiente et efficace sur le marché du travail. La priorité est mise sur la formation et les qualifications spécifiques en fonction de l’emploi, définies en concertation avec les emplo</w:t>
      </w:r>
      <w:r>
        <w:rPr>
          <w:rFonts w:ascii="Times New Roman" w:hAnsi="Times New Roman"/>
          <w:noProof/>
          <w:sz w:val="24"/>
          <w:lang w:val="fr-BE"/>
        </w:rPr>
        <w:t xml:space="preserve">yeurs, de même que sur des incitations à l’emploi plus importantes.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Les SPE sont invités à intensifier leur coopération avec les employeurs et les autorités locales pour mieux répondre aux besoins dans un contexte de tensions accrues sur les marchés du tr</w:t>
      </w:r>
      <w:r>
        <w:rPr>
          <w:rFonts w:ascii="Times New Roman" w:hAnsi="Times New Roman"/>
          <w:b/>
          <w:noProof/>
          <w:sz w:val="24"/>
          <w:lang w:val="fr-BE"/>
        </w:rPr>
        <w:t>avail.</w:t>
      </w:r>
      <w:r>
        <w:rPr>
          <w:rFonts w:ascii="Times New Roman" w:hAnsi="Times New Roman"/>
          <w:noProof/>
          <w:sz w:val="24"/>
          <w:lang w:val="fr-BE"/>
        </w:rPr>
        <w:t xml:space="preserve"> À cet égard, les SPE élaborent des stratégies globales de mobilisation des employeurs, en définissant différentes approches en ce qui concerne la segmentation des employeurs et l’organisation des services aux employeurs. La plupart des SPE ont mis e</w:t>
      </w:r>
      <w:r>
        <w:rPr>
          <w:rFonts w:ascii="Times New Roman" w:hAnsi="Times New Roman"/>
          <w:noProof/>
          <w:sz w:val="24"/>
          <w:lang w:val="fr-BE"/>
        </w:rPr>
        <w:t>n place une coordination centralisée des services aux employeurs, tout en leur fournissant aussi des services au niveau local et régional. En outre, les SPE devraient définir des normes minimales communes en matière de fourniture de services aux employeurs</w:t>
      </w:r>
      <w:r>
        <w:rPr>
          <w:rFonts w:ascii="Times New Roman" w:hAnsi="Times New Roman"/>
          <w:noProof/>
          <w:sz w:val="24"/>
          <w:lang w:val="fr-BE"/>
        </w:rPr>
        <w:t>, y compris pour la mesure de la satisfaction. En Italie et en Espagne, les agences centrales des SPE, respectivement l’ANPAL et le SEPE, facilitent les activités d’apprentissage mutuel entre les régions afin d’échanger sur les bonnes pratiques, ce qui per</w:t>
      </w:r>
      <w:r>
        <w:rPr>
          <w:rFonts w:ascii="Times New Roman" w:hAnsi="Times New Roman"/>
          <w:noProof/>
          <w:sz w:val="24"/>
          <w:lang w:val="fr-BE"/>
        </w:rPr>
        <w:t>met d’améliorer les services fournis aux employeurs. En Lituanie, le SPE envisage de créer un modèle de coopération municipalité-SPE concernant la mise en application conjointe de mesures d’activation des bénéficiaires de l’assistance sociale. Ce modèle de</w:t>
      </w:r>
      <w:r>
        <w:rPr>
          <w:rFonts w:ascii="Times New Roman" w:hAnsi="Times New Roman"/>
          <w:noProof/>
          <w:sz w:val="24"/>
          <w:lang w:val="fr-BE"/>
        </w:rPr>
        <w:t>vra être complété par un plan de mise en œuvre.</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Les États membres ont poursuivi la mise en œuvre de la recommandation du Conseil sur le chômage de longue durée</w:t>
      </w:r>
      <w:r>
        <w:rPr>
          <w:rStyle w:val="FootnoteReference"/>
          <w:rFonts w:ascii="Times New Roman" w:hAnsi="Times New Roman"/>
          <w:b/>
          <w:noProof/>
          <w:sz w:val="24"/>
        </w:rPr>
        <w:footnoteReference w:id="83"/>
      </w:r>
      <w:r>
        <w:rPr>
          <w:rFonts w:ascii="Times New Roman" w:hAnsi="Times New Roman"/>
          <w:b/>
          <w:noProof/>
          <w:sz w:val="24"/>
          <w:lang w:val="fr-BE"/>
        </w:rPr>
        <w:t>.</w:t>
      </w:r>
      <w:r>
        <w:rPr>
          <w:rFonts w:ascii="Times New Roman" w:hAnsi="Times New Roman"/>
          <w:noProof/>
          <w:sz w:val="24"/>
          <w:lang w:val="fr-BE"/>
        </w:rPr>
        <w:t xml:space="preserve"> Il est ressorti d’une autoévaluation des États membres menée en 2018 qu’à l’échelle mondiale, </w:t>
      </w:r>
      <w:r>
        <w:rPr>
          <w:rFonts w:ascii="Times New Roman" w:hAnsi="Times New Roman"/>
          <w:noProof/>
          <w:sz w:val="24"/>
          <w:lang w:val="fr-BE"/>
        </w:rPr>
        <w:t>les cotes ont augmenté de 15 % par rapport à 2016, les progrès les plus importants ayant été réalisés dans les États membres où les systèmes sont moins perfectionnés. Plus spécifiquement, pour ce qui est d’encourager l’inscription des chômeurs, les pays on</w:t>
      </w:r>
      <w:r>
        <w:rPr>
          <w:rFonts w:ascii="Times New Roman" w:hAnsi="Times New Roman"/>
          <w:noProof/>
          <w:sz w:val="24"/>
          <w:lang w:val="fr-BE"/>
        </w:rPr>
        <w:t>t adopté des approches et des mesures d’incitation différentes. Les mesures les plus efficaces sont celles qui associent l’inscription au droit à certaines prestations ou à certains services. Toutefois, des progrès restent à faire en matière de sensibilisa</w:t>
      </w:r>
      <w:r>
        <w:rPr>
          <w:rFonts w:ascii="Times New Roman" w:hAnsi="Times New Roman"/>
          <w:noProof/>
          <w:sz w:val="24"/>
          <w:lang w:val="fr-BE"/>
        </w:rPr>
        <w:t>tion des inactifs dans plusieurs États membres (par exemple en Bulgarie, en Estonie et en Roumanie). Les approches sont également multiples en ce qui concerne la mise en place d’un point de contact unique pour les services: certains pays ont cherché à inté</w:t>
      </w:r>
      <w:r>
        <w:rPr>
          <w:rFonts w:ascii="Times New Roman" w:hAnsi="Times New Roman"/>
          <w:noProof/>
          <w:sz w:val="24"/>
          <w:lang w:val="fr-BE"/>
        </w:rPr>
        <w:t>grer tous les services en un seul point (Allemagne, Irlande et Finlande, par exemple), tandis que d’autres recourent à une «passerelle» qui fait le lien entre différentes institutions ou autorités (Chypre et Pays-Bas, par exemple). La coordination effectiv</w:t>
      </w:r>
      <w:r>
        <w:rPr>
          <w:rFonts w:ascii="Times New Roman" w:hAnsi="Times New Roman"/>
          <w:noProof/>
          <w:sz w:val="24"/>
          <w:lang w:val="fr-BE"/>
        </w:rPr>
        <w:t>e entre les autorités et les services qui s’occupent de l’emploi et des questions sociales est encore problématique dans de nombreux États membres (Grèce, Espagne, Croatie, Lettonie, Hongrie et Roumanie, par exemple); elle est souvent compliquée par des di</w:t>
      </w:r>
      <w:r>
        <w:rPr>
          <w:rFonts w:ascii="Times New Roman" w:hAnsi="Times New Roman"/>
          <w:noProof/>
          <w:sz w:val="24"/>
          <w:lang w:val="fr-BE"/>
        </w:rPr>
        <w:t>fficultés liées à la protection des données et aux ressources. Bien que des mesures soient prévues pour y remédier, la mise en œuvre sur le terrain n’a pas encore commencé. Des accords d’intégration professionnelle existent sous une forme ou une autre dans</w:t>
      </w:r>
      <w:r>
        <w:rPr>
          <w:rFonts w:ascii="Times New Roman" w:hAnsi="Times New Roman"/>
          <w:noProof/>
          <w:sz w:val="24"/>
          <w:lang w:val="fr-BE"/>
        </w:rPr>
        <w:t xml:space="preserve"> presque tous les États membres, mais certains éléments font défaut, en particulier les (ré)évaluations approfondies au moment ad hoc. Certains États membres (République tchèque, Grèce et Slovaquie, par exemple) doivent encore s’orienter vers une logique d</w:t>
      </w:r>
      <w:r>
        <w:rPr>
          <w:rFonts w:ascii="Times New Roman" w:hAnsi="Times New Roman"/>
          <w:noProof/>
          <w:sz w:val="24"/>
          <w:lang w:val="fr-BE"/>
        </w:rPr>
        <w:t xml:space="preserve">e gestion des dossiers plus ciblée et personnalisée, bien adaptée aux chômeurs de longue durée. De nombreuses activités diverses et variées sont menées en matière de mobilisation des employeurs. Des accords ont généralement été passés avec les partenaires </w:t>
      </w:r>
      <w:r>
        <w:rPr>
          <w:rFonts w:ascii="Times New Roman" w:hAnsi="Times New Roman"/>
          <w:noProof/>
          <w:sz w:val="24"/>
          <w:lang w:val="fr-BE"/>
        </w:rPr>
        <w:t>sociaux, même s’ils ne se traduisent pas toujours à l’échelon local. Certains États membres (Grèce, Portugal, Slovénie et Suède, par exemple) affectent du personnel des SPE au travail avec les employeurs, ce qui semble judicieux; des améliorations, notamme</w:t>
      </w:r>
      <w:r>
        <w:rPr>
          <w:rFonts w:ascii="Times New Roman" w:hAnsi="Times New Roman"/>
          <w:noProof/>
          <w:sz w:val="24"/>
          <w:lang w:val="fr-BE"/>
        </w:rPr>
        <w:t xml:space="preserve">nt sous la forme de partenariats et de démarches plus stratégiques, restent néanmoins nécessaires dans certains États membres (France, Croatie et Italie, par exemple). </w:t>
      </w:r>
    </w:p>
    <w:p w:rsidR="00723CC0" w:rsidRDefault="00242021">
      <w:pPr>
        <w:spacing w:line="360" w:lineRule="auto"/>
        <w:jc w:val="both"/>
        <w:rPr>
          <w:rFonts w:ascii="Times New Roman" w:eastAsia="Times New Roman" w:hAnsi="Times New Roman" w:cs="Times New Roman"/>
          <w:noProof/>
          <w:sz w:val="24"/>
          <w:szCs w:val="24"/>
          <w:lang w:val="fr-BE"/>
        </w:rPr>
      </w:pPr>
      <w:r>
        <w:rPr>
          <w:rFonts w:ascii="Times New Roman" w:hAnsi="Times New Roman"/>
          <w:b/>
          <w:noProof/>
          <w:sz w:val="24"/>
          <w:lang w:val="fr-BE"/>
        </w:rPr>
        <w:t>Les États membres fournissent aux chômeurs de longue durée un soutien plus personnalisé</w:t>
      </w:r>
      <w:r>
        <w:rPr>
          <w:rFonts w:ascii="Times New Roman" w:hAnsi="Times New Roman"/>
          <w:b/>
          <w:noProof/>
          <w:sz w:val="24"/>
          <w:lang w:val="fr-BE"/>
        </w:rPr>
        <w:t xml:space="preserve"> et des services mieux intégrés</w:t>
      </w:r>
      <w:r>
        <w:rPr>
          <w:noProof/>
          <w:lang w:val="fr-BE"/>
        </w:rPr>
        <w:t>.</w:t>
      </w:r>
      <w:r>
        <w:rPr>
          <w:rFonts w:ascii="Times New Roman" w:hAnsi="Times New Roman"/>
          <w:noProof/>
          <w:sz w:val="24"/>
          <w:lang w:val="fr-BE"/>
        </w:rPr>
        <w:t xml:space="preserve"> En Bulgarie, des accords d’intégration professionnelle sont à présent signés entre l’agence pour l’emploi et le chômeur de longue durée, qui se voit aussi proposer des services spécifiques en matière d’emploi et est orienté</w:t>
      </w:r>
      <w:r>
        <w:rPr>
          <w:rFonts w:ascii="Times New Roman" w:hAnsi="Times New Roman"/>
          <w:noProof/>
          <w:sz w:val="24"/>
          <w:lang w:val="fr-BE"/>
        </w:rPr>
        <w:t xml:space="preserve"> vers des services fournis par d’autres institutions. Depuis janvier 2018, des équipes mobiles mixtes de conseil en droit de la famille et du travail composées d’agents de l’Agence pour l’emploi et de l’Agence pour l’assistance sociale fournissent des serv</w:t>
      </w:r>
      <w:r>
        <w:rPr>
          <w:rFonts w:ascii="Times New Roman" w:hAnsi="Times New Roman"/>
          <w:noProof/>
          <w:sz w:val="24"/>
          <w:lang w:val="fr-BE"/>
        </w:rPr>
        <w:t>ices complets et intégrés aux personnes sans emploi dans les zones reculées. En Roumanie, un projet pilote est en cours dans le but de créer des équipes intégrées appelées à relever plusieurs défis à la fois, d’ordre social, éducatif et médical, en partena</w:t>
      </w:r>
      <w:r>
        <w:rPr>
          <w:rFonts w:ascii="Times New Roman" w:hAnsi="Times New Roman"/>
          <w:noProof/>
          <w:sz w:val="24"/>
          <w:lang w:val="fr-BE"/>
        </w:rPr>
        <w:t>riat également avec les SPE.</w:t>
      </w:r>
      <w:r>
        <w:rPr>
          <w:rFonts w:ascii="Times New Roman" w:hAnsi="Times New Roman"/>
          <w:i/>
          <w:noProof/>
          <w:sz w:val="24"/>
          <w:lang w:val="fr-BE"/>
        </w:rPr>
        <w:t xml:space="preserve"> </w:t>
      </w:r>
      <w:r>
        <w:rPr>
          <w:rFonts w:ascii="Times New Roman" w:hAnsi="Times New Roman"/>
          <w:noProof/>
          <w:sz w:val="24"/>
          <w:lang w:val="fr-BE"/>
        </w:rPr>
        <w:t>Dans le cadre du projet, cette approche sera mise à l’épreuve dans 139 des collectivités les plus défavorisées, sélectionnées en fonction de la cartographie de la pauvreté et des critères convenus par le gouvernement. Le déploi</w:t>
      </w:r>
      <w:r>
        <w:rPr>
          <w:rFonts w:ascii="Times New Roman" w:hAnsi="Times New Roman"/>
          <w:noProof/>
          <w:sz w:val="24"/>
          <w:lang w:val="fr-BE"/>
        </w:rPr>
        <w:t>ement à plus grande échelle de l’initiative est envisagé. La Slovénie a adopté des programmes d’activation sociale pour la période 2017</w:t>
      </w:r>
      <w:r>
        <w:rPr>
          <w:noProof/>
          <w:lang w:val="fr-BE"/>
        </w:rPr>
        <w:noBreakHyphen/>
      </w:r>
      <w:r>
        <w:rPr>
          <w:rFonts w:ascii="Times New Roman" w:hAnsi="Times New Roman"/>
          <w:noProof/>
          <w:sz w:val="24"/>
          <w:lang w:val="fr-BE"/>
        </w:rPr>
        <w:t>2020 visant à encourager l’intégration dans la société et sur le marché du travail des 12 500 personnes les plus vulnéra</w:t>
      </w:r>
      <w:r>
        <w:rPr>
          <w:rFonts w:ascii="Times New Roman" w:hAnsi="Times New Roman"/>
          <w:noProof/>
          <w:sz w:val="24"/>
          <w:lang w:val="fr-BE"/>
        </w:rPr>
        <w:t>bles et ayant le plus de mal à trouver un emploi. Le but est de doter ces personnes des compétences qui leur donneront de meilleures perspectives d’entrer sur le marché du travail. En Irlande, le programme volontaire YESS («Youth Employment Support Scheme»</w:t>
      </w:r>
      <w:r>
        <w:rPr>
          <w:rFonts w:ascii="Times New Roman" w:hAnsi="Times New Roman"/>
          <w:noProof/>
          <w:sz w:val="24"/>
          <w:lang w:val="fr-BE"/>
        </w:rPr>
        <w:t>) s’adresse aux jeunes demandeurs d’emploi qui sont des chômeurs de longue durée ou qui se heurtent à d’importantes difficultés pour trouver du travail. Le programme vise à leur donner une chance d’acquérir des compétences professionnelles et sociales de b</w:t>
      </w:r>
      <w:r>
        <w:rPr>
          <w:rFonts w:ascii="Times New Roman" w:hAnsi="Times New Roman"/>
          <w:noProof/>
          <w:sz w:val="24"/>
          <w:lang w:val="fr-BE"/>
        </w:rPr>
        <w:t>ase dans un environnement propice lors d’un stage. La durée habituelle des stages sera de trois mois, la possibilité étant prévue de l’étendre à six ou neuf mois après l’examen de l’évolution de la situation par un gestionnaire de dossier du ministère.</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Les</w:t>
      </w:r>
      <w:r>
        <w:rPr>
          <w:rFonts w:ascii="Times New Roman" w:hAnsi="Times New Roman"/>
          <w:b/>
          <w:noProof/>
          <w:sz w:val="24"/>
          <w:lang w:val="fr-BE"/>
        </w:rPr>
        <w:t xml:space="preserve"> aides et les mesures d’incitation sont devenues des instruments courants de l’action pour l’intégration des chômeurs de longue durée sur le marché du travail. </w:t>
      </w:r>
      <w:r>
        <w:rPr>
          <w:rFonts w:ascii="Times New Roman" w:hAnsi="Times New Roman"/>
          <w:noProof/>
          <w:sz w:val="24"/>
          <w:lang w:val="fr-BE"/>
        </w:rPr>
        <w:t>Chypre a lancé un programme de mesures d’incitation en faveur du recrutement de chômeurs dans le</w:t>
      </w:r>
      <w:r>
        <w:rPr>
          <w:rFonts w:ascii="Times New Roman" w:hAnsi="Times New Roman"/>
          <w:noProof/>
          <w:sz w:val="24"/>
          <w:lang w:val="fr-BE"/>
        </w:rPr>
        <w:t xml:space="preserve"> secteur privé. L’aide n’est octroyée que durant les six premiers mois de travail. 946 entreprises ont fait usage de ce programme et environ 2 472 participants ont trouvé un emploi grâce à lui.</w:t>
      </w:r>
      <w:r>
        <w:rPr>
          <w:rFonts w:ascii="Times New Roman" w:hAnsi="Times New Roman"/>
          <w:i/>
          <w:noProof/>
          <w:sz w:val="24"/>
          <w:lang w:val="fr-BE"/>
        </w:rPr>
        <w:t xml:space="preserve"> </w:t>
      </w:r>
      <w:r>
        <w:rPr>
          <w:rFonts w:ascii="Times New Roman" w:hAnsi="Times New Roman"/>
          <w:noProof/>
          <w:sz w:val="24"/>
          <w:lang w:val="fr-BE"/>
        </w:rPr>
        <w:t>Au Luxembourg, de nouvelles mesures visent à créer des emplois</w:t>
      </w:r>
      <w:r>
        <w:rPr>
          <w:rFonts w:ascii="Times New Roman" w:hAnsi="Times New Roman"/>
          <w:noProof/>
          <w:sz w:val="24"/>
          <w:lang w:val="fr-BE"/>
        </w:rPr>
        <w:t xml:space="preserve"> subventionnés à durée indéterminée à l’intention des chômeurs de longue durée qui correspondent aux nouveaux besoins des employeurs, le groupe cible étant les chômeurs de longue durée de plus de 30 ans. Le régime comporte une disposition spécifique pour l</w:t>
      </w:r>
      <w:r>
        <w:rPr>
          <w:rFonts w:ascii="Times New Roman" w:hAnsi="Times New Roman"/>
          <w:noProof/>
          <w:sz w:val="24"/>
          <w:lang w:val="fr-BE"/>
        </w:rPr>
        <w:t xml:space="preserve">es personnes de plus de 50 ans qui permet le remboursement intégral de la part patronale des cotisations sociales versées jusqu’au départ à la retraite. En revanche, compte tenu de l’amélioration de la situation du marché du travail, la France a revu à la </w:t>
      </w:r>
      <w:r>
        <w:rPr>
          <w:rFonts w:ascii="Times New Roman" w:hAnsi="Times New Roman"/>
          <w:noProof/>
          <w:sz w:val="24"/>
          <w:lang w:val="fr-BE"/>
        </w:rPr>
        <w:t>baisse son volume d’emplois subventionnés (voir également section 3.1.2). En Autriche, des mesures ont été prises pour réduire le chômage de longue durée, comme le durcissement des sanctions, des contraintes plus rigoureuses obligeant les chômeurs à accept</w:t>
      </w:r>
      <w:r>
        <w:rPr>
          <w:rFonts w:ascii="Times New Roman" w:hAnsi="Times New Roman"/>
          <w:noProof/>
          <w:sz w:val="24"/>
          <w:lang w:val="fr-BE"/>
        </w:rPr>
        <w:t>er une offre d’emploi même en cas de distance importante par rapport au domicile (jusqu’à 2,5 heures de trajet par jour) et la combinaison des prestations de chômage et de l’assistance sociale. D’une manière générale, l’objectif est d’inciter davantage les</w:t>
      </w:r>
      <w:r>
        <w:rPr>
          <w:rFonts w:ascii="Times New Roman" w:hAnsi="Times New Roman"/>
          <w:noProof/>
          <w:sz w:val="24"/>
          <w:lang w:val="fr-BE"/>
        </w:rPr>
        <w:t xml:space="preserve"> chômeurs à accepter une offre d’emploi, de réduire le chômage et d’accroître l’efficacité de la politique du marché du travail. La Suède a mis en place des «Introduction jobs» (prise de contact avec le marché du travail) à l’intention, en priorité, des ch</w:t>
      </w:r>
      <w:r>
        <w:rPr>
          <w:rFonts w:ascii="Times New Roman" w:hAnsi="Times New Roman"/>
          <w:noProof/>
          <w:sz w:val="24"/>
          <w:lang w:val="fr-BE"/>
        </w:rPr>
        <w:t>ômeurs de longue durée ou des migrants récemment arrivés dans le pays, qui peuvent être combinés de manière flexible à des actions d’enseignement et de formation. La subvention salariale pour ces emplois est plafonnée au salaire brut de 20 000 SEK par mois</w:t>
      </w:r>
      <w:r>
        <w:rPr>
          <w:rFonts w:ascii="Times New Roman" w:hAnsi="Times New Roman"/>
          <w:noProof/>
          <w:sz w:val="24"/>
          <w:lang w:val="fr-BE"/>
        </w:rPr>
        <w:t xml:space="preserve"> (environ 1 950 EUR), avec une limite de 80 %. En Slovénie, des subventions visent l’emploi à durée indéterminée des personnes de plus de 58 ans, jusqu’à ce qu’elles remplissent les conditions requises pour le départ à la retraite. L’inclusion prioritaire </w:t>
      </w:r>
      <w:r>
        <w:rPr>
          <w:rFonts w:ascii="Times New Roman" w:hAnsi="Times New Roman"/>
          <w:noProof/>
          <w:sz w:val="24"/>
          <w:lang w:val="fr-BE"/>
        </w:rPr>
        <w:t>des bénéficiaires de prestations de chômage et d’assistance sociale en espèces est prévue. La subvention, d’un montant de 11 000 EUR, est versée à l’employeur en deux parties (la première moitié au moment de l’embauche et la seconde après le 18</w:t>
      </w:r>
      <w:r>
        <w:rPr>
          <w:rFonts w:ascii="Times New Roman" w:hAnsi="Times New Roman"/>
          <w:noProof/>
          <w:sz w:val="24"/>
          <w:vertAlign w:val="superscript"/>
          <w:lang w:val="fr-BE"/>
        </w:rPr>
        <w:t>e</w:t>
      </w:r>
      <w:r>
        <w:rPr>
          <w:rFonts w:ascii="Times New Roman" w:hAnsi="Times New Roman"/>
          <w:noProof/>
          <w:sz w:val="24"/>
          <w:lang w:val="fr-BE"/>
        </w:rPr>
        <w:t> salaire).</w:t>
      </w:r>
    </w:p>
    <w:p w:rsidR="00723CC0" w:rsidRDefault="00242021">
      <w:pPr>
        <w:spacing w:line="360" w:lineRule="auto"/>
        <w:jc w:val="both"/>
        <w:rPr>
          <w:rFonts w:ascii="Times New Roman" w:hAnsi="Times New Roman"/>
          <w:i/>
          <w:noProof/>
          <w:sz w:val="24"/>
          <w:lang w:val="fr-BE"/>
        </w:rPr>
      </w:pPr>
      <w:r>
        <w:rPr>
          <w:rFonts w:ascii="Times New Roman" w:hAnsi="Times New Roman"/>
          <w:b/>
          <w:noProof/>
          <w:sz w:val="24"/>
          <w:lang w:val="fr-BE"/>
        </w:rPr>
        <w:t xml:space="preserve">La coopération avec le secteur privé continue d’améliorer la transition vers le marché du travail primaire. </w:t>
      </w:r>
      <w:r>
        <w:rPr>
          <w:rFonts w:ascii="Times New Roman" w:hAnsi="Times New Roman"/>
          <w:noProof/>
          <w:sz w:val="24"/>
          <w:lang w:val="fr-BE"/>
        </w:rPr>
        <w:t>Des accords d’entrée sont actuellement expérimentés en Suède afin de permettre aux chômeurs de longue durée, en particulier les femmes nées à l’étra</w:t>
      </w:r>
      <w:r>
        <w:rPr>
          <w:rFonts w:ascii="Times New Roman" w:hAnsi="Times New Roman"/>
          <w:noProof/>
          <w:sz w:val="24"/>
          <w:lang w:val="fr-BE"/>
        </w:rPr>
        <w:t>nger, de trouver un travail chez un employeur couvert par une convention collective concernant les accords d’entrée. Ces accords se fondent sur une proposition des partenaires sociaux et ont pour but la mise en place d’un modèle nouveau pour intégrer davan</w:t>
      </w:r>
      <w:r>
        <w:rPr>
          <w:rFonts w:ascii="Times New Roman" w:hAnsi="Times New Roman"/>
          <w:noProof/>
          <w:sz w:val="24"/>
          <w:lang w:val="fr-BE"/>
        </w:rPr>
        <w:t xml:space="preserve">tage de personnes sur le marché du travail et faciliter l’offre future de compétences pour les employeurs, notamment au moyen de cours de suédois et d’autres programmes de formation à court terme. À Malte, le régime de travail communautaire, qui réintègre </w:t>
      </w:r>
      <w:r>
        <w:rPr>
          <w:rFonts w:ascii="Times New Roman" w:hAnsi="Times New Roman"/>
          <w:noProof/>
          <w:sz w:val="24"/>
          <w:lang w:val="fr-BE"/>
        </w:rPr>
        <w:t>les chômeurs de longue durée sur le marché du travail, est en cours de révision afin de garantir que les personnes risquant de sortir du marché du travail aient un emploi formel et soient en activité.</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Les réformes récentes dans le domaine des prestations d</w:t>
      </w:r>
      <w:r>
        <w:rPr>
          <w:rFonts w:ascii="Times New Roman" w:hAnsi="Times New Roman"/>
          <w:b/>
          <w:noProof/>
          <w:sz w:val="24"/>
          <w:lang w:val="fr-BE"/>
        </w:rPr>
        <w:t xml:space="preserve">e chômage ont essentiellement porté sur le renforcement des exigences d’activation. </w:t>
      </w:r>
      <w:r>
        <w:rPr>
          <w:rFonts w:ascii="Times New Roman" w:hAnsi="Times New Roman"/>
          <w:noProof/>
          <w:sz w:val="24"/>
          <w:lang w:val="fr-BE"/>
        </w:rPr>
        <w:t>Depuis janvier 2018, les demandeurs d’emploi finlandais ne peuvent bénéficier de la totalité du montant des prestations de chômage que s’ils perçoivent également des revenu</w:t>
      </w:r>
      <w:r>
        <w:rPr>
          <w:rFonts w:ascii="Times New Roman" w:hAnsi="Times New Roman"/>
          <w:noProof/>
          <w:sz w:val="24"/>
          <w:lang w:val="fr-BE"/>
        </w:rPr>
        <w:t>s d’un emploi rémunéré ou participent à des services améliorant leurs perspectives d’emploi (certains seuils sont prévus). Si un demandeur d’emploi ne démontre pas l’activité requise au cours de la période de surveillance de 65 jours, la prestation de chôm</w:t>
      </w:r>
      <w:r>
        <w:rPr>
          <w:rFonts w:ascii="Times New Roman" w:hAnsi="Times New Roman"/>
          <w:noProof/>
          <w:sz w:val="24"/>
          <w:lang w:val="fr-BE"/>
        </w:rPr>
        <w:t>age versée pour les 65 jours suivants est réduite de 4,65 %. En outre, le gouvernement prépare une législation qui obligerait les demandeurs d’emploi au chômage à postuler pour un emploi par semaine sous peine de voir leurs prestations de chômage réduites.</w:t>
      </w:r>
      <w:r>
        <w:rPr>
          <w:rFonts w:ascii="Times New Roman" w:hAnsi="Times New Roman"/>
          <w:noProof/>
          <w:sz w:val="24"/>
          <w:lang w:val="fr-BE"/>
        </w:rPr>
        <w:t xml:space="preserve"> La proposition en est au stade de la consultation avec les partenaires sociaux, mais tant les travailleurs que les employeurs ont exprimé des réserves, car elle pourrait amener le salarié à préparer des candidatures sans avoir l’intention de se faire emba</w:t>
      </w:r>
      <w:r>
        <w:rPr>
          <w:rFonts w:ascii="Times New Roman" w:hAnsi="Times New Roman"/>
          <w:noProof/>
          <w:sz w:val="24"/>
          <w:lang w:val="fr-BE"/>
        </w:rPr>
        <w:t>ucher. En Slovénie, depuis octobre 2017, les travailleurs licenciés sont tenus de se présenter auprès du service de l’emploi déjà pendant leur période de préavis si le contrat de travail a été résilié pour des motifs économiques ou des questions d’incompét</w:t>
      </w:r>
      <w:r>
        <w:rPr>
          <w:rFonts w:ascii="Times New Roman" w:hAnsi="Times New Roman"/>
          <w:noProof/>
          <w:sz w:val="24"/>
          <w:lang w:val="fr-BE"/>
        </w:rPr>
        <w:t>ence. Le non-respect de cette règle entraînera, durant les trois premiers mois de chômage, une baisse des prestations de chômage (60 % au lieu de 80 %) par rapport au salaire de référence. En outre, les personnes peu qualifiées dont les professions ne sont</w:t>
      </w:r>
      <w:r>
        <w:rPr>
          <w:rFonts w:ascii="Times New Roman" w:hAnsi="Times New Roman"/>
          <w:noProof/>
          <w:sz w:val="24"/>
          <w:lang w:val="fr-BE"/>
        </w:rPr>
        <w:t xml:space="preserve"> pas très demandées sont autorisées à continuer de toucher 20 % des prestations de chômage pendant une période maximale de 12 mois lorsqu’elles ont trouvé un emploi. En France, dans le cadre de la loi «Liberté de choisir son avenir professionnel», un contr</w:t>
      </w:r>
      <w:r>
        <w:rPr>
          <w:rFonts w:ascii="Times New Roman" w:hAnsi="Times New Roman"/>
          <w:noProof/>
          <w:sz w:val="24"/>
          <w:lang w:val="fr-BE"/>
        </w:rPr>
        <w:t>ôle plus strict s’appliquera en matière de recherche d’emploi, qui sera compensé par un renforcement de l’accompagnement sur mesure. Les branches professionnelles sont invitées à négocier des accords de manière à favoriser des formes de travail plus durabl</w:t>
      </w:r>
      <w:r>
        <w:rPr>
          <w:rFonts w:ascii="Times New Roman" w:hAnsi="Times New Roman"/>
          <w:noProof/>
          <w:sz w:val="24"/>
          <w:lang w:val="fr-BE"/>
        </w:rPr>
        <w:t>es, mais si la négociation collective échoue, le gouvernement peut intervenir. Les bénéficiaires de prestations de chômage seront également autorisées à gérer une activité à temps partiel sous des conditions plus restrictives. En outre, le montant des pres</w:t>
      </w:r>
      <w:r>
        <w:rPr>
          <w:rFonts w:ascii="Times New Roman" w:hAnsi="Times New Roman"/>
          <w:noProof/>
          <w:sz w:val="24"/>
          <w:lang w:val="fr-BE"/>
        </w:rPr>
        <w:t>tations de chômage, auparavant financées exclusivement par les cotisations de sécurité sociale, est complété par une augmentation de la contribution sociale généralisée (CSG). À compter du 1</w:t>
      </w:r>
      <w:r>
        <w:rPr>
          <w:rFonts w:ascii="Times New Roman" w:hAnsi="Times New Roman"/>
          <w:noProof/>
          <w:sz w:val="24"/>
          <w:vertAlign w:val="superscript"/>
          <w:lang w:val="fr-BE"/>
        </w:rPr>
        <w:t>er</w:t>
      </w:r>
      <w:r>
        <w:rPr>
          <w:rFonts w:ascii="Times New Roman" w:hAnsi="Times New Roman"/>
          <w:noProof/>
          <w:sz w:val="24"/>
          <w:lang w:val="fr-BE"/>
        </w:rPr>
        <w:t> janvier 2019, les négociations concernant l’assurance-chômage s</w:t>
      </w:r>
      <w:r>
        <w:rPr>
          <w:rFonts w:ascii="Times New Roman" w:hAnsi="Times New Roman"/>
          <w:noProof/>
          <w:sz w:val="24"/>
          <w:lang w:val="fr-BE"/>
        </w:rPr>
        <w:t>eront encadrées par le gouvernement, qui déterminera l’enveloppe financière globale à respecter et les objectifs à atteindre. L’accès aux prestations devrait également être accordé aux travailleurs indépendants et aux salariés qui démissionnent, sous certa</w:t>
      </w:r>
      <w:r>
        <w:rPr>
          <w:rFonts w:ascii="Times New Roman" w:hAnsi="Times New Roman"/>
          <w:noProof/>
          <w:sz w:val="24"/>
          <w:lang w:val="fr-BE"/>
        </w:rPr>
        <w:t>ines conditions. L’Espagne prévoit d’introduire une «carte de sécurité sociale universelle», dont le but est de recueillir des informations sur les prestations sociales perçues par toutes les personnes physiques ainsi que sur toute situation pouvant donner</w:t>
      </w:r>
      <w:r>
        <w:rPr>
          <w:rFonts w:ascii="Times New Roman" w:hAnsi="Times New Roman"/>
          <w:noProof/>
          <w:sz w:val="24"/>
          <w:lang w:val="fr-BE"/>
        </w:rPr>
        <w:t xml:space="preserve"> droit à des prestations sociales (dépendance, handicap, chômage ou familles nombreuses). Cette mesure vise à améliorer la coordination entre les administrations, à accroître l’efficacité des prestations sociales et, en fin de compte, à favoriser la détect</w:t>
      </w:r>
      <w:r>
        <w:rPr>
          <w:rFonts w:ascii="Times New Roman" w:hAnsi="Times New Roman"/>
          <w:noProof/>
          <w:sz w:val="24"/>
          <w:lang w:val="fr-BE"/>
        </w:rPr>
        <w:t xml:space="preserve">ion des situations vulnérables. La conception et le développement du système de carte sociale universelle se sont achevés fin 2017 et devraient être approuvés au quatrième trimestre de 2018.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Dans le cadre des réformes en cours, les conditions d’obtention </w:t>
      </w:r>
      <w:r>
        <w:rPr>
          <w:rFonts w:ascii="Times New Roman" w:hAnsi="Times New Roman"/>
          <w:b/>
          <w:noProof/>
          <w:sz w:val="24"/>
          <w:lang w:val="fr-BE"/>
        </w:rPr>
        <w:t xml:space="preserve">des prestations de chômage ont été modifiées dans certains cas, pour souvent devenir plus strictes. </w:t>
      </w:r>
      <w:r>
        <w:rPr>
          <w:rFonts w:ascii="Times New Roman" w:hAnsi="Times New Roman"/>
          <w:noProof/>
          <w:sz w:val="24"/>
          <w:lang w:val="fr-BE"/>
        </w:rPr>
        <w:t>En 2018, la Bulgarie a augmenté la prestation de chômage minimale de 7,2 BGN (environ 3,7 EUR) à 9 BGN (4,6 EUR) par jour, avec un maximum de 74,3 BGN (38 E</w:t>
      </w:r>
      <w:r>
        <w:rPr>
          <w:rFonts w:ascii="Times New Roman" w:hAnsi="Times New Roman"/>
          <w:noProof/>
          <w:sz w:val="24"/>
          <w:lang w:val="fr-BE"/>
        </w:rPr>
        <w:t>UR). Dans le même temps, les conditions d’obtention ont été rendues plus strictes: l’assuré doit avoir travaillé pendant au moins 15 des 18 mois précédents, au lieu de 9 mois sur 15 comme c’était le cas auparavant. Ce durcissement devrait toucher les jeune</w:t>
      </w:r>
      <w:r>
        <w:rPr>
          <w:rFonts w:ascii="Times New Roman" w:hAnsi="Times New Roman"/>
          <w:noProof/>
          <w:sz w:val="24"/>
          <w:lang w:val="fr-BE"/>
        </w:rPr>
        <w:t xml:space="preserve">s travailleurs et les personnes les plus susceptibles d’avoir une carrière interrompue, notamment les travailleurs saisonniers et ceux qui occupent un emploi précaire. Dans un autre sens, le Portugal a réduit de 180 à 120 jours la période de garantie pour </w:t>
      </w:r>
      <w:r>
        <w:rPr>
          <w:rFonts w:ascii="Times New Roman" w:hAnsi="Times New Roman"/>
          <w:noProof/>
          <w:sz w:val="24"/>
          <w:lang w:val="fr-BE"/>
        </w:rPr>
        <w:t>l’accès aux prestations de chômage initiales à l’expiration d’un contrat à durée déterminée. En Autriche, un ensemble de mesures vise à réduire le chômage de longue durée en durcissant les règles concernant la mobilité des bénéficiaires de prestations de c</w:t>
      </w:r>
      <w:r>
        <w:rPr>
          <w:rFonts w:ascii="Times New Roman" w:hAnsi="Times New Roman"/>
          <w:noProof/>
          <w:sz w:val="24"/>
          <w:lang w:val="fr-BE"/>
        </w:rPr>
        <w:t>hômage (obligation d’accepter les offres d’emploi même en cas de longs trajets pouvant aller jusqu’à 2,5 heures par jour), en abolissant la prolongation du bénéfice des prestations de chômage pour cause de maladie (sauf en cas d’hospitalisation) et en limi</w:t>
      </w:r>
      <w:r>
        <w:rPr>
          <w:rFonts w:ascii="Times New Roman" w:hAnsi="Times New Roman"/>
          <w:noProof/>
          <w:sz w:val="24"/>
          <w:lang w:val="fr-BE"/>
        </w:rPr>
        <w:t>tant la durée de l’emploi marginal pendant le versement de prestations de chômage. D’une manière générale, il s’agit d’inciter davantage les chômeurs à accepter une offre d’emploi, de réduire le chômage et d’accroître l’efficacité de la politique du marché</w:t>
      </w:r>
      <w:r>
        <w:rPr>
          <w:rFonts w:ascii="Times New Roman" w:hAnsi="Times New Roman"/>
          <w:noProof/>
          <w:sz w:val="24"/>
          <w:lang w:val="fr-BE"/>
        </w:rPr>
        <w:t xml:space="preserve"> du travail.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Certains États membres ont pris des mesures pour promouvoir la mobilité (interne et externe) des travailleurs et des apprenants dans le but de renforcer l’employabilité, d’améliorer le développement des compétences et/ou d’attirer des travail</w:t>
      </w:r>
      <w:r>
        <w:rPr>
          <w:rFonts w:ascii="Times New Roman" w:hAnsi="Times New Roman"/>
          <w:b/>
          <w:noProof/>
          <w:sz w:val="24"/>
          <w:lang w:val="fr-BE"/>
        </w:rPr>
        <w:t xml:space="preserve">leurs étrangers dans des secteurs présentant des pénuries de main-d’œuvre. </w:t>
      </w:r>
      <w:r>
        <w:rPr>
          <w:rFonts w:ascii="Times New Roman" w:hAnsi="Times New Roman"/>
          <w:noProof/>
          <w:sz w:val="24"/>
          <w:lang w:val="fr-BE"/>
        </w:rPr>
        <w:t>En 2018, la Finlande a mis en place des mesures visant à soutenir la mobilité régionale et les déplacements quotidiens des demandeurs d’emploi au chômage, notamment en octroyant une</w:t>
      </w:r>
      <w:r>
        <w:rPr>
          <w:rFonts w:ascii="Times New Roman" w:hAnsi="Times New Roman"/>
          <w:noProof/>
          <w:sz w:val="24"/>
          <w:lang w:val="fr-BE"/>
        </w:rPr>
        <w:t xml:space="preserve"> allocation de mobilité (à présent proposée aussi aux travailleurs à temps partiel qui travaillent moins de 18 heures par semaine et pour des formations liées au travail) et en fournissant des informations ciblées sur l’aide économique à la mobilité. Une a</w:t>
      </w:r>
      <w:r>
        <w:rPr>
          <w:rFonts w:ascii="Times New Roman" w:hAnsi="Times New Roman"/>
          <w:noProof/>
          <w:sz w:val="24"/>
          <w:lang w:val="fr-BE"/>
        </w:rPr>
        <w:t xml:space="preserve">llocation de mobilité plus élevée peut être octroyée dans le cas de trajets exceptionnellement longs. Les partenaires sociaux ont été consultés sur cette réforme. En Lettonie, le soutien à la mobilité des chômeurs a été étendu en 2018 de manière à couvrir </w:t>
      </w:r>
      <w:r>
        <w:rPr>
          <w:rFonts w:ascii="Times New Roman" w:hAnsi="Times New Roman"/>
          <w:noProof/>
          <w:sz w:val="24"/>
          <w:lang w:val="fr-BE"/>
        </w:rPr>
        <w:t>également la capitale (Riga, qui était précédemment exclue). La mesure porte sur la mobilité régionale des personnes qui acceptent une offre d’emploi dans une région autre que la leur, ainsi que des personnes qui font l’objet de certaines mesures de politi</w:t>
      </w:r>
      <w:r>
        <w:rPr>
          <w:rFonts w:ascii="Times New Roman" w:hAnsi="Times New Roman"/>
          <w:noProof/>
          <w:sz w:val="24"/>
          <w:lang w:val="fr-BE"/>
        </w:rPr>
        <w:t>ques actives du marché du travail, dont la garantie pour la jeunesse, l’emploi subventionné et les mesures de formation professionnelle. Des mesures de soutien visant à attirer des professionnels de la santé (médecins et infirmiers) dans les régions autres</w:t>
      </w:r>
      <w:r>
        <w:rPr>
          <w:rFonts w:ascii="Times New Roman" w:hAnsi="Times New Roman"/>
          <w:noProof/>
          <w:sz w:val="24"/>
          <w:lang w:val="fr-BE"/>
        </w:rPr>
        <w:t xml:space="preserve"> que celle de Riga ont démarré en décembre 2017. En outre, une liste de 237 professions exigeant des qualifications élevées, pour lesquelles il existe actuellement une pénurie importante de main-d’œuvre et qui pourraient attirer des ressortissants de pays </w:t>
      </w:r>
      <w:r>
        <w:rPr>
          <w:rFonts w:ascii="Times New Roman" w:hAnsi="Times New Roman"/>
          <w:noProof/>
          <w:sz w:val="24"/>
          <w:lang w:val="fr-BE"/>
        </w:rPr>
        <w:t>tiers, a été approuvée en Lettonie. Certaines conditions préférentielles sont appliquées aux salariés désireux de recevoir une carte bleue européenne dans de tels cas. En Pologne, la création, en 2017, de l’Agence nationale de l’échange universitaire devra</w:t>
      </w:r>
      <w:r>
        <w:rPr>
          <w:rFonts w:ascii="Times New Roman" w:hAnsi="Times New Roman"/>
          <w:noProof/>
          <w:sz w:val="24"/>
          <w:lang w:val="fr-BE"/>
        </w:rPr>
        <w:t>it faciliter l’internationalisation des universités polonaises par un encouragement de la mobilité universitaire, dans un souci de qualité. En Bulgarie, une procédure simplifiée d’autorisation pour la délivrance de la carte bleue à des ressortissants de pa</w:t>
      </w:r>
      <w:r>
        <w:rPr>
          <w:rFonts w:ascii="Times New Roman" w:hAnsi="Times New Roman"/>
          <w:noProof/>
          <w:sz w:val="24"/>
          <w:lang w:val="fr-BE"/>
        </w:rPr>
        <w:t>ys tiers a été approuvée afin de remédier à la pénurie de spécialistes qualifiés observée dans le secteur des technologies de l’information et des communications, d’ingénieurs dans le secteur de la production industrielle et dans d’autres branches pertinen</w:t>
      </w:r>
      <w:r>
        <w:rPr>
          <w:rFonts w:ascii="Times New Roman" w:hAnsi="Times New Roman"/>
          <w:noProof/>
          <w:sz w:val="24"/>
          <w:lang w:val="fr-BE"/>
        </w:rPr>
        <w:t>tes. Les modifications permettront également de délivrer la carte bleue pour une période pouvant aller jusqu’à quatre ans, contre un an seulement auparavant. En Estonie, une modification de la «loi sur les étrangers» prévoit une dérogation aux quotas d’imm</w:t>
      </w:r>
      <w:r>
        <w:rPr>
          <w:rFonts w:ascii="Times New Roman" w:hAnsi="Times New Roman"/>
          <w:noProof/>
          <w:sz w:val="24"/>
          <w:lang w:val="fr-BE"/>
        </w:rPr>
        <w:t>igration dans le cas des spécialistes de très haut niveau et prolonge à 12 mois la période maximale de l’emploi à court terme, sans modifier le quota d’immigration.</w:t>
      </w:r>
    </w:p>
    <w:p w:rsidR="00723CC0" w:rsidRDefault="00242021">
      <w:pPr>
        <w:spacing w:line="360" w:lineRule="auto"/>
        <w:jc w:val="both"/>
        <w:rPr>
          <w:rFonts w:ascii="Times New Roman" w:hAnsi="Times New Roman" w:cs="Times New Roman"/>
          <w:bCs/>
          <w:noProof/>
          <w:sz w:val="24"/>
          <w:szCs w:val="24"/>
          <w:lang w:val="fr-BE"/>
        </w:rPr>
      </w:pPr>
      <w:r>
        <w:rPr>
          <w:rFonts w:ascii="Times New Roman" w:hAnsi="Times New Roman"/>
          <w:b/>
          <w:noProof/>
          <w:sz w:val="24"/>
          <w:lang w:val="fr-BE"/>
        </w:rPr>
        <w:t>La participation des partenaires sociaux nationaux à l’élaboration et à la mise en œuvre de</w:t>
      </w:r>
      <w:r>
        <w:rPr>
          <w:rFonts w:ascii="Times New Roman" w:hAnsi="Times New Roman"/>
          <w:b/>
          <w:noProof/>
          <w:sz w:val="24"/>
          <w:lang w:val="fr-BE"/>
        </w:rPr>
        <w:t>s réformes et des politiques en matière sociale et d’emploi varie d’un État membre à l’autre.</w:t>
      </w:r>
      <w:r>
        <w:rPr>
          <w:rFonts w:ascii="Times New Roman" w:hAnsi="Times New Roman"/>
          <w:noProof/>
          <w:sz w:val="24"/>
          <w:lang w:val="fr-BE"/>
        </w:rPr>
        <w:t xml:space="preserve"> La qualité et les modalités de cette participation traduisent la diversité des cadres institutionnels nationaux et des pratiques en matière de dialogue social, co</w:t>
      </w:r>
      <w:r>
        <w:rPr>
          <w:rFonts w:ascii="Times New Roman" w:hAnsi="Times New Roman"/>
          <w:noProof/>
          <w:sz w:val="24"/>
          <w:lang w:val="fr-BE"/>
        </w:rPr>
        <w:t>mme en témoigne l’absence notable de dialogue significatif en temps utile dans un certain nombre d’États membres. Pour autant, au cours des 18 derniers mois, les partenaires sociaux ont été associés à l’élaboration d’importantes réformes dans plusieurs Éta</w:t>
      </w:r>
      <w:r>
        <w:rPr>
          <w:rFonts w:ascii="Times New Roman" w:hAnsi="Times New Roman"/>
          <w:noProof/>
          <w:sz w:val="24"/>
          <w:lang w:val="fr-BE"/>
        </w:rPr>
        <w:t>ts membres</w:t>
      </w:r>
      <w:r>
        <w:rPr>
          <w:rStyle w:val="FootnoteReference"/>
          <w:rFonts w:ascii="Times New Roman" w:hAnsi="Times New Roman"/>
          <w:noProof/>
          <w:sz w:val="24"/>
        </w:rPr>
        <w:footnoteReference w:id="84"/>
      </w:r>
      <w:r>
        <w:rPr>
          <w:rFonts w:ascii="Times New Roman" w:hAnsi="Times New Roman"/>
          <w:noProof/>
          <w:sz w:val="24"/>
          <w:lang w:val="fr-BE"/>
        </w:rPr>
        <w:t>. De nouvelles législations et mesures relatives au fonctionnement du marché du travail ont été examinées ou adoptées, par exemple en Bulgarie, au Danemark, en Croatie, aux Pays-Bas, au Portugal, en Finlande et en Suède (intégration des migrants</w:t>
      </w:r>
      <w:r>
        <w:rPr>
          <w:rFonts w:ascii="Times New Roman" w:hAnsi="Times New Roman"/>
          <w:noProof/>
          <w:sz w:val="24"/>
          <w:lang w:val="fr-BE"/>
        </w:rPr>
        <w:t>). Comme le montre également la section 3.1, les partenaires sociaux ont négocié des réformes du cadre de fixation des salaires dans un certain nombre de pays. En Estonie, le gouvernement a décidé de rétablir la tenue régulière de réunions tripartites avec</w:t>
      </w:r>
      <w:r>
        <w:rPr>
          <w:rFonts w:ascii="Times New Roman" w:hAnsi="Times New Roman"/>
          <w:noProof/>
          <w:sz w:val="24"/>
          <w:lang w:val="fr-BE"/>
        </w:rPr>
        <w:t xml:space="preserve"> les partenaires sociaux, interrompue depuis 2002. Des négociations relatives à la fixation ou à l’augmentation des salaires minimums ont eu lieu, par exemple en Bulgarie, en Estonie, en Espagne, en Pologne et au Portugal. Les partenaires sociaux ont pris </w:t>
      </w:r>
      <w:r>
        <w:rPr>
          <w:rFonts w:ascii="Times New Roman" w:hAnsi="Times New Roman"/>
          <w:noProof/>
          <w:sz w:val="24"/>
          <w:lang w:val="fr-BE"/>
        </w:rPr>
        <w:t>part aux débats sur des réformes de la protection sociale et/ou des prestations de chômage en Allemagne, en France, en Croatie, au Portugal, en Slovénie et en Finlande, entre autres. Des réformes des politiques existantes ainsi que des politiques nouvelles</w:t>
      </w:r>
      <w:r>
        <w:rPr>
          <w:rFonts w:ascii="Times New Roman" w:hAnsi="Times New Roman"/>
          <w:noProof/>
          <w:sz w:val="24"/>
          <w:lang w:val="fr-BE"/>
        </w:rPr>
        <w:t xml:space="preserve"> en matière d’éducation et d’EFP, de formation, d’apprentissage et d’apprentissage tout au long de la vie ont été étudiées avec le concours des partenaires sociaux en République tchèque, au Danemark, en France, en Lettonie, aux Pays-Bas et en Pologne. </w:t>
      </w:r>
      <w:r>
        <w:rPr>
          <w:noProof/>
          <w:lang w:val="fr-BE"/>
        </w:rPr>
        <w:br w:type="page"/>
      </w:r>
    </w:p>
    <w:p w:rsidR="00723CC0" w:rsidRDefault="00242021">
      <w:pPr>
        <w:pStyle w:val="Heading3"/>
        <w:numPr>
          <w:ilvl w:val="1"/>
          <w:numId w:val="10"/>
        </w:numPr>
        <w:ind w:left="426"/>
        <w:jc w:val="both"/>
        <w:rPr>
          <w:rFonts w:cs="Times New Roman"/>
          <w:b/>
          <w:i w:val="0"/>
          <w:noProof/>
          <w:lang w:val="fr-BE"/>
        </w:rPr>
      </w:pPr>
      <w:bookmarkStart w:id="86" w:name="_Toc527539791"/>
      <w:bookmarkStart w:id="87" w:name="_Toc530495158"/>
      <w:r>
        <w:rPr>
          <w:b/>
          <w:i w:val="0"/>
          <w:noProof/>
          <w:lang w:val="fr-BE"/>
        </w:rPr>
        <w:t>Li</w:t>
      </w:r>
      <w:r>
        <w:rPr>
          <w:b/>
          <w:i w:val="0"/>
          <w:noProof/>
          <w:lang w:val="fr-BE"/>
        </w:rPr>
        <w:t>gne directrice nº 8: Promouvoir l’égalité des chances pour tous, favoriser l’inclusion sociale et combattre la pauvreté</w:t>
      </w:r>
      <w:bookmarkEnd w:id="86"/>
      <w:bookmarkEnd w:id="87"/>
    </w:p>
    <w:p w:rsidR="00723CC0" w:rsidRDefault="00723CC0">
      <w:pPr>
        <w:rPr>
          <w:noProof/>
          <w:lang w:val="fr-BE"/>
        </w:rPr>
      </w:pP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noProof/>
          <w:sz w:val="24"/>
          <w:lang w:val="fr-BE"/>
        </w:rPr>
        <w:t>La présente section examine la mise en œuvre de la ligne directrice sur l’emploi nº 8, qui recommande aux États membres de moderniser l</w:t>
      </w:r>
      <w:r>
        <w:rPr>
          <w:rFonts w:ascii="Times New Roman" w:hAnsi="Times New Roman"/>
          <w:noProof/>
          <w:sz w:val="24"/>
          <w:lang w:val="fr-BE"/>
        </w:rPr>
        <w:t>es systèmes de protection sociale afin de promouvoir l’égalité des chances et de lutter contre la pauvreté et l’exclusion sociale. Elle donne tout d’abord un aperçu de la situation sociale dans les États membres en fonction d’indicateurs clés, notamment le</w:t>
      </w:r>
      <w:r>
        <w:rPr>
          <w:rFonts w:ascii="Times New Roman" w:hAnsi="Times New Roman"/>
          <w:noProof/>
          <w:sz w:val="24"/>
          <w:lang w:val="fr-BE"/>
        </w:rPr>
        <w:t xml:space="preserve"> revenu disponible, les inégalités, la pauvreté et l’inclusion sociale, l’adéquation des pensions, ainsi que l’accès au logement, aux soins de santé et aux soins de longue durée. La section 3.4.2 traite des mesures prises par les États membres dans les dom</w:t>
      </w:r>
      <w:r>
        <w:rPr>
          <w:rFonts w:ascii="Times New Roman" w:hAnsi="Times New Roman"/>
          <w:noProof/>
          <w:sz w:val="24"/>
          <w:lang w:val="fr-BE"/>
        </w:rPr>
        <w:t>aines des systèmes de protection sociale, notamment les régimes de revenu minimum, les prestations familiales, les politiques du logement, les pensions, les soins de longue durée, les soins de santé et l’inclusion des personnes en situation de handicap.</w:t>
      </w:r>
    </w:p>
    <w:p w:rsidR="00723CC0" w:rsidRDefault="00723CC0">
      <w:pPr>
        <w:jc w:val="both"/>
        <w:rPr>
          <w:rFonts w:ascii="Times New Roman" w:hAnsi="Times New Roman" w:cs="Times New Roman"/>
          <w:iCs/>
          <w:noProof/>
          <w:sz w:val="24"/>
          <w:szCs w:val="24"/>
          <w:lang w:val="fr-BE"/>
        </w:rPr>
      </w:pPr>
    </w:p>
    <w:p w:rsidR="00723CC0" w:rsidRDefault="00242021">
      <w:pPr>
        <w:pStyle w:val="Heading3"/>
        <w:rPr>
          <w:noProof/>
          <w:lang w:val="fr-BE"/>
        </w:rPr>
      </w:pPr>
      <w:bookmarkStart w:id="88" w:name="_Toc527539792"/>
      <w:bookmarkStart w:id="89" w:name="_Toc530495159"/>
      <w:r>
        <w:rPr>
          <w:noProof/>
          <w:lang w:val="fr-BE"/>
        </w:rPr>
        <w:t>3.4.1</w:t>
      </w:r>
      <w:r>
        <w:rPr>
          <w:noProof/>
          <w:lang w:val="fr-BE"/>
        </w:rPr>
        <w:tab/>
        <w:t>Indicateurs clés</w:t>
      </w:r>
      <w:bookmarkEnd w:id="88"/>
      <w:bookmarkEnd w:id="89"/>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Les revenus des ménages ont continué d’augmenter dans presque tous les pays de l’UE en 2016</w:t>
      </w:r>
      <w:r>
        <w:rPr>
          <w:rStyle w:val="FootnoteReference"/>
          <w:rFonts w:ascii="Times New Roman" w:hAnsi="Times New Roman"/>
          <w:b/>
          <w:noProof/>
          <w:sz w:val="24"/>
        </w:rPr>
        <w:footnoteReference w:id="85"/>
      </w:r>
      <w:r>
        <w:rPr>
          <w:rFonts w:ascii="Times New Roman" w:hAnsi="Times New Roman"/>
          <w:b/>
          <w:noProof/>
          <w:sz w:val="24"/>
          <w:lang w:val="fr-BE"/>
        </w:rPr>
        <w:t>.</w:t>
      </w:r>
      <w:r>
        <w:rPr>
          <w:rFonts w:ascii="Times New Roman" w:hAnsi="Times New Roman"/>
          <w:noProof/>
          <w:sz w:val="24"/>
          <w:lang w:val="fr-BE"/>
        </w:rPr>
        <w:t xml:space="preserve"> Le revenu réel disponible des ménages (RDBM) par habitant</w:t>
      </w:r>
      <w:r>
        <w:rPr>
          <w:rStyle w:val="FootnoteReference"/>
          <w:rFonts w:ascii="Times New Roman" w:hAnsi="Times New Roman"/>
          <w:noProof/>
          <w:sz w:val="24"/>
        </w:rPr>
        <w:footnoteReference w:id="86"/>
      </w:r>
      <w:r>
        <w:rPr>
          <w:rFonts w:ascii="Times New Roman" w:hAnsi="Times New Roman"/>
          <w:noProof/>
          <w:sz w:val="24"/>
          <w:lang w:val="fr-BE"/>
        </w:rPr>
        <w:t xml:space="preserve"> a augmenté dans tous les États membres à l’exception de la Grèce, où il a quelque peu diminué. En règle générale, les améliorations ont été les plus rapides dans les pays qui ont récemment adhéré à l’UE, tels que la Bulgarie, la Pologne, la Roumanie et la</w:t>
      </w:r>
      <w:r>
        <w:rPr>
          <w:rFonts w:ascii="Times New Roman" w:hAnsi="Times New Roman"/>
          <w:noProof/>
          <w:sz w:val="24"/>
          <w:lang w:val="fr-BE"/>
        </w:rPr>
        <w:t xml:space="preserve"> Lituanie; elles ont été plus lentes dans des États membres plus anciens tels que l’Autriche, l’Italie, la France, la Belgique, le Luxembourg, l’évolution étant même négative en Grèce et au Royaume-Uni. Ces chiffres reflètent le processus de convergence en</w:t>
      </w:r>
      <w:r>
        <w:rPr>
          <w:rFonts w:ascii="Times New Roman" w:hAnsi="Times New Roman"/>
          <w:noProof/>
          <w:sz w:val="24"/>
          <w:lang w:val="fr-BE"/>
        </w:rPr>
        <w:t xml:space="preserve"> cours, la Bulgarie et la Pologne étant actuellement les pays les plus performants à cet égard. Dans un certain nombre de pays, le RDBM réel par habitant reste nettement inférieur aux niveaux d’avant la crise. Tel est le cas, notamment, en Grèce et à Chypr</w:t>
      </w:r>
      <w:r>
        <w:rPr>
          <w:rFonts w:ascii="Times New Roman" w:hAnsi="Times New Roman"/>
          <w:noProof/>
          <w:sz w:val="24"/>
          <w:lang w:val="fr-BE"/>
        </w:rPr>
        <w:t>e, qui affichent, en 2016, un niveau correspondant respectivement à environ 69 % et 82 % de ceux enregistrés en 2008 (les deux pays sont signalés comme connaissant des «situations critiques»). En Italie, en Irlande, en Espagne, en Autriche, en Belgique, au</w:t>
      </w:r>
      <w:r>
        <w:rPr>
          <w:rFonts w:ascii="Times New Roman" w:hAnsi="Times New Roman"/>
          <w:noProof/>
          <w:sz w:val="24"/>
          <w:lang w:val="fr-BE"/>
        </w:rPr>
        <w:t xml:space="preserve"> Portugal (pays dits «à surveiller») et en Slovénie («autour de la moyenne»), le RDBM réel par habitant se situait entre 90 % et 100 % de la valeur de 2008. Dans tous ces pays sauf en Slovénie, le taux de croissance en 2016 est à la traîne par rapport à la</w:t>
      </w:r>
      <w:r>
        <w:rPr>
          <w:rFonts w:ascii="Times New Roman" w:hAnsi="Times New Roman"/>
          <w:noProof/>
          <w:sz w:val="24"/>
          <w:lang w:val="fr-BE"/>
        </w:rPr>
        <w:t xml:space="preserve"> moyenne (non pondérée) de l’UE, voire négatif dans le cas de la Grèce.</w:t>
      </w:r>
    </w:p>
    <w:p w:rsidR="00723CC0" w:rsidRDefault="00242021">
      <w:pPr>
        <w:keepNext/>
        <w:pBdr>
          <w:between w:val="nil"/>
          <w:bar w:val="nil"/>
        </w:pBdr>
        <w:spacing w:before="120" w:after="120" w:line="240" w:lineRule="auto"/>
        <w:jc w:val="both"/>
        <w:rPr>
          <w:rFonts w:ascii="Times New Roman" w:hAnsi="Times New Roman"/>
          <w:b/>
          <w:noProof/>
          <w:sz w:val="24"/>
          <w:szCs w:val="24"/>
          <w:lang w:val="fr-BE"/>
        </w:rPr>
      </w:pPr>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59</w:t>
      </w:r>
      <w:r>
        <w:rPr>
          <w:rFonts w:ascii="Times New Roman" w:hAnsi="Times New Roman"/>
          <w:b/>
          <w:noProof/>
          <w:sz w:val="24"/>
          <w:szCs w:val="24"/>
        </w:rPr>
        <w:fldChar w:fldCharType="end"/>
      </w:r>
      <w:r>
        <w:rPr>
          <w:rFonts w:ascii="Times New Roman" w:hAnsi="Times New Roman"/>
          <w:b/>
          <w:noProof/>
          <w:sz w:val="24"/>
          <w:lang w:val="fr-BE"/>
        </w:rPr>
        <w:t>: RDBM réel par habitant, indice 2008 = 100, et variation annuelle (indicateur clé du tableau de bord social)</w:t>
      </w:r>
    </w:p>
    <w:p w:rsidR="00723CC0" w:rsidRDefault="00242021">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848656" cy="440502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0" y="0"/>
                      <a:ext cx="5856494" cy="4410925"/>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Comptes nationaux</w:t>
      </w:r>
      <w:r>
        <w:rPr>
          <w:rFonts w:ascii="Times New Roman" w:hAnsi="Times New Roman"/>
          <w:noProof/>
          <w:sz w:val="20"/>
          <w:lang w:val="fr-BE"/>
        </w:rPr>
        <w:t xml:space="preserve"> [nasq_10_nf_tr et namq_10_gdp], calculs internes. Période: niveaux de 2016 et variations annuelles par rapport à 2015. Remarque: les axes sont centrés sur la moyenne non pondérée de l’UE. La légende est présentée en annexe. Les données pour la Croatie et </w:t>
      </w:r>
      <w:r>
        <w:rPr>
          <w:rFonts w:ascii="Times New Roman" w:hAnsi="Times New Roman"/>
          <w:noProof/>
          <w:sz w:val="20"/>
          <w:lang w:val="fr-BE"/>
        </w:rPr>
        <w:t>Malte n’étaient pas disponibles au 26 octobre 2018.</w:t>
      </w:r>
    </w:p>
    <w:p w:rsidR="00723CC0" w:rsidRDefault="00723CC0">
      <w:pPr>
        <w:spacing w:line="360" w:lineRule="auto"/>
        <w:contextualSpacing/>
        <w:jc w:val="both"/>
        <w:rPr>
          <w:rFonts w:ascii="Times New Roman" w:hAnsi="Times New Roman" w:cs="Times New Roman"/>
          <w:b/>
          <w:iCs/>
          <w:noProof/>
          <w:sz w:val="24"/>
          <w:szCs w:val="24"/>
          <w:highlight w:val="green"/>
          <w:lang w:val="fr-BE"/>
        </w:rPr>
      </w:pP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Une majorité de pays a connu une nouvelle amélioration importante de la proportion de personnes exposées au risque de pauvreté ou d’exclusion sociale (AROPE) en 2017</w:t>
      </w:r>
      <w:r>
        <w:rPr>
          <w:rStyle w:val="FootnoteReference"/>
          <w:rFonts w:ascii="Times New Roman" w:hAnsi="Times New Roman"/>
          <w:b/>
          <w:noProof/>
          <w:sz w:val="24"/>
        </w:rPr>
        <w:footnoteReference w:id="87"/>
      </w:r>
      <w:r>
        <w:rPr>
          <w:rFonts w:ascii="Times New Roman" w:hAnsi="Times New Roman"/>
          <w:b/>
          <w:noProof/>
          <w:sz w:val="24"/>
          <w:lang w:val="fr-BE"/>
        </w:rPr>
        <w:t xml:space="preserve">. </w:t>
      </w:r>
      <w:r>
        <w:rPr>
          <w:rFonts w:ascii="Times New Roman" w:hAnsi="Times New Roman"/>
          <w:noProof/>
          <w:sz w:val="24"/>
          <w:lang w:val="fr-BE"/>
        </w:rPr>
        <w:t>Les effets de la reprise économique sont devenus visibles, comme en témoigne le recul de la proportion de personnes exposées au risque de pauvreté ou d’exclusion sociale, désormais manifeste dans la quasi-totalité des États membres (voir aussi section 1.2)</w:t>
      </w:r>
      <w:r>
        <w:rPr>
          <w:rFonts w:ascii="Times New Roman" w:hAnsi="Times New Roman"/>
          <w:noProof/>
          <w:sz w:val="24"/>
          <w:lang w:val="fr-BE"/>
        </w:rPr>
        <w:t>. L’amélioration est particulièrement notable en Roumanie, à Chypre et en Pologne, où cette part de la population a diminué de plus de 2 %. À l’inverse, le Danemark, les Pays-Bas et l’Autriche ont enregistré une légère hausse de l’indicateur sur l’année, m</w:t>
      </w:r>
      <w:r>
        <w:rPr>
          <w:rFonts w:ascii="Times New Roman" w:hAnsi="Times New Roman"/>
          <w:noProof/>
          <w:sz w:val="24"/>
          <w:lang w:val="fr-BE"/>
        </w:rPr>
        <w:t>ais à partir d’un niveau peu élevé. La situation reste «critique» en Bulgarie et en Grèce, compte tenu de niveaux toujours très élevés et d’une baisse minime sur l’année écoulée. La corrélation négative entre les tendances et les niveaux (voir graphique 60</w:t>
      </w:r>
      <w:r>
        <w:rPr>
          <w:rFonts w:ascii="Times New Roman" w:hAnsi="Times New Roman"/>
          <w:noProof/>
          <w:sz w:val="24"/>
          <w:lang w:val="fr-BE"/>
        </w:rPr>
        <w:t>) est le signe qu’une convergence s’opère entre les États membres. Parmi les différents groupes d’âge, les jeunes de 18 à 24 ans sont les plus exposés au risque de pauvreté ou d’exclusion sociale, avec un taux de 29,1 %. Des améliorations de cet indicateur</w:t>
      </w:r>
      <w:r>
        <w:rPr>
          <w:rFonts w:ascii="Times New Roman" w:hAnsi="Times New Roman"/>
          <w:noProof/>
          <w:sz w:val="24"/>
          <w:lang w:val="fr-BE"/>
        </w:rPr>
        <w:t xml:space="preserve"> ont été enregistrées dans une majorité d’États membres, reflétant le recul du chômage chez les jeunes. </w:t>
      </w:r>
    </w:p>
    <w:p w:rsidR="00723CC0" w:rsidRDefault="00242021">
      <w:pPr>
        <w:pStyle w:val="caption2"/>
        <w:keepNext/>
        <w:jc w:val="both"/>
        <w:rPr>
          <w:rFonts w:ascii="Times New Roman" w:hAnsi="Times New Roman" w:cs="Times New Roman"/>
          <w:b w:val="0"/>
          <w:noProof/>
          <w:color w:val="auto"/>
          <w:sz w:val="24"/>
          <w:szCs w:val="24"/>
          <w:lang w:val="fr-BE"/>
        </w:rPr>
      </w:pPr>
      <w:bookmarkStart w:id="90" w:name="_Ref527556956"/>
      <w:r>
        <w:rPr>
          <w:rFonts w:ascii="Times New Roman" w:hAnsi="Times New Roman"/>
          <w:noProof/>
          <w:color w:val="auto"/>
          <w:sz w:val="24"/>
          <w:lang w:val="fr-BE"/>
        </w:rPr>
        <w:t xml:space="preserve">Graphique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lang w:val="fr-BE"/>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lang w:val="fr-BE"/>
        </w:rPr>
        <w:t>60</w:t>
      </w:r>
      <w:r>
        <w:rPr>
          <w:rFonts w:ascii="Times New Roman" w:hAnsi="Times New Roman" w:cs="Times New Roman"/>
          <w:noProof/>
          <w:color w:val="auto"/>
          <w:sz w:val="24"/>
          <w:szCs w:val="24"/>
        </w:rPr>
        <w:fldChar w:fldCharType="end"/>
      </w:r>
      <w:bookmarkEnd w:id="90"/>
      <w:r>
        <w:rPr>
          <w:rFonts w:ascii="Times New Roman" w:hAnsi="Times New Roman"/>
          <w:noProof/>
          <w:color w:val="auto"/>
          <w:sz w:val="24"/>
          <w:lang w:val="fr-BE"/>
        </w:rPr>
        <w:t>: Pourcentage de la population exposée au risque de pauvreté ou d’exclusion sociale en 2017 et évolution par rappo</w:t>
      </w:r>
      <w:r>
        <w:rPr>
          <w:rFonts w:ascii="Times New Roman" w:hAnsi="Times New Roman"/>
          <w:noProof/>
          <w:color w:val="auto"/>
          <w:sz w:val="24"/>
          <w:lang w:val="fr-BE"/>
        </w:rPr>
        <w:t>rt à l’année précédente (indicateur clé du tableau de bord social)</w:t>
      </w:r>
    </w:p>
    <w:p w:rsidR="00723CC0" w:rsidRDefault="00242021">
      <w:pPr>
        <w:spacing w:line="360" w:lineRule="auto"/>
        <w:jc w:val="both"/>
        <w:rPr>
          <w:rFonts w:ascii="Times New Roman" w:hAnsi="Times New Roman"/>
          <w:b/>
          <w:noProof/>
          <w:sz w:val="24"/>
        </w:rPr>
      </w:pPr>
      <w:r>
        <w:rPr>
          <w:rFonts w:ascii="Times New Roman" w:hAnsi="Times New Roman"/>
          <w:b/>
          <w:noProof/>
          <w:sz w:val="24"/>
          <w:lang w:val="en-GB" w:eastAsia="en-GB" w:bidi="ar-SA"/>
        </w:rPr>
        <w:drawing>
          <wp:inline distT="0" distB="0" distL="0" distR="0">
            <wp:extent cx="5724939" cy="4511509"/>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5724173" cy="4510906"/>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Eurostat, SILC. Période: niveaux de 2017 et variations annuelles par rapport à 2016. Remarque: les axes sont centrés sur la moyenne non pondérée de l’UE. La légende est présentée </w:t>
      </w:r>
      <w:r>
        <w:rPr>
          <w:rFonts w:ascii="Times New Roman" w:hAnsi="Times New Roman"/>
          <w:noProof/>
          <w:sz w:val="20"/>
          <w:lang w:val="fr-BE"/>
        </w:rPr>
        <w:t>en annexe. Les données pour l’Irlande et le Royaume-Uni n’étaient pas disponibles au 26 octobre 2018.</w:t>
      </w:r>
    </w:p>
    <w:p w:rsidR="00723CC0" w:rsidRDefault="00723CC0">
      <w:pPr>
        <w:spacing w:line="360" w:lineRule="auto"/>
        <w:jc w:val="both"/>
        <w:rPr>
          <w:rFonts w:ascii="Times New Roman" w:hAnsi="Times New Roman"/>
          <w:b/>
          <w:noProof/>
          <w:sz w:val="24"/>
          <w:lang w:val="fr-BE"/>
        </w:rPr>
      </w:pP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 xml:space="preserve">Même s’il est en baisse, le taux de risque de pauvreté ou d’exclusion sociale des enfants (de 0 à 17 ans) reste nettement supérieur à celui de la </w:t>
      </w:r>
      <w:r>
        <w:rPr>
          <w:rFonts w:ascii="Times New Roman" w:hAnsi="Times New Roman"/>
          <w:b/>
          <w:noProof/>
          <w:sz w:val="24"/>
          <w:lang w:val="fr-BE"/>
        </w:rPr>
        <w:t>population totale dans la plupart des États membres.</w:t>
      </w:r>
      <w:r>
        <w:rPr>
          <w:rFonts w:ascii="Times New Roman" w:hAnsi="Times New Roman"/>
          <w:noProof/>
          <w:sz w:val="24"/>
          <w:lang w:val="fr-BE"/>
        </w:rPr>
        <w:t xml:space="preserve"> En 2017, il a diminué dans tous les États membres affichant un niveau supérieur à la moyenne de l’UE (24,5 %). Il reste toutefois particulièrement élevé en Roumanie (41,7 %), en Bulgarie (41,6 %) et en G</w:t>
      </w:r>
      <w:r>
        <w:rPr>
          <w:rFonts w:ascii="Times New Roman" w:hAnsi="Times New Roman"/>
          <w:noProof/>
          <w:sz w:val="24"/>
          <w:lang w:val="fr-BE"/>
        </w:rPr>
        <w:t>rèce (36,2 %). En revanche, dans certains États membres où le niveau de pauvreté des enfants est inférieur à la moyenne, l’évolution a été nettement moindre, ce qui reflète largement la situation des enfants migrants. C’est le cas en Autriche, en Belgique,</w:t>
      </w:r>
      <w:r>
        <w:rPr>
          <w:rFonts w:ascii="Times New Roman" w:hAnsi="Times New Roman"/>
          <w:noProof/>
          <w:sz w:val="24"/>
          <w:lang w:val="fr-BE"/>
        </w:rPr>
        <w:t xml:space="preserve"> en France et en Suède. Dans la tranche d’âge des 25 à 54 ans, le taux a reculé de 1 point pour s’établir à 21,9 %. Les personnes de 55 ans ou plus demeurent, avec un taux de 20,5 %, le groupe le moins susceptible d’être touché par la pauvreté ou l’exclusi</w:t>
      </w:r>
      <w:r>
        <w:rPr>
          <w:rFonts w:ascii="Times New Roman" w:hAnsi="Times New Roman"/>
          <w:noProof/>
          <w:sz w:val="24"/>
          <w:lang w:val="fr-BE"/>
        </w:rPr>
        <w:t xml:space="preserve">on. </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Les personnes issues de l’immigration courent un risque beaucoup plus élevé de pauvreté ou d’exclusion sociale.</w:t>
      </w:r>
      <w:r>
        <w:rPr>
          <w:rFonts w:ascii="Times New Roman" w:hAnsi="Times New Roman"/>
          <w:noProof/>
          <w:sz w:val="24"/>
          <w:lang w:val="fr-BE"/>
        </w:rPr>
        <w:t xml:space="preserve"> En 2017, le taux AROPE était plus de deux fois plus élevé chez les personnes nées en dehors de l’UE que chez les autochtones (41 % contre 2</w:t>
      </w:r>
      <w:r>
        <w:rPr>
          <w:rFonts w:ascii="Times New Roman" w:hAnsi="Times New Roman"/>
          <w:noProof/>
          <w:sz w:val="24"/>
          <w:lang w:val="fr-BE"/>
        </w:rPr>
        <w:t>0,7 %). L’écart est particulièrement important en Belgique (37,1 points de pourcentage), en Suède (29,6 points) et au Danemark (25,8 points); c’est en Pologne (4,6 points), au Portugal (6,8 points) et en République tchèque (7,8 points) qu’il est le plus fa</w:t>
      </w:r>
      <w:r>
        <w:rPr>
          <w:rFonts w:ascii="Times New Roman" w:hAnsi="Times New Roman"/>
          <w:noProof/>
          <w:sz w:val="24"/>
          <w:lang w:val="fr-BE"/>
        </w:rPr>
        <w:t>ible.</w:t>
      </w:r>
    </w:p>
    <w:p w:rsidR="00723CC0" w:rsidRDefault="00242021">
      <w:pPr>
        <w:pStyle w:val="caption2"/>
        <w:keepNext/>
        <w:rPr>
          <w:rFonts w:ascii="Times New Roman" w:hAnsi="Times New Roman"/>
          <w:noProof/>
          <w:color w:val="auto"/>
          <w:sz w:val="24"/>
          <w:szCs w:val="24"/>
          <w:lang w:val="fr-BE"/>
        </w:rPr>
      </w:pPr>
      <w:bookmarkStart w:id="91" w:name="_Ref529518958"/>
      <w:r>
        <w:rPr>
          <w:rFonts w:ascii="Times New Roman" w:hAnsi="Times New Roman"/>
          <w:noProof/>
          <w:color w:val="auto"/>
          <w:sz w:val="24"/>
          <w:lang w:val="fr-BE"/>
        </w:rPr>
        <w:t xml:space="preserve">Graphique </w:t>
      </w:r>
      <w:r>
        <w:rPr>
          <w:rFonts w:ascii="Times New Roman" w:hAnsi="Times New Roman"/>
          <w:noProof/>
          <w:color w:val="auto"/>
          <w:sz w:val="24"/>
          <w:szCs w:val="24"/>
        </w:rPr>
        <w:fldChar w:fldCharType="begin" w:fldLock="1"/>
      </w:r>
      <w:r>
        <w:rPr>
          <w:rFonts w:ascii="Times New Roman" w:hAnsi="Times New Roman"/>
          <w:noProof/>
          <w:color w:val="auto"/>
          <w:sz w:val="24"/>
          <w:szCs w:val="24"/>
          <w:lang w:val="fr-BE"/>
        </w:rPr>
        <w:instrText xml:space="preserve"> SEQ Figure \* ARABIC </w:instrText>
      </w:r>
      <w:r>
        <w:rPr>
          <w:rFonts w:ascii="Times New Roman" w:hAnsi="Times New Roman"/>
          <w:noProof/>
          <w:color w:val="auto"/>
          <w:sz w:val="24"/>
          <w:szCs w:val="24"/>
        </w:rPr>
        <w:fldChar w:fldCharType="separate"/>
      </w:r>
      <w:r>
        <w:rPr>
          <w:rFonts w:ascii="Times New Roman" w:hAnsi="Times New Roman"/>
          <w:noProof/>
          <w:color w:val="auto"/>
          <w:sz w:val="24"/>
          <w:szCs w:val="24"/>
          <w:lang w:val="fr-BE"/>
        </w:rPr>
        <w:t>61</w:t>
      </w:r>
      <w:r>
        <w:rPr>
          <w:rFonts w:ascii="Times New Roman" w:hAnsi="Times New Roman"/>
          <w:noProof/>
          <w:color w:val="auto"/>
          <w:sz w:val="24"/>
          <w:szCs w:val="24"/>
        </w:rPr>
        <w:fldChar w:fldCharType="end"/>
      </w:r>
      <w:bookmarkEnd w:id="91"/>
      <w:r>
        <w:rPr>
          <w:rFonts w:ascii="Times New Roman" w:hAnsi="Times New Roman"/>
          <w:noProof/>
          <w:color w:val="auto"/>
          <w:sz w:val="24"/>
          <w:lang w:val="fr-BE"/>
        </w:rPr>
        <w:t>: Sous-indicateurs du taux de risque de pauvreté ou d’exclusion sociale</w:t>
      </w:r>
    </w:p>
    <w:p w:rsidR="00723CC0" w:rsidRDefault="00242021">
      <w:pPr>
        <w:rPr>
          <w:noProof/>
        </w:rPr>
      </w:pPr>
      <w:r>
        <w:rPr>
          <w:noProof/>
          <w:lang w:val="en-GB" w:eastAsia="en-GB" w:bidi="ar-SA"/>
        </w:rPr>
        <w:drawing>
          <wp:inline distT="0" distB="0" distL="0" distR="0">
            <wp:extent cx="5760720" cy="4353132"/>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0" y="0"/>
                      <a:ext cx="5760720" cy="4353132"/>
                    </a:xfrm>
                    <a:prstGeom prst="rect">
                      <a:avLst/>
                    </a:prstGeom>
                    <a:noFill/>
                    <a:ln>
                      <a:noFill/>
                    </a:ln>
                  </pic:spPr>
                </pic:pic>
              </a:graphicData>
            </a:graphic>
          </wp:inline>
        </w:drawing>
      </w:r>
    </w:p>
    <w:p w:rsidR="00723CC0" w:rsidRDefault="00242021">
      <w:pPr>
        <w:jc w:val="both"/>
        <w:rPr>
          <w:noProof/>
          <w:lang w:val="fr-BE"/>
        </w:rPr>
      </w:pPr>
      <w:r>
        <w:rPr>
          <w:rFonts w:ascii="Times New Roman" w:hAnsi="Times New Roman"/>
          <w:noProof/>
          <w:lang w:val="fr-BE"/>
        </w:rPr>
        <w:t>Source: Eurostat, SILC. Remarque: les indicateurs sont classés par risque de pauvreté ou d’exclusion sociale en 2017. Les données de 2017 p</w:t>
      </w:r>
      <w:r>
        <w:rPr>
          <w:rFonts w:ascii="Times New Roman" w:hAnsi="Times New Roman"/>
          <w:noProof/>
          <w:lang w:val="fr-BE"/>
        </w:rPr>
        <w:t>our l’Irlande et le Royaume-Uni n’étaient pas disponibles au 26 octobre 2018. Les valeurs EU-27 sont utilisées pour 2008 (données non disponibles pour la Croatie).</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La part de la population de l’UE exposée au risque de pauvreté a diminué en 2017 dans une ma</w:t>
      </w:r>
      <w:r>
        <w:rPr>
          <w:rFonts w:ascii="Times New Roman" w:hAnsi="Times New Roman"/>
          <w:b/>
          <w:noProof/>
          <w:sz w:val="24"/>
          <w:lang w:val="fr-BE"/>
        </w:rPr>
        <w:t>jorité d’États membres, après trois ans de stabilité</w:t>
      </w:r>
      <w:r>
        <w:rPr>
          <w:noProof/>
          <w:lang w:val="fr-BE"/>
        </w:rPr>
        <w:t>.</w:t>
      </w:r>
      <w:r>
        <w:rPr>
          <w:rFonts w:ascii="Times New Roman" w:hAnsi="Times New Roman"/>
          <w:noProof/>
          <w:sz w:val="24"/>
          <w:lang w:val="fr-BE"/>
        </w:rPr>
        <w:t xml:space="preserve"> Les baisses les plus importantes ont été enregistrées en Pologne (-2,3 points de pourcentage), en Roumanie (1,7 point) et en Hongrie (-1,1 point). À l’inverse, l’indicateur a augmenté au Luxembourg (+2,2 points), en Lituanie (+1,0 point), en Bulgarie (+0,</w:t>
      </w:r>
      <w:r>
        <w:rPr>
          <w:rFonts w:ascii="Times New Roman" w:hAnsi="Times New Roman"/>
          <w:noProof/>
          <w:sz w:val="24"/>
          <w:lang w:val="fr-BE"/>
        </w:rPr>
        <w:t>5 point) et aux Pays-Bas (+0,5 point). Dans tous les États membres sauf six, la proportion de personnes exposées au risque de pauvreté demeure, en 2017, supérieure au niveau d’avant la crise (2008) (graphique 61). D’après les estimations rapides d’Eurostat</w:t>
      </w:r>
      <w:r>
        <w:rPr>
          <w:rFonts w:ascii="Times New Roman" w:hAnsi="Times New Roman"/>
          <w:noProof/>
          <w:sz w:val="24"/>
          <w:lang w:val="fr-BE"/>
        </w:rPr>
        <w:t xml:space="preserve">, le taux de risque de pauvreté ou d’exclusion sociale semble continuer à reculer en Grèce, en Roumanie et au Portugal, mais augmenter au Royaume-Uni. </w:t>
      </w:r>
    </w:p>
    <w:p w:rsidR="00723CC0" w:rsidRDefault="00242021">
      <w:pPr>
        <w:spacing w:line="360" w:lineRule="auto"/>
        <w:jc w:val="both"/>
        <w:rPr>
          <w:rFonts w:ascii="Times New Roman" w:hAnsi="Times New Roman" w:cs="Times New Roman"/>
          <w:b/>
          <w:iCs/>
          <w:noProof/>
          <w:sz w:val="24"/>
          <w:szCs w:val="24"/>
          <w:lang w:val="fr-BE"/>
        </w:rPr>
      </w:pPr>
      <w:r>
        <w:rPr>
          <w:rFonts w:ascii="Times New Roman" w:hAnsi="Times New Roman"/>
          <w:b/>
          <w:noProof/>
          <w:sz w:val="24"/>
          <w:lang w:val="fr-BE"/>
        </w:rPr>
        <w:t xml:space="preserve">Le taux de privation matérielle grave a atteint son plus bas niveau jamais enregistré. </w:t>
      </w:r>
      <w:r>
        <w:rPr>
          <w:rFonts w:ascii="Times New Roman" w:hAnsi="Times New Roman"/>
          <w:noProof/>
          <w:sz w:val="24"/>
          <w:lang w:val="fr-BE"/>
        </w:rPr>
        <w:t xml:space="preserve">Presque tous les </w:t>
      </w:r>
      <w:r>
        <w:rPr>
          <w:rFonts w:ascii="Times New Roman" w:hAnsi="Times New Roman"/>
          <w:noProof/>
          <w:sz w:val="24"/>
          <w:lang w:val="fr-BE"/>
        </w:rPr>
        <w:t>États membres ont enregistré une diminution en 2017. La Roumanie se distingue par la plus forte réduction annuelle, qui s’élève à 4,1 points de pourcentage. Des différences significatives persistent entre les États membres: la Finlande et les Pays-Bas affi</w:t>
      </w:r>
      <w:r>
        <w:rPr>
          <w:rFonts w:ascii="Times New Roman" w:hAnsi="Times New Roman"/>
          <w:noProof/>
          <w:sz w:val="24"/>
          <w:lang w:val="fr-BE"/>
        </w:rPr>
        <w:t>chent des taux de privation matérielle grave inférieurs à 3 %, tandis qu’à l’autre extrême, ce taux est de 30 % en Bulgarie, de 21,1 % en Grèce et de 19,4 % en Roumanie. La proportion de femmes souffrant de privation matérielle grave (6,9 %) est légèrement</w:t>
      </w:r>
      <w:r>
        <w:rPr>
          <w:rFonts w:ascii="Times New Roman" w:hAnsi="Times New Roman"/>
          <w:noProof/>
          <w:sz w:val="24"/>
          <w:lang w:val="fr-BE"/>
        </w:rPr>
        <w:t xml:space="preserve"> plus élevée que celle des hommes (6,4 %). L’indicateur recule dans tous les groupes d’âge, les jeunes de 18 à 24 ans étant toujours les plus susceptibles de se trouver dans une situation de privation matérielle grave (7,9 %); viennent ensuite les enfants </w:t>
      </w:r>
      <w:r>
        <w:rPr>
          <w:rFonts w:ascii="Times New Roman" w:hAnsi="Times New Roman"/>
          <w:noProof/>
          <w:sz w:val="24"/>
          <w:lang w:val="fr-BE"/>
        </w:rPr>
        <w:t xml:space="preserve">de 0 à 17 ans (7,2 %), les adultes de 25 à 54 ans (6,7 %) et les personnes âgées de plus de 65 ans (6,3 %). </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 xml:space="preserve">La part de la population vivant dans des ménages quasiment sans emploi s’est encore réduite. </w:t>
      </w:r>
      <w:r>
        <w:rPr>
          <w:rFonts w:ascii="Times New Roman" w:hAnsi="Times New Roman"/>
          <w:noProof/>
          <w:sz w:val="24"/>
          <w:lang w:val="fr-BE"/>
        </w:rPr>
        <w:t>Dans 20 États membres, la part de la population âgée d</w:t>
      </w:r>
      <w:r>
        <w:rPr>
          <w:rFonts w:ascii="Times New Roman" w:hAnsi="Times New Roman"/>
          <w:noProof/>
          <w:sz w:val="24"/>
          <w:lang w:val="fr-BE"/>
        </w:rPr>
        <w:t>e 0 à 59 ans vivant dans un ménage où les adultes travaillent moins de 20 % de leur potentiel a diminué en 2017. Toutefois, en dépit des améliorations, seuls 9 États membres affichent un indicateur inférieur au niveau d’avant la crise. Les réductions les p</w:t>
      </w:r>
      <w:r>
        <w:rPr>
          <w:rFonts w:ascii="Times New Roman" w:hAnsi="Times New Roman"/>
          <w:noProof/>
          <w:sz w:val="24"/>
          <w:lang w:val="fr-BE"/>
        </w:rPr>
        <w:t>lus importantes d’une année sur l’autre ont été enregistrées en Espagne (-2,1 points de pourcentage), en Grèce (-1,6 point) et en Roumanie (</w:t>
      </w:r>
      <w:r>
        <w:rPr>
          <w:noProof/>
          <w:lang w:val="fr-BE"/>
        </w:rPr>
        <w:noBreakHyphen/>
      </w:r>
      <w:r>
        <w:rPr>
          <w:rFonts w:ascii="Times New Roman" w:hAnsi="Times New Roman"/>
          <w:noProof/>
          <w:sz w:val="24"/>
          <w:lang w:val="fr-BE"/>
        </w:rPr>
        <w:t>1,3 point). Dans le même temps, le risque de pauvreté auquel sont exposés ceux qui vivent dans des ménages quasimen</w:t>
      </w:r>
      <w:r>
        <w:rPr>
          <w:rFonts w:ascii="Times New Roman" w:hAnsi="Times New Roman"/>
          <w:noProof/>
          <w:sz w:val="24"/>
          <w:lang w:val="fr-BE"/>
        </w:rPr>
        <w:t xml:space="preserve">t sans emploi continue d’augmenter dans une majorité d’États membres, atteignant 79,9 % en Slovaquie, 78,2 % en Lituanie et 77,8 % en Lettonie.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Réduire le taux de travailleurs pauvres reste un enjeu. </w:t>
      </w:r>
      <w:r>
        <w:rPr>
          <w:rFonts w:ascii="Times New Roman" w:hAnsi="Times New Roman"/>
          <w:noProof/>
          <w:sz w:val="24"/>
          <w:lang w:val="fr-BE"/>
        </w:rPr>
        <w:t>Comme l’indique aussi la section 3.1, malgré une réduct</w:t>
      </w:r>
      <w:r>
        <w:rPr>
          <w:rFonts w:ascii="Times New Roman" w:hAnsi="Times New Roman"/>
          <w:noProof/>
          <w:sz w:val="24"/>
          <w:lang w:val="fr-BE"/>
        </w:rPr>
        <w:t>ion globale du taux de risque de pauvreté, la proportion de travailleurs exposés à ce risque est restée stable en 2017. Plus d’une personne sur dix ayant un travail était menacée de pauvreté dans sept États membres. Même s’il est en baisse, ce taux était l</w:t>
      </w:r>
      <w:r>
        <w:rPr>
          <w:rFonts w:ascii="Times New Roman" w:hAnsi="Times New Roman"/>
          <w:noProof/>
          <w:sz w:val="24"/>
          <w:lang w:val="fr-BE"/>
        </w:rPr>
        <w:t>e plus élevé en Roumanie (17,4 % en 2017 contre 19,7 % en 2014), où la précarité de l’emploi non salarié demeure un facteur clé. Des taux élevés ont également été observés au Luxembourg (13,7 %) et en Espagne (13,1 %), où l’un des principaux facteurs était</w:t>
      </w:r>
      <w:r>
        <w:rPr>
          <w:rFonts w:ascii="Times New Roman" w:hAnsi="Times New Roman"/>
          <w:noProof/>
          <w:sz w:val="24"/>
          <w:lang w:val="fr-BE"/>
        </w:rPr>
        <w:t xml:space="preserve"> le risque de pauvreté auquel sont exposés les travailleurs sous contrat temporaire. À l’inverse, trois pays affichent un taux de pauvreté des travailleurs inférieur à 5 % (Finlande, République tchèque et Irlande).</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L’intensité de la pauvreté a diminué pour</w:t>
      </w:r>
      <w:r>
        <w:rPr>
          <w:rFonts w:ascii="Times New Roman" w:hAnsi="Times New Roman"/>
          <w:b/>
          <w:noProof/>
          <w:sz w:val="24"/>
          <w:lang w:val="fr-BE"/>
        </w:rPr>
        <w:t xml:space="preserve"> la première fois depuis 2008, mais reste élevée par rapport aux niveaux d’avant la crise. </w:t>
      </w:r>
      <w:r>
        <w:rPr>
          <w:rFonts w:ascii="Times New Roman" w:hAnsi="Times New Roman"/>
          <w:noProof/>
          <w:sz w:val="24"/>
          <w:lang w:val="fr-BE"/>
        </w:rPr>
        <w:t>L’écart relatif de risque de pauvreté, qui mesure l’écart moyen par rapport au seuil de pauvreté pour les personnes menacées de pauvreté</w:t>
      </w:r>
      <w:bookmarkStart w:id="92" w:name="_Ref529521272"/>
      <w:r>
        <w:rPr>
          <w:rStyle w:val="FootnoteReference"/>
          <w:rFonts w:ascii="Times New Roman" w:hAnsi="Times New Roman"/>
          <w:noProof/>
          <w:sz w:val="24"/>
        </w:rPr>
        <w:footnoteReference w:id="88"/>
      </w:r>
      <w:bookmarkEnd w:id="92"/>
      <w:r>
        <w:rPr>
          <w:rFonts w:ascii="Times New Roman" w:hAnsi="Times New Roman"/>
          <w:noProof/>
          <w:sz w:val="24"/>
          <w:lang w:val="fr-BE"/>
        </w:rPr>
        <w:t>, a généralement augmenté da</w:t>
      </w:r>
      <w:r>
        <w:rPr>
          <w:rFonts w:ascii="Times New Roman" w:hAnsi="Times New Roman"/>
          <w:noProof/>
          <w:sz w:val="24"/>
          <w:lang w:val="fr-BE"/>
        </w:rPr>
        <w:t>ns la plupart des États membres depuis la fin de la crise. Cependant, sur l’année 2017, ce chiffre a diminué dans 11 États membres et est resté globalement stable pour 5 autres, passant en moyenne de 26,2 % à 25,4 %. Le changement s’explique par des amélio</w:t>
      </w:r>
      <w:r>
        <w:rPr>
          <w:rFonts w:ascii="Times New Roman" w:hAnsi="Times New Roman"/>
          <w:noProof/>
          <w:sz w:val="24"/>
          <w:lang w:val="fr-BE"/>
        </w:rPr>
        <w:t>rations en ce qui concerne l’intensité de la pauvreté pour la population en âge de travailler et en particulier pour les enfants. Le taux reste élevé (supérieur à 30 %), principalement en Roumanie, en Espagne, en Bulgarie et en Grèce. En revanche, l’intens</w:t>
      </w:r>
      <w:r>
        <w:rPr>
          <w:rFonts w:ascii="Times New Roman" w:hAnsi="Times New Roman"/>
          <w:noProof/>
          <w:sz w:val="24"/>
          <w:lang w:val="fr-BE"/>
        </w:rPr>
        <w:t xml:space="preserve">ité de la pauvreté à laquelle sont confrontées les personnes de 65 ans ou plus est restée stable. Les améliorations les plus importantes ont été constatées en Italie, en Hongrie et en Roumanie. </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 xml:space="preserve">Les personnes handicapées sont beaucoup plus susceptibles d’être exposées au risque de pauvreté ou d’exclusion sociale que les personnes non handicapées. </w:t>
      </w:r>
      <w:r>
        <w:rPr>
          <w:rFonts w:ascii="Times New Roman" w:hAnsi="Times New Roman"/>
          <w:noProof/>
          <w:sz w:val="24"/>
          <w:lang w:val="fr-BE"/>
        </w:rPr>
        <w:t>En 2016, 30,1 % des personnes handicapées dans l’UE étaient exposées au risque de pauvreté ou d’exclus</w:t>
      </w:r>
      <w:r>
        <w:rPr>
          <w:rFonts w:ascii="Times New Roman" w:hAnsi="Times New Roman"/>
          <w:noProof/>
          <w:sz w:val="24"/>
          <w:lang w:val="fr-BE"/>
        </w:rPr>
        <w:t>ion sociale, alors que ce pourcentage n’est que de 20,9 % pour les personnes non handicapées</w:t>
      </w:r>
      <w:r>
        <w:rPr>
          <w:rStyle w:val="FootnoteReference"/>
          <w:rFonts w:ascii="Times New Roman" w:hAnsi="Times New Roman"/>
          <w:noProof/>
          <w:sz w:val="24"/>
        </w:rPr>
        <w:footnoteReference w:id="89"/>
      </w:r>
      <w:r>
        <w:rPr>
          <w:rFonts w:ascii="Times New Roman" w:hAnsi="Times New Roman"/>
          <w:noProof/>
          <w:sz w:val="24"/>
          <w:lang w:val="fr-BE"/>
        </w:rPr>
        <w:t>, ce qui correspond à un écart de 9,2 points de pourcentage. L’écart est plus prononcé encore dans le cas des personnes en âge de travailler (de 16 à 64 ans), grou</w:t>
      </w:r>
      <w:r>
        <w:rPr>
          <w:rFonts w:ascii="Times New Roman" w:hAnsi="Times New Roman"/>
          <w:noProof/>
          <w:sz w:val="24"/>
          <w:lang w:val="fr-BE"/>
        </w:rPr>
        <w:t>pe dans lequel 37,6 % des personnes handicapées étaient exposées au risque de pauvreté ou d’exclusion sociale en 2016, tandis qu’en ce qui concerne les personnes handicapées de plus de 65 ans, la proportion était de 21 %</w:t>
      </w:r>
      <w:r>
        <w:rPr>
          <w:rStyle w:val="FootnoteReference"/>
          <w:rFonts w:ascii="Times New Roman" w:hAnsi="Times New Roman"/>
          <w:noProof/>
          <w:sz w:val="24"/>
        </w:rPr>
        <w:footnoteReference w:id="90"/>
      </w:r>
      <w:r>
        <w:rPr>
          <w:rFonts w:ascii="Times New Roman" w:hAnsi="Times New Roman"/>
          <w:noProof/>
          <w:sz w:val="24"/>
          <w:lang w:val="fr-BE"/>
        </w:rPr>
        <w:t>. La gravité du handicap est un fac</w:t>
      </w:r>
      <w:r>
        <w:rPr>
          <w:rFonts w:ascii="Times New Roman" w:hAnsi="Times New Roman"/>
          <w:noProof/>
          <w:sz w:val="24"/>
          <w:lang w:val="fr-BE"/>
        </w:rPr>
        <w:t>teur explicatif très important; en 2015, 36,1 % des personnes âgées de 16 ans ou plus souffrant d’un handicap grave dans l’UE étaient exposées au risque de pauvreté ou d’exclusion sociale, contre 27,4 % des personnes présentant un handicap modéré et 20,8 %</w:t>
      </w:r>
      <w:r>
        <w:rPr>
          <w:rFonts w:ascii="Times New Roman" w:hAnsi="Times New Roman"/>
          <w:noProof/>
          <w:sz w:val="24"/>
          <w:lang w:val="fr-BE"/>
        </w:rPr>
        <w:t xml:space="preserve"> des personnes non handicapées.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Les inégalités de revenus ont diminué légèrement en 2017 pour la première fois depuis la crise. </w:t>
      </w:r>
      <w:r>
        <w:rPr>
          <w:rFonts w:ascii="Times New Roman" w:hAnsi="Times New Roman"/>
          <w:noProof/>
          <w:sz w:val="24"/>
          <w:lang w:val="fr-BE"/>
        </w:rPr>
        <w:t>La part du revenu des 20 % de personnes les plus riches par rapport à celle des 20 % les plus pauvres s’est réduite dans la maj</w:t>
      </w:r>
      <w:r>
        <w:rPr>
          <w:rFonts w:ascii="Times New Roman" w:hAnsi="Times New Roman"/>
          <w:noProof/>
          <w:sz w:val="24"/>
          <w:lang w:val="fr-BE"/>
        </w:rPr>
        <w:t>orité des États membres (graphique 62), alors que la plupart d’entre eux continuaient d’afficher, en 2017, des rapports interquintiles de revenu supérieurs aux niveaux de 2008. En 2017, l’inégalité des revenus est la plus forte – avec des taux S80/S20 supé</w:t>
      </w:r>
      <w:r>
        <w:rPr>
          <w:rFonts w:ascii="Times New Roman" w:hAnsi="Times New Roman"/>
          <w:noProof/>
          <w:sz w:val="24"/>
          <w:lang w:val="fr-BE"/>
        </w:rPr>
        <w:t>rieurs à 6 – en Lettonie, en Estonie, en Lituanie et en Bulgarie (tous ces pays présentant des «situations critiques», avec une augmentation considérable dans le dernier pays mentionné). Tandis que les niveaux affichés demeurent élevés, des diminutions sig</w:t>
      </w:r>
      <w:r>
        <w:rPr>
          <w:rFonts w:ascii="Times New Roman" w:hAnsi="Times New Roman"/>
          <w:noProof/>
          <w:sz w:val="24"/>
          <w:lang w:val="fr-BE"/>
        </w:rPr>
        <w:t xml:space="preserve">nificatives sont observées en Roumanie, en Grèce et en Italie («faible, mais en voie d’amélioration»). Les améliorations sont dues à une augmentation plus rapide des revenus des ménages pauvres par rapport à la médiane dans 10 États membres, ce qui dénote </w:t>
      </w:r>
      <w:r>
        <w:rPr>
          <w:rFonts w:ascii="Times New Roman" w:hAnsi="Times New Roman"/>
          <w:noProof/>
          <w:sz w:val="24"/>
          <w:lang w:val="fr-BE"/>
        </w:rPr>
        <w:t xml:space="preserve">que la reprise a commencé à bénéficier aux plus vulnérables. </w:t>
      </w:r>
    </w:p>
    <w:p w:rsidR="00723CC0" w:rsidRDefault="00723CC0">
      <w:pPr>
        <w:spacing w:line="360" w:lineRule="auto"/>
        <w:jc w:val="both"/>
        <w:rPr>
          <w:rFonts w:ascii="Times New Roman" w:hAnsi="Times New Roman"/>
          <w:noProof/>
          <w:sz w:val="24"/>
          <w:szCs w:val="24"/>
          <w:lang w:val="fr-BE"/>
        </w:rPr>
      </w:pPr>
    </w:p>
    <w:p w:rsidR="00723CC0" w:rsidRDefault="00242021">
      <w:pPr>
        <w:pStyle w:val="caption2"/>
        <w:keepNext/>
        <w:rPr>
          <w:rFonts w:ascii="Times New Roman" w:hAnsi="Times New Roman"/>
          <w:noProof/>
          <w:color w:val="auto"/>
          <w:sz w:val="24"/>
          <w:szCs w:val="24"/>
          <w:lang w:val="fr-BE"/>
        </w:rPr>
      </w:pPr>
      <w:bookmarkStart w:id="93" w:name="_Ref494719013"/>
      <w:r>
        <w:rPr>
          <w:rFonts w:ascii="Times New Roman" w:hAnsi="Times New Roman"/>
          <w:noProof/>
          <w:color w:val="auto"/>
          <w:sz w:val="24"/>
          <w:lang w:val="fr-BE"/>
        </w:rPr>
        <w:t xml:space="preserve">Graphique </w:t>
      </w:r>
      <w:r>
        <w:rPr>
          <w:rFonts w:ascii="Times New Roman" w:hAnsi="Times New Roman"/>
          <w:noProof/>
          <w:color w:val="auto"/>
          <w:sz w:val="24"/>
          <w:szCs w:val="24"/>
        </w:rPr>
        <w:fldChar w:fldCharType="begin" w:fldLock="1"/>
      </w:r>
      <w:r>
        <w:rPr>
          <w:rFonts w:ascii="Times New Roman" w:hAnsi="Times New Roman"/>
          <w:noProof/>
          <w:color w:val="auto"/>
          <w:sz w:val="24"/>
          <w:szCs w:val="24"/>
          <w:lang w:val="fr-BE"/>
        </w:rPr>
        <w:instrText xml:space="preserve"> SEQ Figure \* ARABIC </w:instrText>
      </w:r>
      <w:r>
        <w:rPr>
          <w:rFonts w:ascii="Times New Roman" w:hAnsi="Times New Roman"/>
          <w:noProof/>
          <w:color w:val="auto"/>
          <w:sz w:val="24"/>
          <w:szCs w:val="24"/>
        </w:rPr>
        <w:fldChar w:fldCharType="separate"/>
      </w:r>
      <w:r>
        <w:rPr>
          <w:rFonts w:ascii="Times New Roman" w:hAnsi="Times New Roman"/>
          <w:noProof/>
          <w:color w:val="auto"/>
          <w:sz w:val="24"/>
          <w:szCs w:val="24"/>
          <w:lang w:val="fr-BE"/>
        </w:rPr>
        <w:t>62</w:t>
      </w:r>
      <w:r>
        <w:rPr>
          <w:rFonts w:ascii="Times New Roman" w:hAnsi="Times New Roman"/>
          <w:noProof/>
          <w:color w:val="auto"/>
          <w:sz w:val="24"/>
          <w:szCs w:val="24"/>
        </w:rPr>
        <w:fldChar w:fldCharType="end"/>
      </w:r>
      <w:bookmarkEnd w:id="93"/>
      <w:r>
        <w:rPr>
          <w:rFonts w:ascii="Times New Roman" w:hAnsi="Times New Roman"/>
          <w:noProof/>
          <w:color w:val="auto"/>
          <w:sz w:val="24"/>
          <w:lang w:val="fr-BE"/>
        </w:rPr>
        <w:t xml:space="preserve">: Rapport interquintile de revenu et variation annuelle (indicateur clé du tableau de bord social) </w:t>
      </w:r>
    </w:p>
    <w:p w:rsidR="00723CC0" w:rsidRDefault="00242021">
      <w:pPr>
        <w:spacing w:line="360" w:lineRule="auto"/>
        <w:jc w:val="both"/>
        <w:rPr>
          <w:rFonts w:ascii="Times New Roman" w:hAnsi="Times New Roman"/>
          <w:b/>
          <w:noProof/>
          <w:sz w:val="24"/>
        </w:rPr>
      </w:pPr>
      <w:r>
        <w:rPr>
          <w:rFonts w:ascii="Times New Roman" w:hAnsi="Times New Roman"/>
          <w:b/>
          <w:noProof/>
          <w:sz w:val="24"/>
          <w:lang w:val="en-GB" w:eastAsia="en-GB" w:bidi="ar-SA"/>
        </w:rPr>
        <w:drawing>
          <wp:inline distT="0" distB="0" distL="0" distR="0">
            <wp:extent cx="5697364" cy="45401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email">
                      <a:extLst>
                        <a:ext uri="{28A0092B-C50C-407E-A947-70E740481C1C}">
                          <a14:useLocalDpi xmlns:a14="http://schemas.microsoft.com/office/drawing/2010/main" val="0"/>
                        </a:ext>
                      </a:extLst>
                    </a:blip>
                    <a:srcRect/>
                    <a:stretch>
                      <a:fillRect/>
                    </a:stretch>
                  </pic:blipFill>
                  <pic:spPr bwMode="auto">
                    <a:xfrm>
                      <a:off x="0" y="0"/>
                      <a:ext cx="5701330" cy="4543355"/>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Source: Eurostat, SILC. Période: niveaux de 2017 et </w:t>
      </w:r>
      <w:r>
        <w:rPr>
          <w:rFonts w:ascii="Times New Roman" w:hAnsi="Times New Roman"/>
          <w:noProof/>
          <w:sz w:val="20"/>
          <w:lang w:val="fr-BE"/>
        </w:rPr>
        <w:t>variations annuelles par rapport à 2016. Remarque: les axes sont centrés sur la moyenne non pondérée de l’UE. La légende est présentée en annexe. Les données pour l’Irlande et le Royaume-Uni n’étaient pas disponibles au 26 octobre 2018.</w:t>
      </w:r>
    </w:p>
    <w:p w:rsidR="00723CC0" w:rsidRDefault="00723CC0">
      <w:pPr>
        <w:spacing w:line="360" w:lineRule="auto"/>
        <w:jc w:val="both"/>
        <w:rPr>
          <w:rFonts w:ascii="Times New Roman" w:hAnsi="Times New Roman"/>
          <w:b/>
          <w:noProof/>
          <w:sz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Les dépenses de pr</w:t>
      </w:r>
      <w:r>
        <w:rPr>
          <w:rFonts w:ascii="Times New Roman" w:hAnsi="Times New Roman"/>
          <w:b/>
          <w:noProof/>
          <w:sz w:val="24"/>
          <w:lang w:val="fr-BE"/>
        </w:rPr>
        <w:t>otection sociale ont continué à augmenter dans tous les États membres, bien que d’importantes différences subsistent d’un pays à l’autre</w:t>
      </w:r>
      <w:r>
        <w:rPr>
          <w:rStyle w:val="FootnoteReference"/>
          <w:rFonts w:ascii="Times New Roman" w:hAnsi="Times New Roman"/>
          <w:b/>
          <w:noProof/>
          <w:sz w:val="24"/>
        </w:rPr>
        <w:footnoteReference w:id="91"/>
      </w:r>
      <w:r>
        <w:rPr>
          <w:rFonts w:ascii="Times New Roman" w:hAnsi="Times New Roman"/>
          <w:b/>
          <w:noProof/>
          <w:sz w:val="24"/>
          <w:lang w:val="fr-BE"/>
        </w:rPr>
        <w:t xml:space="preserve">. </w:t>
      </w:r>
      <w:r>
        <w:rPr>
          <w:rFonts w:ascii="Times New Roman" w:hAnsi="Times New Roman"/>
          <w:noProof/>
          <w:sz w:val="24"/>
          <w:lang w:val="fr-BE"/>
        </w:rPr>
        <w:t>En termes réels, les dépenses de protection sociale ont augmenté dans tous les États membres entre 2014 et 2015</w:t>
      </w:r>
      <w:r>
        <w:rPr>
          <w:rStyle w:val="FootnoteReference"/>
          <w:rFonts w:ascii="Times New Roman" w:hAnsi="Times New Roman"/>
          <w:noProof/>
          <w:sz w:val="24"/>
        </w:rPr>
        <w:footnoteReference w:id="92"/>
      </w:r>
      <w:r>
        <w:rPr>
          <w:rFonts w:ascii="Times New Roman" w:hAnsi="Times New Roman"/>
          <w:noProof/>
          <w:sz w:val="24"/>
          <w:lang w:val="fr-BE"/>
        </w:rPr>
        <w:t>. Pou</w:t>
      </w:r>
      <w:r>
        <w:rPr>
          <w:rFonts w:ascii="Times New Roman" w:hAnsi="Times New Roman"/>
          <w:noProof/>
          <w:sz w:val="24"/>
          <w:lang w:val="fr-BE"/>
        </w:rPr>
        <w:t>rtant, en pourcentage du PIB, ces dépenses n’ont augmenté que dans sept pays, alors qu’elles ont baissé dans 16 autres. Cette situation s’explique principalement par une plus faible proportion de dépenses pour les prestations de chômage, dans la droite lig</w:t>
      </w:r>
      <w:r>
        <w:rPr>
          <w:rFonts w:ascii="Times New Roman" w:hAnsi="Times New Roman"/>
          <w:noProof/>
          <w:sz w:val="24"/>
          <w:lang w:val="fr-BE"/>
        </w:rPr>
        <w:t>ne de l’amélioration de la situation sur le marché du travail. En revanche, les dépenses d’assurance maladie et de santé rapportées au PIB ont augmenté dans 10 pays et diminué dans 12 autres. Les dépenses de protection sociale en pourcentage du PIB étaient</w:t>
      </w:r>
      <w:r>
        <w:rPr>
          <w:rFonts w:ascii="Times New Roman" w:hAnsi="Times New Roman"/>
          <w:noProof/>
          <w:sz w:val="24"/>
          <w:lang w:val="fr-BE"/>
        </w:rPr>
        <w:t xml:space="preserve"> les plus élevées en France (31,9 %), au Danemark (31,1 %) et en Finlande (31,1 %).</w:t>
      </w:r>
      <w:r>
        <w:rPr>
          <w:rFonts w:ascii="Times New Roman" w:hAnsi="Times New Roman"/>
          <w:b/>
          <w:noProof/>
          <w:sz w:val="24"/>
          <w:lang w:val="fr-BE"/>
        </w:rPr>
        <w:t xml:space="preserve"> </w:t>
      </w:r>
      <w:r>
        <w:rPr>
          <w:rFonts w:ascii="Times New Roman" w:hAnsi="Times New Roman"/>
          <w:noProof/>
          <w:sz w:val="24"/>
          <w:lang w:val="fr-BE"/>
        </w:rPr>
        <w:t xml:space="preserve">À l’inverse, elles étaient inférieures à 15 % du PIB en Lituanie (14,8 %), en Lettonie (14,7 %) et en Roumanie (14,3 %). </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 xml:space="preserve">L’incidence des transferts sociaux sur la réduction de la pauvreté a diminué légèrement, parallèlement à la réduction de l’effet des stabilisateurs automatiques en période d’expansion économique. </w:t>
      </w:r>
      <w:r>
        <w:rPr>
          <w:rFonts w:ascii="Times New Roman" w:hAnsi="Times New Roman"/>
          <w:noProof/>
          <w:sz w:val="24"/>
          <w:lang w:val="fr-BE"/>
        </w:rPr>
        <w:t>Des différences considérables persistent toutefois entre les</w:t>
      </w:r>
      <w:r>
        <w:rPr>
          <w:rFonts w:ascii="Times New Roman" w:hAnsi="Times New Roman"/>
          <w:noProof/>
          <w:sz w:val="24"/>
          <w:lang w:val="fr-BE"/>
        </w:rPr>
        <w:t xml:space="preserve"> États membres (graphique 63).</w:t>
      </w:r>
      <w:r>
        <w:rPr>
          <w:rFonts w:ascii="Times New Roman" w:hAnsi="Times New Roman"/>
          <w:b/>
          <w:noProof/>
          <w:sz w:val="24"/>
          <w:lang w:val="fr-BE"/>
        </w:rPr>
        <w:t xml:space="preserve"> </w:t>
      </w:r>
      <w:r>
        <w:rPr>
          <w:rFonts w:ascii="Times New Roman" w:hAnsi="Times New Roman"/>
          <w:noProof/>
          <w:sz w:val="24"/>
          <w:lang w:val="fr-BE"/>
        </w:rPr>
        <w:t>Les transferts sociaux hors pensions ont réduit le risque de pauvreté de 32,4 % en 2017, contre 33,2 % en 2016, dans le prolongement d’une tendance marquée par l’amélioration de la situation sur le marché du travail et, parta</w:t>
      </w:r>
      <w:r>
        <w:rPr>
          <w:rFonts w:ascii="Times New Roman" w:hAnsi="Times New Roman"/>
          <w:noProof/>
          <w:sz w:val="24"/>
          <w:lang w:val="fr-BE"/>
        </w:rPr>
        <w:t>nt, par des augmentations des revenus du travail plus dynamiques que pour les transferts sociaux. L’ampleur de l’incidence des transferts sur la réduction de la pauvreté varie considérablement d’un État membre à l’autre, et de nombreux pays présentant le r</w:t>
      </w:r>
      <w:r>
        <w:rPr>
          <w:rFonts w:ascii="Times New Roman" w:hAnsi="Times New Roman"/>
          <w:noProof/>
          <w:sz w:val="24"/>
          <w:lang w:val="fr-BE"/>
        </w:rPr>
        <w:t>isque de pauvreté le plus élevé sont également ceux où l’incidence des transferts sociaux est la plus faible (Grèce, Roumanie, Italie, Bulgarie et Lettonie).</w:t>
      </w:r>
    </w:p>
    <w:p w:rsidR="00723CC0" w:rsidRDefault="00723CC0">
      <w:pPr>
        <w:spacing w:line="360" w:lineRule="auto"/>
        <w:jc w:val="both"/>
        <w:rPr>
          <w:rFonts w:ascii="Times New Roman" w:hAnsi="Times New Roman" w:cs="Times New Roman"/>
          <w:b/>
          <w:iCs/>
          <w:noProof/>
          <w:sz w:val="24"/>
          <w:szCs w:val="24"/>
          <w:lang w:val="fr-BE"/>
        </w:rPr>
      </w:pPr>
    </w:p>
    <w:p w:rsidR="00723CC0" w:rsidRDefault="00242021">
      <w:pPr>
        <w:pStyle w:val="caption2"/>
        <w:keepNext/>
        <w:rPr>
          <w:rFonts w:ascii="Times New Roman" w:hAnsi="Times New Roman"/>
          <w:noProof/>
          <w:color w:val="auto"/>
          <w:sz w:val="24"/>
          <w:szCs w:val="24"/>
          <w:lang w:val="fr-BE"/>
        </w:rPr>
      </w:pPr>
      <w:bookmarkStart w:id="94" w:name="_Ref494719128"/>
      <w:r>
        <w:rPr>
          <w:rFonts w:ascii="Times New Roman" w:hAnsi="Times New Roman"/>
          <w:noProof/>
          <w:color w:val="auto"/>
          <w:sz w:val="24"/>
          <w:lang w:val="fr-BE"/>
        </w:rPr>
        <w:t xml:space="preserve">Graphique </w:t>
      </w:r>
      <w:r>
        <w:rPr>
          <w:rFonts w:ascii="Times New Roman" w:hAnsi="Times New Roman"/>
          <w:noProof/>
          <w:color w:val="auto"/>
          <w:sz w:val="24"/>
          <w:szCs w:val="24"/>
        </w:rPr>
        <w:fldChar w:fldCharType="begin" w:fldLock="1"/>
      </w:r>
      <w:r>
        <w:rPr>
          <w:rFonts w:ascii="Times New Roman" w:hAnsi="Times New Roman"/>
          <w:noProof/>
          <w:color w:val="auto"/>
          <w:sz w:val="24"/>
          <w:szCs w:val="24"/>
          <w:lang w:val="fr-BE"/>
        </w:rPr>
        <w:instrText xml:space="preserve"> SEQ Figure \* ARABIC </w:instrText>
      </w:r>
      <w:r>
        <w:rPr>
          <w:rFonts w:ascii="Times New Roman" w:hAnsi="Times New Roman"/>
          <w:noProof/>
          <w:color w:val="auto"/>
          <w:sz w:val="24"/>
          <w:szCs w:val="24"/>
        </w:rPr>
        <w:fldChar w:fldCharType="separate"/>
      </w:r>
      <w:r>
        <w:rPr>
          <w:rFonts w:ascii="Times New Roman" w:hAnsi="Times New Roman"/>
          <w:noProof/>
          <w:color w:val="auto"/>
          <w:sz w:val="24"/>
          <w:szCs w:val="24"/>
          <w:lang w:val="fr-BE"/>
        </w:rPr>
        <w:t>63</w:t>
      </w:r>
      <w:r>
        <w:rPr>
          <w:rFonts w:ascii="Times New Roman" w:hAnsi="Times New Roman"/>
          <w:noProof/>
          <w:color w:val="auto"/>
          <w:sz w:val="24"/>
          <w:szCs w:val="24"/>
        </w:rPr>
        <w:fldChar w:fldCharType="end"/>
      </w:r>
      <w:bookmarkEnd w:id="94"/>
      <w:r>
        <w:rPr>
          <w:rFonts w:ascii="Times New Roman" w:hAnsi="Times New Roman"/>
          <w:noProof/>
          <w:color w:val="auto"/>
          <w:sz w:val="24"/>
          <w:lang w:val="fr-BE"/>
        </w:rPr>
        <w:t>: Incidence des transferts sociaux (autres que les pensions)</w:t>
      </w:r>
      <w:r>
        <w:rPr>
          <w:rFonts w:ascii="Times New Roman" w:hAnsi="Times New Roman"/>
          <w:noProof/>
          <w:color w:val="auto"/>
          <w:sz w:val="24"/>
          <w:lang w:val="fr-BE"/>
        </w:rPr>
        <w:t xml:space="preserve"> sur la réduction de la pauvreté et variation annuelle (indicateur clé du tableau de bord social) </w:t>
      </w:r>
    </w:p>
    <w:p w:rsidR="00723CC0" w:rsidRDefault="00242021">
      <w:pPr>
        <w:spacing w:line="360" w:lineRule="auto"/>
        <w:jc w:val="both"/>
        <w:rPr>
          <w:rFonts w:ascii="Times New Roman" w:hAnsi="Times New Roman"/>
          <w:b/>
          <w:noProof/>
          <w:sz w:val="24"/>
        </w:rPr>
      </w:pPr>
      <w:r>
        <w:rPr>
          <w:rFonts w:ascii="Times New Roman" w:hAnsi="Times New Roman"/>
          <w:b/>
          <w:noProof/>
          <w:sz w:val="24"/>
          <w:lang w:val="en-GB" w:eastAsia="en-GB" w:bidi="ar-SA"/>
        </w:rPr>
        <w:drawing>
          <wp:inline distT="0" distB="0" distL="0" distR="0">
            <wp:extent cx="5748532" cy="4476584"/>
            <wp:effectExtent l="0" t="0" r="508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5750293" cy="4477955"/>
                    </a:xfrm>
                    <a:prstGeom prst="rect">
                      <a:avLst/>
                    </a:prstGeom>
                    <a:noFill/>
                  </pic:spPr>
                </pic:pic>
              </a:graphicData>
            </a:graphic>
          </wp:inline>
        </w:drawing>
      </w:r>
    </w:p>
    <w:p w:rsidR="00723CC0" w:rsidRDefault="00242021">
      <w:pPr>
        <w:spacing w:line="240" w:lineRule="auto"/>
        <w:jc w:val="both"/>
        <w:rPr>
          <w:rFonts w:ascii="Times New Roman" w:hAnsi="Times New Roman" w:cs="Times New Roman"/>
          <w:noProof/>
          <w:sz w:val="20"/>
          <w:szCs w:val="20"/>
          <w:lang w:val="fr-BE"/>
        </w:rPr>
      </w:pPr>
      <w:r>
        <w:rPr>
          <w:rFonts w:ascii="Times New Roman" w:hAnsi="Times New Roman"/>
          <w:noProof/>
          <w:sz w:val="20"/>
          <w:lang w:val="fr-BE"/>
        </w:rPr>
        <w:t>Source: Eurostat, SILC. Période: niveaux de 2017 et variations annuelles par rapport à 2016. Remarque: les axes sont centrés sur la moyenne non pondérée de</w:t>
      </w:r>
      <w:r>
        <w:rPr>
          <w:rFonts w:ascii="Times New Roman" w:hAnsi="Times New Roman"/>
          <w:noProof/>
          <w:sz w:val="20"/>
          <w:lang w:val="fr-BE"/>
        </w:rPr>
        <w:t xml:space="preserve"> l’UE. La légende est présentée en annexe. Les données pour l’Irlande et le Royaume-Uni n’étaient pas disponibles au 26 octobre 2018.</w:t>
      </w:r>
    </w:p>
    <w:p w:rsidR="00723CC0" w:rsidRDefault="00723CC0">
      <w:pPr>
        <w:spacing w:line="360" w:lineRule="auto"/>
        <w:jc w:val="both"/>
        <w:rPr>
          <w:rFonts w:ascii="Times New Roman" w:hAnsi="Times New Roman"/>
          <w:b/>
          <w:noProof/>
          <w:sz w:val="24"/>
          <w:lang w:val="fr-BE"/>
        </w:rPr>
      </w:pP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Les travailleurs non salariés et les travailleurs atypiques sont exposés à une plus grande incertitude économique et </w:t>
      </w:r>
      <w:r>
        <w:rPr>
          <w:rFonts w:ascii="Times New Roman" w:hAnsi="Times New Roman"/>
          <w:b/>
          <w:noProof/>
          <w:sz w:val="24"/>
          <w:lang w:val="fr-BE"/>
        </w:rPr>
        <w:t>n’ont qu’un accès limité à la protection sociale</w:t>
      </w:r>
      <w:r>
        <w:rPr>
          <w:rFonts w:ascii="Times New Roman" w:hAnsi="Times New Roman"/>
          <w:b/>
          <w:noProof/>
          <w:sz w:val="24"/>
          <w:vertAlign w:val="superscript"/>
        </w:rPr>
        <w:footnoteReference w:id="93"/>
      </w:r>
      <w:r>
        <w:rPr>
          <w:rFonts w:ascii="Times New Roman" w:hAnsi="Times New Roman"/>
          <w:b/>
          <w:noProof/>
          <w:sz w:val="24"/>
          <w:lang w:val="fr-BE"/>
        </w:rPr>
        <w:t xml:space="preserve">. </w:t>
      </w:r>
      <w:r>
        <w:rPr>
          <w:rFonts w:ascii="Times New Roman" w:hAnsi="Times New Roman"/>
          <w:noProof/>
          <w:sz w:val="24"/>
          <w:lang w:val="fr-BE"/>
        </w:rPr>
        <w:t>En 2017, les travailleurs non salariés n’avaient aucun accès aux mesures de protection contre le chômage dans onze pays, à l’assurance maladie obligatoire dans trois pays, à la protection contre les accide</w:t>
      </w:r>
      <w:r>
        <w:rPr>
          <w:rFonts w:ascii="Times New Roman" w:hAnsi="Times New Roman"/>
          <w:noProof/>
          <w:sz w:val="24"/>
          <w:lang w:val="fr-BE"/>
        </w:rPr>
        <w:t>nts du travail et les maladies professionnelles dans dix pays</w:t>
      </w:r>
      <w:r>
        <w:rPr>
          <w:rFonts w:ascii="Times New Roman" w:hAnsi="Times New Roman"/>
          <w:noProof/>
          <w:sz w:val="24"/>
          <w:vertAlign w:val="superscript"/>
        </w:rPr>
        <w:footnoteReference w:id="94"/>
      </w:r>
      <w:r>
        <w:rPr>
          <w:rFonts w:ascii="Times New Roman" w:hAnsi="Times New Roman"/>
          <w:noProof/>
          <w:sz w:val="24"/>
          <w:lang w:val="fr-BE"/>
        </w:rPr>
        <w:t>. Les travailleurs atypiques bénéficient généralement de la même couverture officielle par la plupart des régimes nationaux de sécurité sociale que les personnes sous contrats classiques, à l’ex</w:t>
      </w:r>
      <w:r>
        <w:rPr>
          <w:rFonts w:ascii="Times New Roman" w:hAnsi="Times New Roman"/>
          <w:noProof/>
          <w:sz w:val="24"/>
          <w:lang w:val="fr-BE"/>
        </w:rPr>
        <w:t>ception de certaines catégories de travailleurs (par exemple les travailleurs occasionnels et saisonniers, les travailleurs intermittents et intérimaires, les personnes engagées au titre d’un contrat civil ou «zéro heure», qui ne peuvent souvent s’affilier</w:t>
      </w:r>
      <w:r>
        <w:rPr>
          <w:rFonts w:ascii="Times New Roman" w:hAnsi="Times New Roman"/>
          <w:noProof/>
          <w:sz w:val="24"/>
          <w:lang w:val="fr-BE"/>
        </w:rPr>
        <w:t xml:space="preserve"> auxdits régimes). De manière générale, les obstacles rencontrés par les travailleurs atypiques et non salariés pour se constituer une couverture efficace – c’est-à-dire la capacité de se constituer et de faire valoir des droits adéquats en cas de besoin –</w:t>
      </w:r>
      <w:r>
        <w:rPr>
          <w:rFonts w:ascii="Times New Roman" w:hAnsi="Times New Roman"/>
          <w:noProof/>
          <w:sz w:val="24"/>
          <w:lang w:val="fr-BE"/>
        </w:rPr>
        <w:t xml:space="preserve"> ont été observés dans au moins vingt-quatre États membres</w:t>
      </w:r>
      <w:r>
        <w:rPr>
          <w:rStyle w:val="FootnoteReference"/>
          <w:rFonts w:ascii="Times New Roman" w:hAnsi="Times New Roman"/>
          <w:noProof/>
          <w:sz w:val="24"/>
        </w:rPr>
        <w:footnoteReference w:id="95"/>
      </w:r>
      <w:r>
        <w:rPr>
          <w:rFonts w:ascii="Times New Roman" w:hAnsi="Times New Roman"/>
          <w:noProof/>
          <w:sz w:val="24"/>
          <w:lang w:val="fr-BE"/>
        </w:rPr>
        <w:t xml:space="preserve"> (périodes d’acquisition minimales, délais d’attente et non</w:t>
      </w:r>
      <w:r>
        <w:rPr>
          <w:noProof/>
          <w:lang w:val="fr-BE"/>
        </w:rPr>
        <w:noBreakHyphen/>
      </w:r>
      <w:r>
        <w:rPr>
          <w:rFonts w:ascii="Times New Roman" w:hAnsi="Times New Roman"/>
          <w:noProof/>
          <w:sz w:val="24"/>
          <w:lang w:val="fr-BE"/>
        </w:rPr>
        <w:t>transférabilité des droits à la protection sociale).</w:t>
      </w:r>
    </w:p>
    <w:p w:rsidR="00723CC0" w:rsidRDefault="00242021">
      <w:pPr>
        <w:spacing w:line="360" w:lineRule="auto"/>
        <w:jc w:val="both"/>
        <w:rPr>
          <w:iCs/>
          <w:noProof/>
          <w:lang w:val="fr-BE"/>
        </w:rPr>
      </w:pPr>
      <w:r>
        <w:rPr>
          <w:rFonts w:ascii="Times New Roman" w:hAnsi="Times New Roman"/>
          <w:b/>
          <w:noProof/>
          <w:sz w:val="24"/>
          <w:lang w:val="fr-BE"/>
        </w:rPr>
        <w:t>Il demeure difficile de préserver les droits cumulés et de les transférer vers un au</w:t>
      </w:r>
      <w:r>
        <w:rPr>
          <w:rFonts w:ascii="Times New Roman" w:hAnsi="Times New Roman"/>
          <w:b/>
          <w:noProof/>
          <w:sz w:val="24"/>
          <w:lang w:val="fr-BE"/>
        </w:rPr>
        <w:t>tre régime à la suite de transitions professionnelles.</w:t>
      </w:r>
      <w:r>
        <w:rPr>
          <w:rFonts w:ascii="Times New Roman" w:hAnsi="Times New Roman"/>
          <w:noProof/>
          <w:sz w:val="24"/>
          <w:lang w:val="fr-BE"/>
        </w:rPr>
        <w:t xml:space="preserve"> Avec les mutations que connaît le monde du travail, cette flexibilité est de plus en plus importante, la non</w:t>
      </w:r>
      <w:r>
        <w:rPr>
          <w:noProof/>
          <w:lang w:val="fr-BE"/>
        </w:rPr>
        <w:noBreakHyphen/>
      </w:r>
      <w:r>
        <w:rPr>
          <w:rFonts w:ascii="Times New Roman" w:hAnsi="Times New Roman"/>
          <w:noProof/>
          <w:sz w:val="24"/>
          <w:lang w:val="fr-BE"/>
        </w:rPr>
        <w:t>transférabilité risquant de freiner le dynamisme du marché du travail et de compromettre l’a</w:t>
      </w:r>
      <w:r>
        <w:rPr>
          <w:rFonts w:ascii="Times New Roman" w:hAnsi="Times New Roman"/>
          <w:noProof/>
          <w:sz w:val="24"/>
          <w:lang w:val="fr-BE"/>
        </w:rPr>
        <w:t>déquation entre l’offre et la demande. Pour les travailleurs qui changent de secteur ou qui passent d’une forme d’emploi à une autre, l’absence de réglementation rend le transfert difficile dans au moins quatre États membres, tandis que les coûts très élev</w:t>
      </w:r>
      <w:r>
        <w:rPr>
          <w:rFonts w:ascii="Times New Roman" w:hAnsi="Times New Roman"/>
          <w:noProof/>
          <w:sz w:val="24"/>
          <w:lang w:val="fr-BE"/>
        </w:rPr>
        <w:t>és et les différences de réglementation entre les régimes sont des facteurs qui ont été relevés dans plusieurs États membres comme entravant les transitions. Enfin, le manque d’informations transparentes sur les droits à la sécurité sociale empêche la pris</w:t>
      </w:r>
      <w:r>
        <w:rPr>
          <w:rFonts w:ascii="Times New Roman" w:hAnsi="Times New Roman"/>
          <w:noProof/>
          <w:sz w:val="24"/>
          <w:lang w:val="fr-BE"/>
        </w:rPr>
        <w:t>e de décisions en connaissance de cause dans de nombreux pays. Alors que des informations générales à propos de régimes de protection sociale sont disponibles dans tous les États membres sauf cinq, des informations personnalisées ne sont accessibles que da</w:t>
      </w:r>
      <w:r>
        <w:rPr>
          <w:rFonts w:ascii="Times New Roman" w:hAnsi="Times New Roman"/>
          <w:noProof/>
          <w:sz w:val="24"/>
          <w:lang w:val="fr-BE"/>
        </w:rPr>
        <w:t>ns près de la moitié d’entre eux (par exemple une simulation de la pension ne peut être consultée qu’en Allemagne, en France, en Espagne, au Royaume-Uni et en Pologne).</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Les régimes de revenu minimum devraient associer un niveau d’aide adéquat</w:t>
      </w:r>
      <w:r>
        <w:rPr>
          <w:noProof/>
          <w:lang w:val="fr-BE"/>
        </w:rPr>
        <w:t xml:space="preserve"> </w:t>
      </w:r>
      <w:r>
        <w:rPr>
          <w:rFonts w:ascii="Times New Roman" w:hAnsi="Times New Roman"/>
          <w:b/>
          <w:noProof/>
          <w:sz w:val="24"/>
          <w:lang w:val="fr-BE"/>
        </w:rPr>
        <w:t>à l’accès à d</w:t>
      </w:r>
      <w:r>
        <w:rPr>
          <w:rFonts w:ascii="Times New Roman" w:hAnsi="Times New Roman"/>
          <w:b/>
          <w:noProof/>
          <w:sz w:val="24"/>
          <w:lang w:val="fr-BE"/>
        </w:rPr>
        <w:t xml:space="preserve">es biens et services de soutien et à des incitations à (ré)intégrer le marché du travail pour ceux qui peuvent travailler, </w:t>
      </w:r>
      <w:r>
        <w:rPr>
          <w:rFonts w:ascii="Times New Roman" w:hAnsi="Times New Roman"/>
          <w:noProof/>
          <w:sz w:val="24"/>
          <w:lang w:val="fr-BE"/>
        </w:rPr>
        <w:t>comme cela a été souligné dans le</w:t>
      </w:r>
      <w:r>
        <w:rPr>
          <w:rFonts w:ascii="Times New Roman" w:hAnsi="Times New Roman"/>
          <w:b/>
          <w:noProof/>
          <w:sz w:val="24"/>
          <w:lang w:val="fr-BE"/>
        </w:rPr>
        <w:t xml:space="preserve"> </w:t>
      </w:r>
      <w:r>
        <w:rPr>
          <w:rFonts w:ascii="Times New Roman" w:hAnsi="Times New Roman"/>
          <w:noProof/>
          <w:sz w:val="24"/>
          <w:lang w:val="fr-BE"/>
        </w:rPr>
        <w:t>socle européen des droits sociaux.</w:t>
      </w:r>
      <w:r>
        <w:rPr>
          <w:rFonts w:ascii="Times New Roman" w:hAnsi="Times New Roman"/>
          <w:b/>
          <w:noProof/>
          <w:sz w:val="24"/>
          <w:lang w:val="fr-BE"/>
        </w:rPr>
        <w:t xml:space="preserve"> </w:t>
      </w:r>
      <w:r>
        <w:rPr>
          <w:rFonts w:ascii="Times New Roman" w:hAnsi="Times New Roman"/>
          <w:noProof/>
          <w:sz w:val="24"/>
          <w:lang w:val="fr-BE"/>
        </w:rPr>
        <w:t>L’analyse comparative des caractéristiques spécifiques des régim</w:t>
      </w:r>
      <w:r>
        <w:rPr>
          <w:rFonts w:ascii="Times New Roman" w:hAnsi="Times New Roman"/>
          <w:noProof/>
          <w:sz w:val="24"/>
          <w:lang w:val="fr-BE"/>
        </w:rPr>
        <w:t>es de revenu minimum et de leur interaction avec la fourniture d’autres prestations et les mesures soutenant l’activation peut fournir des informations utiles concernant leur efficacité. L’analyse présentée dans les paragraphes suivants s’appuie sur l’opér</w:t>
      </w:r>
      <w:r>
        <w:rPr>
          <w:rFonts w:ascii="Times New Roman" w:hAnsi="Times New Roman"/>
          <w:noProof/>
          <w:sz w:val="24"/>
          <w:lang w:val="fr-BE"/>
        </w:rPr>
        <w:t>ation d’évaluation comparative des prestations de revenu minimum réalisée en 2017-2018 au Comité de la protection sociale</w:t>
      </w:r>
      <w:r>
        <w:rPr>
          <w:rFonts w:ascii="Times New Roman" w:hAnsi="Times New Roman"/>
          <w:noProof/>
          <w:sz w:val="24"/>
          <w:vertAlign w:val="superscript"/>
        </w:rPr>
        <w:footnoteReference w:id="96"/>
      </w:r>
      <w:r>
        <w:rPr>
          <w:rFonts w:ascii="Times New Roman" w:hAnsi="Times New Roman"/>
          <w:noProof/>
          <w:sz w:val="24"/>
          <w:lang w:val="fr-BE"/>
        </w:rPr>
        <w:t>. Ce cadre d’analyse comparative est axé sur les prestations de revenu minimum pour la population en âge de travailler et apte au trav</w:t>
      </w:r>
      <w:r>
        <w:rPr>
          <w:rFonts w:ascii="Times New Roman" w:hAnsi="Times New Roman"/>
          <w:noProof/>
          <w:sz w:val="24"/>
          <w:lang w:val="fr-BE"/>
        </w:rPr>
        <w:t>ail qui ne travaille pas et qui n’a pas droit aux prestations d’assurance sociale, n’y est pas admissible ou a épuisé ses droits.</w:t>
      </w:r>
      <w:r>
        <w:rPr>
          <w:rFonts w:ascii="Times New Roman" w:hAnsi="Times New Roman"/>
          <w:noProof/>
          <w:sz w:val="24"/>
          <w:vertAlign w:val="superscript"/>
          <w:lang w:val="fr-BE"/>
        </w:rPr>
        <w:t xml:space="preserve">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L’adéquation des prestations de revenu minimum varie considérablement d’un État membre à l’autre.</w:t>
      </w:r>
      <w:r>
        <w:rPr>
          <w:rFonts w:ascii="Times New Roman" w:hAnsi="Times New Roman"/>
          <w:noProof/>
          <w:sz w:val="24"/>
          <w:lang w:val="fr-BE"/>
        </w:rPr>
        <w:t xml:space="preserve"> L’adéquation des prestation</w:t>
      </w:r>
      <w:r>
        <w:rPr>
          <w:rFonts w:ascii="Times New Roman" w:hAnsi="Times New Roman"/>
          <w:noProof/>
          <w:sz w:val="24"/>
          <w:lang w:val="fr-BE"/>
        </w:rPr>
        <w:t>s de revenu minimum peut être mesurée en comparant le revenu des bénéficiaires au seuil de pauvreté national (en tant qu’indicateur de l’incidence des régimes en matière d’atténuation de la pauvreté), ainsi qu’en comparant le revenu des bénéficiaires au re</w:t>
      </w:r>
      <w:r>
        <w:rPr>
          <w:rFonts w:ascii="Times New Roman" w:hAnsi="Times New Roman"/>
          <w:noProof/>
          <w:sz w:val="24"/>
          <w:lang w:val="fr-BE"/>
        </w:rPr>
        <w:t>venu d’un travailleur à faible salaire</w:t>
      </w:r>
      <w:r>
        <w:rPr>
          <w:rFonts w:ascii="Times New Roman" w:hAnsi="Times New Roman"/>
          <w:noProof/>
          <w:sz w:val="24"/>
          <w:vertAlign w:val="superscript"/>
        </w:rPr>
        <w:footnoteReference w:id="97"/>
      </w:r>
      <w:r>
        <w:rPr>
          <w:rFonts w:ascii="Times New Roman" w:hAnsi="Times New Roman"/>
          <w:noProof/>
          <w:sz w:val="24"/>
          <w:lang w:val="fr-BE"/>
        </w:rPr>
        <w:t xml:space="preserve"> (en tant qu’indication de la dimension d’activation et des possibles effets dissuasifs des régimes). Les deux indicateurs donnent des résultats similaires en ce qui concerne l’adéquation du revenu minimum dans les Ét</w:t>
      </w:r>
      <w:r>
        <w:rPr>
          <w:rFonts w:ascii="Times New Roman" w:hAnsi="Times New Roman"/>
          <w:noProof/>
          <w:sz w:val="24"/>
          <w:lang w:val="fr-BE"/>
        </w:rPr>
        <w:t>ats membres en 2016</w:t>
      </w:r>
      <w:r>
        <w:rPr>
          <w:rFonts w:ascii="Times New Roman" w:hAnsi="Times New Roman"/>
          <w:noProof/>
          <w:sz w:val="24"/>
          <w:vertAlign w:val="superscript"/>
        </w:rPr>
        <w:footnoteReference w:id="98"/>
      </w:r>
      <w:r>
        <w:rPr>
          <w:rFonts w:ascii="Times New Roman" w:hAnsi="Times New Roman"/>
          <w:noProof/>
          <w:sz w:val="24"/>
          <w:lang w:val="fr-BE"/>
        </w:rPr>
        <w:t xml:space="preserve"> (graphique 64). Si l’on considère le cas des personnes vivant seules, l’adéquation était la plus forte en 2016 aux Pays-Bas, en Irlande, au Danemark et au Luxembourg. Dans ces États membres, le niveau des prestations dépassait 80 % du </w:t>
      </w:r>
      <w:r>
        <w:rPr>
          <w:rFonts w:ascii="Times New Roman" w:hAnsi="Times New Roman"/>
          <w:noProof/>
          <w:sz w:val="24"/>
          <w:lang w:val="fr-BE"/>
        </w:rPr>
        <w:t>seuil national de pauvreté (qui correspond à 60 % du revenu disponible équivalent médian national après transferts sociaux). En particulier, dans le cas des Pays-Bas, la prestation s’élevait à 106 % du seuil de pauvreté, ce qui fait réellement sortir les b</w:t>
      </w:r>
      <w:r>
        <w:rPr>
          <w:rFonts w:ascii="Times New Roman" w:hAnsi="Times New Roman"/>
          <w:noProof/>
          <w:sz w:val="24"/>
          <w:lang w:val="fr-BE"/>
        </w:rPr>
        <w:t>énéficiaires de la pauvreté. À l’autre extrême, l’adéquation du revenu minimum en Bulgarie, en Roumanie, en Hongrie, en Slovaquie et en Lituanie s’établissait à moins de 40 % du seuil de pauvreté ou du tiers des revenus d’un travailleur à faible salaire en</w:t>
      </w:r>
      <w:r>
        <w:rPr>
          <w:rFonts w:ascii="Times New Roman" w:hAnsi="Times New Roman"/>
          <w:noProof/>
          <w:sz w:val="24"/>
          <w:lang w:val="fr-BE"/>
        </w:rPr>
        <w:t xml:space="preserve"> 2016. </w:t>
      </w:r>
    </w:p>
    <w:p w:rsidR="00723CC0" w:rsidRDefault="00242021">
      <w:pPr>
        <w:pStyle w:val="caption2"/>
        <w:keepNext/>
        <w:jc w:val="both"/>
        <w:rPr>
          <w:rFonts w:ascii="Times New Roman" w:hAnsi="Times New Roman"/>
          <w:noProof/>
          <w:color w:val="auto"/>
          <w:sz w:val="24"/>
          <w:lang w:val="fr-BE"/>
        </w:rPr>
      </w:pPr>
      <w:bookmarkStart w:id="95" w:name="_Ref527560990"/>
      <w:r>
        <w:rPr>
          <w:rFonts w:ascii="Times New Roman" w:hAnsi="Times New Roman"/>
          <w:noProof/>
          <w:color w:val="auto"/>
          <w:sz w:val="24"/>
          <w:lang w:val="fr-BE"/>
        </w:rPr>
        <w:t xml:space="preserve">Graphique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lang w:val="fr-BE"/>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lang w:val="fr-BE"/>
        </w:rPr>
        <w:t>64</w:t>
      </w:r>
      <w:r>
        <w:rPr>
          <w:rFonts w:ascii="Times New Roman" w:hAnsi="Times New Roman" w:cs="Times New Roman"/>
          <w:noProof/>
          <w:color w:val="auto"/>
          <w:sz w:val="24"/>
          <w:szCs w:val="24"/>
        </w:rPr>
        <w:fldChar w:fldCharType="end"/>
      </w:r>
      <w:bookmarkEnd w:id="95"/>
      <w:r>
        <w:rPr>
          <w:rFonts w:ascii="Times New Roman" w:hAnsi="Times New Roman"/>
          <w:noProof/>
          <w:color w:val="auto"/>
          <w:sz w:val="24"/>
          <w:lang w:val="fr-BE"/>
        </w:rPr>
        <w:t xml:space="preserve">: Revenu net des bénéficiaires d’un revenu minimum en pourcentage du seuil de risque de pauvreté (lissé sur trois ans) et en pourcentage du revenu d’un travailleur à faible salaire (2016) </w:t>
      </w:r>
    </w:p>
    <w:p w:rsidR="00723CC0" w:rsidRDefault="00242021">
      <w:pPr>
        <w:spacing w:line="360" w:lineRule="auto"/>
        <w:jc w:val="center"/>
        <w:rPr>
          <w:rFonts w:ascii="Times New Roman" w:hAnsi="Times New Roman" w:cs="Times New Roman"/>
          <w:iCs/>
          <w:noProof/>
          <w:sz w:val="24"/>
          <w:szCs w:val="24"/>
        </w:rPr>
      </w:pPr>
      <w:r>
        <w:rPr>
          <w:rFonts w:ascii="Times New Roman" w:hAnsi="Times New Roman" w:cs="Times New Roman"/>
          <w:iCs/>
          <w:noProof/>
          <w:sz w:val="24"/>
          <w:szCs w:val="24"/>
          <w:lang w:val="en-GB" w:eastAsia="en-GB" w:bidi="ar-SA"/>
        </w:rPr>
        <w:drawing>
          <wp:inline distT="0" distB="0" distL="0" distR="0">
            <wp:extent cx="4325510" cy="301103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4329257" cy="3013643"/>
                    </a:xfrm>
                    <a:prstGeom prst="rect">
                      <a:avLst/>
                    </a:prstGeom>
                    <a:noFill/>
                  </pic:spPr>
                </pic:pic>
              </a:graphicData>
            </a:graphic>
          </wp:inline>
        </w:drawing>
      </w:r>
    </w:p>
    <w:p w:rsidR="00723CC0" w:rsidRDefault="00242021">
      <w:pPr>
        <w:spacing w:after="120" w:line="240" w:lineRule="auto"/>
        <w:jc w:val="both"/>
        <w:rPr>
          <w:rFonts w:ascii="Times New Roman" w:hAnsi="Times New Roman"/>
          <w:b/>
          <w:noProof/>
          <w:sz w:val="20"/>
          <w:szCs w:val="20"/>
          <w:lang w:val="fr-BE"/>
        </w:rPr>
      </w:pPr>
      <w:r>
        <w:rPr>
          <w:rFonts w:ascii="Times New Roman" w:hAnsi="Times New Roman"/>
          <w:noProof/>
          <w:sz w:val="20"/>
          <w:lang w:val="fr-BE"/>
        </w:rPr>
        <w:t xml:space="preserve">Source: Eurostat, OCDE. Remarque: </w:t>
      </w:r>
      <w:r>
        <w:rPr>
          <w:rStyle w:val="FootnoteReference"/>
          <w:rFonts w:ascii="Times New Roman" w:hAnsi="Times New Roman"/>
          <w:noProof/>
          <w:sz w:val="20"/>
          <w:vertAlign w:val="baseline"/>
          <w:lang w:val="fr-BE"/>
        </w:rPr>
        <w:t>les informations ne sont pas disponibles pour Chypre. Les informations sur l’Italie et la Grèce ne comprennent pas les nouveaux régimes de revenu minimum instaurés en 2017.</w:t>
      </w:r>
      <w:r>
        <w:rPr>
          <w:rFonts w:ascii="Times New Roman" w:hAnsi="Times New Roman"/>
          <w:noProof/>
          <w:sz w:val="20"/>
          <w:lang w:val="fr-BE"/>
        </w:rPr>
        <w:t xml:space="preserve"> Les informations disponibles les plus récentes co</w:t>
      </w:r>
      <w:r>
        <w:rPr>
          <w:rFonts w:ascii="Times New Roman" w:hAnsi="Times New Roman"/>
          <w:noProof/>
          <w:sz w:val="20"/>
          <w:lang w:val="fr-BE"/>
        </w:rPr>
        <w:t>ncernant les seuils de pauvreté en Irlande, en Croatie et au Royaume-Uni correspondent à l’année 2015.</w:t>
      </w:r>
    </w:p>
    <w:p w:rsidR="00723CC0" w:rsidRDefault="00723CC0">
      <w:pPr>
        <w:spacing w:line="360" w:lineRule="auto"/>
        <w:jc w:val="both"/>
        <w:rPr>
          <w:rFonts w:ascii="Times New Roman" w:hAnsi="Times New Roman"/>
          <w:b/>
          <w:noProof/>
          <w:sz w:val="24"/>
          <w:lang w:val="fr-BE"/>
        </w:rPr>
      </w:pP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L’adéquation des prestations de revenu minimum influe notamment sur l’intensité de la pauvreté chez les bénéficiaires. </w:t>
      </w:r>
      <w:r>
        <w:rPr>
          <w:rFonts w:ascii="Times New Roman" w:hAnsi="Times New Roman"/>
          <w:noProof/>
          <w:sz w:val="24"/>
          <w:lang w:val="fr-BE"/>
        </w:rPr>
        <w:t xml:space="preserve">L’écart relatif de risque de </w:t>
      </w:r>
      <w:r>
        <w:rPr>
          <w:rFonts w:ascii="Times New Roman" w:hAnsi="Times New Roman"/>
          <w:noProof/>
          <w:sz w:val="24"/>
          <w:lang w:val="fr-BE"/>
        </w:rPr>
        <w:t>pauvreté</w:t>
      </w:r>
      <w:r>
        <w:rPr>
          <w:rStyle w:val="FootnoteReference"/>
          <w:rFonts w:ascii="Times New Roman" w:hAnsi="Times New Roman"/>
          <w:noProof/>
          <w:sz w:val="24"/>
        </w:rPr>
        <w:footnoteReference w:id="99"/>
      </w:r>
      <w:r>
        <w:rPr>
          <w:rFonts w:ascii="Times New Roman" w:hAnsi="Times New Roman"/>
          <w:noProof/>
          <w:sz w:val="24"/>
          <w:lang w:val="fr-BE"/>
        </w:rPr>
        <w:t xml:space="preserve"> pour la population en âge de travailler (de 16 à 64 ans) a diminué légèrement pour la première fois en 2017, parallèlement à l’indicateur global, mais reste bien au-dessus des niveaux d’avant la crise. L’écart est beaucoup plus important dans le </w:t>
      </w:r>
      <w:r>
        <w:rPr>
          <w:rFonts w:ascii="Times New Roman" w:hAnsi="Times New Roman"/>
          <w:noProof/>
          <w:sz w:val="24"/>
          <w:lang w:val="fr-BE"/>
        </w:rPr>
        <w:t>cas des personnes de 18 à 59 ans vivant dans des ménages quasiment sans emploi (graphique 65). Il ressort des données EU</w:t>
      </w:r>
      <w:r>
        <w:rPr>
          <w:noProof/>
          <w:lang w:val="fr-BE"/>
        </w:rPr>
        <w:noBreakHyphen/>
      </w:r>
      <w:r>
        <w:rPr>
          <w:rFonts w:ascii="Times New Roman" w:hAnsi="Times New Roman"/>
          <w:noProof/>
          <w:sz w:val="24"/>
          <w:lang w:val="fr-BE"/>
        </w:rPr>
        <w:t>SILC 2016 que l’intensité de la pauvreté était la plus critique chez les personnes vivant dans un ménage (quasiment) sans emploi en Lit</w:t>
      </w:r>
      <w:r>
        <w:rPr>
          <w:rFonts w:ascii="Times New Roman" w:hAnsi="Times New Roman"/>
          <w:noProof/>
          <w:sz w:val="24"/>
          <w:lang w:val="fr-BE"/>
        </w:rPr>
        <w:t>uanie, en Bulgarie, en Lettonie, en Italie et en Roumanie (plus de 50 %). En revanche, l’écart le plus faible a été enregistré en Finlande, aux Pays-Bas et en Irlande (moins de 20 %). L’écart de pauvreté pour les personnes vivant dans un ménage quasiment s</w:t>
      </w:r>
      <w:r>
        <w:rPr>
          <w:rFonts w:ascii="Times New Roman" w:hAnsi="Times New Roman"/>
          <w:noProof/>
          <w:sz w:val="24"/>
          <w:lang w:val="fr-BE"/>
        </w:rPr>
        <w:t>ans emploi dénote en général des faiblesses quant à l’adéquation et la couverture des systèmes de prestations (comme l’indique également le rapport annuel 2018 du Comité de la protection sociale).</w:t>
      </w:r>
    </w:p>
    <w:p w:rsidR="00723CC0" w:rsidRDefault="00723CC0">
      <w:pPr>
        <w:spacing w:line="360" w:lineRule="auto"/>
        <w:jc w:val="both"/>
        <w:rPr>
          <w:rFonts w:ascii="Times New Roman" w:hAnsi="Times New Roman" w:cs="Times New Roman"/>
          <w:iCs/>
          <w:noProof/>
          <w:sz w:val="24"/>
          <w:szCs w:val="24"/>
          <w:lang w:val="fr-BE"/>
        </w:rPr>
      </w:pPr>
    </w:p>
    <w:p w:rsidR="00723CC0" w:rsidRDefault="00242021">
      <w:pPr>
        <w:keepNext/>
        <w:pBdr>
          <w:between w:val="nil"/>
          <w:bar w:val="nil"/>
        </w:pBdr>
        <w:spacing w:before="120" w:after="120" w:line="240" w:lineRule="auto"/>
        <w:jc w:val="both"/>
        <w:rPr>
          <w:rFonts w:ascii="Times New Roman" w:hAnsi="Times New Roman"/>
          <w:b/>
          <w:noProof/>
          <w:sz w:val="24"/>
          <w:szCs w:val="24"/>
          <w:lang w:val="fr-BE"/>
        </w:rPr>
      </w:pPr>
      <w:bookmarkStart w:id="96" w:name="_Ref527561106"/>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65</w:t>
      </w:r>
      <w:r>
        <w:rPr>
          <w:rFonts w:ascii="Times New Roman" w:hAnsi="Times New Roman"/>
          <w:b/>
          <w:noProof/>
          <w:sz w:val="24"/>
          <w:szCs w:val="24"/>
        </w:rPr>
        <w:fldChar w:fldCharType="end"/>
      </w:r>
      <w:bookmarkEnd w:id="96"/>
      <w:r>
        <w:rPr>
          <w:rFonts w:ascii="Times New Roman" w:hAnsi="Times New Roman"/>
          <w:b/>
          <w:noProof/>
          <w:sz w:val="24"/>
          <w:lang w:val="fr-BE"/>
        </w:rPr>
        <w:t xml:space="preserve">: Écart relatif de </w:t>
      </w:r>
      <w:r>
        <w:rPr>
          <w:rFonts w:ascii="Times New Roman" w:hAnsi="Times New Roman"/>
          <w:b/>
          <w:noProof/>
          <w:sz w:val="24"/>
          <w:lang w:val="fr-BE"/>
        </w:rPr>
        <w:t>risque de pauvreté pour les personnes âgées de 18 à 59 ans vivant dans un ménage quasiment sans emploi (2016)</w:t>
      </w:r>
      <w:r>
        <w:rPr>
          <w:rFonts w:ascii="Times New Roman" w:hAnsi="Times New Roman"/>
          <w:b/>
          <w:noProof/>
          <w:sz w:val="24"/>
          <w:lang w:val="en-GB" w:eastAsia="en-GB" w:bidi="ar-SA"/>
        </w:rPr>
        <w:drawing>
          <wp:inline distT="0" distB="0" distL="0" distR="0">
            <wp:extent cx="5780599" cy="2798859"/>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5799220" cy="2807875"/>
                    </a:xfrm>
                    <a:prstGeom prst="rect">
                      <a:avLst/>
                    </a:prstGeom>
                    <a:noFill/>
                  </pic:spPr>
                </pic:pic>
              </a:graphicData>
            </a:graphic>
          </wp:inline>
        </w:drawing>
      </w:r>
    </w:p>
    <w:p w:rsidR="00723CC0" w:rsidRDefault="00242021">
      <w:pPr>
        <w:keepNext/>
        <w:pBdr>
          <w:between w:val="nil"/>
          <w:bar w:val="nil"/>
        </w:pBdr>
        <w:spacing w:before="120" w:after="120" w:line="240" w:lineRule="auto"/>
        <w:jc w:val="both"/>
        <w:rPr>
          <w:rFonts w:ascii="Times New Roman" w:hAnsi="Times New Roman"/>
          <w:noProof/>
          <w:sz w:val="20"/>
          <w:szCs w:val="20"/>
          <w:lang w:val="fr-BE"/>
        </w:rPr>
      </w:pPr>
      <w:r>
        <w:rPr>
          <w:rFonts w:ascii="Times New Roman" w:hAnsi="Times New Roman"/>
          <w:noProof/>
          <w:sz w:val="20"/>
          <w:lang w:val="fr-BE"/>
        </w:rPr>
        <w:t>Source: Eurostat, SILC.</w:t>
      </w:r>
    </w:p>
    <w:p w:rsidR="00723CC0" w:rsidRDefault="00723CC0">
      <w:pPr>
        <w:spacing w:line="360" w:lineRule="auto"/>
        <w:contextualSpacing/>
        <w:jc w:val="both"/>
        <w:rPr>
          <w:rFonts w:ascii="Times New Roman" w:hAnsi="Times New Roman" w:cs="Times New Roman"/>
          <w:b/>
          <w:iCs/>
          <w:noProof/>
          <w:sz w:val="24"/>
          <w:szCs w:val="24"/>
          <w:highlight w:val="green"/>
          <w:lang w:val="fr-BE"/>
        </w:rPr>
      </w:pP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Tous les États membres appliquent des conditions de ressources associées à d’autres critères d’admissibilité pour les ré</w:t>
      </w:r>
      <w:r>
        <w:rPr>
          <w:rFonts w:ascii="Times New Roman" w:hAnsi="Times New Roman"/>
          <w:b/>
          <w:noProof/>
          <w:sz w:val="24"/>
          <w:lang w:val="fr-BE"/>
        </w:rPr>
        <w:t xml:space="preserve">gimes de revenu minimum. </w:t>
      </w:r>
      <w:r>
        <w:rPr>
          <w:rFonts w:ascii="Times New Roman" w:hAnsi="Times New Roman"/>
          <w:noProof/>
          <w:sz w:val="24"/>
          <w:lang w:val="fr-BE"/>
        </w:rPr>
        <w:t>Des critères d’admissibilité plus rigoureux se traduisent par une couverture plus faible</w:t>
      </w:r>
      <w:r>
        <w:rPr>
          <w:rStyle w:val="FootnoteReference"/>
          <w:rFonts w:ascii="Times New Roman" w:hAnsi="Times New Roman"/>
          <w:noProof/>
          <w:sz w:val="24"/>
        </w:rPr>
        <w:footnoteReference w:id="100"/>
      </w:r>
      <w:r>
        <w:rPr>
          <w:rFonts w:ascii="Times New Roman" w:hAnsi="Times New Roman"/>
          <w:noProof/>
          <w:sz w:val="24"/>
          <w:lang w:val="fr-BE"/>
        </w:rPr>
        <w:t>, et inversement.</w:t>
      </w:r>
      <w:r>
        <w:rPr>
          <w:rFonts w:ascii="Times New Roman" w:hAnsi="Times New Roman"/>
          <w:b/>
          <w:noProof/>
          <w:sz w:val="24"/>
          <w:lang w:val="fr-BE"/>
        </w:rPr>
        <w:t xml:space="preserve"> </w:t>
      </w:r>
      <w:r>
        <w:rPr>
          <w:rFonts w:ascii="Times New Roman" w:hAnsi="Times New Roman"/>
          <w:noProof/>
          <w:sz w:val="24"/>
          <w:lang w:val="fr-BE"/>
        </w:rPr>
        <w:t>L’application de conditions de ressources est le moyen le plus couramment utilisé pour cibler les personnes vivant dans la p</w:t>
      </w:r>
      <w:r>
        <w:rPr>
          <w:rFonts w:ascii="Times New Roman" w:hAnsi="Times New Roman"/>
          <w:noProof/>
          <w:sz w:val="24"/>
          <w:lang w:val="fr-BE"/>
        </w:rPr>
        <w:t>auvreté</w:t>
      </w:r>
      <w:r>
        <w:rPr>
          <w:rFonts w:ascii="Times New Roman" w:hAnsi="Times New Roman"/>
          <w:noProof/>
          <w:sz w:val="24"/>
          <w:vertAlign w:val="superscript"/>
        </w:rPr>
        <w:footnoteReference w:id="101"/>
      </w:r>
      <w:r>
        <w:rPr>
          <w:rFonts w:ascii="Times New Roman" w:hAnsi="Times New Roman"/>
          <w:noProof/>
          <w:sz w:val="24"/>
          <w:lang w:val="fr-BE"/>
        </w:rPr>
        <w:t>.</w:t>
      </w:r>
      <w:r>
        <w:rPr>
          <w:rFonts w:ascii="Times New Roman" w:hAnsi="Times New Roman"/>
          <w:noProof/>
          <w:color w:val="000000"/>
          <w:sz w:val="24"/>
          <w:lang w:val="fr-BE"/>
        </w:rPr>
        <w:t xml:space="preserve"> </w:t>
      </w:r>
      <w:r>
        <w:rPr>
          <w:rFonts w:ascii="Times New Roman" w:hAnsi="Times New Roman"/>
          <w:noProof/>
          <w:sz w:val="24"/>
          <w:lang w:val="fr-BE"/>
        </w:rPr>
        <w:t xml:space="preserve">De manière générale, ces conditions se rapportent aux (revenus, patrimoine, biens immobiliers ou mobiliers) de tous les membres du ménage et pas seulement des personnes qui demandent la prestation. Dans la plupart des États membres, le seuil employé à cet </w:t>
      </w:r>
      <w:r>
        <w:rPr>
          <w:rFonts w:ascii="Times New Roman" w:hAnsi="Times New Roman"/>
          <w:noProof/>
          <w:sz w:val="24"/>
          <w:lang w:val="fr-BE"/>
        </w:rPr>
        <w:t>égard est le niveau maximum de la prestation fournie (l’aide effective correspondant à la différence entre le montant maximum de la prestation et les revenus de la personne ou du ménage), tandis que plusieurs États membres ne tiennent pas compte d’une part</w:t>
      </w:r>
      <w:r>
        <w:rPr>
          <w:rFonts w:ascii="Times New Roman" w:hAnsi="Times New Roman"/>
          <w:noProof/>
          <w:sz w:val="24"/>
          <w:lang w:val="fr-BE"/>
        </w:rPr>
        <w:t>ie de la rémunération, ce qui a une incidence positive sur la couverture fournie par les régimes et contribue à réduire la pauvreté des travailleurs. D’autres critères d’admissibilité, en matière de résidence notamment, influent également sur la couverture</w:t>
      </w:r>
      <w:r>
        <w:rPr>
          <w:rFonts w:ascii="Times New Roman" w:hAnsi="Times New Roman"/>
          <w:noProof/>
          <w:sz w:val="24"/>
          <w:lang w:val="fr-BE"/>
        </w:rPr>
        <w:t xml:space="preserve"> des régimes (réduction possible de cette couverture pour les personnes en situation de mobilité à l’intérieur du pays ou les sans-abri).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Les bénéficiaires du revenu minimum ont plus de difficultés à accéder à divers services en nature</w:t>
      </w:r>
      <w:r>
        <w:rPr>
          <w:noProof/>
          <w:lang w:val="fr-BE"/>
        </w:rPr>
        <w:t>.</w:t>
      </w:r>
      <w:r>
        <w:rPr>
          <w:rFonts w:ascii="Times New Roman" w:hAnsi="Times New Roman"/>
          <w:noProof/>
          <w:sz w:val="24"/>
          <w:lang w:val="fr-BE"/>
        </w:rPr>
        <w:t xml:space="preserve"> L’accès aux servic</w:t>
      </w:r>
      <w:r>
        <w:rPr>
          <w:rFonts w:ascii="Times New Roman" w:hAnsi="Times New Roman"/>
          <w:noProof/>
          <w:sz w:val="24"/>
          <w:lang w:val="fr-BE"/>
        </w:rPr>
        <w:t>es (mesuré par les besoins non satisfaits en soins médicaux, le taux de surcharge des coûts du logement et la non-participation à une formation liée à l’activité professionnelle</w:t>
      </w:r>
      <w:r>
        <w:rPr>
          <w:rFonts w:ascii="Times New Roman" w:hAnsi="Times New Roman"/>
          <w:noProof/>
          <w:sz w:val="24"/>
          <w:vertAlign w:val="superscript"/>
        </w:rPr>
        <w:footnoteReference w:id="102"/>
      </w:r>
      <w:r>
        <w:rPr>
          <w:rFonts w:ascii="Times New Roman" w:hAnsi="Times New Roman"/>
          <w:noProof/>
          <w:sz w:val="24"/>
          <w:lang w:val="fr-BE"/>
        </w:rPr>
        <w:t>) est une composante essentielle des stratégies d’inclusion active intégrée. E</w:t>
      </w:r>
      <w:r>
        <w:rPr>
          <w:rFonts w:ascii="Times New Roman" w:hAnsi="Times New Roman"/>
          <w:noProof/>
          <w:sz w:val="24"/>
          <w:lang w:val="fr-BE"/>
        </w:rPr>
        <w:t>n 2016, les personnes de 18 à 59 ans exposées au risque de pauvreté qui vivent dans un ménage quasiment sans emploi ont globalement eu moins accès à ces services que les personnes du même groupe d’âge qui ne sont pas exposées au risque de pauvreté et ne vi</w:t>
      </w:r>
      <w:r>
        <w:rPr>
          <w:rFonts w:ascii="Times New Roman" w:hAnsi="Times New Roman"/>
          <w:noProof/>
          <w:sz w:val="24"/>
          <w:lang w:val="fr-BE"/>
        </w:rPr>
        <w:t xml:space="preserve">vent pas dans un ménage quasiment sans emploi. Si l’on examine les résultats tous services confondus, la Finlande, la Hongrie et le Royaume-Uni sont les seuls États membres où l’écart en matière d’accès aux services était inférieur à la moyenne de l’UE en </w:t>
      </w:r>
      <w:r>
        <w:rPr>
          <w:rFonts w:ascii="Times New Roman" w:hAnsi="Times New Roman"/>
          <w:noProof/>
          <w:sz w:val="24"/>
          <w:lang w:val="fr-BE"/>
        </w:rPr>
        <w:t>2016 dans les trois domaines. En revanche, en Grèce et en Lettonie, l’écart est manifestement supérieur à la moyenne de l’UE dans les trois domaines examinés. De manière plus détaillée, l’écart en terme de besoins en soins médicaux non satisfaits est le pl</w:t>
      </w:r>
      <w:r>
        <w:rPr>
          <w:rFonts w:ascii="Times New Roman" w:hAnsi="Times New Roman"/>
          <w:noProof/>
          <w:sz w:val="24"/>
          <w:lang w:val="fr-BE"/>
        </w:rPr>
        <w:t>us important en Lettonie (14,8 points de pourcentage) et en Grèce (34,1 points), et le plus faible au Danemark, en Espagne, aux Pays-Bas et au Royaume-Uni (moins de 1 point). Dans le domaine du logement, les écarts les plus importants concernant le taux de</w:t>
      </w:r>
      <w:r>
        <w:rPr>
          <w:rFonts w:ascii="Times New Roman" w:hAnsi="Times New Roman"/>
          <w:noProof/>
          <w:sz w:val="24"/>
          <w:lang w:val="fr-BE"/>
        </w:rPr>
        <w:t xml:space="preserve"> surcharge des coûts du logement ont été observés au Danemark, en Grèce, en Autriche et en Italie (plus de 50 points), tandis que les écarts les plus faibles ont été enregistrés à Malte, à Chypre, en Irlande et en Finlande (moins de 20 points)</w:t>
      </w:r>
      <w:r>
        <w:rPr>
          <w:rStyle w:val="FootnoteReference"/>
          <w:rFonts w:ascii="Times New Roman" w:hAnsi="Times New Roman"/>
          <w:noProof/>
          <w:sz w:val="24"/>
        </w:rPr>
        <w:footnoteReference w:id="103"/>
      </w:r>
      <w:r>
        <w:rPr>
          <w:rFonts w:ascii="Times New Roman" w:hAnsi="Times New Roman"/>
          <w:noProof/>
          <w:sz w:val="24"/>
          <w:lang w:val="fr-BE"/>
        </w:rPr>
        <w:t xml:space="preserve">. En ce qui </w:t>
      </w:r>
      <w:r>
        <w:rPr>
          <w:rFonts w:ascii="Times New Roman" w:hAnsi="Times New Roman"/>
          <w:noProof/>
          <w:sz w:val="24"/>
          <w:lang w:val="fr-BE"/>
        </w:rPr>
        <w:t>concerne l’apprentissage des adultes, la Suède et le Danemark ont connu des écarts négatifs en 2016, ce qui dénote une amélioration de l’accès pour les personnes exposées au risque de pauvreté qui vivent dans un ménage à très faible intensité de travail; l</w:t>
      </w:r>
      <w:r>
        <w:rPr>
          <w:rFonts w:ascii="Times New Roman" w:hAnsi="Times New Roman"/>
          <w:noProof/>
          <w:sz w:val="24"/>
          <w:lang w:val="fr-BE"/>
        </w:rPr>
        <w:t xml:space="preserve">’écart était nul à Malte et au Royaume-Uni. Les écarts les plus importants sont observés en Lettonie, en Espagne et en Lituanie (plus de 16 points).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L’accès à un logement de bonne qualité s’améliore depuis 2008 mais, dans certains pays, une part important</w:t>
      </w:r>
      <w:r>
        <w:rPr>
          <w:rFonts w:ascii="Times New Roman" w:hAnsi="Times New Roman"/>
          <w:b/>
          <w:noProof/>
          <w:sz w:val="24"/>
          <w:lang w:val="fr-BE"/>
        </w:rPr>
        <w:t xml:space="preserve">e de la population fait état de problèmes de qualité de leur habitation. </w:t>
      </w:r>
      <w:r>
        <w:rPr>
          <w:rFonts w:ascii="Times New Roman" w:hAnsi="Times New Roman"/>
          <w:noProof/>
          <w:sz w:val="24"/>
          <w:lang w:val="fr-BE"/>
        </w:rPr>
        <w:t>En 2017, 13,1 % de la population de l’UE déclarent vivre dans un logement dont le toit fuit, dont les murs, les sols ou les fondations sont touchés par l’humidité, ou dont les châssis</w:t>
      </w:r>
      <w:r>
        <w:rPr>
          <w:rFonts w:ascii="Times New Roman" w:hAnsi="Times New Roman"/>
          <w:noProof/>
          <w:sz w:val="24"/>
          <w:lang w:val="fr-BE"/>
        </w:rPr>
        <w:t xml:space="preserve"> ou les planchers présentent des moisissures. Ce résultat est inférieur de 2,3 points de pourcentage à celui de 2016</w:t>
      </w:r>
      <w:r>
        <w:rPr>
          <w:rFonts w:ascii="Times New Roman" w:hAnsi="Times New Roman"/>
          <w:noProof/>
          <w:sz w:val="24"/>
          <w:vertAlign w:val="superscript"/>
        </w:rPr>
        <w:footnoteReference w:id="104"/>
      </w:r>
      <w:r>
        <w:rPr>
          <w:rFonts w:ascii="Times New Roman" w:hAnsi="Times New Roman"/>
          <w:noProof/>
          <w:sz w:val="24"/>
          <w:lang w:val="fr-BE"/>
        </w:rPr>
        <w:t>. Cette composante de la privation en matière de logement</w:t>
      </w:r>
      <w:r>
        <w:rPr>
          <w:rStyle w:val="FootnoteReference"/>
          <w:rFonts w:ascii="Times New Roman" w:hAnsi="Times New Roman"/>
          <w:noProof/>
          <w:sz w:val="24"/>
        </w:rPr>
        <w:footnoteReference w:id="105"/>
      </w:r>
      <w:r>
        <w:rPr>
          <w:rFonts w:ascii="Times New Roman" w:hAnsi="Times New Roman"/>
          <w:noProof/>
          <w:sz w:val="24"/>
          <w:lang w:val="fr-BE"/>
        </w:rPr>
        <w:t xml:space="preserve"> est particulièrement problématique dans cinq États membres (Chypre, Portugal, Ho</w:t>
      </w:r>
      <w:r>
        <w:rPr>
          <w:rFonts w:ascii="Times New Roman" w:hAnsi="Times New Roman"/>
          <w:noProof/>
          <w:sz w:val="24"/>
          <w:lang w:val="fr-BE"/>
        </w:rPr>
        <w:t xml:space="preserve">ngrie, Lettonie et Slovénie), où plus de 20 % des personnes se plaignent de telles insuffisances de qualité de leur habitation. En 2017, la Roumanie a connu une amélioration considérable, puisque la part de la population déclarant n’avoir ni baignoire, ni </w:t>
      </w:r>
      <w:r>
        <w:rPr>
          <w:rFonts w:ascii="Times New Roman" w:hAnsi="Times New Roman"/>
          <w:noProof/>
          <w:sz w:val="24"/>
          <w:lang w:val="fr-BE"/>
        </w:rPr>
        <w:t>douche, ni toilettes intérieures avec chasse d’eau dans leur logement s’est réduite, tout en restant au niveau important de 27,2 %. En Lettonie, en Bulgarie et en Lituanie, près de 10 % des personnes n’ont ni baignoire, ni douche dans leur logement, ni toi</w:t>
      </w:r>
      <w:r>
        <w:rPr>
          <w:rFonts w:ascii="Times New Roman" w:hAnsi="Times New Roman"/>
          <w:noProof/>
          <w:sz w:val="24"/>
          <w:lang w:val="fr-BE"/>
        </w:rPr>
        <w:t xml:space="preserve">lettes intérieures avec chasse d’eau à l’usage exclusif du ménage.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La part du revenu disponible des ménages consacrée aux dépenses liées au logement reste importante dans plusieurs États membres.</w:t>
      </w:r>
      <w:r>
        <w:rPr>
          <w:rFonts w:ascii="Times New Roman" w:hAnsi="Times New Roman"/>
          <w:noProof/>
          <w:sz w:val="24"/>
          <w:lang w:val="fr-BE"/>
        </w:rPr>
        <w:t xml:space="preserve"> Lorsque les coûts du logement sont pris en compte, 156 mill</w:t>
      </w:r>
      <w:r>
        <w:rPr>
          <w:rFonts w:ascii="Times New Roman" w:hAnsi="Times New Roman"/>
          <w:noProof/>
          <w:sz w:val="24"/>
          <w:lang w:val="fr-BE"/>
        </w:rPr>
        <w:t>ions de personnes sont exposées au risque de pauvreté, contre 85 millions si ces coûts sont laissés de côté. La situation est particulièrement pénible pour les ménages à faible revenu. En 2017, 10,2 % des ménages de l’UE consacraient plus de 40 % de leur r</w:t>
      </w:r>
      <w:r>
        <w:rPr>
          <w:rFonts w:ascii="Times New Roman" w:hAnsi="Times New Roman"/>
          <w:noProof/>
          <w:sz w:val="24"/>
          <w:lang w:val="fr-BE"/>
        </w:rPr>
        <w:t>evenu disponible aux coûts du logement, mais cette part augmente à 37,8 % lorsque l’on prend en compte les ménages menacés de pauvreté. Malgré une légère amélioration par rapport aux années précédentes, le taux de surcharge des coûts du logement reste le p</w:t>
      </w:r>
      <w:r>
        <w:rPr>
          <w:rFonts w:ascii="Times New Roman" w:hAnsi="Times New Roman"/>
          <w:noProof/>
          <w:sz w:val="24"/>
          <w:lang w:val="fr-BE"/>
        </w:rPr>
        <w:t>lus élevé en Grèce, où il s’élevait à 39,6 % en 2017. La Bulgarie, le Danemark et l’Allemagne sont, après la Grèce, les États membres qui affichent les proportions les plus élevées de personnes confrontées à la surcharge des coûts du logement (plus de 15 %</w:t>
      </w:r>
      <w:r>
        <w:rPr>
          <w:rFonts w:ascii="Times New Roman" w:hAnsi="Times New Roman"/>
          <w:noProof/>
          <w:sz w:val="24"/>
          <w:lang w:val="fr-BE"/>
        </w:rPr>
        <w:t xml:space="preserve"> de la population dans chacun de ces pays). L’effet est particulièrement notable au Danemark et en Allemagne, où la proportion de personnes exposées au risque de pauvreté est inférieure à la moyenne de l’UE lorsque les coûts du logement ne sont pas pris en</w:t>
      </w:r>
      <w:r>
        <w:rPr>
          <w:rFonts w:ascii="Times New Roman" w:hAnsi="Times New Roman"/>
          <w:noProof/>
          <w:sz w:val="24"/>
          <w:lang w:val="fr-BE"/>
        </w:rPr>
        <w:t xml:space="preserve"> considération, mais supérieure à la moyenne de l’UE lorsque l’on en tient compte. À l’inverse, en Estonie, en Irlande, en Finlande, à Chypre et à Malte, moins de 5 % des personnes vivent dans un ménage dont le budget est lourdement grevé par les coûts lié</w:t>
      </w:r>
      <w:r>
        <w:rPr>
          <w:rFonts w:ascii="Times New Roman" w:hAnsi="Times New Roman"/>
          <w:noProof/>
          <w:sz w:val="24"/>
          <w:lang w:val="fr-BE"/>
        </w:rPr>
        <w:t>s au logement. Dans la plupart des pays, les locataires qui louent au prix du marché sont nettement plus surchargés par les coûts du logement que les propriétaires qui remboursent un prêt hypothécaire ou un emprunt (la moyenne de l’UE est de 25,1 % pour le</w:t>
      </w:r>
      <w:r>
        <w:rPr>
          <w:rFonts w:ascii="Times New Roman" w:hAnsi="Times New Roman"/>
          <w:noProof/>
          <w:sz w:val="24"/>
          <w:lang w:val="fr-BE"/>
        </w:rPr>
        <w:t>s locataires payant un loyer au prix du marché, contre environ 5 % pour les propriétaires).</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La hausse des loyers est de plus en plus lourde à supporter pour les ménages pauvres dans certains États membres. </w:t>
      </w:r>
      <w:r>
        <w:rPr>
          <w:rFonts w:ascii="Times New Roman" w:hAnsi="Times New Roman"/>
          <w:noProof/>
          <w:sz w:val="24"/>
          <w:lang w:val="fr-BE"/>
        </w:rPr>
        <w:t>En 2016, dans sept pays (Irlande, Estonie, Lituani</w:t>
      </w:r>
      <w:r>
        <w:rPr>
          <w:rFonts w:ascii="Times New Roman" w:hAnsi="Times New Roman"/>
          <w:noProof/>
          <w:sz w:val="24"/>
          <w:lang w:val="fr-BE"/>
        </w:rPr>
        <w:t>e, Slovénie, Hongrie, Autriche et Pologne), les loyers calculés en termes réels ont augmenté de plus de 5 % depuis 2015. Les loyers élevés peuvent aggraver le risque de pauvreté ou d’exclusion sociale, en particulier dans des pays tels que la Slovénie, l’I</w:t>
      </w:r>
      <w:r>
        <w:rPr>
          <w:rFonts w:ascii="Times New Roman" w:hAnsi="Times New Roman"/>
          <w:noProof/>
          <w:sz w:val="24"/>
          <w:lang w:val="fr-BE"/>
        </w:rPr>
        <w:t xml:space="preserve">rlande, l’Autriche et la Lituanie, où le risque de pauvreté auquel sont exposés les locataires est nettement supérieur à celui des propriétaires. Les chiffres nationaux peuvent également dissimuler des problèmes particuliers dans certaines villes.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L’évolu</w:t>
      </w:r>
      <w:r>
        <w:rPr>
          <w:rFonts w:ascii="Times New Roman" w:hAnsi="Times New Roman"/>
          <w:b/>
          <w:noProof/>
          <w:sz w:val="24"/>
          <w:lang w:val="fr-BE"/>
        </w:rPr>
        <w:t>tion récente du sans-abrisme indique que la situation ne s’améliore pas.</w:t>
      </w:r>
      <w:r>
        <w:rPr>
          <w:rFonts w:ascii="Times New Roman" w:hAnsi="Times New Roman"/>
          <w:noProof/>
          <w:sz w:val="24"/>
          <w:lang w:val="fr-BE"/>
        </w:rPr>
        <w:t xml:space="preserve"> Les estimations du nombre de sans-abri ne sont pas comparables entre les pays, faute de sources officielles et du fait des méthodes différentes appliquées pour leur dénombrement. Les </w:t>
      </w:r>
      <w:r>
        <w:rPr>
          <w:rFonts w:ascii="Times New Roman" w:hAnsi="Times New Roman"/>
          <w:noProof/>
          <w:sz w:val="24"/>
          <w:lang w:val="fr-BE"/>
        </w:rPr>
        <w:t>données disponibles ne permettent que de surveiller l’évolution de la problématique (l’année la plus récente étant, dans la plupart des cas, 2017 ou 2016). Elles dénotent pour autant une aggravation du sans-abrisme dans la totalité des 25 États membres cou</w:t>
      </w:r>
      <w:r>
        <w:rPr>
          <w:rFonts w:ascii="Times New Roman" w:hAnsi="Times New Roman"/>
          <w:noProof/>
          <w:sz w:val="24"/>
          <w:lang w:val="fr-BE"/>
        </w:rPr>
        <w:t>verts, sauf en Finlande, où la situation s’est améliorée</w:t>
      </w:r>
      <w:r>
        <w:rPr>
          <w:rFonts w:ascii="Times New Roman" w:hAnsi="Times New Roman"/>
          <w:noProof/>
          <w:sz w:val="24"/>
          <w:vertAlign w:val="superscript"/>
        </w:rPr>
        <w:footnoteReference w:id="106"/>
      </w:r>
      <w:r>
        <w:rPr>
          <w:rFonts w:ascii="Times New Roman" w:hAnsi="Times New Roman"/>
          <w:noProof/>
          <w:sz w:val="24"/>
          <w:lang w:val="fr-BE"/>
        </w:rPr>
        <w:t xml:space="preserve">.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Grâce aux pensions, les personnes âgées sont relativement protégées contre le risque de pauvreté.</w:t>
      </w:r>
      <w:r>
        <w:rPr>
          <w:rFonts w:ascii="Times New Roman" w:hAnsi="Times New Roman"/>
          <w:noProof/>
          <w:sz w:val="24"/>
          <w:lang w:val="fr-BE"/>
        </w:rPr>
        <w:t xml:space="preserve"> Au niveau de l’UE, le taux de risque de pauvreté (AROP) est moins élevé chez les personnes âgées q</w:t>
      </w:r>
      <w:r>
        <w:rPr>
          <w:rFonts w:ascii="Times New Roman" w:hAnsi="Times New Roman"/>
          <w:noProof/>
          <w:sz w:val="24"/>
          <w:lang w:val="fr-BE"/>
        </w:rPr>
        <w:t xml:space="preserve">ue chez les personnes en âge de travailler (14,6 % contre 16,7 % en 2017). Sur les dix dernières années, ce rapport s’est inversé par comparaison avec la situation d’avant la crise, ce qui tient en partie au fait que la crise a abaissé le niveau du revenu </w:t>
      </w:r>
      <w:r>
        <w:rPr>
          <w:rFonts w:ascii="Times New Roman" w:hAnsi="Times New Roman"/>
          <w:noProof/>
          <w:sz w:val="24"/>
          <w:lang w:val="fr-BE"/>
        </w:rPr>
        <w:t>réel disponible moyen des ménages, en particulier parmi la population en âge de travailler dans la quasi</w:t>
      </w:r>
      <w:r>
        <w:rPr>
          <w:noProof/>
          <w:lang w:val="fr-BE"/>
        </w:rPr>
        <w:noBreakHyphen/>
      </w:r>
      <w:r>
        <w:rPr>
          <w:rFonts w:ascii="Times New Roman" w:hAnsi="Times New Roman"/>
          <w:noProof/>
          <w:sz w:val="24"/>
          <w:lang w:val="fr-BE"/>
        </w:rPr>
        <w:t xml:space="preserve">totalité des pays européens, alors que les pensions ont mieux résisté. Pour autant, le taux de privation matérielle grave a également diminué chez les </w:t>
      </w:r>
      <w:r>
        <w:rPr>
          <w:rFonts w:ascii="Times New Roman" w:hAnsi="Times New Roman"/>
          <w:noProof/>
          <w:sz w:val="24"/>
          <w:lang w:val="fr-BE"/>
        </w:rPr>
        <w:t>personnes âgées (de 7,4 % en 2008 à 6,3 % en 2017), ce qui montre que le recul de la pauvreté et de l’exclusion sociale n’était pas un simple effet relatif.</w:t>
      </w:r>
    </w:p>
    <w:p w:rsidR="00723CC0" w:rsidRDefault="00242021">
      <w:pPr>
        <w:keepNext/>
        <w:pBdr>
          <w:between w:val="nil"/>
          <w:bar w:val="nil"/>
        </w:pBdr>
        <w:spacing w:before="120" w:after="120" w:line="240" w:lineRule="auto"/>
        <w:jc w:val="both"/>
        <w:rPr>
          <w:rFonts w:ascii="Times New Roman" w:hAnsi="Times New Roman"/>
          <w:b/>
          <w:noProof/>
          <w:sz w:val="24"/>
          <w:szCs w:val="24"/>
          <w:lang w:val="fr-BE"/>
        </w:rPr>
      </w:pPr>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66</w:t>
      </w:r>
      <w:r>
        <w:rPr>
          <w:rFonts w:ascii="Times New Roman" w:hAnsi="Times New Roman"/>
          <w:b/>
          <w:noProof/>
          <w:sz w:val="24"/>
          <w:szCs w:val="24"/>
        </w:rPr>
        <w:fldChar w:fldCharType="end"/>
      </w:r>
      <w:r>
        <w:rPr>
          <w:rFonts w:ascii="Times New Roman" w:hAnsi="Times New Roman"/>
          <w:b/>
          <w:noProof/>
          <w:sz w:val="24"/>
          <w:lang w:val="fr-BE"/>
        </w:rPr>
        <w:t xml:space="preserve">: Pourcentage de la population âgée de 65 ans ou plus exposée </w:t>
      </w:r>
      <w:r>
        <w:rPr>
          <w:rFonts w:ascii="Times New Roman" w:hAnsi="Times New Roman"/>
          <w:b/>
          <w:noProof/>
          <w:sz w:val="24"/>
          <w:lang w:val="fr-BE"/>
        </w:rPr>
        <w:t>au risque de pauvreté ou d’exclusion sociale par rapport à la moyenne de l’UE en 2017</w:t>
      </w:r>
      <w:r>
        <w:rPr>
          <w:rFonts w:ascii="Times New Roman" w:hAnsi="Times New Roman"/>
          <w:b/>
          <w:noProof/>
          <w:sz w:val="24"/>
          <w:lang w:val="en-GB" w:eastAsia="en-GB" w:bidi="ar-SA"/>
        </w:rPr>
        <w:drawing>
          <wp:inline distT="0" distB="0" distL="0" distR="0">
            <wp:extent cx="5285740" cy="3347085"/>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5285740" cy="3347085"/>
                    </a:xfrm>
                    <a:prstGeom prst="rect">
                      <a:avLst/>
                    </a:prstGeom>
                    <a:noFill/>
                  </pic:spPr>
                </pic:pic>
              </a:graphicData>
            </a:graphic>
          </wp:inline>
        </w:drawing>
      </w:r>
    </w:p>
    <w:p w:rsidR="00723CC0" w:rsidRDefault="00723CC0">
      <w:pPr>
        <w:spacing w:line="240" w:lineRule="auto"/>
        <w:contextualSpacing/>
        <w:rPr>
          <w:rFonts w:ascii="Times New Roman" w:hAnsi="Times New Roman"/>
          <w:noProof/>
          <w:sz w:val="18"/>
          <w:lang w:val="fr-BE"/>
        </w:rPr>
      </w:pPr>
    </w:p>
    <w:p w:rsidR="00723CC0" w:rsidRDefault="00242021">
      <w:pPr>
        <w:spacing w:line="240" w:lineRule="auto"/>
        <w:contextualSpacing/>
        <w:rPr>
          <w:rFonts w:ascii="Times New Roman" w:hAnsi="Times New Roman"/>
          <w:noProof/>
          <w:lang w:val="fr-BE"/>
        </w:rPr>
      </w:pPr>
      <w:r>
        <w:rPr>
          <w:rFonts w:ascii="Times New Roman" w:hAnsi="Times New Roman"/>
          <w:noProof/>
          <w:sz w:val="18"/>
          <w:lang w:val="fr-BE"/>
        </w:rPr>
        <w:t>Source: Eurostat, EU-SILC. Remarques: les données sont homogénéisées (EU-28 = 0). Les données de l’Irlande et du Royaume-Uni se rapportent à 2016.</w:t>
      </w:r>
    </w:p>
    <w:p w:rsidR="00723CC0" w:rsidRDefault="00723CC0">
      <w:pPr>
        <w:spacing w:before="120" w:after="120"/>
        <w:jc w:val="both"/>
        <w:rPr>
          <w:rFonts w:ascii="Times New Roman" w:hAnsi="Times New Roman"/>
          <w:i/>
          <w:noProof/>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Le risque de pauvret</w:t>
      </w:r>
      <w:r>
        <w:rPr>
          <w:rFonts w:ascii="Times New Roman" w:hAnsi="Times New Roman"/>
          <w:b/>
          <w:noProof/>
          <w:sz w:val="24"/>
          <w:lang w:val="fr-BE"/>
        </w:rPr>
        <w:t xml:space="preserve">é et d’exclusion sociale chez les personnes âgées n’a pas cessé de reculer dans la plupart des États membres. </w:t>
      </w:r>
      <w:r>
        <w:rPr>
          <w:rFonts w:ascii="Times New Roman" w:hAnsi="Times New Roman"/>
          <w:noProof/>
          <w:sz w:val="24"/>
          <w:lang w:val="fr-BE"/>
        </w:rPr>
        <w:t xml:space="preserve">De manière générale, 148 000 personnes âgées de 65 ans ou plus n’étaient plus exposées au risque de pauvreté ou d’exclusion sociale en 2017 alors </w:t>
      </w:r>
      <w:r>
        <w:rPr>
          <w:rFonts w:ascii="Times New Roman" w:hAnsi="Times New Roman"/>
          <w:noProof/>
          <w:sz w:val="24"/>
          <w:lang w:val="fr-BE"/>
        </w:rPr>
        <w:t>qu’elles l’étaient avant la crise (en 2008). Cette amélioration globale masque des différences notables entre les États membres; en effet, la part des personnes âgées exposées au risque de pauvreté ou d’exclusion sociale a considérablement diminué à Chypre</w:t>
      </w:r>
      <w:r>
        <w:rPr>
          <w:rFonts w:ascii="Times New Roman" w:hAnsi="Times New Roman"/>
          <w:noProof/>
          <w:sz w:val="24"/>
          <w:lang w:val="fr-BE"/>
        </w:rPr>
        <w:t xml:space="preserve"> (-24,7 points de pourcentage depuis 2008), en Bulgarie (-16,6 points), en Roumanie (</w:t>
      </w:r>
      <w:r>
        <w:rPr>
          <w:noProof/>
          <w:lang w:val="fr-BE"/>
        </w:rPr>
        <w:noBreakHyphen/>
      </w:r>
      <w:r>
        <w:rPr>
          <w:rFonts w:ascii="Times New Roman" w:hAnsi="Times New Roman"/>
          <w:noProof/>
          <w:sz w:val="24"/>
          <w:lang w:val="fr-BE"/>
        </w:rPr>
        <w:t xml:space="preserve">16,2 points) et en Lettonie (-14,9 points), mais elle a augmenté au Luxembourg (+6,4 points) et en Allemagne (+2,2 points).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Cependant, la situation des femmes âgées est </w:t>
      </w:r>
      <w:r>
        <w:rPr>
          <w:rFonts w:ascii="Times New Roman" w:hAnsi="Times New Roman"/>
          <w:b/>
          <w:noProof/>
          <w:sz w:val="24"/>
          <w:lang w:val="fr-BE"/>
        </w:rPr>
        <w:t>particulièrement préoccupante,</w:t>
      </w:r>
      <w:r>
        <w:rPr>
          <w:rFonts w:ascii="Times New Roman" w:hAnsi="Times New Roman"/>
          <w:noProof/>
          <w:sz w:val="24"/>
          <w:lang w:val="fr-BE"/>
        </w:rPr>
        <w:t xml:space="preserve"> car une femme de 65 ans ou plus sur cinq est menacée de pauvreté ou d’exclusion sociale dans l’UE. En 2017, le taux AROPE chez les femmes oscillait entre 10 % environ au Danemark, en France et aux Pays-Bas, plus de 50 % en Bu</w:t>
      </w:r>
      <w:r>
        <w:rPr>
          <w:rFonts w:ascii="Times New Roman" w:hAnsi="Times New Roman"/>
          <w:noProof/>
          <w:sz w:val="24"/>
          <w:lang w:val="fr-BE"/>
        </w:rPr>
        <w:t>lgarie et plus de 40 % dans les États baltes. Les écarts les plus importants entre les femmes et les hommes pour cet indicateur sont observés en Lituanie (19,9 points) et en Estonie (19,7 points), suivies par la Lettonie (16,6 points) et la Bulgarie (16,2 </w:t>
      </w:r>
      <w:r>
        <w:rPr>
          <w:rFonts w:ascii="Times New Roman" w:hAnsi="Times New Roman"/>
          <w:noProof/>
          <w:sz w:val="24"/>
          <w:lang w:val="fr-BE"/>
        </w:rPr>
        <w:t>points).</w:t>
      </w:r>
      <w:r>
        <w:rPr>
          <w:rFonts w:ascii="Times New Roman" w:hAnsi="Times New Roman"/>
          <w:b/>
          <w:noProof/>
          <w:sz w:val="24"/>
          <w:lang w:val="fr-BE"/>
        </w:rPr>
        <w:t xml:space="preserve"> </w:t>
      </w:r>
      <w:r>
        <w:rPr>
          <w:rFonts w:ascii="Times New Roman" w:hAnsi="Times New Roman"/>
          <w:noProof/>
          <w:sz w:val="24"/>
          <w:lang w:val="fr-BE"/>
        </w:rPr>
        <w:t xml:space="preserve">Les femmes âgées ont des revenus moins élevés que les hommes âgés: en 2016, le revenu médian des femmes âgées était, dans l’UE, inférieur de 6 points de pourcentage à celui des hommes âgés par rapport aux jeunes du même sexe (90 % pour les femmes </w:t>
      </w:r>
      <w:r>
        <w:rPr>
          <w:rFonts w:ascii="Times New Roman" w:hAnsi="Times New Roman"/>
          <w:noProof/>
          <w:sz w:val="24"/>
          <w:lang w:val="fr-BE"/>
        </w:rPr>
        <w:t>et 96 % pour les hommes).</w:t>
      </w:r>
      <w:r>
        <w:rPr>
          <w:rFonts w:ascii="Times New Roman" w:hAnsi="Times New Roman"/>
          <w:b/>
          <w:noProof/>
          <w:sz w:val="24"/>
          <w:lang w:val="fr-BE"/>
        </w:rPr>
        <w:t xml:space="preserve"> </w:t>
      </w:r>
      <w:r>
        <w:rPr>
          <w:rFonts w:ascii="Times New Roman" w:hAnsi="Times New Roman"/>
          <w:noProof/>
          <w:sz w:val="24"/>
          <w:lang w:val="fr-BE"/>
        </w:rPr>
        <w:t>Ainsi, non seulement les femmes gagnent moins pendant leur vie active, mais elles ont également un revenu moins élevé à la retraite, ce qui contribue à amplifier les inégalités de revenu entre les sexes à un âge plus avancé.</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En mo</w:t>
      </w:r>
      <w:r>
        <w:rPr>
          <w:rFonts w:ascii="Times New Roman" w:hAnsi="Times New Roman"/>
          <w:b/>
          <w:noProof/>
          <w:sz w:val="24"/>
          <w:lang w:val="fr-BE"/>
        </w:rPr>
        <w:t xml:space="preserve">yenne, dans l’UE, les personnes de 65 ans ou plus ont des revenus légèrement inférieurs à ceux des plus jeunes. </w:t>
      </w:r>
      <w:r>
        <w:rPr>
          <w:rFonts w:ascii="Times New Roman" w:hAnsi="Times New Roman"/>
          <w:noProof/>
          <w:sz w:val="24"/>
          <w:lang w:val="fr-BE"/>
        </w:rPr>
        <w:t>Le revenu disponible médian des personnes âgées de 65 ou plus s’élevait à 92 % du revenu de la population plus jeune en 2017. Le ratio du revenu</w:t>
      </w:r>
      <w:r>
        <w:rPr>
          <w:rFonts w:ascii="Times New Roman" w:hAnsi="Times New Roman"/>
          <w:noProof/>
          <w:sz w:val="24"/>
          <w:lang w:val="fr-BE"/>
        </w:rPr>
        <w:t xml:space="preserve"> médian relatif total était inférieur à 75 % dans cinq pays (Danemark, Malte, Lituanie, Lettonie et Estonie) et à 80 % dans quatre autres (Belgique, Suède, Chypre et République tchèque). En revanche, les hommes âgés dans neuf États membres (Luxembourg, Grè</w:t>
      </w:r>
      <w:r>
        <w:rPr>
          <w:rFonts w:ascii="Times New Roman" w:hAnsi="Times New Roman"/>
          <w:noProof/>
          <w:sz w:val="24"/>
          <w:lang w:val="fr-BE"/>
        </w:rPr>
        <w:t>ce, France, Espagne, Hongrie, Italie, Autriche, Pologne et Roumanie) et les femmes âgées dans deux États membres (Luxembourg et Grèce) disposaient d’un revenu médian plus confortable que les personnes âgées de moins de 65 ans en 2017.</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Alors que les pension</w:t>
      </w:r>
      <w:r>
        <w:rPr>
          <w:rFonts w:ascii="Times New Roman" w:hAnsi="Times New Roman"/>
          <w:b/>
          <w:noProof/>
          <w:sz w:val="24"/>
          <w:lang w:val="fr-BE"/>
        </w:rPr>
        <w:t>s représentent en moyenne plus de la moitié du revenu du travail en fin de carrière, la capacité des retraites à remplacer le revenu varie considérablement d’un État membre à l’autre.</w:t>
      </w:r>
      <w:r>
        <w:rPr>
          <w:rFonts w:ascii="Times New Roman" w:hAnsi="Times New Roman"/>
          <w:noProof/>
          <w:sz w:val="24"/>
          <w:lang w:val="fr-BE"/>
        </w:rPr>
        <w:t xml:space="preserve"> En 2017, le taux de remplacement agrégé</w:t>
      </w:r>
      <w:r>
        <w:rPr>
          <w:rStyle w:val="FootnoteReference"/>
          <w:rFonts w:ascii="Times New Roman" w:hAnsi="Times New Roman"/>
          <w:noProof/>
          <w:sz w:val="24"/>
        </w:rPr>
        <w:footnoteReference w:id="107"/>
      </w:r>
      <w:r>
        <w:rPr>
          <w:rFonts w:ascii="Times New Roman" w:hAnsi="Times New Roman"/>
          <w:noProof/>
          <w:sz w:val="24"/>
          <w:lang w:val="fr-BE"/>
        </w:rPr>
        <w:t xml:space="preserve"> (ARR) était en moyenne de 59 % dans l’UE, avec de fortes disparités entre les pays. Le ratio oscillait entre plus de 80 % au Luxembourg et moins de 40 % en Irlande, en Bulgarie et en Croatie</w:t>
      </w:r>
      <w:r>
        <w:rPr>
          <w:rStyle w:val="FootnoteReference"/>
          <w:rFonts w:ascii="Times New Roman" w:hAnsi="Times New Roman"/>
          <w:noProof/>
          <w:sz w:val="24"/>
        </w:rPr>
        <w:footnoteReference w:id="108"/>
      </w:r>
      <w:r>
        <w:rPr>
          <w:rFonts w:ascii="Times New Roman" w:hAnsi="Times New Roman"/>
          <w:noProof/>
          <w:sz w:val="24"/>
          <w:lang w:val="fr-BE"/>
        </w:rPr>
        <w:t>.</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Dans un contexte d’allongement de l’espérance de vie, les pens</w:t>
      </w:r>
      <w:r>
        <w:rPr>
          <w:rFonts w:ascii="Times New Roman" w:hAnsi="Times New Roman"/>
          <w:b/>
          <w:noProof/>
          <w:sz w:val="24"/>
          <w:lang w:val="fr-BE"/>
        </w:rPr>
        <w:t>ions doivent s’adapter; la vie active commence plus tard et dure plus longtemps puisque, dans l’ensemble, les gens vivent plus longtemps également.</w:t>
      </w:r>
      <w:r>
        <w:rPr>
          <w:rFonts w:ascii="Times New Roman" w:hAnsi="Times New Roman"/>
          <w:noProof/>
          <w:sz w:val="24"/>
          <w:lang w:val="fr-BE"/>
        </w:rPr>
        <w:t xml:space="preserve"> Outre la réduction de la pauvreté et le remplacement du revenu, la troisième dimension pertinente de l’adéqu</w:t>
      </w:r>
      <w:r>
        <w:rPr>
          <w:rFonts w:ascii="Times New Roman" w:hAnsi="Times New Roman"/>
          <w:noProof/>
          <w:sz w:val="24"/>
          <w:lang w:val="fr-BE"/>
        </w:rPr>
        <w:t>ation des pensions est la durée de la retraite. Le rapport entre le temps passé à la retraite et le temps de travail est actuellement de 51 % en moyenne dans l’UE. Le graphique 67 présente un aperçu de la durée moyenne, sur une vie, de la période antérieur</w:t>
      </w:r>
      <w:r>
        <w:rPr>
          <w:rFonts w:ascii="Times New Roman" w:hAnsi="Times New Roman"/>
          <w:noProof/>
          <w:sz w:val="24"/>
          <w:lang w:val="fr-BE"/>
        </w:rPr>
        <w:t>e à l’entrée dans la vie active, de la période de travail et de la période postérieure à la retraite dans les États membres (sur la base d’une estimation de l’âge au début du premier emploi ou de l’entrée sur le marché du travail, d’une estimation de l’âge</w:t>
      </w:r>
      <w:r>
        <w:rPr>
          <w:rFonts w:ascii="Times New Roman" w:hAnsi="Times New Roman"/>
          <w:noProof/>
          <w:sz w:val="24"/>
          <w:lang w:val="fr-BE"/>
        </w:rPr>
        <w:t xml:space="preserve"> moyen à la sortie du marché du travail ainsi que de l’espérance de vie à 60 ans).</w:t>
      </w:r>
    </w:p>
    <w:p w:rsidR="00723CC0" w:rsidRDefault="00242021">
      <w:pPr>
        <w:keepNext/>
        <w:pBdr>
          <w:between w:val="nil"/>
          <w:bar w:val="nil"/>
        </w:pBdr>
        <w:spacing w:before="120" w:after="120" w:line="240" w:lineRule="auto"/>
        <w:jc w:val="both"/>
        <w:rPr>
          <w:rFonts w:ascii="Times New Roman" w:hAnsi="Times New Roman"/>
          <w:b/>
          <w:noProof/>
          <w:sz w:val="24"/>
          <w:szCs w:val="24"/>
          <w:lang w:val="fr-BE"/>
        </w:rPr>
      </w:pPr>
      <w:bookmarkStart w:id="97" w:name="_Ref529372850"/>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67</w:t>
      </w:r>
      <w:r>
        <w:rPr>
          <w:rFonts w:ascii="Times New Roman" w:hAnsi="Times New Roman"/>
          <w:b/>
          <w:noProof/>
          <w:sz w:val="24"/>
          <w:szCs w:val="24"/>
        </w:rPr>
        <w:fldChar w:fldCharType="end"/>
      </w:r>
      <w:bookmarkEnd w:id="97"/>
      <w:r>
        <w:rPr>
          <w:rFonts w:ascii="Times New Roman" w:hAnsi="Times New Roman"/>
          <w:b/>
          <w:noProof/>
          <w:sz w:val="24"/>
          <w:lang w:val="fr-BE"/>
        </w:rPr>
        <w:t>: Durée des différentes périodes d’activité en 2017</w:t>
      </w:r>
    </w:p>
    <w:p w:rsidR="00723CC0" w:rsidRDefault="00242021">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526157" cy="453533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5530117" cy="4538582"/>
                    </a:xfrm>
                    <a:prstGeom prst="rect">
                      <a:avLst/>
                    </a:prstGeom>
                    <a:noFill/>
                  </pic:spPr>
                </pic:pic>
              </a:graphicData>
            </a:graphic>
          </wp:inline>
        </w:drawing>
      </w:r>
    </w:p>
    <w:p w:rsidR="00723CC0" w:rsidRDefault="00242021">
      <w:pPr>
        <w:spacing w:line="240" w:lineRule="auto"/>
        <w:contextualSpacing/>
        <w:rPr>
          <w:rFonts w:ascii="Times New Roman" w:hAnsi="Times New Roman" w:cs="Times New Roman"/>
          <w:iCs/>
          <w:noProof/>
          <w:sz w:val="20"/>
          <w:szCs w:val="20"/>
          <w:lang w:val="fr-BE"/>
        </w:rPr>
      </w:pPr>
      <w:r>
        <w:rPr>
          <w:rFonts w:ascii="Times New Roman" w:hAnsi="Times New Roman"/>
          <w:noProof/>
          <w:sz w:val="20"/>
          <w:lang w:val="fr-BE"/>
        </w:rPr>
        <w:t>Source: Rapport 2018 sur le vieillissement pour l’âge à l’entrée et à la sortie du</w:t>
      </w:r>
      <w:r>
        <w:rPr>
          <w:rFonts w:ascii="Times New Roman" w:hAnsi="Times New Roman"/>
          <w:noProof/>
          <w:sz w:val="20"/>
          <w:lang w:val="fr-BE"/>
        </w:rPr>
        <w:t xml:space="preserve"> marché du travail; Eurostat pour les prévisions concernant l’espérance de vie. Remarque: «en travaillant» (vie active) signifie entre l’âge à l’entrée et l’âge à la sortie du marché du travail. </w:t>
      </w:r>
    </w:p>
    <w:p w:rsidR="00723CC0" w:rsidRDefault="00723CC0">
      <w:pPr>
        <w:spacing w:line="360" w:lineRule="auto"/>
        <w:jc w:val="both"/>
        <w:rPr>
          <w:rFonts w:ascii="Times New Roman" w:hAnsi="Times New Roman"/>
          <w:b/>
          <w:noProof/>
          <w:sz w:val="24"/>
          <w:lang w:val="fr-BE"/>
        </w:rPr>
      </w:pP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 xml:space="preserve">Les travailleurs atypiques et non salariés sont souvent confrontés à des conditions moins favorables pour constituer des droits à pension et les faire valoir que les personnes sous contrat à durée indéterminée à plein temps. </w:t>
      </w:r>
      <w:r>
        <w:rPr>
          <w:rFonts w:ascii="Times New Roman" w:hAnsi="Times New Roman"/>
          <w:noProof/>
          <w:sz w:val="24"/>
          <w:lang w:val="fr-BE"/>
        </w:rPr>
        <w:t>Les données de l’enquête SHARE</w:t>
      </w:r>
      <w:r>
        <w:rPr>
          <w:rFonts w:ascii="Times New Roman" w:hAnsi="Times New Roman"/>
          <w:noProof/>
          <w:sz w:val="24"/>
          <w:vertAlign w:val="superscript"/>
        </w:rPr>
        <w:footnoteReference w:id="109"/>
      </w:r>
      <w:r>
        <w:rPr>
          <w:rFonts w:ascii="Times New Roman" w:hAnsi="Times New Roman"/>
          <w:noProof/>
          <w:sz w:val="24"/>
          <w:lang w:val="fr-BE"/>
        </w:rPr>
        <w:t xml:space="preserve"> permettent de mesurer l’incidence du travail non salarié sur le revenu et le niveau de vie des retraités en comparant la situation des indépendants à la retraite</w:t>
      </w:r>
      <w:r>
        <w:rPr>
          <w:rFonts w:ascii="Times New Roman" w:hAnsi="Times New Roman"/>
          <w:noProof/>
          <w:sz w:val="24"/>
          <w:vertAlign w:val="superscript"/>
        </w:rPr>
        <w:footnoteReference w:id="110"/>
      </w:r>
      <w:r>
        <w:rPr>
          <w:rFonts w:ascii="Times New Roman" w:hAnsi="Times New Roman"/>
          <w:noProof/>
          <w:sz w:val="24"/>
          <w:lang w:val="fr-BE"/>
        </w:rPr>
        <w:t xml:space="preserve"> à celle des anciens salariés dans la plupart des États membres</w:t>
      </w:r>
      <w:r>
        <w:rPr>
          <w:rFonts w:ascii="Times New Roman" w:hAnsi="Times New Roman"/>
          <w:noProof/>
          <w:sz w:val="24"/>
          <w:vertAlign w:val="superscript"/>
        </w:rPr>
        <w:footnoteReference w:id="111"/>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noProof/>
          <w:sz w:val="24"/>
          <w:lang w:val="fr-BE"/>
        </w:rPr>
        <w:t>Les indépendants à la retra</w:t>
      </w:r>
      <w:r>
        <w:rPr>
          <w:rFonts w:ascii="Times New Roman" w:hAnsi="Times New Roman"/>
          <w:noProof/>
          <w:sz w:val="24"/>
          <w:lang w:val="fr-BE"/>
        </w:rPr>
        <w:t>ite déclarent avoir des revenus inférieurs à ceux des anciens salariés dans presque tous les pays couverts par l’enquête. Les écarts de revenus les plus élevés sont observés au Luxembourg, au Danemark et en France, et, dans neuf pays, cet écart dépasse 20 </w:t>
      </w:r>
      <w:r>
        <w:rPr>
          <w:rFonts w:ascii="Times New Roman" w:hAnsi="Times New Roman"/>
          <w:noProof/>
          <w:sz w:val="24"/>
          <w:lang w:val="fr-BE"/>
        </w:rPr>
        <w:t>%. Seuls les indépendants à la retraite hongrois et estoniens perçoivent des revenus légèrement plus élevés que les anciens salariés (voir graphique 68 ci-dessous). L’écart de revenu, conjugué à une inégalité de revenu plus grande</w:t>
      </w:r>
      <w:r>
        <w:rPr>
          <w:rFonts w:ascii="Times New Roman" w:hAnsi="Times New Roman"/>
          <w:noProof/>
          <w:sz w:val="24"/>
          <w:vertAlign w:val="superscript"/>
        </w:rPr>
        <w:footnoteReference w:id="112"/>
      </w:r>
      <w:r>
        <w:rPr>
          <w:rFonts w:ascii="Times New Roman" w:hAnsi="Times New Roman"/>
          <w:noProof/>
          <w:sz w:val="24"/>
          <w:lang w:val="fr-BE"/>
        </w:rPr>
        <w:t>, entraîne des niveaux de</w:t>
      </w:r>
      <w:r>
        <w:rPr>
          <w:rFonts w:ascii="Times New Roman" w:hAnsi="Times New Roman"/>
          <w:noProof/>
          <w:sz w:val="24"/>
          <w:lang w:val="fr-BE"/>
        </w:rPr>
        <w:t xml:space="preserve"> risque de pauvreté nettement plus élevés pour les indépendants à la retraite, pratiquement de l’ordre du double des niveaux observés, en moyenne, pour les anciens salariés. Les indépendants à la retraite perçoivent des pensions moins importantes que les a</w:t>
      </w:r>
      <w:r>
        <w:rPr>
          <w:rFonts w:ascii="Times New Roman" w:hAnsi="Times New Roman"/>
          <w:noProof/>
          <w:sz w:val="24"/>
          <w:lang w:val="fr-BE"/>
        </w:rPr>
        <w:t>nciens salariés dans tous les pays observés et, malgré des ratios d’actif plus élevés, sont davantage exposés aux difficultés financières à un âge avancé. L’indice de difficultés financières, qui mesure la difficulté à joindre les deux bouts sur une échell</w:t>
      </w:r>
      <w:r>
        <w:rPr>
          <w:rFonts w:ascii="Times New Roman" w:hAnsi="Times New Roman"/>
          <w:noProof/>
          <w:sz w:val="24"/>
          <w:lang w:val="fr-BE"/>
        </w:rPr>
        <w:t>e de 1 à 4, est en moyenne de 2,3 pour les indépendants à la retraite et de 2,1 pour les anciens salariés dans les États membres concernés par l’enquête</w:t>
      </w:r>
      <w:r>
        <w:rPr>
          <w:rFonts w:ascii="Times New Roman" w:hAnsi="Times New Roman"/>
          <w:noProof/>
          <w:sz w:val="24"/>
          <w:vertAlign w:val="superscript"/>
        </w:rPr>
        <w:footnoteReference w:id="113"/>
      </w:r>
      <w:r>
        <w:rPr>
          <w:rFonts w:ascii="Times New Roman" w:hAnsi="Times New Roman"/>
          <w:noProof/>
          <w:sz w:val="24"/>
          <w:lang w:val="fr-BE"/>
        </w:rPr>
        <w:t>.</w:t>
      </w:r>
    </w:p>
    <w:p w:rsidR="00723CC0" w:rsidRDefault="00723CC0">
      <w:pPr>
        <w:spacing w:line="360" w:lineRule="auto"/>
        <w:jc w:val="both"/>
        <w:rPr>
          <w:rFonts w:ascii="Times New Roman" w:hAnsi="Times New Roman" w:cs="Times New Roman"/>
          <w:b/>
          <w:iCs/>
          <w:noProof/>
          <w:sz w:val="24"/>
          <w:szCs w:val="24"/>
          <w:lang w:val="fr-BE"/>
        </w:rPr>
      </w:pPr>
    </w:p>
    <w:p w:rsidR="00723CC0" w:rsidRDefault="00242021">
      <w:pPr>
        <w:keepNext/>
        <w:pBdr>
          <w:between w:val="nil"/>
          <w:bar w:val="nil"/>
        </w:pBdr>
        <w:spacing w:before="120" w:after="120" w:line="240" w:lineRule="auto"/>
        <w:jc w:val="both"/>
        <w:rPr>
          <w:rFonts w:ascii="Times New Roman" w:hAnsi="Times New Roman"/>
          <w:b/>
          <w:noProof/>
          <w:sz w:val="24"/>
          <w:szCs w:val="24"/>
          <w:lang w:val="fr-BE"/>
        </w:rPr>
      </w:pPr>
      <w:bookmarkStart w:id="98" w:name="_Ref527564396"/>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68</w:t>
      </w:r>
      <w:r>
        <w:rPr>
          <w:rFonts w:ascii="Times New Roman" w:hAnsi="Times New Roman"/>
          <w:b/>
          <w:noProof/>
          <w:sz w:val="24"/>
          <w:szCs w:val="24"/>
        </w:rPr>
        <w:fldChar w:fldCharType="end"/>
      </w:r>
      <w:bookmarkEnd w:id="98"/>
      <w:r>
        <w:rPr>
          <w:rFonts w:ascii="Times New Roman" w:hAnsi="Times New Roman"/>
          <w:b/>
          <w:noProof/>
          <w:sz w:val="24"/>
          <w:lang w:val="fr-BE"/>
        </w:rPr>
        <w:t>: Différence relative de revenu disponible équivalent médian en</w:t>
      </w:r>
      <w:r>
        <w:rPr>
          <w:rFonts w:ascii="Times New Roman" w:hAnsi="Times New Roman"/>
          <w:b/>
          <w:noProof/>
          <w:sz w:val="24"/>
          <w:lang w:val="fr-BE"/>
        </w:rPr>
        <w:t>tre anciens salariés et travailleurs indépendants à la retraite en 2017 (en %)</w:t>
      </w:r>
    </w:p>
    <w:p w:rsidR="00723CC0" w:rsidRDefault="00242021">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4986655" cy="2145665"/>
            <wp:effectExtent l="0" t="0" r="4445"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4986655" cy="2145665"/>
                    </a:xfrm>
                    <a:prstGeom prst="rect">
                      <a:avLst/>
                    </a:prstGeom>
                    <a:noFill/>
                  </pic:spPr>
                </pic:pic>
              </a:graphicData>
            </a:graphic>
          </wp:inline>
        </w:drawing>
      </w:r>
    </w:p>
    <w:p w:rsidR="00723CC0" w:rsidRDefault="00242021">
      <w:pPr>
        <w:spacing w:line="240" w:lineRule="auto"/>
        <w:contextualSpacing/>
        <w:rPr>
          <w:rFonts w:ascii="Times New Roman" w:eastAsia="Times New Roman" w:hAnsi="Times New Roman" w:cs="Times New Roman"/>
          <w:bCs/>
          <w:noProof/>
          <w:sz w:val="20"/>
          <w:szCs w:val="20"/>
          <w:lang w:val="fr-BE"/>
        </w:rPr>
      </w:pPr>
      <w:r>
        <w:rPr>
          <w:rFonts w:ascii="Times New Roman" w:hAnsi="Times New Roman"/>
          <w:noProof/>
          <w:sz w:val="20"/>
          <w:lang w:val="fr-BE"/>
        </w:rPr>
        <w:t>Source: SHARE. Remarques: UE* s’entend hors Irlande, Pays</w:t>
      </w:r>
      <w:r>
        <w:rPr>
          <w:noProof/>
          <w:lang w:val="fr-BE"/>
        </w:rPr>
        <w:noBreakHyphen/>
      </w:r>
      <w:r>
        <w:rPr>
          <w:rFonts w:ascii="Times New Roman" w:hAnsi="Times New Roman"/>
          <w:noProof/>
          <w:sz w:val="20"/>
          <w:lang w:val="fr-BE"/>
        </w:rPr>
        <w:t>Bas et Royaume</w:t>
      </w:r>
      <w:r>
        <w:rPr>
          <w:noProof/>
          <w:lang w:val="fr-BE"/>
        </w:rPr>
        <w:noBreakHyphen/>
      </w:r>
      <w:r>
        <w:rPr>
          <w:rFonts w:ascii="Times New Roman" w:hAnsi="Times New Roman"/>
          <w:noProof/>
          <w:sz w:val="20"/>
          <w:lang w:val="fr-BE"/>
        </w:rPr>
        <w:t xml:space="preserve">Uni. La taille des échantillons en Bulgarie, en Lettonie, en Lituanie, au Portugal, en Roumanie, en Slovénie et en Slovaquie ne permet pas d’opérer une distinction entre les retraités. </w:t>
      </w:r>
    </w:p>
    <w:p w:rsidR="00723CC0" w:rsidRDefault="00723CC0">
      <w:pPr>
        <w:spacing w:line="360" w:lineRule="auto"/>
        <w:jc w:val="both"/>
        <w:rPr>
          <w:rFonts w:ascii="Times New Roman" w:hAnsi="Times New Roman" w:cs="Times New Roman"/>
          <w:iCs/>
          <w:noProof/>
          <w:sz w:val="24"/>
          <w:szCs w:val="24"/>
          <w:lang w:val="fr-BE"/>
        </w:rPr>
      </w:pPr>
    </w:p>
    <w:p w:rsidR="00723CC0" w:rsidRDefault="00723CC0">
      <w:pPr>
        <w:spacing w:line="360" w:lineRule="auto"/>
        <w:jc w:val="both"/>
        <w:rPr>
          <w:rFonts w:ascii="Times New Roman" w:hAnsi="Times New Roman" w:cs="Times New Roman"/>
          <w:iCs/>
          <w:noProof/>
          <w:sz w:val="24"/>
          <w:szCs w:val="24"/>
          <w:lang w:val="fr-BE"/>
        </w:rPr>
      </w:pPr>
    </w:p>
    <w:p w:rsidR="00723CC0" w:rsidRDefault="00242021">
      <w:pPr>
        <w:keepNext/>
        <w:pBdr>
          <w:between w:val="nil"/>
          <w:bar w:val="nil"/>
        </w:pBdr>
        <w:spacing w:before="120" w:after="120" w:line="240" w:lineRule="auto"/>
        <w:jc w:val="both"/>
        <w:rPr>
          <w:rFonts w:ascii="Times New Roman" w:hAnsi="Times New Roman"/>
          <w:b/>
          <w:noProof/>
          <w:sz w:val="24"/>
          <w:szCs w:val="24"/>
          <w:lang w:val="fr-BE"/>
        </w:rPr>
      </w:pPr>
      <w:bookmarkStart w:id="99" w:name="_Ref527564379"/>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69</w:t>
      </w:r>
      <w:r>
        <w:rPr>
          <w:rFonts w:ascii="Times New Roman" w:hAnsi="Times New Roman"/>
          <w:b/>
          <w:noProof/>
          <w:sz w:val="24"/>
          <w:szCs w:val="24"/>
        </w:rPr>
        <w:fldChar w:fldCharType="end"/>
      </w:r>
      <w:bookmarkEnd w:id="99"/>
      <w:r>
        <w:rPr>
          <w:rFonts w:ascii="Times New Roman" w:hAnsi="Times New Roman"/>
          <w:b/>
          <w:noProof/>
          <w:sz w:val="24"/>
          <w:lang w:val="fr-BE"/>
        </w:rPr>
        <w:t>: Besoins en soins médicaux non</w:t>
      </w:r>
      <w:r>
        <w:rPr>
          <w:rFonts w:ascii="Times New Roman" w:hAnsi="Times New Roman"/>
          <w:b/>
          <w:noProof/>
          <w:sz w:val="24"/>
          <w:lang w:val="fr-BE"/>
        </w:rPr>
        <w:t xml:space="preserve"> satisfaits déclarés par l’intéressé (indicateur clé du tableau de bord social)</w:t>
      </w:r>
    </w:p>
    <w:p w:rsidR="00723CC0" w:rsidRDefault="00242021">
      <w:pPr>
        <w:keepNext/>
        <w:pBdr>
          <w:between w:val="nil"/>
          <w:bar w:val="nil"/>
        </w:pBdr>
        <w:spacing w:before="120" w:after="120" w:line="36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852160" cy="406012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5851598" cy="4059736"/>
                    </a:xfrm>
                    <a:prstGeom prst="rect">
                      <a:avLst/>
                    </a:prstGeom>
                    <a:noFill/>
                  </pic:spPr>
                </pic:pic>
              </a:graphicData>
            </a:graphic>
          </wp:inline>
        </w:drawing>
      </w:r>
    </w:p>
    <w:p w:rsidR="00723CC0" w:rsidRDefault="00242021">
      <w:pPr>
        <w:spacing w:line="240" w:lineRule="auto"/>
        <w:contextualSpacing/>
        <w:rPr>
          <w:rFonts w:ascii="Times New Roman" w:eastAsia="Times New Roman" w:hAnsi="Times New Roman" w:cs="Times New Roman"/>
          <w:bCs/>
          <w:noProof/>
          <w:sz w:val="18"/>
          <w:szCs w:val="18"/>
          <w:lang w:val="fr-BE"/>
        </w:rPr>
      </w:pPr>
      <w:r>
        <w:rPr>
          <w:rFonts w:ascii="Times New Roman" w:hAnsi="Times New Roman"/>
          <w:noProof/>
          <w:sz w:val="18"/>
          <w:lang w:val="fr-BE"/>
        </w:rPr>
        <w:t>Source: Eurostat, SILC. Période: niveaux de 2017 et variations annuelles par rapport à 2016. Remarque: les axes sont centrés sur la moyenne non pondérée de l’UE. La légende e</w:t>
      </w:r>
      <w:r>
        <w:rPr>
          <w:rFonts w:ascii="Times New Roman" w:hAnsi="Times New Roman"/>
          <w:noProof/>
          <w:sz w:val="18"/>
          <w:lang w:val="fr-BE"/>
        </w:rPr>
        <w:t>st présentée en annexe. Les données pour l’Irlande et le Royaume-Uni n’étaient pas disponibles au 26 octobre 2018.</w:t>
      </w:r>
    </w:p>
    <w:p w:rsidR="00723CC0" w:rsidRDefault="00723CC0">
      <w:pPr>
        <w:spacing w:line="360" w:lineRule="auto"/>
        <w:contextualSpacing/>
        <w:rPr>
          <w:rFonts w:ascii="Times New Roman" w:eastAsia="Times New Roman" w:hAnsi="Times New Roman" w:cs="Times New Roman"/>
          <w:b/>
          <w:bCs/>
          <w:noProof/>
          <w:sz w:val="24"/>
          <w:szCs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Des indices donnent à penser qu’une convergence s’opère en ce qui concerne la part de la population qui estime avoir des besoins en soins </w:t>
      </w:r>
      <w:r>
        <w:rPr>
          <w:rFonts w:ascii="Times New Roman" w:hAnsi="Times New Roman"/>
          <w:b/>
          <w:noProof/>
          <w:sz w:val="24"/>
          <w:lang w:val="fr-BE"/>
        </w:rPr>
        <w:t>médicaux non satisfaits</w:t>
      </w:r>
      <w:r>
        <w:rPr>
          <w:rFonts w:ascii="Times New Roman" w:hAnsi="Times New Roman"/>
          <w:noProof/>
          <w:sz w:val="24"/>
          <w:vertAlign w:val="superscript"/>
        </w:rPr>
        <w:footnoteReference w:id="114"/>
      </w:r>
      <w:r>
        <w:rPr>
          <w:rFonts w:ascii="Times New Roman" w:hAnsi="Times New Roman"/>
          <w:b/>
          <w:noProof/>
          <w:sz w:val="24"/>
          <w:lang w:val="fr-BE"/>
        </w:rPr>
        <w:t>.</w:t>
      </w:r>
      <w:r>
        <w:rPr>
          <w:rFonts w:ascii="Times New Roman" w:hAnsi="Times New Roman"/>
          <w:noProof/>
          <w:sz w:val="24"/>
          <w:lang w:val="fr-BE"/>
        </w:rPr>
        <w:t xml:space="preserve"> À l’inverse d’une tendance antérieure, une faible corrélation négative est apparue entre le niveau et les variations des besoins non satisfaits en matière de soins médicaux, la tendance étant la plus positive dans les pays où les </w:t>
      </w:r>
      <w:r>
        <w:rPr>
          <w:rFonts w:ascii="Times New Roman" w:hAnsi="Times New Roman"/>
          <w:noProof/>
          <w:sz w:val="24"/>
          <w:lang w:val="fr-BE"/>
        </w:rPr>
        <w:t>besoins non satisfaits sont les plus élevés (voir graphique 69). Dans certains États membres, les coûts et les délais d’attente restent des obstacles importants à l’accessibilité des soins de santé. Néanmoins, la proportion de la population de l’UE estiman</w:t>
      </w:r>
      <w:r>
        <w:rPr>
          <w:rFonts w:ascii="Times New Roman" w:hAnsi="Times New Roman"/>
          <w:noProof/>
          <w:sz w:val="24"/>
          <w:lang w:val="fr-BE"/>
        </w:rPr>
        <w:t xml:space="preserve">t avoir des besoins en soins médicaux non satisfaits en raison des coûts trop élevés, d’un délai d’attente trop long ou d’une distance trop importante a diminué pour s’établir, en moyenne, à 1,6 % en 2017. Cette proportion reste toujours au-dessus des 5 % </w:t>
      </w:r>
      <w:r>
        <w:rPr>
          <w:rFonts w:ascii="Times New Roman" w:hAnsi="Times New Roman"/>
          <w:noProof/>
          <w:sz w:val="24"/>
          <w:lang w:val="fr-BE"/>
        </w:rPr>
        <w:t>en Estonie et en Grèce (plus de 10 %) ainsi qu’en Lettonie. En 2017, l’indicateur n’a augmenté qu’en Slovénie, à Chypre et en Slovaquie.</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La situation au regard de l’activité peut également être un facteur important des problèmes d’accès aux soins de santé </w:t>
      </w:r>
      <w:r>
        <w:rPr>
          <w:rFonts w:ascii="Times New Roman" w:hAnsi="Times New Roman"/>
          <w:b/>
          <w:noProof/>
          <w:sz w:val="24"/>
          <w:lang w:val="fr-BE"/>
        </w:rPr>
        <w:t>dans certains pays.</w:t>
      </w:r>
      <w:r>
        <w:rPr>
          <w:rFonts w:ascii="Times New Roman" w:hAnsi="Times New Roman"/>
          <w:noProof/>
          <w:sz w:val="24"/>
          <w:lang w:val="fr-BE"/>
        </w:rPr>
        <w:t xml:space="preserve"> Bien que la majorité des pays n’affichent pas de différences significatives selon la situation au regard de l’activité, il se peut que, dans certains d’entre eux, les chômeurs (et, dans une moindre mesure, les retraités) rencontrent dav</w:t>
      </w:r>
      <w:r>
        <w:rPr>
          <w:rFonts w:ascii="Times New Roman" w:hAnsi="Times New Roman"/>
          <w:noProof/>
          <w:sz w:val="24"/>
          <w:lang w:val="fr-BE"/>
        </w:rPr>
        <w:t>antage de difficultés pour accéder aux soins de santé (voir graphique 70). Même dans les pays où le pourcentage des besoins non satisfaits dans l’ensemble de la population est inférieur à la moyenne de l’UE, les chiffres donnent à penser que les chômeurs r</w:t>
      </w:r>
      <w:r>
        <w:rPr>
          <w:rFonts w:ascii="Times New Roman" w:hAnsi="Times New Roman"/>
          <w:noProof/>
          <w:sz w:val="24"/>
          <w:lang w:val="fr-BE"/>
        </w:rPr>
        <w:t>encontrent parfois des difficultés pour accéder aux soins médicaux (par exemple en Belgique, en France, en Italie et en Hongrie).</w:t>
      </w:r>
    </w:p>
    <w:p w:rsidR="00723CC0" w:rsidRDefault="00723CC0">
      <w:pPr>
        <w:spacing w:line="360" w:lineRule="auto"/>
        <w:contextualSpacing/>
        <w:rPr>
          <w:rFonts w:ascii="Times New Roman" w:hAnsi="Times New Roman" w:cs="Times New Roman"/>
          <w:noProof/>
          <w:sz w:val="24"/>
          <w:szCs w:val="24"/>
          <w:lang w:val="fr-BE"/>
        </w:rPr>
      </w:pPr>
    </w:p>
    <w:p w:rsidR="00723CC0" w:rsidRDefault="00242021">
      <w:pPr>
        <w:keepNext/>
        <w:pBdr>
          <w:between w:val="nil"/>
          <w:bar w:val="nil"/>
        </w:pBdr>
        <w:spacing w:before="120" w:after="120" w:line="240" w:lineRule="auto"/>
        <w:jc w:val="both"/>
        <w:rPr>
          <w:rFonts w:ascii="Times New Roman" w:hAnsi="Times New Roman"/>
          <w:b/>
          <w:noProof/>
          <w:sz w:val="24"/>
          <w:szCs w:val="24"/>
          <w:lang w:val="fr-BE"/>
        </w:rPr>
      </w:pPr>
      <w:bookmarkStart w:id="100" w:name="_Ref527564363"/>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70</w:t>
      </w:r>
      <w:r>
        <w:rPr>
          <w:rFonts w:ascii="Times New Roman" w:hAnsi="Times New Roman"/>
          <w:b/>
          <w:noProof/>
          <w:sz w:val="24"/>
          <w:szCs w:val="24"/>
        </w:rPr>
        <w:fldChar w:fldCharType="end"/>
      </w:r>
      <w:bookmarkEnd w:id="100"/>
      <w:r>
        <w:rPr>
          <w:rFonts w:ascii="Times New Roman" w:hAnsi="Times New Roman"/>
          <w:b/>
          <w:noProof/>
          <w:sz w:val="24"/>
          <w:lang w:val="fr-BE"/>
        </w:rPr>
        <w:t xml:space="preserve">: Besoins d’examens médicaux non satisfaits déclarés par l’intéressé selon la situation </w:t>
      </w:r>
      <w:r>
        <w:rPr>
          <w:rFonts w:ascii="Times New Roman" w:hAnsi="Times New Roman"/>
          <w:b/>
          <w:noProof/>
          <w:sz w:val="24"/>
          <w:lang w:val="fr-BE"/>
        </w:rPr>
        <w:t xml:space="preserve">au regard de l’activité (2016) </w:t>
      </w:r>
    </w:p>
    <w:p w:rsidR="00723CC0" w:rsidRDefault="00242021">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6019138" cy="2447544"/>
            <wp:effectExtent l="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6021056" cy="2448324"/>
                    </a:xfrm>
                    <a:prstGeom prst="rect">
                      <a:avLst/>
                    </a:prstGeom>
                    <a:noFill/>
                  </pic:spPr>
                </pic:pic>
              </a:graphicData>
            </a:graphic>
          </wp:inline>
        </w:drawing>
      </w:r>
    </w:p>
    <w:p w:rsidR="00723CC0" w:rsidRDefault="00242021">
      <w:pPr>
        <w:spacing w:line="240" w:lineRule="auto"/>
        <w:contextualSpacing/>
        <w:rPr>
          <w:rFonts w:ascii="Times New Roman" w:hAnsi="Times New Roman" w:cs="Times New Roman"/>
          <w:noProof/>
          <w:sz w:val="20"/>
          <w:szCs w:val="20"/>
          <w:lang w:val="fr-BE"/>
        </w:rPr>
      </w:pPr>
      <w:r>
        <w:rPr>
          <w:rFonts w:ascii="Times New Roman" w:hAnsi="Times New Roman"/>
          <w:noProof/>
          <w:sz w:val="20"/>
          <w:lang w:val="fr-BE"/>
        </w:rPr>
        <w:t xml:space="preserve">Source: Eurostat [hlth_silc_13]. </w:t>
      </w:r>
    </w:p>
    <w:p w:rsidR="00723CC0" w:rsidRDefault="00723CC0">
      <w:pPr>
        <w:spacing w:line="360" w:lineRule="auto"/>
        <w:contextualSpacing/>
        <w:rPr>
          <w:rFonts w:ascii="Times New Roman" w:hAnsi="Times New Roman" w:cs="Times New Roman"/>
          <w:noProof/>
          <w:sz w:val="24"/>
          <w:szCs w:val="24"/>
          <w:lang w:val="fr-BE"/>
        </w:rPr>
      </w:pP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Le nombre d’années de vie en bonne santé (à 65 ans) a encore augmenté dans l’UE, passant à 9,8 ans pour les hommes et à 10,1 ans pour les femmes. </w:t>
      </w:r>
      <w:r>
        <w:rPr>
          <w:rFonts w:ascii="Times New Roman" w:hAnsi="Times New Roman"/>
          <w:noProof/>
          <w:sz w:val="24"/>
          <w:lang w:val="fr-BE"/>
        </w:rPr>
        <w:t>Alors que le nombre le plus élevé d’années de vie en bonne santé à 65 ans est observé en Suède, à Malte et en Irlande (environ 12 ans pour les femmes comme pour les hommes), l’espérance de vie en bonne santé est particulièrement faible en Lettonie, en Slov</w:t>
      </w:r>
      <w:r>
        <w:rPr>
          <w:rFonts w:ascii="Times New Roman" w:hAnsi="Times New Roman"/>
          <w:noProof/>
          <w:sz w:val="24"/>
          <w:lang w:val="fr-BE"/>
        </w:rPr>
        <w:t xml:space="preserve">aquie et en Croatie (environ 5 ans).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 xml:space="preserve">Les soins de santé sont financés par différents mécanismes, dont l’importance relative individuelle varie d’un État membre à l’autre. </w:t>
      </w:r>
      <w:r>
        <w:rPr>
          <w:rFonts w:ascii="Times New Roman" w:hAnsi="Times New Roman"/>
          <w:noProof/>
          <w:sz w:val="24"/>
          <w:lang w:val="fr-BE"/>
        </w:rPr>
        <w:t>En 2016, les paiements directs</w:t>
      </w:r>
      <w:r>
        <w:rPr>
          <w:rFonts w:ascii="Times New Roman" w:hAnsi="Times New Roman"/>
          <w:noProof/>
          <w:sz w:val="24"/>
          <w:vertAlign w:val="superscript"/>
        </w:rPr>
        <w:footnoteReference w:id="115"/>
      </w:r>
      <w:r>
        <w:rPr>
          <w:rFonts w:ascii="Times New Roman" w:hAnsi="Times New Roman"/>
          <w:noProof/>
          <w:sz w:val="24"/>
          <w:lang w:val="fr-BE"/>
        </w:rPr>
        <w:t>, à savoir les dépenses des ménages en soins de santé</w:t>
      </w:r>
      <w:r>
        <w:rPr>
          <w:rFonts w:ascii="Times New Roman" w:hAnsi="Times New Roman"/>
          <w:noProof/>
          <w:sz w:val="24"/>
          <w:lang w:val="fr-BE"/>
        </w:rPr>
        <w:t xml:space="preserve"> (y compris les biens médicaux) non remboursés par un régime ou payés en partie par un système organisé, en pourcentage des dépenses de santé actuelles, étaient supérieurs à 30 % en Bulgarie, en Grèce, à Chypre, en Lettonie et en Lituanie (graphique 71).</w:t>
      </w:r>
    </w:p>
    <w:p w:rsidR="00723CC0" w:rsidRDefault="00242021">
      <w:pPr>
        <w:keepNext/>
        <w:pBdr>
          <w:between w:val="nil"/>
          <w:bar w:val="nil"/>
        </w:pBdr>
        <w:spacing w:before="120" w:after="120" w:line="240" w:lineRule="auto"/>
        <w:jc w:val="both"/>
        <w:rPr>
          <w:rFonts w:ascii="Times New Roman" w:hAnsi="Times New Roman"/>
          <w:b/>
          <w:noProof/>
          <w:sz w:val="24"/>
          <w:szCs w:val="24"/>
          <w:lang w:val="fr-BE"/>
        </w:rPr>
      </w:pPr>
      <w:bookmarkStart w:id="101" w:name="_Ref527564348"/>
      <w:r>
        <w:rPr>
          <w:rFonts w:ascii="Times New Roman" w:hAnsi="Times New Roman"/>
          <w:b/>
          <w:noProof/>
          <w:sz w:val="24"/>
          <w:lang w:val="fr-BE"/>
        </w:rPr>
        <w:t>G</w:t>
      </w:r>
      <w:r>
        <w:rPr>
          <w:rFonts w:ascii="Times New Roman" w:hAnsi="Times New Roman"/>
          <w:b/>
          <w:noProof/>
          <w:sz w:val="24"/>
          <w:lang w:val="fr-BE"/>
        </w:rPr>
        <w:t xml:space="preserve">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71</w:t>
      </w:r>
      <w:r>
        <w:rPr>
          <w:rFonts w:ascii="Times New Roman" w:hAnsi="Times New Roman"/>
          <w:b/>
          <w:noProof/>
          <w:sz w:val="24"/>
          <w:szCs w:val="24"/>
        </w:rPr>
        <w:fldChar w:fldCharType="end"/>
      </w:r>
      <w:bookmarkEnd w:id="101"/>
      <w:r>
        <w:rPr>
          <w:rFonts w:ascii="Times New Roman" w:hAnsi="Times New Roman"/>
          <w:b/>
          <w:noProof/>
          <w:sz w:val="24"/>
          <w:lang w:val="fr-BE"/>
        </w:rPr>
        <w:t>: Dépenses de santé par source de financement, 2016</w:t>
      </w:r>
    </w:p>
    <w:p w:rsidR="00723CC0" w:rsidRDefault="00242021">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670217" cy="3021496"/>
            <wp:effectExtent l="0" t="0" r="698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5678418" cy="3025866"/>
                    </a:xfrm>
                    <a:prstGeom prst="rect">
                      <a:avLst/>
                    </a:prstGeom>
                    <a:noFill/>
                  </pic:spPr>
                </pic:pic>
              </a:graphicData>
            </a:graphic>
          </wp:inline>
        </w:drawing>
      </w:r>
    </w:p>
    <w:p w:rsidR="00723CC0" w:rsidRDefault="00242021">
      <w:pPr>
        <w:spacing w:line="240" w:lineRule="auto"/>
        <w:contextualSpacing/>
        <w:rPr>
          <w:rFonts w:ascii="Times New Roman" w:hAnsi="Times New Roman" w:cs="Times New Roman"/>
          <w:noProof/>
          <w:sz w:val="20"/>
          <w:szCs w:val="20"/>
          <w:lang w:val="fr-BE"/>
        </w:rPr>
      </w:pPr>
      <w:r>
        <w:rPr>
          <w:rFonts w:ascii="Times New Roman" w:hAnsi="Times New Roman"/>
          <w:noProof/>
          <w:sz w:val="20"/>
          <w:lang w:val="en-GB"/>
        </w:rPr>
        <w:t xml:space="preserve">Source: Eurostat [hlth_sha11_hf]. </w:t>
      </w:r>
      <w:r>
        <w:rPr>
          <w:rFonts w:ascii="Times New Roman" w:hAnsi="Times New Roman"/>
          <w:noProof/>
          <w:sz w:val="20"/>
          <w:lang w:val="fr-BE"/>
        </w:rPr>
        <w:t xml:space="preserve">Remarques: les données sont collectées conformément au règlement (UE) 2015/359 de la Commission en ce qui concerne les statistiques </w:t>
      </w:r>
      <w:r>
        <w:rPr>
          <w:rFonts w:ascii="Times New Roman" w:hAnsi="Times New Roman"/>
          <w:noProof/>
          <w:sz w:val="20"/>
          <w:lang w:val="fr-BE"/>
        </w:rPr>
        <w:t>sur les dépenses de santé et leur financement (manuel 2011 du système de comptes de la santé).</w:t>
      </w:r>
    </w:p>
    <w:p w:rsidR="00723CC0" w:rsidRDefault="00723CC0">
      <w:pPr>
        <w:spacing w:line="360" w:lineRule="auto"/>
        <w:contextualSpacing/>
        <w:rPr>
          <w:iCs/>
          <w:noProof/>
          <w:lang w:val="fr-BE"/>
        </w:rPr>
      </w:pPr>
    </w:p>
    <w:p w:rsidR="00723CC0" w:rsidRDefault="00242021">
      <w:pPr>
        <w:spacing w:line="360" w:lineRule="auto"/>
        <w:jc w:val="both"/>
        <w:rPr>
          <w:rFonts w:ascii="Times New Roman" w:eastAsia="Times New Roman" w:hAnsi="Times New Roman" w:cs="Times New Roman"/>
          <w:noProof/>
          <w:color w:val="000000"/>
          <w:sz w:val="24"/>
          <w:szCs w:val="24"/>
          <w:u w:color="000000"/>
          <w:bdr w:val="nil"/>
          <w:lang w:val="fr-BE"/>
        </w:rPr>
      </w:pPr>
      <w:r>
        <w:rPr>
          <w:rFonts w:ascii="Times New Roman" w:hAnsi="Times New Roman"/>
          <w:b/>
          <w:noProof/>
          <w:color w:val="000000"/>
          <w:sz w:val="24"/>
          <w:u w:color="000000"/>
          <w:bdr w:val="nil"/>
          <w:lang w:val="fr-BE"/>
        </w:rPr>
        <w:t>Les besoins en soins de longue durée sont en augmentation, car la population de l’UE vieillit</w:t>
      </w:r>
      <w:r>
        <w:rPr>
          <w:noProof/>
          <w:lang w:val="fr-BE"/>
        </w:rPr>
        <w:t>.</w:t>
      </w:r>
      <w:r>
        <w:rPr>
          <w:rFonts w:ascii="Times New Roman" w:hAnsi="Times New Roman"/>
          <w:noProof/>
          <w:color w:val="000000"/>
          <w:sz w:val="24"/>
          <w:u w:color="000000"/>
          <w:bdr w:val="nil"/>
          <w:lang w:val="fr-BE"/>
        </w:rPr>
        <w:t xml:space="preserve"> Au cours des six prochaines décennies (à l’horizon 2070), le nombre d’Européens de plus de 80 ans devrait doubler et le rapport de dépendance économique des personnes âgées (de 65 ans ou plus par rapport aux 15 à 64 ans) devrait grimper de 29,6 % en 2016 </w:t>
      </w:r>
      <w:r>
        <w:rPr>
          <w:rFonts w:ascii="Times New Roman" w:hAnsi="Times New Roman"/>
          <w:noProof/>
          <w:color w:val="000000"/>
          <w:sz w:val="24"/>
          <w:u w:color="000000"/>
          <w:bdr w:val="nil"/>
          <w:lang w:val="fr-BE"/>
        </w:rPr>
        <w:t>à 51,2 % en 2070</w:t>
      </w:r>
      <w:r>
        <w:rPr>
          <w:rFonts w:ascii="Times New Roman" w:hAnsi="Times New Roman"/>
          <w:noProof/>
          <w:color w:val="000000"/>
          <w:sz w:val="24"/>
          <w:u w:color="000000"/>
          <w:bdr w:val="nil"/>
          <w:vertAlign w:val="superscript"/>
        </w:rPr>
        <w:footnoteReference w:id="116"/>
      </w:r>
      <w:r>
        <w:rPr>
          <w:rFonts w:ascii="Times New Roman" w:hAnsi="Times New Roman"/>
          <w:noProof/>
          <w:color w:val="000000"/>
          <w:sz w:val="24"/>
          <w:u w:color="000000"/>
          <w:bdr w:val="nil"/>
          <w:lang w:val="fr-BE"/>
        </w:rPr>
        <w:t xml:space="preserve"> (l’UE passerait de 3,3 à seulement 2 personnes en âge de travailler pour chaque personne âgée de 65 ans ou plus). </w:t>
      </w:r>
      <w:r>
        <w:rPr>
          <w:rFonts w:ascii="Times New Roman" w:hAnsi="Times New Roman"/>
          <w:noProof/>
          <w:sz w:val="24"/>
          <w:lang w:val="fr-BE"/>
        </w:rPr>
        <w:t>Le risque de devenir dépendant est plus élevé lorsque les personnes avancent en âge et sont dès lors susceptibles d’être plu</w:t>
      </w:r>
      <w:r>
        <w:rPr>
          <w:rFonts w:ascii="Times New Roman" w:hAnsi="Times New Roman"/>
          <w:noProof/>
          <w:sz w:val="24"/>
          <w:lang w:val="fr-BE"/>
        </w:rPr>
        <w:t>s fragiles (60 % des personnes de 75 à 84 ans et 70 % des personnes de plus de 85 ans disent souffrir d’une invalidité).</w:t>
      </w:r>
    </w:p>
    <w:p w:rsidR="00723CC0" w:rsidRDefault="00242021">
      <w:pPr>
        <w:spacing w:line="360" w:lineRule="auto"/>
        <w:jc w:val="both"/>
        <w:rPr>
          <w:rFonts w:ascii="Times New Roman" w:eastAsia="Times New Roman" w:hAnsi="Times New Roman" w:cs="Times New Roman"/>
          <w:bCs/>
          <w:noProof/>
          <w:color w:val="000000"/>
          <w:sz w:val="24"/>
          <w:szCs w:val="24"/>
          <w:u w:color="000000"/>
          <w:bdr w:val="nil"/>
          <w:lang w:val="fr-BE"/>
        </w:rPr>
      </w:pPr>
      <w:r>
        <w:rPr>
          <w:rFonts w:ascii="Times New Roman" w:hAnsi="Times New Roman"/>
          <w:b/>
          <w:noProof/>
          <w:color w:val="000000"/>
          <w:sz w:val="24"/>
          <w:u w:color="000000"/>
          <w:bdr w:val="nil"/>
          <w:lang w:val="fr-BE"/>
        </w:rPr>
        <w:t xml:space="preserve">Les besoins en soins de longue durée vont augmenter considérablement. </w:t>
      </w:r>
      <w:r>
        <w:rPr>
          <w:rFonts w:ascii="Times New Roman" w:hAnsi="Times New Roman"/>
          <w:noProof/>
          <w:color w:val="000000"/>
          <w:sz w:val="24"/>
          <w:u w:color="000000"/>
          <w:bdr w:val="nil"/>
          <w:lang w:val="fr-BE"/>
        </w:rPr>
        <w:t>Les soins de longue durée constituent la dépense sociale qui augm</w:t>
      </w:r>
      <w:r>
        <w:rPr>
          <w:rFonts w:ascii="Times New Roman" w:hAnsi="Times New Roman"/>
          <w:noProof/>
          <w:color w:val="000000"/>
          <w:sz w:val="24"/>
          <w:u w:color="000000"/>
          <w:bdr w:val="nil"/>
          <w:lang w:val="fr-BE"/>
        </w:rPr>
        <w:t>ente le plus rapidement par rapport aux dépenses de santé et aux pensions. Les dépenses publiques de l’UE en soins de longue durée devraient augmenter de 1,6 % à 2,7 % du PIB entre 2016 et 2070, avec de fortes variations à travers l’UE (voir graphique 72).</w:t>
      </w:r>
      <w:r>
        <w:rPr>
          <w:rFonts w:ascii="Times New Roman" w:hAnsi="Times New Roman"/>
          <w:noProof/>
          <w:color w:val="000000"/>
          <w:sz w:val="24"/>
          <w:u w:color="000000"/>
          <w:bdr w:val="nil"/>
          <w:lang w:val="fr-BE"/>
        </w:rPr>
        <w:t xml:space="preserve"> </w:t>
      </w:r>
    </w:p>
    <w:p w:rsidR="00723CC0" w:rsidRDefault="00242021">
      <w:pPr>
        <w:keepNext/>
        <w:pBdr>
          <w:between w:val="nil"/>
          <w:bar w:val="nil"/>
        </w:pBdr>
        <w:spacing w:before="120" w:after="120" w:line="240" w:lineRule="auto"/>
        <w:jc w:val="both"/>
        <w:rPr>
          <w:rFonts w:ascii="Times New Roman" w:eastAsia="Times New Roman" w:hAnsi="Times New Roman" w:cs="Times New Roman"/>
          <w:b/>
          <w:bCs/>
          <w:noProof/>
          <w:color w:val="000000"/>
          <w:sz w:val="24"/>
          <w:szCs w:val="24"/>
          <w:u w:color="000000"/>
          <w:bdr w:val="nil"/>
          <w:lang w:val="fr-BE"/>
        </w:rPr>
      </w:pPr>
      <w:bookmarkStart w:id="102" w:name="_Ref527564328"/>
      <w:r>
        <w:rPr>
          <w:rFonts w:ascii="Times New Roman" w:hAnsi="Times New Roman"/>
          <w:b/>
          <w:noProof/>
          <w:sz w:val="24"/>
          <w:lang w:val="fr-BE"/>
        </w:rPr>
        <w:t xml:space="preserve">Graphique </w:t>
      </w:r>
      <w:r>
        <w:rPr>
          <w:rFonts w:ascii="Times New Roman" w:hAnsi="Times New Roman"/>
          <w:b/>
          <w:noProof/>
          <w:sz w:val="24"/>
          <w:szCs w:val="24"/>
        </w:rPr>
        <w:fldChar w:fldCharType="begin" w:fldLock="1"/>
      </w:r>
      <w:r>
        <w:rPr>
          <w:rFonts w:ascii="Times New Roman" w:hAnsi="Times New Roman"/>
          <w:b/>
          <w:noProof/>
          <w:sz w:val="24"/>
          <w:szCs w:val="24"/>
          <w:lang w:val="fr-BE"/>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lang w:val="fr-BE"/>
        </w:rPr>
        <w:t>72</w:t>
      </w:r>
      <w:r>
        <w:rPr>
          <w:rFonts w:ascii="Times New Roman" w:hAnsi="Times New Roman"/>
          <w:b/>
          <w:noProof/>
          <w:sz w:val="24"/>
          <w:szCs w:val="24"/>
        </w:rPr>
        <w:fldChar w:fldCharType="end"/>
      </w:r>
      <w:bookmarkEnd w:id="102"/>
      <w:r>
        <w:rPr>
          <w:rFonts w:ascii="Times New Roman" w:hAnsi="Times New Roman"/>
          <w:b/>
          <w:noProof/>
          <w:sz w:val="24"/>
          <w:lang w:val="fr-BE"/>
        </w:rPr>
        <w:t>:</w:t>
      </w:r>
      <w:r>
        <w:rPr>
          <w:rFonts w:ascii="Times New Roman" w:hAnsi="Times New Roman"/>
          <w:b/>
          <w:noProof/>
          <w:color w:val="000000"/>
          <w:sz w:val="24"/>
          <w:u w:color="000000"/>
          <w:bdr w:val="nil"/>
          <w:lang w:val="fr-BE"/>
        </w:rPr>
        <w:t xml:space="preserve"> Prévisions des dépenses publiques consacrées aux soins de longue durée en pourcentage du PIB, en 2016 et 2070 </w:t>
      </w:r>
    </w:p>
    <w:p w:rsidR="00723CC0" w:rsidRDefault="00242021">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990433" cy="290176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5992980" cy="2903002"/>
                    </a:xfrm>
                    <a:prstGeom prst="rect">
                      <a:avLst/>
                    </a:prstGeom>
                    <a:noFill/>
                  </pic:spPr>
                </pic:pic>
              </a:graphicData>
            </a:graphic>
          </wp:inline>
        </w:drawing>
      </w:r>
    </w:p>
    <w:p w:rsidR="00723CC0" w:rsidRDefault="00242021">
      <w:pPr>
        <w:pBdr>
          <w:between w:val="nil"/>
          <w:bar w:val="nil"/>
        </w:pBdr>
        <w:spacing w:before="120" w:after="120" w:line="240" w:lineRule="auto"/>
        <w:jc w:val="both"/>
        <w:rPr>
          <w:rFonts w:ascii="Times New Roman" w:eastAsia="Times New Roman" w:hAnsi="Times New Roman" w:cs="Times New Roman"/>
          <w:bCs/>
          <w:noProof/>
          <w:color w:val="000000"/>
          <w:sz w:val="20"/>
          <w:szCs w:val="20"/>
          <w:u w:color="000000"/>
          <w:bdr w:val="nil"/>
          <w:lang w:val="fr-BE"/>
        </w:rPr>
      </w:pPr>
      <w:r>
        <w:rPr>
          <w:rFonts w:ascii="Times New Roman" w:hAnsi="Times New Roman"/>
          <w:noProof/>
          <w:color w:val="000000"/>
          <w:sz w:val="20"/>
          <w:u w:color="000000"/>
          <w:bdr w:val="nil"/>
          <w:lang w:val="fr-BE"/>
        </w:rPr>
        <w:t xml:space="preserve">Source: graphique basé sur les données du rapport 2018 sur le vieillissement. Remarque: scénario de référence AWG. </w:t>
      </w:r>
    </w:p>
    <w:p w:rsidR="00723CC0" w:rsidRDefault="00723CC0">
      <w:pPr>
        <w:pBdr>
          <w:between w:val="nil"/>
          <w:bar w:val="nil"/>
        </w:pBdr>
        <w:spacing w:before="120" w:after="120" w:line="360" w:lineRule="auto"/>
        <w:jc w:val="both"/>
        <w:rPr>
          <w:rFonts w:ascii="Times New Roman" w:eastAsia="Arial Unicode MS" w:hAnsi="Times New Roman" w:cs="Times New Roman"/>
          <w:bCs/>
          <w:noProof/>
          <w:sz w:val="24"/>
          <w:szCs w:val="24"/>
          <w:u w:color="000000"/>
          <w:bdr w:val="nil"/>
          <w:lang w:val="fr-BE"/>
        </w:rPr>
      </w:pPr>
    </w:p>
    <w:p w:rsidR="00723CC0" w:rsidRDefault="00242021">
      <w:pPr>
        <w:spacing w:line="360" w:lineRule="auto"/>
        <w:jc w:val="both"/>
        <w:rPr>
          <w:rFonts w:ascii="Times New Roman" w:eastAsia="Times New Roman" w:hAnsi="Times New Roman" w:cs="Times New Roman"/>
          <w:bCs/>
          <w:noProof/>
          <w:color w:val="000000"/>
          <w:sz w:val="24"/>
          <w:szCs w:val="24"/>
          <w:u w:color="000000"/>
          <w:bdr w:val="nil"/>
          <w:lang w:val="fr-BE"/>
        </w:rPr>
      </w:pPr>
      <w:r>
        <w:rPr>
          <w:rFonts w:ascii="Times New Roman" w:hAnsi="Times New Roman"/>
          <w:b/>
          <w:noProof/>
          <w:color w:val="000000"/>
          <w:sz w:val="24"/>
          <w:u w:color="000000"/>
          <w:bdr w:val="nil"/>
          <w:lang w:val="fr-BE"/>
        </w:rPr>
        <w:t xml:space="preserve">La viabilité des soins de longue durée sera également un défi pour les États membres qui s’appuient aujourd’hui fortement sur les soins informels. </w:t>
      </w:r>
      <w:r>
        <w:rPr>
          <w:rFonts w:ascii="Times New Roman" w:hAnsi="Times New Roman"/>
          <w:noProof/>
          <w:color w:val="000000"/>
          <w:sz w:val="24"/>
          <w:u w:color="000000"/>
          <w:bdr w:val="nil"/>
          <w:lang w:val="fr-BE"/>
        </w:rPr>
        <w:t>Les ressources en aidants informels se réduisent du fait de l’évolution des structures familiales (moins d’en</w:t>
      </w:r>
      <w:r>
        <w:rPr>
          <w:rFonts w:ascii="Times New Roman" w:hAnsi="Times New Roman"/>
          <w:noProof/>
          <w:color w:val="000000"/>
          <w:sz w:val="24"/>
          <w:u w:color="000000"/>
          <w:bdr w:val="nil"/>
          <w:lang w:val="fr-BE"/>
        </w:rPr>
        <w:t>fants, plus grande dispersion géographique des membres d’une même famille), du taux d’emploi croissant des femmes et de l’allongement de l’âge de la retraite. Le recours à ce type d’aidants est par ailleurs synonyme de coûts importants pour l’économie, car</w:t>
      </w:r>
      <w:r>
        <w:rPr>
          <w:rFonts w:ascii="Times New Roman" w:hAnsi="Times New Roman"/>
          <w:noProof/>
          <w:color w:val="000000"/>
          <w:sz w:val="24"/>
          <w:u w:color="000000"/>
          <w:bdr w:val="nil"/>
          <w:lang w:val="fr-BE"/>
        </w:rPr>
        <w:t xml:space="preserve"> ces personnes réduisent leur temps de travail ou quittent leur emploi et donc paient peu, voire pas, d’impôts et de cotisations. Le recrutement d’aidants est en outre problématique, surtout dans la durée. Le secteur subit les effets de la prévalence du tr</w:t>
      </w:r>
      <w:r>
        <w:rPr>
          <w:rFonts w:ascii="Times New Roman" w:hAnsi="Times New Roman"/>
          <w:noProof/>
          <w:color w:val="000000"/>
          <w:sz w:val="24"/>
          <w:u w:color="000000"/>
          <w:bdr w:val="nil"/>
          <w:lang w:val="fr-BE"/>
        </w:rPr>
        <w:t xml:space="preserve">avail à temps partiel et des contrats temporaires, ce qui réduit son attrait. </w:t>
      </w:r>
    </w:p>
    <w:p w:rsidR="00723CC0" w:rsidRDefault="00723CC0">
      <w:pPr>
        <w:spacing w:line="360" w:lineRule="auto"/>
        <w:jc w:val="both"/>
        <w:rPr>
          <w:rFonts w:ascii="Times New Roman" w:hAnsi="Times New Roman" w:cs="Times New Roman"/>
          <w:noProof/>
          <w:sz w:val="24"/>
          <w:szCs w:val="24"/>
          <w:lang w:val="fr-BE"/>
        </w:rPr>
      </w:pPr>
    </w:p>
    <w:p w:rsidR="00723CC0" w:rsidRDefault="00242021">
      <w:pPr>
        <w:pStyle w:val="Heading3"/>
        <w:rPr>
          <w:noProof/>
          <w:lang w:val="fr-BE"/>
        </w:rPr>
      </w:pPr>
      <w:bookmarkStart w:id="103" w:name="_Toc527539793"/>
      <w:bookmarkStart w:id="104" w:name="_Toc530495160"/>
      <w:r>
        <w:rPr>
          <w:noProof/>
          <w:lang w:val="fr-BE"/>
        </w:rPr>
        <w:t>3.4.2.</w:t>
      </w:r>
      <w:r>
        <w:rPr>
          <w:noProof/>
          <w:lang w:val="fr-BE"/>
        </w:rPr>
        <w:tab/>
        <w:t>Stratégies adoptées</w:t>
      </w:r>
      <w:bookmarkEnd w:id="103"/>
      <w:bookmarkEnd w:id="104"/>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Plusieurs États membres mènent des réformes en vue de renforcer les initiatives d’inclusion active. </w:t>
      </w:r>
      <w:r>
        <w:rPr>
          <w:rFonts w:ascii="Times New Roman" w:hAnsi="Times New Roman"/>
          <w:noProof/>
          <w:sz w:val="24"/>
          <w:lang w:val="fr-BE"/>
        </w:rPr>
        <w:t>Certains États membres renforcent la fourniture i</w:t>
      </w:r>
      <w:r>
        <w:rPr>
          <w:rFonts w:ascii="Times New Roman" w:hAnsi="Times New Roman"/>
          <w:noProof/>
          <w:sz w:val="24"/>
          <w:lang w:val="fr-BE"/>
        </w:rPr>
        <w:t>ntégrée de services (tels que l’assistance sociale, l’aide à l’emploi et d’autres services sociaux), notamment par une approche centrée sur la personne visant à répondre aux besoins complexes des populations les plus vulnérables. En Bulgarie, la mise en pl</w:t>
      </w:r>
      <w:r>
        <w:rPr>
          <w:rFonts w:ascii="Times New Roman" w:hAnsi="Times New Roman"/>
          <w:noProof/>
          <w:sz w:val="24"/>
          <w:lang w:val="fr-BE"/>
        </w:rPr>
        <w:t>ace de centres d’emploi et d’assistance sociale fournissant des services intégrés et mobiles</w:t>
      </w:r>
      <w:r>
        <w:rPr>
          <w:rStyle w:val="FootnoteReference"/>
          <w:rFonts w:ascii="Times New Roman" w:hAnsi="Times New Roman"/>
          <w:noProof/>
          <w:sz w:val="24"/>
        </w:rPr>
        <w:footnoteReference w:id="117"/>
      </w:r>
      <w:r>
        <w:rPr>
          <w:rFonts w:ascii="Times New Roman" w:hAnsi="Times New Roman"/>
          <w:noProof/>
          <w:sz w:val="24"/>
          <w:lang w:val="fr-BE"/>
        </w:rPr>
        <w:t xml:space="preserve"> est en cours. En février 2018, 73 centres de ce type, créés avec le soutien du FSE, étaient opérationnels</w:t>
      </w:r>
      <w:r>
        <w:rPr>
          <w:rStyle w:val="FootnoteReference"/>
          <w:rFonts w:ascii="Times New Roman" w:hAnsi="Times New Roman"/>
          <w:noProof/>
          <w:sz w:val="24"/>
        </w:rPr>
        <w:footnoteReference w:id="118"/>
      </w:r>
      <w:r>
        <w:rPr>
          <w:rFonts w:ascii="Times New Roman" w:hAnsi="Times New Roman"/>
          <w:noProof/>
          <w:sz w:val="24"/>
          <w:lang w:val="fr-BE"/>
        </w:rPr>
        <w:t xml:space="preserve"> et fournissaient des services d’emploi et d’assistance </w:t>
      </w:r>
      <w:r>
        <w:rPr>
          <w:rFonts w:ascii="Times New Roman" w:hAnsi="Times New Roman"/>
          <w:noProof/>
          <w:sz w:val="24"/>
          <w:lang w:val="fr-BE"/>
        </w:rPr>
        <w:t>sociale. À partir de 2018, les centres proposent aux chômeurs de longue durée un contrat d’intégration professionnelle mettant en relation ces chômeurs avec des services de l’emploi spécifiques et les orientant vers des services fournis par d’autres instit</w:t>
      </w:r>
      <w:r>
        <w:rPr>
          <w:rFonts w:ascii="Times New Roman" w:hAnsi="Times New Roman"/>
          <w:noProof/>
          <w:sz w:val="24"/>
          <w:lang w:val="fr-BE"/>
        </w:rPr>
        <w:t>utions. En Irlande, le plan d’action pour les ménages sans emploi étend les services d’activation aux personnes qui ne travaillent pas mais ne sont pas définies comme étant au chômage selon les mesures traditionnelles. Il vise en particulier l’amélioration</w:t>
      </w:r>
      <w:r>
        <w:rPr>
          <w:rFonts w:ascii="Times New Roman" w:hAnsi="Times New Roman"/>
          <w:noProof/>
          <w:sz w:val="24"/>
          <w:lang w:val="fr-BE"/>
        </w:rPr>
        <w:t xml:space="preserve"> du taux d’emploi des ménages avec enfants, à la fois pour les familles «nucléaires» traditionnelles, les familles monoparentales et les personnes handicapées. En Finlande, les centres d’orientation uniques pour les jeunes («Ohjaamo»), fonctionnant à l’ori</w:t>
      </w:r>
      <w:r>
        <w:rPr>
          <w:rFonts w:ascii="Times New Roman" w:hAnsi="Times New Roman"/>
          <w:noProof/>
          <w:sz w:val="24"/>
          <w:lang w:val="fr-BE"/>
        </w:rPr>
        <w:t>gine avec un financement du FSE, sont devenus une mesure permanente et sont en cours d’expansion grâce au réseau de soutien psychosocial. En Grèce, les centres communautaires, servant de guichets uniques pour les services sociaux au niveau des municipalité</w:t>
      </w:r>
      <w:r>
        <w:rPr>
          <w:rFonts w:ascii="Times New Roman" w:hAnsi="Times New Roman"/>
          <w:noProof/>
          <w:sz w:val="24"/>
          <w:lang w:val="fr-BE"/>
        </w:rPr>
        <w:t xml:space="preserve">s, ont commencé à ouvrir en 2017. Ces centres sont destinés à soutenir la mise en œuvre du dispositif de revenu de solidarité sociale, en mettant en relation les bénéficiaires avec des services sociaux complémentaires. En février 2018, 203 des 240 centres </w:t>
      </w:r>
      <w:r>
        <w:rPr>
          <w:rFonts w:ascii="Times New Roman" w:hAnsi="Times New Roman"/>
          <w:noProof/>
          <w:sz w:val="24"/>
          <w:lang w:val="fr-BE"/>
        </w:rPr>
        <w:t>prévus étaient opérationnels. En outre, de plus en plus de municipalités dans l’ensemble de l’UE fournissent des services sociaux intégrés mettant l’accent sur les besoins complexes des groupes vulnérables (par exemple les points d’entrée uniques à Athènes</w:t>
      </w:r>
      <w:r>
        <w:rPr>
          <w:rFonts w:ascii="Times New Roman" w:hAnsi="Times New Roman"/>
          <w:noProof/>
          <w:sz w:val="24"/>
          <w:lang w:val="fr-BE"/>
        </w:rPr>
        <w:t xml:space="preserve"> ou les services de promotion de la santé à Essen). Ces initiatives ont bénéficié du concours financier du FSE.</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La modernisation et l’amélioration de l’adéquation de certaines prestations se poursuivent dans plusieurs États membres, bien que des retards ai</w:t>
      </w:r>
      <w:r>
        <w:rPr>
          <w:rFonts w:ascii="Times New Roman" w:hAnsi="Times New Roman"/>
          <w:b/>
          <w:noProof/>
          <w:sz w:val="24"/>
          <w:lang w:val="fr-BE"/>
        </w:rPr>
        <w:t>ent parfois été observés</w:t>
      </w:r>
      <w:r>
        <w:rPr>
          <w:noProof/>
          <w:lang w:val="fr-BE"/>
        </w:rPr>
        <w:t>.</w:t>
      </w:r>
      <w:r>
        <w:rPr>
          <w:rFonts w:ascii="Times New Roman" w:hAnsi="Times New Roman"/>
          <w:noProof/>
          <w:sz w:val="24"/>
          <w:lang w:val="fr-BE"/>
        </w:rPr>
        <w:t xml:space="preserve"> En Lituanie, le revenu subventionné par l’État ainsi que les prestations liées à la famille ont été augmentés en 2018. En Bulgarie, la hausse de 15 % du revenu minimum en 2018 fait suite à un gel de 9 ans. Dans la continuité du pl</w:t>
      </w:r>
      <w:r>
        <w:rPr>
          <w:rFonts w:ascii="Times New Roman" w:hAnsi="Times New Roman"/>
          <w:noProof/>
          <w:sz w:val="24"/>
          <w:lang w:val="fr-BE"/>
        </w:rPr>
        <w:t>an pluriannuel de lutte contre la pauvreté établi en 2013, le revenu minimum français (revenu de solidarité active ou RSA) a été revalorisé de 1,6 % en septembre 2017, puis de 1 % en avril 2018. Ces augmentations sont les dernières d’une série qui a permis</w:t>
      </w:r>
      <w:r>
        <w:rPr>
          <w:rFonts w:ascii="Times New Roman" w:hAnsi="Times New Roman"/>
          <w:noProof/>
          <w:sz w:val="24"/>
          <w:lang w:val="fr-BE"/>
        </w:rPr>
        <w:t xml:space="preserve"> d’augmenter le revenu minimum par rapport à l’inflation; elles s’accompagnent d’une politique mettant à nouveau l’accent sur l’activation des bénéficiaires (garantie d’activité), dans le cadre du plan de lutte contre la pauvreté annoncé récemment. En Roum</w:t>
      </w:r>
      <w:r>
        <w:rPr>
          <w:rFonts w:ascii="Times New Roman" w:hAnsi="Times New Roman"/>
          <w:noProof/>
          <w:sz w:val="24"/>
          <w:lang w:val="fr-BE"/>
        </w:rPr>
        <w:t>anie, toutefois, la fusion prévue des prestations sociales existantes a été reportée à avril 2019, tandis qu’en Croatie, la mise en œuvre de la nouvelle loi sur la protection sociale ne prendra effet qu’en décembre 2019. Le plan d’amélioration du revenu mi</w:t>
      </w:r>
      <w:r>
        <w:rPr>
          <w:rFonts w:ascii="Times New Roman" w:hAnsi="Times New Roman"/>
          <w:noProof/>
          <w:sz w:val="24"/>
          <w:lang w:val="fr-BE"/>
        </w:rPr>
        <w:t xml:space="preserve">nimum prévu par la Lettonie (soumis en mai 2018 pour une prise d’effet en 2020) n’a pas encore été adopté par le gouvernement. Un projet de loi vise, au Luxembourg, à réorganiser le mécanisme du revenu minimum garanti (RMG) afin de réduire les importantes </w:t>
      </w:r>
      <w:r>
        <w:rPr>
          <w:rFonts w:ascii="Times New Roman" w:hAnsi="Times New Roman"/>
          <w:noProof/>
          <w:sz w:val="24"/>
          <w:lang w:val="fr-BE"/>
        </w:rPr>
        <w:t xml:space="preserve">«trappes à inactivité» générées par le régime actuel et afin de s’attaquer aux problèmes de la surcharge des coûts du logement et du revenu insuffisant des ménages monoparentaux. </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 xml:space="preserve">La couverture de la protection sociale s’améliore dans plusieurs États membres. </w:t>
      </w:r>
      <w:r>
        <w:rPr>
          <w:rFonts w:ascii="Times New Roman" w:hAnsi="Times New Roman"/>
          <w:noProof/>
          <w:sz w:val="24"/>
          <w:lang w:val="fr-BE"/>
        </w:rPr>
        <w:t xml:space="preserve">La Belgique a adopté une loi supprimant les restrictions d’accès aux régimes de pension d’entreprise pour les jeunes et les personnes sous contrat à court terme. D’autres pays </w:t>
      </w:r>
      <w:r>
        <w:rPr>
          <w:rFonts w:ascii="Times New Roman" w:hAnsi="Times New Roman"/>
          <w:noProof/>
          <w:sz w:val="24"/>
          <w:lang w:val="fr-BE"/>
        </w:rPr>
        <w:t>envisagent d’adopter ou ont adopté des mesures en faveur des propriétaires de petites entreprises et des travailleurs non salariés. En font notamment partie une réduction des cotisations sous un seuil précis (Lettonie et Pologne), la couverture des travail</w:t>
      </w:r>
      <w:r>
        <w:rPr>
          <w:rFonts w:ascii="Times New Roman" w:hAnsi="Times New Roman"/>
          <w:noProof/>
          <w:sz w:val="24"/>
          <w:lang w:val="fr-BE"/>
        </w:rPr>
        <w:t>leurs indépendants par le régime de chômage (France) ou la possibilité de faire bénéficier les travailleurs indépendants d’une assurance contre les accidents du travail via une charte sociale des plateformes en ligne (France, voir également section 3.3.2).</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Les mesures de lutte contre l’inégalité des revenus et la pauvreté des travailleurs portent à la fois sur l’architecture fiscale et sur l’adéquation des prestations</w:t>
      </w:r>
      <w:r>
        <w:rPr>
          <w:noProof/>
          <w:lang w:val="fr-BE"/>
        </w:rPr>
        <w:t>.</w:t>
      </w:r>
      <w:r>
        <w:rPr>
          <w:rFonts w:ascii="Times New Roman" w:hAnsi="Times New Roman"/>
          <w:noProof/>
          <w:sz w:val="24"/>
          <w:lang w:val="fr-BE"/>
        </w:rPr>
        <w:t xml:space="preserve"> Outre la fixation d’un salaire minimum, un certain nombre de politiques de réduction des </w:t>
      </w:r>
      <w:r>
        <w:rPr>
          <w:rFonts w:ascii="Times New Roman" w:hAnsi="Times New Roman"/>
          <w:noProof/>
          <w:sz w:val="24"/>
          <w:lang w:val="fr-BE"/>
        </w:rPr>
        <w:t>inégalités liées au système d’impôts-prestations peuvent contribuer à réduire la pauvreté des travailleurs. En Lituanie, une réforme du régime d’imposition forfaitaire sur le revenu a été adoptée en juin 2018; elle introduit une structure progressive à deu</w:t>
      </w:r>
      <w:r>
        <w:rPr>
          <w:rFonts w:ascii="Times New Roman" w:hAnsi="Times New Roman"/>
          <w:noProof/>
          <w:sz w:val="24"/>
          <w:lang w:val="fr-BE"/>
        </w:rPr>
        <w:t xml:space="preserve">x tranches qui devrait contribuer à réduire les inégalités de revenu. En Lettonie, l’introduction de l’impôt progressif sur le revenu des personnes physiques est accompagnée d’abattements de l’impôt sur le revenu des personnes physiques et des personnes à </w:t>
      </w:r>
      <w:r>
        <w:rPr>
          <w:rFonts w:ascii="Times New Roman" w:hAnsi="Times New Roman"/>
          <w:noProof/>
          <w:sz w:val="24"/>
          <w:lang w:val="fr-BE"/>
        </w:rPr>
        <w:t>charge. Une réforme proposée par la République tchèque pour réorganiser la fiscalité sur le revenu des personnes physiques devrait ajouter un nouveau degré de progressivité, en particulier par l’ajout d’un nouveau taux de taxation égal à 23 % applicable au</w:t>
      </w:r>
      <w:r>
        <w:rPr>
          <w:rFonts w:ascii="Times New Roman" w:hAnsi="Times New Roman"/>
          <w:noProof/>
          <w:sz w:val="24"/>
          <w:lang w:val="fr-BE"/>
        </w:rPr>
        <w:t>x revenus plus élevés.</w:t>
      </w:r>
    </w:p>
    <w:p w:rsidR="00723CC0" w:rsidRDefault="00242021">
      <w:pPr>
        <w:spacing w:line="360" w:lineRule="auto"/>
        <w:jc w:val="both"/>
        <w:rPr>
          <w:rFonts w:ascii="Times New Roman" w:hAnsi="Times New Roman" w:cs="Times New Roman"/>
          <w:iCs/>
          <w:noProof/>
          <w:sz w:val="24"/>
          <w:szCs w:val="24"/>
          <w:lang w:val="fr-BE"/>
        </w:rPr>
      </w:pPr>
      <w:r>
        <w:rPr>
          <w:rFonts w:ascii="Times New Roman" w:hAnsi="Times New Roman"/>
          <w:b/>
          <w:noProof/>
          <w:sz w:val="24"/>
          <w:lang w:val="fr-BE"/>
        </w:rPr>
        <w:t>Certains États membres ont pris des mesures ciblant spécifiquement la lutte contre la pauvreté des enfants.</w:t>
      </w:r>
      <w:r>
        <w:rPr>
          <w:rFonts w:ascii="Times New Roman" w:hAnsi="Times New Roman"/>
          <w:noProof/>
          <w:sz w:val="24"/>
          <w:lang w:val="fr-BE"/>
        </w:rPr>
        <w:t xml:space="preserve"> En Espagne, le budget national 2018 prévoit d’allouer 100 000 000 EUR à la lutte contre la grande pauvreté, en accordant une </w:t>
      </w:r>
      <w:r>
        <w:rPr>
          <w:rFonts w:ascii="Times New Roman" w:hAnsi="Times New Roman"/>
          <w:noProof/>
          <w:sz w:val="24"/>
          <w:lang w:val="fr-BE"/>
        </w:rPr>
        <w:t xml:space="preserve">attention particulière aux familles avec enfants. La loi lituanienne sur les prestations pour les enfants introduit un système d’allocations familiales universelles. En outre, les prestations familiales accordées aux familles qui élèvent et/ou accueillent </w:t>
      </w:r>
      <w:r>
        <w:rPr>
          <w:rFonts w:ascii="Times New Roman" w:hAnsi="Times New Roman"/>
          <w:noProof/>
          <w:sz w:val="24"/>
          <w:lang w:val="fr-BE"/>
        </w:rPr>
        <w:t>trois enfants ou plus sont versées indépendamment du revenu de la famille. Un supplément à la prestation publique pour les familles comptant deux enfants ou plus a été introduit en Lettonie. La Grèce a adopté une réforme du système de prestations pour enfa</w:t>
      </w:r>
      <w:r>
        <w:rPr>
          <w:rFonts w:ascii="Times New Roman" w:hAnsi="Times New Roman"/>
          <w:noProof/>
          <w:sz w:val="24"/>
          <w:lang w:val="fr-BE"/>
        </w:rPr>
        <w:t>nts, remplaçant les deux anciennes prestations («prestation unifiée pour enfants» et «prestation pour familles nombreuses») par une prestation unique pour enfant soumise à des conditions de ressources. Cette réforme vise à améliorer le ciblage et à assurer</w:t>
      </w:r>
      <w:r>
        <w:rPr>
          <w:rFonts w:ascii="Times New Roman" w:hAnsi="Times New Roman"/>
          <w:noProof/>
          <w:sz w:val="24"/>
          <w:lang w:val="fr-BE"/>
        </w:rPr>
        <w:t xml:space="preserve"> davantage d’équité entre les enfants bénéficiaires.</w:t>
      </w:r>
    </w:p>
    <w:p w:rsidR="00723CC0" w:rsidRDefault="00242021">
      <w:pPr>
        <w:spacing w:line="360" w:lineRule="auto"/>
        <w:jc w:val="both"/>
        <w:rPr>
          <w:rFonts w:ascii="Times New Roman" w:hAnsi="Times New Roman"/>
          <w:noProof/>
          <w:sz w:val="24"/>
          <w:lang w:val="fr-BE"/>
        </w:rPr>
      </w:pPr>
      <w:r>
        <w:rPr>
          <w:rFonts w:ascii="Times New Roman" w:hAnsi="Times New Roman"/>
          <w:b/>
          <w:noProof/>
          <w:sz w:val="24"/>
          <w:lang w:val="fr-BE"/>
        </w:rPr>
        <w:t xml:space="preserve">Des mesures d’inclusion sociale pour les personnes handicapées ont été prises afin de compléter les politiques de l’emploi et de prévenir les souffrances dues à la pauvreté. </w:t>
      </w:r>
      <w:r>
        <w:rPr>
          <w:rFonts w:ascii="Times New Roman" w:hAnsi="Times New Roman"/>
          <w:noProof/>
          <w:sz w:val="24"/>
          <w:lang w:val="fr-BE"/>
        </w:rPr>
        <w:t>Afin d’améliorer l’efficacité</w:t>
      </w:r>
      <w:r>
        <w:rPr>
          <w:rFonts w:ascii="Times New Roman" w:hAnsi="Times New Roman"/>
          <w:noProof/>
          <w:sz w:val="24"/>
          <w:lang w:val="fr-BE"/>
        </w:rPr>
        <w:t xml:space="preserve"> du système et de veiller à ce que les personnes perçoivent les prestations auxquelles elles ont droit, l’Espagne a mis en place une phase de test de la carte sociale universelle, qui permet de collecter en un seul endroit les informations sur toutes les p</w:t>
      </w:r>
      <w:r>
        <w:rPr>
          <w:rFonts w:ascii="Times New Roman" w:hAnsi="Times New Roman"/>
          <w:noProof/>
          <w:sz w:val="24"/>
          <w:lang w:val="fr-BE"/>
        </w:rPr>
        <w:t>restations qu’une personne reçoit et d’indiquer les autres prestations auxquelles elle peut prétendre. Pour 2018, l’allocation relative à la capacité de travail destinée aux personnes en incapacité de travail ou dont la capacité est limitée a été augmentée</w:t>
      </w:r>
      <w:r>
        <w:rPr>
          <w:rFonts w:ascii="Times New Roman" w:hAnsi="Times New Roman"/>
          <w:noProof/>
          <w:sz w:val="24"/>
          <w:lang w:val="fr-BE"/>
        </w:rPr>
        <w:t xml:space="preserve"> en Estonie. En 2017, Malte a mis en œuvre une nouvelle réforme des pensions d’invalidité, laquelle établit un système de paiement à trois niveaux prévoyant que les personnes incapables de travailler en raison d’une invalidité percevront chaque mois une so</w:t>
      </w:r>
      <w:r>
        <w:rPr>
          <w:rFonts w:ascii="Times New Roman" w:hAnsi="Times New Roman"/>
          <w:noProof/>
          <w:sz w:val="24"/>
          <w:lang w:val="fr-BE"/>
        </w:rPr>
        <w:t>mme de plus en plus importante jusqu’à ce que leur pension atteigne l’équivalent du salaire minimum. Une loi de 2016 du gouvernement polonais prévoit l’octroi d’une aide de 4 000 PLN (environ 940 EUR) aux parents d’un enfant gravement handicapé au cours de</w:t>
      </w:r>
      <w:r>
        <w:rPr>
          <w:rFonts w:ascii="Times New Roman" w:hAnsi="Times New Roman"/>
          <w:noProof/>
          <w:sz w:val="24"/>
          <w:lang w:val="fr-BE"/>
        </w:rPr>
        <w:t xml:space="preserve"> la première année de sa vie. Au Portugal, un nouveau modèle de soutien à la vie autonome (MAVI), financé par le FSE, a été adopté en 2017, au titre duquel chaque personne ayant une incapacité de 60 % ou plus a droit à 40 heures par semaine d’intervention </w:t>
      </w:r>
      <w:r>
        <w:rPr>
          <w:rFonts w:ascii="Times New Roman" w:hAnsi="Times New Roman"/>
          <w:noProof/>
          <w:sz w:val="24"/>
          <w:lang w:val="fr-BE"/>
        </w:rPr>
        <w:t>d’un aidant spécialisé chargé de l’assister dans les domaines des soins personnels, de la santé, de la nutrition, des voyages, de l’enseignement supérieur, de la formation professionnelle, des activités culturelles et sportives, de la recherche d’emploi et</w:t>
      </w:r>
      <w:r>
        <w:rPr>
          <w:rFonts w:ascii="Times New Roman" w:hAnsi="Times New Roman"/>
          <w:noProof/>
          <w:sz w:val="24"/>
          <w:lang w:val="fr-BE"/>
        </w:rPr>
        <w:t xml:space="preserve"> de la participation à la vie citoyenne et sociale. En outre, en 2017, le gouvernement portugais a fusionné trois prestations d’invalidité (l’allocation d’invalidité, la pension d’invalidité sociale et la pension d’invalidité) en une prestation unique, à s</w:t>
      </w:r>
      <w:r>
        <w:rPr>
          <w:rFonts w:ascii="Times New Roman" w:hAnsi="Times New Roman"/>
          <w:noProof/>
          <w:sz w:val="24"/>
          <w:lang w:val="fr-BE"/>
        </w:rPr>
        <w:t xml:space="preserve">avoir la prestation sociale pour l’inclusion. La Roumanie a commencé à utiliser l’indicateur social de référence pour calculer les prestations d’invalidité, au lieu de l’indice des prix à la consommation, ce qui a entraîné une augmentation des prestations </w:t>
      </w:r>
      <w:r>
        <w:rPr>
          <w:rFonts w:ascii="Times New Roman" w:hAnsi="Times New Roman"/>
          <w:noProof/>
          <w:sz w:val="24"/>
          <w:lang w:val="fr-BE"/>
        </w:rPr>
        <w:t>versées aux adultes handicapés.</w:t>
      </w:r>
    </w:p>
    <w:p w:rsidR="00723CC0" w:rsidRDefault="00242021">
      <w:pPr>
        <w:spacing w:line="360" w:lineRule="auto"/>
        <w:jc w:val="both"/>
        <w:rPr>
          <w:rFonts w:ascii="Times New Roman" w:hAnsi="Times New Roman"/>
          <w:noProof/>
          <w:sz w:val="24"/>
          <w:szCs w:val="24"/>
          <w:lang w:val="fr-BE"/>
        </w:rPr>
      </w:pPr>
      <w:r>
        <w:rPr>
          <w:rFonts w:ascii="Times New Roman" w:hAnsi="Times New Roman"/>
          <w:b/>
          <w:noProof/>
          <w:sz w:val="24"/>
          <w:lang w:val="fr-BE"/>
        </w:rPr>
        <w:t>Un certain nombre d’États membres ont entrepris des réformes dans le domaine de l’accès au logement.</w:t>
      </w:r>
      <w:r>
        <w:rPr>
          <w:rFonts w:ascii="Times New Roman" w:hAnsi="Times New Roman"/>
          <w:noProof/>
          <w:sz w:val="24"/>
          <w:lang w:val="fr-BE"/>
        </w:rPr>
        <w:t xml:space="preserve"> Le Danemark a adopté un plan d’action pour lutter contre le sans-abrisme, fondé sur le renforcement des mesures préventives</w:t>
      </w:r>
      <w:r>
        <w:rPr>
          <w:rFonts w:ascii="Times New Roman" w:hAnsi="Times New Roman"/>
          <w:noProof/>
          <w:sz w:val="24"/>
          <w:lang w:val="fr-BE"/>
        </w:rPr>
        <w:t xml:space="preserve"> et l’amélioration de l’orientation sur la manière de sortir de l’état de sans-abri. La Grèce a introduit une nouvelle allocation de logement sous conditions de ressources, destinée aux familles à faible revenu qui louent le logement qu’elles occupent ou r</w:t>
      </w:r>
      <w:r>
        <w:rPr>
          <w:rFonts w:ascii="Times New Roman" w:hAnsi="Times New Roman"/>
          <w:noProof/>
          <w:sz w:val="24"/>
          <w:lang w:val="fr-BE"/>
        </w:rPr>
        <w:t xml:space="preserve">emboursent un prêt hypothécaire. L’Espagne a adopté un plan national comprenant notamment une aide aux familles à faible revenu pour qu’elles puissent payer leur loyer et évitent l’expulsion, une aide financière aux jeunes pour l’achat de maisons dans des </w:t>
      </w:r>
      <w:r>
        <w:rPr>
          <w:rFonts w:ascii="Times New Roman" w:hAnsi="Times New Roman"/>
          <w:noProof/>
          <w:sz w:val="24"/>
          <w:lang w:val="fr-BE"/>
        </w:rPr>
        <w:t xml:space="preserve">zones peu peuplées et une aide à la rénovation de logements en faveur de certains groupes vulnérables. Le gouvernement suédois a augmenté l’enveloppe des fonds destinés à soutenir les associations à but non lucratif pour lutter contre le sans-abrisme chez </w:t>
      </w:r>
      <w:r>
        <w:rPr>
          <w:rFonts w:ascii="Times New Roman" w:hAnsi="Times New Roman"/>
          <w:noProof/>
          <w:sz w:val="24"/>
          <w:lang w:val="fr-BE"/>
        </w:rPr>
        <w:t xml:space="preserve">les jeunes adultes. </w:t>
      </w:r>
    </w:p>
    <w:p w:rsidR="00723CC0" w:rsidRDefault="00242021">
      <w:pPr>
        <w:spacing w:line="360" w:lineRule="auto"/>
        <w:jc w:val="both"/>
        <w:rPr>
          <w:rFonts w:ascii="Times New Roman" w:hAnsi="Times New Roman" w:cs="Times New Roman"/>
          <w:bCs/>
          <w:iCs/>
          <w:noProof/>
          <w:sz w:val="24"/>
          <w:szCs w:val="24"/>
          <w:lang w:val="fr-BE"/>
        </w:rPr>
      </w:pPr>
      <w:r>
        <w:rPr>
          <w:rFonts w:ascii="Times New Roman" w:hAnsi="Times New Roman"/>
          <w:b/>
          <w:noProof/>
          <w:sz w:val="24"/>
          <w:lang w:val="fr-BE"/>
        </w:rPr>
        <w:t>La dynamique des réformes des retraites s’oriente de plus en plus vers la résolution des problèmes d’adéquation.</w:t>
      </w:r>
      <w:r>
        <w:rPr>
          <w:rFonts w:ascii="Times New Roman" w:hAnsi="Times New Roman"/>
          <w:noProof/>
          <w:sz w:val="24"/>
          <w:lang w:val="fr-BE"/>
        </w:rPr>
        <w:t xml:space="preserve"> Si les mesures visant à améliorer la viabilité financière occupent toujours une place importante dans les préoccupations d</w:t>
      </w:r>
      <w:r>
        <w:rPr>
          <w:rFonts w:ascii="Times New Roman" w:hAnsi="Times New Roman"/>
          <w:noProof/>
          <w:sz w:val="24"/>
          <w:lang w:val="fr-BE"/>
        </w:rPr>
        <w:t>e nombreux États membres en matière de pensions, ce processus a été associé à des mesures d’ajustement de la composition des régimes de retraite afin de répondre à certains défis majeurs du marché du travail et du système des retraites: préserver l’adéquat</w:t>
      </w:r>
      <w:r>
        <w:rPr>
          <w:rFonts w:ascii="Times New Roman" w:hAnsi="Times New Roman"/>
          <w:noProof/>
          <w:sz w:val="24"/>
          <w:lang w:val="fr-BE"/>
        </w:rPr>
        <w:t>ion des pensions, combiner travail et pensions et adapter les droits à pension en fonction de catégories spécifiques de travailleurs.</w:t>
      </w:r>
    </w:p>
    <w:p w:rsidR="00723CC0" w:rsidRDefault="00242021">
      <w:pPr>
        <w:spacing w:line="360" w:lineRule="auto"/>
        <w:jc w:val="both"/>
        <w:rPr>
          <w:rFonts w:ascii="Times New Roman" w:hAnsi="Times New Roman" w:cs="Times New Roman"/>
          <w:bCs/>
          <w:iCs/>
          <w:noProof/>
          <w:sz w:val="24"/>
          <w:szCs w:val="24"/>
          <w:lang w:val="fr-BE"/>
        </w:rPr>
      </w:pPr>
      <w:r>
        <w:rPr>
          <w:rFonts w:ascii="Times New Roman" w:hAnsi="Times New Roman"/>
          <w:b/>
          <w:noProof/>
          <w:sz w:val="24"/>
          <w:lang w:val="fr-BE"/>
        </w:rPr>
        <w:t xml:space="preserve">Certains États membres continuent de mettre l’accent sur le rééquilibrage entre la durée de la retraite et l’espérance de </w:t>
      </w:r>
      <w:r>
        <w:rPr>
          <w:rFonts w:ascii="Times New Roman" w:hAnsi="Times New Roman"/>
          <w:b/>
          <w:noProof/>
          <w:sz w:val="24"/>
          <w:lang w:val="fr-BE"/>
        </w:rPr>
        <w:t>vie.</w:t>
      </w:r>
      <w:r>
        <w:rPr>
          <w:rFonts w:ascii="Times New Roman" w:hAnsi="Times New Roman"/>
          <w:noProof/>
          <w:sz w:val="24"/>
          <w:lang w:val="fr-BE"/>
        </w:rPr>
        <w:t xml:space="preserve"> Par exemple, la réforme de 2017 en République tchèque a plafonné à 65 ans l’allongement en cours de l’âge de la retraite, qui doit être effectif en 2030, pour instaurer un lien avec l’espérance de vie après l’âge de la retraite, bien qu’une nouvelle l</w:t>
      </w:r>
      <w:r>
        <w:rPr>
          <w:rFonts w:ascii="Times New Roman" w:hAnsi="Times New Roman"/>
          <w:noProof/>
          <w:sz w:val="24"/>
          <w:lang w:val="fr-BE"/>
        </w:rPr>
        <w:t>égislation soit nécessaire pour instituer ce lien. D’autres pays sont en train d’augmenter les exigences en matière de durée de la carrière. En Lituanie, par exemple, la durée de la période de cotisation augmentera progressivement, passant de 30 ans en 201</w:t>
      </w:r>
      <w:r>
        <w:rPr>
          <w:rFonts w:ascii="Times New Roman" w:hAnsi="Times New Roman"/>
          <w:noProof/>
          <w:sz w:val="24"/>
          <w:lang w:val="fr-BE"/>
        </w:rPr>
        <w:t>7 à 35 ans en 2027. À l’inverse, la Pologne a réintroduit un âge de départ à la retraite plus précoce et différent pour les hommes et les femmes (respectivement 65 et 60 ans) depuis octobre 2017. Cela a entraîné une forte augmentation des départs à la retr</w:t>
      </w:r>
      <w:r>
        <w:rPr>
          <w:rFonts w:ascii="Times New Roman" w:hAnsi="Times New Roman"/>
          <w:noProof/>
          <w:sz w:val="24"/>
          <w:lang w:val="fr-BE"/>
        </w:rPr>
        <w:t>aite, les pensions nouvellement octroyées aux femmes étant, en moyenne, nettement inférieures à celles des hommes</w:t>
      </w:r>
      <w:r>
        <w:rPr>
          <w:rStyle w:val="FootnoteReference"/>
          <w:rFonts w:ascii="Times New Roman" w:hAnsi="Times New Roman"/>
          <w:noProof/>
          <w:sz w:val="24"/>
        </w:rPr>
        <w:footnoteReference w:id="119"/>
      </w:r>
      <w:r>
        <w:rPr>
          <w:rFonts w:ascii="Times New Roman" w:hAnsi="Times New Roman"/>
          <w:noProof/>
          <w:sz w:val="24"/>
          <w:lang w:val="fr-BE"/>
        </w:rPr>
        <w:t>.</w:t>
      </w:r>
    </w:p>
    <w:p w:rsidR="00723CC0" w:rsidRDefault="00242021">
      <w:pPr>
        <w:spacing w:line="360" w:lineRule="auto"/>
        <w:jc w:val="both"/>
        <w:rPr>
          <w:rFonts w:ascii="Times New Roman" w:hAnsi="Times New Roman" w:cs="Times New Roman"/>
          <w:bCs/>
          <w:iCs/>
          <w:noProof/>
          <w:sz w:val="24"/>
          <w:szCs w:val="24"/>
          <w:lang w:val="fr-BE"/>
        </w:rPr>
      </w:pPr>
      <w:r>
        <w:rPr>
          <w:rFonts w:ascii="Times New Roman" w:hAnsi="Times New Roman"/>
          <w:b/>
          <w:noProof/>
          <w:sz w:val="24"/>
          <w:lang w:val="fr-BE"/>
        </w:rPr>
        <w:t>Un plus grand nombre de mesures de réforme des retraites visent à faire reculer la pauvreté</w:t>
      </w:r>
      <w:r>
        <w:rPr>
          <w:rFonts w:ascii="Times New Roman" w:hAnsi="Times New Roman"/>
          <w:noProof/>
          <w:sz w:val="24"/>
          <w:lang w:val="fr-BE"/>
        </w:rPr>
        <w:t xml:space="preserve"> (par exemple les garanties minimales) et à </w:t>
      </w:r>
      <w:r>
        <w:rPr>
          <w:rFonts w:ascii="Times New Roman" w:hAnsi="Times New Roman"/>
          <w:b/>
          <w:noProof/>
          <w:sz w:val="24"/>
          <w:lang w:val="fr-BE"/>
        </w:rPr>
        <w:t>améli</w:t>
      </w:r>
      <w:r>
        <w:rPr>
          <w:rFonts w:ascii="Times New Roman" w:hAnsi="Times New Roman"/>
          <w:b/>
          <w:noProof/>
          <w:sz w:val="24"/>
          <w:lang w:val="fr-BE"/>
        </w:rPr>
        <w:t>orer le maintien des revenus</w:t>
      </w:r>
      <w:r>
        <w:rPr>
          <w:rFonts w:ascii="Times New Roman" w:hAnsi="Times New Roman"/>
          <w:noProof/>
          <w:sz w:val="24"/>
          <w:lang w:val="fr-BE"/>
        </w:rPr>
        <w:t xml:space="preserve"> (par exemple une indexation favorable, le renforcement du rôle des retraites complémentaires). La Lettonie, Malte et la Roumanie ont relevé le seuil d’exemption d’impôt, ce qui devrait notamment profiter aux bénéficiaires de pe</w:t>
      </w:r>
      <w:r>
        <w:rPr>
          <w:rFonts w:ascii="Times New Roman" w:hAnsi="Times New Roman"/>
          <w:noProof/>
          <w:sz w:val="24"/>
          <w:lang w:val="fr-BE"/>
        </w:rPr>
        <w:t>nsions moins élevées. Les pensions minimums ont été revalorisées en Bulgarie, en Pologne et en Roumanie, où une hausse considérable de 30 % a été accordée en 2017. D’autres mesures ont été mises en place, telles que des garanties supplémentaires pour les r</w:t>
      </w:r>
      <w:r>
        <w:rPr>
          <w:rFonts w:ascii="Times New Roman" w:hAnsi="Times New Roman"/>
          <w:noProof/>
          <w:sz w:val="24"/>
          <w:lang w:val="fr-BE"/>
        </w:rPr>
        <w:t>etraités ayant eu une longue carrière; en 2017, par exemple, l’Autriche a augmenté la pension minimum de 883 à 1 000 EUR par mois pour les personnes ayant cumulé au moins 30 ans de cotisations</w:t>
      </w:r>
      <w:r>
        <w:rPr>
          <w:rStyle w:val="FootnoteReference"/>
          <w:rFonts w:ascii="Times New Roman" w:hAnsi="Times New Roman"/>
          <w:noProof/>
          <w:sz w:val="24"/>
        </w:rPr>
        <w:footnoteReference w:id="120"/>
      </w:r>
      <w:r>
        <w:rPr>
          <w:rFonts w:ascii="Times New Roman" w:hAnsi="Times New Roman"/>
          <w:noProof/>
          <w:sz w:val="24"/>
          <w:lang w:val="fr-BE"/>
        </w:rPr>
        <w:t xml:space="preserve">. </w:t>
      </w:r>
    </w:p>
    <w:p w:rsidR="00723CC0" w:rsidRDefault="00242021">
      <w:pPr>
        <w:spacing w:line="360" w:lineRule="auto"/>
        <w:jc w:val="both"/>
        <w:rPr>
          <w:rFonts w:ascii="Times New Roman" w:hAnsi="Times New Roman" w:cs="Times New Roman"/>
          <w:bCs/>
          <w:noProof/>
          <w:sz w:val="24"/>
          <w:szCs w:val="24"/>
          <w:lang w:val="fr-BE"/>
        </w:rPr>
      </w:pPr>
      <w:r>
        <w:rPr>
          <w:rFonts w:ascii="Times New Roman" w:hAnsi="Times New Roman"/>
          <w:b/>
          <w:noProof/>
          <w:sz w:val="24"/>
          <w:lang w:val="fr-BE"/>
        </w:rPr>
        <w:t>Accroître l’efficacité des soins de santé en améliorant la c</w:t>
      </w:r>
      <w:r>
        <w:rPr>
          <w:rFonts w:ascii="Times New Roman" w:hAnsi="Times New Roman"/>
          <w:b/>
          <w:noProof/>
          <w:sz w:val="24"/>
          <w:lang w:val="fr-BE"/>
        </w:rPr>
        <w:t>oordination et en donnant un rôle plus important aux soins primaires est devenu un principe directeur dans plusieurs États membres.</w:t>
      </w:r>
      <w:r>
        <w:rPr>
          <w:rFonts w:ascii="Times New Roman" w:hAnsi="Times New Roman"/>
          <w:noProof/>
          <w:sz w:val="24"/>
          <w:lang w:val="fr-BE"/>
        </w:rPr>
        <w:t xml:space="preserve"> En Estonie, les plans actuels en matière de centres de santé et de réseaux d’hôpitaux ont pour but la création d’équipes plu</w:t>
      </w:r>
      <w:r>
        <w:rPr>
          <w:rFonts w:ascii="Times New Roman" w:hAnsi="Times New Roman"/>
          <w:noProof/>
          <w:sz w:val="24"/>
          <w:lang w:val="fr-BE"/>
        </w:rPr>
        <w:t xml:space="preserve">ridisciplinaires, la redéfinition du rôle des médecins de famille par rapport aux spécialistes et l’amélioration de la formation. L’Irlande intensifie ses investissements en capital, notamment en créant des centres de soins primaires dans tout le pays. La </w:t>
      </w:r>
      <w:r>
        <w:rPr>
          <w:rFonts w:ascii="Times New Roman" w:hAnsi="Times New Roman"/>
          <w:noProof/>
          <w:sz w:val="24"/>
          <w:lang w:val="fr-BE"/>
        </w:rPr>
        <w:t>Bulgarie et la France ont présenté, à l’automne 2018, des propositions de réforme fondamentale du système de santé, prévoyant notamment un renforcement de l’efficacité des soins hospitaliers et une meilleure intégration des soins. La Slovaquie poursuit ses</w:t>
      </w:r>
      <w:r>
        <w:rPr>
          <w:rFonts w:ascii="Times New Roman" w:hAnsi="Times New Roman"/>
          <w:noProof/>
          <w:sz w:val="24"/>
          <w:lang w:val="fr-BE"/>
        </w:rPr>
        <w:t xml:space="preserve"> efforts visant à renforcer le faible rôle de filtrage des médecins généralistes et à éviter les renvois inutiles auprès de spécialistes. En Lettonie, la transformation des cabinets de soins primaires en centres de santé plus grands comptant en leur sein d</w:t>
      </w:r>
      <w:r>
        <w:rPr>
          <w:rFonts w:ascii="Times New Roman" w:hAnsi="Times New Roman"/>
          <w:noProof/>
          <w:sz w:val="24"/>
          <w:lang w:val="fr-BE"/>
        </w:rPr>
        <w:t xml:space="preserve">e 3 à 6 médecins de famille, au moins deux infirmières et éventuellement des spécialistes est en cours, de même que des réformes visant à reconfigurer les soins en hôpital. En Croatie, l’intégration fonctionnelle des hôpitaux (toujours en phase pilote) et </w:t>
      </w:r>
      <w:r>
        <w:rPr>
          <w:rFonts w:ascii="Times New Roman" w:hAnsi="Times New Roman"/>
          <w:noProof/>
          <w:sz w:val="24"/>
          <w:lang w:val="fr-BE"/>
        </w:rPr>
        <w:t>l’amélioration des soins primaires devraient renforcer la qualité des services, permettre de réaliser des économies et apporter de la stabilité financière, ainsi qu’accroître le niveau de sécurité et de satisfaction des patients. En Autriche, 75 centres ba</w:t>
      </w:r>
      <w:r>
        <w:rPr>
          <w:rFonts w:ascii="Times New Roman" w:hAnsi="Times New Roman"/>
          <w:noProof/>
          <w:sz w:val="24"/>
          <w:lang w:val="fr-BE"/>
        </w:rPr>
        <w:t>sés sur des équipes multiprofessionnelles seront ouverts à l’horizon 2021.</w:t>
      </w:r>
    </w:p>
    <w:p w:rsidR="00723CC0" w:rsidRDefault="00242021">
      <w:pPr>
        <w:spacing w:line="360" w:lineRule="auto"/>
        <w:jc w:val="both"/>
        <w:rPr>
          <w:rFonts w:ascii="Times New Roman" w:hAnsi="Times New Roman" w:cs="Times New Roman"/>
          <w:bCs/>
          <w:noProof/>
          <w:sz w:val="24"/>
          <w:szCs w:val="24"/>
          <w:lang w:val="fr-BE"/>
        </w:rPr>
      </w:pPr>
      <w:r>
        <w:rPr>
          <w:rFonts w:ascii="Times New Roman" w:hAnsi="Times New Roman"/>
          <w:b/>
          <w:noProof/>
          <w:sz w:val="24"/>
          <w:lang w:val="fr-BE"/>
        </w:rPr>
        <w:t>Des mesures sont prises pour améliorer la formation et les conditions de travail des professionnels de la santé.</w:t>
      </w:r>
      <w:r>
        <w:rPr>
          <w:rFonts w:ascii="Times New Roman" w:hAnsi="Times New Roman"/>
          <w:noProof/>
          <w:sz w:val="24"/>
          <w:lang w:val="fr-BE"/>
        </w:rPr>
        <w:t xml:space="preserve"> En Italie, les compétences des médecins généralistes, des médecins s</w:t>
      </w:r>
      <w:r>
        <w:rPr>
          <w:rFonts w:ascii="Times New Roman" w:hAnsi="Times New Roman"/>
          <w:noProof/>
          <w:sz w:val="24"/>
          <w:lang w:val="fr-BE"/>
        </w:rPr>
        <w:t xml:space="preserve">pécialistes et du personnel infirmier ont été combinées pour dispenser des soins au sein de la collectivité. La Hongrie et la Suède s’attachent en outre à renforcer l’offre de compétences dans le secteur des soins de santé et à améliorer les conditions de </w:t>
      </w:r>
      <w:r>
        <w:rPr>
          <w:rFonts w:ascii="Times New Roman" w:hAnsi="Times New Roman"/>
          <w:noProof/>
          <w:sz w:val="24"/>
          <w:lang w:val="fr-BE"/>
        </w:rPr>
        <w:t>travail et les salaires. En Roumanie, les salaires bruts des médecins et du personnel infirmier ont fortement grimpé (de 70 % à 172 %) au 1</w:t>
      </w:r>
      <w:r>
        <w:rPr>
          <w:rFonts w:ascii="Times New Roman" w:hAnsi="Times New Roman"/>
          <w:noProof/>
          <w:color w:val="333333"/>
          <w:sz w:val="24"/>
          <w:vertAlign w:val="superscript"/>
          <w:lang w:val="fr-BE"/>
        </w:rPr>
        <w:t>er </w:t>
      </w:r>
      <w:r>
        <w:rPr>
          <w:rFonts w:ascii="Times New Roman" w:hAnsi="Times New Roman"/>
          <w:noProof/>
          <w:sz w:val="24"/>
          <w:lang w:val="fr-BE"/>
        </w:rPr>
        <w:t>mars 2018. En Lettonie, le gouvernement envisage d’augmenter considérablement (de pratiquement tripler) les salair</w:t>
      </w:r>
      <w:r>
        <w:rPr>
          <w:rFonts w:ascii="Times New Roman" w:hAnsi="Times New Roman"/>
          <w:noProof/>
          <w:sz w:val="24"/>
          <w:lang w:val="fr-BE"/>
        </w:rPr>
        <w:t>es des professionnels de la santé à l’horizon 2023. Des mesures de soutien destinées à attirer des médecins et du personnel infirmier en zone périurbaine ou rurale sont en cours de déploiement en Lettonie, en Pologne, au Portugal et en Roumanie.</w:t>
      </w:r>
    </w:p>
    <w:p w:rsidR="00723CC0" w:rsidRDefault="00242021">
      <w:pPr>
        <w:spacing w:line="360" w:lineRule="auto"/>
        <w:jc w:val="both"/>
        <w:rPr>
          <w:rFonts w:ascii="Times New Roman" w:hAnsi="Times New Roman" w:cs="Times New Roman"/>
          <w:bCs/>
          <w:noProof/>
          <w:sz w:val="24"/>
          <w:szCs w:val="24"/>
          <w:lang w:val="fr-BE"/>
        </w:rPr>
      </w:pPr>
      <w:r>
        <w:rPr>
          <w:rFonts w:ascii="Times New Roman" w:hAnsi="Times New Roman"/>
          <w:noProof/>
          <w:sz w:val="24"/>
          <w:lang w:val="fr-BE"/>
        </w:rPr>
        <w:t>Dans certa</w:t>
      </w:r>
      <w:r>
        <w:rPr>
          <w:rFonts w:ascii="Times New Roman" w:hAnsi="Times New Roman"/>
          <w:noProof/>
          <w:sz w:val="24"/>
          <w:lang w:val="fr-BE"/>
        </w:rPr>
        <w:t xml:space="preserve">ins États membres, </w:t>
      </w:r>
      <w:r>
        <w:rPr>
          <w:rFonts w:ascii="Times New Roman" w:hAnsi="Times New Roman"/>
          <w:b/>
          <w:noProof/>
          <w:sz w:val="24"/>
          <w:lang w:val="fr-BE"/>
        </w:rPr>
        <w:t>les mesures spécifiques pour améliorer l’accès aux soins de santé consistent notamment à réduire les paiements directs</w:t>
      </w:r>
      <w:r>
        <w:rPr>
          <w:rFonts w:ascii="Times New Roman" w:hAnsi="Times New Roman"/>
          <w:noProof/>
          <w:sz w:val="24"/>
          <w:lang w:val="fr-BE"/>
        </w:rPr>
        <w:t>, en particulier le reste à charge du patient. À titre d’exemple, Chypre a adopté en 2017 une réforme majeure visant no</w:t>
      </w:r>
      <w:r>
        <w:rPr>
          <w:rFonts w:ascii="Times New Roman" w:hAnsi="Times New Roman"/>
          <w:noProof/>
          <w:sz w:val="24"/>
          <w:lang w:val="fr-BE"/>
        </w:rPr>
        <w:t>tamment à offrir un accès universel aux soins de santé d’ici à 2020. En Estonie, le remboursement supplémentaire de frais de médicaments délivrés sur ordonnance a été revu à la hausse à partir de 2018. En Lituanie, des mesures ont été prises en 2017 pour r</w:t>
      </w:r>
      <w:r>
        <w:rPr>
          <w:rFonts w:ascii="Times New Roman" w:hAnsi="Times New Roman"/>
          <w:noProof/>
          <w:sz w:val="24"/>
          <w:lang w:val="fr-BE"/>
        </w:rPr>
        <w:t>éduire les paiements directs des patients pour l’achat de médicaments et pour accroître la transparence de la politique pharmaceutique. Ces mesures comprenaient notamment une réduction de la TVA sur les médicaments onéreux, un plafonnement de la différence</w:t>
      </w:r>
      <w:r>
        <w:rPr>
          <w:rFonts w:ascii="Times New Roman" w:hAnsi="Times New Roman"/>
          <w:noProof/>
          <w:sz w:val="24"/>
          <w:lang w:val="fr-BE"/>
        </w:rPr>
        <w:t xml:space="preserve"> entre le prix du médicament en pharmacie et le prix de référence, la promotion des génériques et l’utilisation rationnelle des médicaments. </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Certains États membres visent l’adoption d’une approche globale en matière de soins de longue durée.</w:t>
      </w:r>
      <w:r>
        <w:rPr>
          <w:rFonts w:ascii="Times New Roman" w:hAnsi="Times New Roman"/>
          <w:noProof/>
          <w:sz w:val="24"/>
          <w:lang w:val="fr-BE"/>
        </w:rPr>
        <w:t xml:space="preserve"> La Bulgarie a</w:t>
      </w:r>
      <w:r>
        <w:rPr>
          <w:rFonts w:ascii="Times New Roman" w:hAnsi="Times New Roman"/>
          <w:noProof/>
          <w:sz w:val="24"/>
          <w:lang w:val="fr-BE"/>
        </w:rPr>
        <w:t xml:space="preserve"> adopté un plan d’action pour la mise en œuvre de la stratégie nationale sur les soins de longue durée, qui suppose le renforcement du cadre institutionnel pour la fourniture et le développement de services sociaux intégrés. La Pologne a conçu une politiqu</w:t>
      </w:r>
      <w:r>
        <w:rPr>
          <w:rFonts w:ascii="Times New Roman" w:hAnsi="Times New Roman"/>
          <w:noProof/>
          <w:sz w:val="24"/>
          <w:lang w:val="fr-BE"/>
        </w:rPr>
        <w:t>e sociale à l’égard des personnes âgées dépendantes qui s’appuie sur un système de soutien aux aidants non professionnels fourni par les institutions publiques et sur un réseau de services institutionnels et des collectivités.</w:t>
      </w:r>
    </w:p>
    <w:p w:rsidR="00723CC0" w:rsidRDefault="00242021">
      <w:pPr>
        <w:spacing w:line="360" w:lineRule="auto"/>
        <w:jc w:val="both"/>
        <w:rPr>
          <w:rFonts w:ascii="Times New Roman" w:hAnsi="Times New Roman" w:cs="Times New Roman"/>
          <w:noProof/>
          <w:sz w:val="24"/>
          <w:szCs w:val="24"/>
          <w:lang w:val="fr-BE"/>
        </w:rPr>
      </w:pPr>
      <w:r>
        <w:rPr>
          <w:rFonts w:ascii="Times New Roman" w:hAnsi="Times New Roman"/>
          <w:b/>
          <w:noProof/>
          <w:sz w:val="24"/>
          <w:lang w:val="fr-BE"/>
        </w:rPr>
        <w:t>Pour augmenter le nombre d’ai</w:t>
      </w:r>
      <w:r>
        <w:rPr>
          <w:rFonts w:ascii="Times New Roman" w:hAnsi="Times New Roman"/>
          <w:b/>
          <w:noProof/>
          <w:sz w:val="24"/>
          <w:lang w:val="fr-BE"/>
        </w:rPr>
        <w:t>dants, les États membres proposent différentes pistes d’action.</w:t>
      </w:r>
      <w:r>
        <w:rPr>
          <w:rFonts w:ascii="Times New Roman" w:hAnsi="Times New Roman"/>
          <w:noProof/>
          <w:sz w:val="24"/>
          <w:lang w:val="fr-BE"/>
        </w:rPr>
        <w:t xml:space="preserve"> La République tchèque a adopté un congé spécial (payé jusqu’à trois mois) en faveur des aidants non professionnels qui s’occupent de membres de leur famille dépendants. L’Estonie prévoit la po</w:t>
      </w:r>
      <w:r>
        <w:rPr>
          <w:rFonts w:ascii="Times New Roman" w:hAnsi="Times New Roman"/>
          <w:noProof/>
          <w:sz w:val="24"/>
          <w:lang w:val="fr-BE"/>
        </w:rPr>
        <w:t>ssibilité de prendre 5 jours de congés payés supplémentaires pour les aidants salariés (parent, conjoint, partenaire enregistré ou aidant) par année civile. En Allemagne, une réforme de l’enseignement et de la formation pour le personnel infirmier est en c</w:t>
      </w:r>
      <w:r>
        <w:rPr>
          <w:rFonts w:ascii="Times New Roman" w:hAnsi="Times New Roman"/>
          <w:noProof/>
          <w:sz w:val="24"/>
          <w:lang w:val="fr-BE"/>
        </w:rPr>
        <w:t>ours afin de mettre en place un programme et une formation communs pour les infirmiers dans les domaines des soins de santé, des soins pédiatriques et des soins de longue durée, et afin de réduire la pénurie de main-d’œuvre.</w:t>
      </w:r>
    </w:p>
    <w:p w:rsidR="00723CC0" w:rsidRDefault="00242021">
      <w:pPr>
        <w:rPr>
          <w:rFonts w:ascii="Times New Roman" w:hAnsi="Times New Roman" w:cs="Times New Roman"/>
          <w:b/>
          <w:noProof/>
          <w:sz w:val="24"/>
          <w:highlight w:val="yellow"/>
          <w:lang w:val="fr-BE"/>
        </w:rPr>
      </w:pPr>
      <w:r>
        <w:rPr>
          <w:noProof/>
          <w:lang w:val="fr-BE"/>
        </w:rPr>
        <w:br w:type="page"/>
      </w:r>
    </w:p>
    <w:p w:rsidR="00723CC0" w:rsidRDefault="00242021">
      <w:pPr>
        <w:pStyle w:val="Heading1"/>
        <w:rPr>
          <w:noProof/>
          <w:lang w:val="fr-BE"/>
        </w:rPr>
      </w:pPr>
      <w:bookmarkStart w:id="105" w:name="_Toc527539794"/>
      <w:bookmarkStart w:id="106" w:name="_Toc530495161"/>
      <w:r>
        <w:rPr>
          <w:noProof/>
          <w:lang w:val="fr-BE"/>
        </w:rPr>
        <w:t>ANNEXES</w:t>
      </w:r>
      <w:bookmarkEnd w:id="105"/>
      <w:bookmarkEnd w:id="106"/>
    </w:p>
    <w:p w:rsidR="00723CC0" w:rsidRDefault="00242021">
      <w:pPr>
        <w:rPr>
          <w:rFonts w:ascii="Times New Roman" w:hAnsi="Times New Roman" w:cs="Times New Roman"/>
          <w:b/>
          <w:noProof/>
          <w:sz w:val="24"/>
          <w:szCs w:val="24"/>
          <w:lang w:val="fr-BE"/>
        </w:rPr>
      </w:pPr>
      <w:r>
        <w:rPr>
          <w:rFonts w:ascii="Times New Roman" w:hAnsi="Times New Roman"/>
          <w:b/>
          <w:noProof/>
          <w:sz w:val="24"/>
          <w:lang w:val="fr-BE"/>
        </w:rPr>
        <w:t>Annexe 1. Indicateurs</w:t>
      </w:r>
      <w:r>
        <w:rPr>
          <w:rFonts w:ascii="Times New Roman" w:hAnsi="Times New Roman"/>
          <w:b/>
          <w:noProof/>
          <w:sz w:val="24"/>
          <w:lang w:val="fr-BE"/>
        </w:rPr>
        <w:t xml:space="preserve"> clés du tableau de bord social, niveaux</w:t>
      </w:r>
    </w:p>
    <w:p w:rsidR="00723CC0" w:rsidRDefault="00242021">
      <w:pPr>
        <w:spacing w:line="360" w:lineRule="auto"/>
        <w:contextualSpacing/>
        <w:jc w:val="both"/>
        <w:rPr>
          <w:rFonts w:ascii="Times New Roman" w:hAnsi="Times New Roman" w:cs="Times New Roman"/>
          <w:b/>
          <w:noProof/>
          <w:sz w:val="24"/>
          <w:highlight w:val="yellow"/>
        </w:rPr>
      </w:pPr>
      <w:r>
        <w:rPr>
          <w:noProof/>
          <w:lang w:val="en-GB" w:eastAsia="en-GB" w:bidi="ar-SA"/>
        </w:rPr>
        <w:drawing>
          <wp:inline distT="0" distB="0" distL="0" distR="0">
            <wp:extent cx="5760720" cy="6168695"/>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2" cstate="email">
                      <a:extLst>
                        <a:ext uri="{28A0092B-C50C-407E-A947-70E740481C1C}">
                          <a14:useLocalDpi xmlns:a14="http://schemas.microsoft.com/office/drawing/2010/main" val="0"/>
                        </a:ext>
                      </a:extLst>
                    </a:blip>
                    <a:srcRect/>
                    <a:stretch>
                      <a:fillRect/>
                    </a:stretch>
                  </pic:blipFill>
                  <pic:spPr bwMode="auto">
                    <a:xfrm>
                      <a:off x="0" y="0"/>
                      <a:ext cx="5760720" cy="6168695"/>
                    </a:xfrm>
                    <a:prstGeom prst="rect">
                      <a:avLst/>
                    </a:prstGeom>
                    <a:noFill/>
                    <a:ln>
                      <a:noFill/>
                    </a:ln>
                  </pic:spPr>
                </pic:pic>
              </a:graphicData>
            </a:graphic>
          </wp:inline>
        </w:drawing>
      </w:r>
    </w:p>
    <w:p w:rsidR="00723CC0" w:rsidRDefault="00242021">
      <w:pPr>
        <w:spacing w:after="0" w:line="240" w:lineRule="auto"/>
        <w:rPr>
          <w:rFonts w:ascii="Times New Roman" w:hAnsi="Times New Roman" w:cs="Times New Roman"/>
          <w:noProof/>
          <w:sz w:val="20"/>
          <w:szCs w:val="20"/>
          <w:lang w:val="fr-BE"/>
        </w:rPr>
      </w:pPr>
      <w:r>
        <w:rPr>
          <w:rFonts w:ascii="Times New Roman" w:hAnsi="Times New Roman"/>
          <w:noProof/>
          <w:sz w:val="20"/>
          <w:lang w:val="fr-BE"/>
        </w:rPr>
        <w:t>Source: Eurostat.</w:t>
      </w:r>
    </w:p>
    <w:p w:rsidR="00723CC0" w:rsidRDefault="00242021">
      <w:pPr>
        <w:spacing w:after="0" w:line="240" w:lineRule="auto"/>
        <w:rPr>
          <w:rFonts w:ascii="Times New Roman" w:hAnsi="Times New Roman" w:cs="Times New Roman"/>
          <w:noProof/>
          <w:sz w:val="20"/>
          <w:szCs w:val="20"/>
          <w:lang w:val="fr-BE"/>
        </w:rPr>
      </w:pPr>
      <w:r>
        <w:rPr>
          <w:rFonts w:ascii="Times New Roman" w:hAnsi="Times New Roman"/>
          <w:noProof/>
          <w:sz w:val="20"/>
          <w:lang w:val="fr-BE"/>
        </w:rPr>
        <w:t>Remarque: UEnp et ZEnp renvoient aux moyennes non pondérées pour l’UE et la zone euro.</w:t>
      </w:r>
    </w:p>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Indications – b: rupture des séries chronologiques; e: estimation; p: provisoire; u: fiabilité incertaine (p</w:t>
      </w:r>
      <w:r>
        <w:rPr>
          <w:rFonts w:ascii="Times New Roman" w:hAnsi="Times New Roman"/>
          <w:noProof/>
          <w:sz w:val="20"/>
          <w:lang w:val="fr-BE"/>
        </w:rPr>
        <w:t>etit nombre d’observations).</w:t>
      </w:r>
    </w:p>
    <w:p w:rsidR="00723CC0" w:rsidRDefault="00242021">
      <w:pPr>
        <w:rPr>
          <w:noProof/>
          <w:lang w:val="fr-BE"/>
        </w:rPr>
      </w:pPr>
      <w:r>
        <w:rPr>
          <w:noProof/>
          <w:lang w:val="fr-BE"/>
        </w:rPr>
        <w:br w:type="page"/>
      </w:r>
    </w:p>
    <w:p w:rsidR="00723CC0" w:rsidRDefault="00242021">
      <w:pPr>
        <w:rPr>
          <w:rFonts w:ascii="Times New Roman" w:hAnsi="Times New Roman" w:cs="Times New Roman"/>
          <w:b/>
          <w:noProof/>
          <w:sz w:val="24"/>
          <w:szCs w:val="24"/>
          <w:lang w:val="fr-BE"/>
        </w:rPr>
      </w:pPr>
      <w:r>
        <w:rPr>
          <w:rFonts w:ascii="Times New Roman" w:hAnsi="Times New Roman"/>
          <w:b/>
          <w:noProof/>
          <w:sz w:val="24"/>
          <w:lang w:val="fr-BE"/>
        </w:rPr>
        <w:t>Annexe 1 (suite). Indicateurs clés du tableau de bord social, niveaux</w:t>
      </w:r>
    </w:p>
    <w:p w:rsidR="00723CC0" w:rsidRDefault="00242021">
      <w:pPr>
        <w:jc w:val="both"/>
        <w:rPr>
          <w:rFonts w:ascii="Times New Roman" w:eastAsia="Calibri" w:hAnsi="Times New Roman" w:cs="Times New Roman"/>
          <w:b/>
          <w:noProof/>
          <w:sz w:val="24"/>
          <w:szCs w:val="24"/>
        </w:rPr>
      </w:pPr>
      <w:r>
        <w:rPr>
          <w:noProof/>
          <w:lang w:val="en-GB" w:eastAsia="en-GB" w:bidi="ar-SA"/>
        </w:rPr>
        <w:drawing>
          <wp:inline distT="0" distB="0" distL="0" distR="0">
            <wp:extent cx="5760720" cy="611780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5760720" cy="6117802"/>
                    </a:xfrm>
                    <a:prstGeom prst="rect">
                      <a:avLst/>
                    </a:prstGeom>
                    <a:noFill/>
                    <a:ln>
                      <a:noFill/>
                    </a:ln>
                  </pic:spPr>
                </pic:pic>
              </a:graphicData>
            </a:graphic>
          </wp:inline>
        </w:drawing>
      </w:r>
    </w:p>
    <w:p w:rsidR="00723CC0" w:rsidRDefault="00242021">
      <w:pPr>
        <w:spacing w:after="0" w:line="240" w:lineRule="auto"/>
        <w:rPr>
          <w:rFonts w:ascii="Times New Roman" w:hAnsi="Times New Roman" w:cs="Times New Roman"/>
          <w:noProof/>
          <w:sz w:val="20"/>
          <w:szCs w:val="20"/>
          <w:lang w:val="fr-BE"/>
        </w:rPr>
      </w:pPr>
      <w:r>
        <w:rPr>
          <w:rFonts w:ascii="Times New Roman" w:hAnsi="Times New Roman"/>
          <w:noProof/>
          <w:sz w:val="20"/>
          <w:lang w:val="fr-BE"/>
        </w:rPr>
        <w:t>Source: Eurostat, OCDE.</w:t>
      </w:r>
    </w:p>
    <w:p w:rsidR="00723CC0" w:rsidRDefault="00242021">
      <w:pPr>
        <w:pStyle w:val="FootnoteText"/>
        <w:jc w:val="both"/>
        <w:rPr>
          <w:rStyle w:val="FootnoteReference"/>
          <w:rFonts w:ascii="Times New Roman" w:hAnsi="Times New Roman" w:cs="Times New Roman"/>
          <w:noProof/>
          <w:vertAlign w:val="baseline"/>
          <w:lang w:val="fr-BE"/>
        </w:rPr>
      </w:pPr>
      <w:r>
        <w:rPr>
          <w:rFonts w:ascii="Times New Roman" w:hAnsi="Times New Roman"/>
          <w:noProof/>
          <w:lang w:val="fr-BE"/>
        </w:rPr>
        <w:t>Remarque: UEnp et ZEnp renvoient aux moyennes non pondérées pour l’UE et la zone euro. Le RDBM réel par habitant est mesuré à l’a</w:t>
      </w:r>
      <w:r>
        <w:rPr>
          <w:rFonts w:ascii="Times New Roman" w:hAnsi="Times New Roman"/>
          <w:noProof/>
          <w:lang w:val="fr-BE"/>
        </w:rPr>
        <w:t xml:space="preserve">ide du «revenu brut» (c’est-à-dire sans les transferts sociaux en nature) et sans correction compte tenu des standards de pouvoir d’achat. La rémunération nette d’un travailleur à plein temps célibataire percevant le salaire moyen </w:t>
      </w:r>
      <w:r>
        <w:rPr>
          <w:rStyle w:val="FootnoteReference"/>
          <w:rFonts w:ascii="Times New Roman" w:hAnsi="Times New Roman"/>
          <w:noProof/>
          <w:vertAlign w:val="baseline"/>
          <w:lang w:val="fr-BE"/>
        </w:rPr>
        <w:t>doit être lue et interpré</w:t>
      </w:r>
      <w:r>
        <w:rPr>
          <w:rStyle w:val="FootnoteReference"/>
          <w:rFonts w:ascii="Times New Roman" w:hAnsi="Times New Roman"/>
          <w:noProof/>
          <w:vertAlign w:val="baseline"/>
          <w:lang w:val="fr-BE"/>
        </w:rPr>
        <w:t>tée en combinaison avec d’autres indicateurs, tels que le taux de pauvreté des travailleurs, le rapport entre les 5</w:t>
      </w:r>
      <w:r>
        <w:rPr>
          <w:rStyle w:val="FootnoteReference"/>
          <w:rFonts w:ascii="Times New Roman" w:hAnsi="Times New Roman"/>
          <w:noProof/>
          <w:lang w:val="fr-BE"/>
        </w:rPr>
        <w:t>e</w:t>
      </w:r>
      <w:r>
        <w:rPr>
          <w:rStyle w:val="FootnoteReference"/>
          <w:rFonts w:ascii="Times New Roman" w:hAnsi="Times New Roman"/>
          <w:noProof/>
          <w:vertAlign w:val="baseline"/>
          <w:lang w:val="fr-BE"/>
        </w:rPr>
        <w:t xml:space="preserve"> et 1</w:t>
      </w:r>
      <w:r>
        <w:rPr>
          <w:rStyle w:val="FootnoteReference"/>
          <w:rFonts w:ascii="Times New Roman" w:hAnsi="Times New Roman"/>
          <w:noProof/>
          <w:lang w:val="fr-BE"/>
        </w:rPr>
        <w:t>er</w:t>
      </w:r>
      <w:r>
        <w:rPr>
          <w:rStyle w:val="FootnoteReference"/>
          <w:rFonts w:ascii="Times New Roman" w:hAnsi="Times New Roman"/>
          <w:noProof/>
          <w:vertAlign w:val="baseline"/>
          <w:lang w:val="fr-BE"/>
        </w:rPr>
        <w:t xml:space="preserve"> déciles de la distribution des salaires (D5/D1) et d’autres indicateurs pertinents des mécanismes EPM/SPPM et JAF.</w:t>
      </w:r>
      <w:r>
        <w:rPr>
          <w:rFonts w:ascii="Times New Roman" w:hAnsi="Times New Roman"/>
          <w:noProof/>
          <w:lang w:val="fr-BE"/>
        </w:rPr>
        <w:t xml:space="preserve"> Pour cet indicateur, les moyennes sur trois ans sont employées pour lisser les fluctuations à court terme.</w:t>
      </w:r>
    </w:p>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Indications – b: rupture des séries chronologiques; e: estimation; p: provisoire; u: fiabilité incertaine (petit nombre d’observations).</w:t>
      </w:r>
    </w:p>
    <w:p w:rsidR="00723CC0" w:rsidRDefault="00242021">
      <w:pPr>
        <w:jc w:val="both"/>
        <w:rPr>
          <w:rFonts w:ascii="Times New Roman" w:eastAsia="Calibri" w:hAnsi="Times New Roman" w:cs="Times New Roman"/>
          <w:b/>
          <w:noProof/>
          <w:sz w:val="24"/>
          <w:szCs w:val="24"/>
          <w:lang w:val="fr-BE"/>
        </w:rPr>
      </w:pPr>
      <w:r>
        <w:rPr>
          <w:noProof/>
          <w:lang w:val="fr-BE"/>
        </w:rPr>
        <w:br w:type="page"/>
      </w:r>
    </w:p>
    <w:p w:rsidR="00723CC0" w:rsidRDefault="00242021">
      <w:pPr>
        <w:rPr>
          <w:rFonts w:ascii="Times New Roman" w:hAnsi="Times New Roman" w:cs="Times New Roman"/>
          <w:b/>
          <w:noProof/>
          <w:sz w:val="24"/>
          <w:szCs w:val="24"/>
          <w:lang w:val="fr-BE"/>
        </w:rPr>
      </w:pPr>
      <w:r>
        <w:rPr>
          <w:rFonts w:ascii="Times New Roman" w:hAnsi="Times New Roman"/>
          <w:b/>
          <w:noProof/>
          <w:sz w:val="24"/>
          <w:lang w:val="fr-BE"/>
        </w:rPr>
        <w:t xml:space="preserve">Annexe 1 </w:t>
      </w:r>
      <w:r>
        <w:rPr>
          <w:rFonts w:ascii="Times New Roman" w:hAnsi="Times New Roman"/>
          <w:b/>
          <w:noProof/>
          <w:sz w:val="24"/>
          <w:lang w:val="fr-BE"/>
        </w:rPr>
        <w:t>(suite). Indicateurs clés du tableau de bord social, niveaux</w:t>
      </w:r>
    </w:p>
    <w:p w:rsidR="00723CC0" w:rsidRDefault="00242021">
      <w:pPr>
        <w:rPr>
          <w:rFonts w:ascii="Times New Roman" w:eastAsia="Calibri" w:hAnsi="Times New Roman" w:cs="Times New Roman"/>
          <w:b/>
          <w:noProof/>
          <w:sz w:val="24"/>
          <w:szCs w:val="24"/>
        </w:rPr>
      </w:pPr>
      <w:r>
        <w:rPr>
          <w:noProof/>
          <w:lang w:val="en-GB" w:eastAsia="en-GB" w:bidi="ar-SA"/>
        </w:rPr>
        <w:drawing>
          <wp:inline distT="0" distB="0" distL="0" distR="0">
            <wp:extent cx="5760720" cy="759030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5760720" cy="7590303"/>
                    </a:xfrm>
                    <a:prstGeom prst="rect">
                      <a:avLst/>
                    </a:prstGeom>
                    <a:noFill/>
                    <a:ln>
                      <a:noFill/>
                    </a:ln>
                  </pic:spPr>
                </pic:pic>
              </a:graphicData>
            </a:graphic>
          </wp:inline>
        </w:drawing>
      </w:r>
    </w:p>
    <w:p w:rsidR="00723CC0" w:rsidRDefault="00242021">
      <w:pPr>
        <w:spacing w:after="0" w:line="240" w:lineRule="auto"/>
        <w:rPr>
          <w:rFonts w:ascii="Times New Roman" w:hAnsi="Times New Roman" w:cs="Times New Roman"/>
          <w:noProof/>
          <w:sz w:val="20"/>
          <w:szCs w:val="20"/>
          <w:lang w:val="fr-BE"/>
        </w:rPr>
      </w:pPr>
      <w:r>
        <w:rPr>
          <w:rFonts w:ascii="Times New Roman" w:hAnsi="Times New Roman"/>
          <w:noProof/>
          <w:sz w:val="20"/>
          <w:lang w:val="fr-BE"/>
        </w:rPr>
        <w:t>Source: Eurostat.</w:t>
      </w:r>
    </w:p>
    <w:p w:rsidR="00723CC0" w:rsidRDefault="00242021">
      <w:pPr>
        <w:spacing w:after="0" w:line="240" w:lineRule="auto"/>
        <w:rPr>
          <w:rFonts w:ascii="Times New Roman" w:hAnsi="Times New Roman" w:cs="Times New Roman"/>
          <w:noProof/>
          <w:sz w:val="20"/>
          <w:szCs w:val="20"/>
          <w:lang w:val="fr-BE"/>
        </w:rPr>
      </w:pPr>
      <w:r>
        <w:rPr>
          <w:rFonts w:ascii="Times New Roman" w:hAnsi="Times New Roman"/>
          <w:noProof/>
          <w:sz w:val="20"/>
          <w:lang w:val="fr-BE"/>
        </w:rPr>
        <w:t>Remarque: UEnp et ZEnp renvoient aux moyennes non pondérées pour l’UE et la zone euro.</w:t>
      </w:r>
    </w:p>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Indications – b: rupture des séries chronologiques; e: estimation; p: provisoire; u: fia</w:t>
      </w:r>
      <w:r>
        <w:rPr>
          <w:rFonts w:ascii="Times New Roman" w:hAnsi="Times New Roman"/>
          <w:noProof/>
          <w:sz w:val="20"/>
          <w:lang w:val="fr-BE"/>
        </w:rPr>
        <w:t>bilité incertaine (petit nombre d’observations).</w:t>
      </w:r>
    </w:p>
    <w:p w:rsidR="00723CC0" w:rsidRDefault="00723CC0">
      <w:pPr>
        <w:rPr>
          <w:rFonts w:ascii="Times New Roman" w:eastAsia="Calibri" w:hAnsi="Times New Roman" w:cs="Times New Roman"/>
          <w:b/>
          <w:noProof/>
          <w:sz w:val="24"/>
          <w:szCs w:val="24"/>
          <w:lang w:val="fr-BE"/>
        </w:rPr>
      </w:pPr>
    </w:p>
    <w:p w:rsidR="00723CC0" w:rsidRDefault="00242021">
      <w:pPr>
        <w:rPr>
          <w:rFonts w:ascii="Times New Roman" w:hAnsi="Times New Roman" w:cs="Times New Roman"/>
          <w:b/>
          <w:noProof/>
          <w:sz w:val="24"/>
          <w:szCs w:val="24"/>
          <w:lang w:val="fr-BE"/>
        </w:rPr>
      </w:pPr>
      <w:r>
        <w:rPr>
          <w:rFonts w:ascii="Times New Roman" w:hAnsi="Times New Roman"/>
          <w:b/>
          <w:noProof/>
          <w:sz w:val="24"/>
          <w:lang w:val="fr-BE"/>
        </w:rPr>
        <w:t>Annexe 2. Indicateurs clés du tableau de bord social, variations et écart par rapport à l’UE</w:t>
      </w:r>
    </w:p>
    <w:p w:rsidR="00723CC0" w:rsidRDefault="00242021">
      <w:pPr>
        <w:jc w:val="both"/>
        <w:rPr>
          <w:rFonts w:ascii="Times New Roman" w:eastAsia="Calibri" w:hAnsi="Times New Roman" w:cs="Times New Roman"/>
          <w:b/>
          <w:noProof/>
          <w:sz w:val="24"/>
          <w:szCs w:val="24"/>
        </w:rPr>
      </w:pPr>
      <w:r>
        <w:rPr>
          <w:noProof/>
          <w:lang w:val="en-GB" w:eastAsia="en-GB" w:bidi="ar-SA"/>
        </w:rPr>
        <w:drawing>
          <wp:inline distT="0" distB="0" distL="0" distR="0">
            <wp:extent cx="6027089" cy="543074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6031251" cy="5434491"/>
                    </a:xfrm>
                    <a:prstGeom prst="rect">
                      <a:avLst/>
                    </a:prstGeom>
                    <a:noFill/>
                    <a:ln>
                      <a:noFill/>
                    </a:ln>
                  </pic:spPr>
                </pic:pic>
              </a:graphicData>
            </a:graphic>
          </wp:inline>
        </w:drawing>
      </w:r>
    </w:p>
    <w:p w:rsidR="00723CC0" w:rsidRDefault="00242021">
      <w:pPr>
        <w:spacing w:after="0" w:line="240" w:lineRule="auto"/>
        <w:rPr>
          <w:rFonts w:ascii="Times New Roman" w:hAnsi="Times New Roman" w:cs="Times New Roman"/>
          <w:noProof/>
          <w:sz w:val="20"/>
          <w:szCs w:val="20"/>
          <w:lang w:val="fr-BE"/>
        </w:rPr>
      </w:pPr>
      <w:r>
        <w:rPr>
          <w:rFonts w:ascii="Times New Roman" w:hAnsi="Times New Roman"/>
          <w:noProof/>
          <w:sz w:val="20"/>
          <w:lang w:val="fr-BE"/>
        </w:rPr>
        <w:t>Source: Eurostat.</w:t>
      </w:r>
    </w:p>
    <w:p w:rsidR="00723CC0" w:rsidRDefault="00242021">
      <w:pPr>
        <w:spacing w:after="0" w:line="240" w:lineRule="auto"/>
        <w:jc w:val="both"/>
        <w:rPr>
          <w:rFonts w:ascii="Times New Roman" w:hAnsi="Times New Roman" w:cs="Times New Roman"/>
          <w:noProof/>
          <w:sz w:val="20"/>
          <w:szCs w:val="20"/>
          <w:lang w:val="fr-BE"/>
        </w:rPr>
      </w:pPr>
      <w:r>
        <w:rPr>
          <w:rFonts w:ascii="Times New Roman" w:hAnsi="Times New Roman"/>
          <w:noProof/>
          <w:sz w:val="20"/>
          <w:lang w:val="fr-BE"/>
        </w:rPr>
        <w:t>Remarque: UEnp et ZEnp renvoient aux moyennes non pondérées pour l’UE et la zone euro. Au</w:t>
      </w:r>
      <w:r>
        <w:rPr>
          <w:rFonts w:ascii="Times New Roman" w:hAnsi="Times New Roman"/>
          <w:noProof/>
          <w:color w:val="000000"/>
          <w:sz w:val="20"/>
          <w:lang w:val="fr-BE"/>
        </w:rPr>
        <w:t xml:space="preserve"> 26 </w:t>
      </w:r>
      <w:r>
        <w:rPr>
          <w:rFonts w:ascii="Times New Roman" w:hAnsi="Times New Roman"/>
          <w:noProof/>
          <w:color w:val="000000"/>
          <w:sz w:val="20"/>
          <w:lang w:val="fr-BE"/>
        </w:rPr>
        <w:t>octobre 2018, les estimations de la signification statistique pour les variations des indicateurs fondés sur l’EFT et les statistiques EU-SILC n’étaient pas disponibles.</w:t>
      </w:r>
      <w:r>
        <w:rPr>
          <w:noProof/>
          <w:lang w:val="fr-BE"/>
        </w:rPr>
        <w:tab/>
      </w:r>
    </w:p>
    <w:p w:rsidR="00723CC0" w:rsidRDefault="00242021">
      <w:pPr>
        <w:spacing w:after="0" w:line="240" w:lineRule="auto"/>
        <w:rPr>
          <w:rFonts w:ascii="Times New Roman" w:hAnsi="Times New Roman" w:cs="Times New Roman"/>
          <w:noProof/>
          <w:sz w:val="20"/>
          <w:szCs w:val="20"/>
          <w:lang w:val="fr-BE"/>
        </w:rPr>
      </w:pPr>
      <w:r>
        <w:rPr>
          <w:rFonts w:ascii="Times New Roman" w:hAnsi="Times New Roman"/>
          <w:noProof/>
          <w:sz w:val="20"/>
          <w:lang w:val="fr-BE"/>
        </w:rPr>
        <w:t xml:space="preserve">Indications – b: rupture des séries chronologiques; e: estimation; p: provisoire; u: </w:t>
      </w:r>
      <w:r>
        <w:rPr>
          <w:rFonts w:ascii="Times New Roman" w:hAnsi="Times New Roman"/>
          <w:noProof/>
          <w:sz w:val="20"/>
          <w:lang w:val="fr-BE"/>
        </w:rPr>
        <w:t>fiabilité incertaine (petit nombre d’observations).</w:t>
      </w:r>
    </w:p>
    <w:p w:rsidR="00723CC0" w:rsidRDefault="00242021">
      <w:pPr>
        <w:rPr>
          <w:rFonts w:ascii="Times New Roman" w:hAnsi="Times New Roman" w:cs="Times New Roman"/>
          <w:b/>
          <w:noProof/>
          <w:sz w:val="24"/>
          <w:szCs w:val="24"/>
          <w:lang w:val="fr-BE"/>
        </w:rPr>
      </w:pPr>
      <w:r>
        <w:rPr>
          <w:noProof/>
          <w:lang w:val="fr-BE"/>
        </w:rPr>
        <w:br w:type="page"/>
      </w:r>
      <w:r>
        <w:rPr>
          <w:rFonts w:ascii="Times New Roman" w:hAnsi="Times New Roman"/>
          <w:b/>
          <w:noProof/>
          <w:sz w:val="24"/>
          <w:lang w:val="fr-BE"/>
        </w:rPr>
        <w:t>Annexe 2 (suite). Indicateurs clés du tableau de bord social, variations et écart par rapport à l’UE</w:t>
      </w:r>
    </w:p>
    <w:p w:rsidR="00723CC0" w:rsidRDefault="00242021">
      <w:pPr>
        <w:rPr>
          <w:rFonts w:ascii="Times New Roman" w:eastAsia="Calibri" w:hAnsi="Times New Roman" w:cs="Times New Roman"/>
          <w:b/>
          <w:noProof/>
          <w:sz w:val="24"/>
          <w:szCs w:val="24"/>
        </w:rPr>
      </w:pPr>
      <w:r>
        <w:rPr>
          <w:noProof/>
          <w:lang w:val="en-GB" w:eastAsia="en-GB" w:bidi="ar-SA"/>
        </w:rPr>
        <w:drawing>
          <wp:inline distT="0" distB="0" distL="0" distR="0">
            <wp:extent cx="6066845" cy="575674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cstate="email">
                      <a:extLst>
                        <a:ext uri="{28A0092B-C50C-407E-A947-70E740481C1C}">
                          <a14:useLocalDpi xmlns:a14="http://schemas.microsoft.com/office/drawing/2010/main" val="0"/>
                        </a:ext>
                      </a:extLst>
                    </a:blip>
                    <a:srcRect/>
                    <a:stretch>
                      <a:fillRect/>
                    </a:stretch>
                  </pic:blipFill>
                  <pic:spPr bwMode="auto">
                    <a:xfrm>
                      <a:off x="0" y="0"/>
                      <a:ext cx="6078992" cy="5768270"/>
                    </a:xfrm>
                    <a:prstGeom prst="rect">
                      <a:avLst/>
                    </a:prstGeom>
                    <a:noFill/>
                    <a:ln>
                      <a:noFill/>
                    </a:ln>
                  </pic:spPr>
                </pic:pic>
              </a:graphicData>
            </a:graphic>
          </wp:inline>
        </w:drawing>
      </w:r>
    </w:p>
    <w:p w:rsidR="00723CC0" w:rsidRDefault="00242021">
      <w:pPr>
        <w:spacing w:after="0" w:line="240" w:lineRule="auto"/>
        <w:rPr>
          <w:rFonts w:ascii="Times New Roman" w:hAnsi="Times New Roman" w:cs="Times New Roman"/>
          <w:noProof/>
          <w:sz w:val="20"/>
          <w:szCs w:val="20"/>
          <w:lang w:val="fr-BE"/>
        </w:rPr>
      </w:pPr>
      <w:r>
        <w:rPr>
          <w:rFonts w:ascii="Times New Roman" w:hAnsi="Times New Roman"/>
          <w:noProof/>
          <w:sz w:val="20"/>
          <w:lang w:val="fr-BE"/>
        </w:rPr>
        <w:t>Source: Eurostat, OCDE.</w:t>
      </w:r>
    </w:p>
    <w:p w:rsidR="00723CC0" w:rsidRDefault="00242021">
      <w:pPr>
        <w:pStyle w:val="FootnoteText"/>
        <w:jc w:val="both"/>
        <w:rPr>
          <w:rFonts w:ascii="Times New Roman" w:hAnsi="Times New Roman" w:cs="Times New Roman"/>
          <w:noProof/>
          <w:lang w:val="fr-BE"/>
        </w:rPr>
      </w:pPr>
      <w:r>
        <w:rPr>
          <w:rFonts w:ascii="Times New Roman" w:hAnsi="Times New Roman"/>
          <w:noProof/>
          <w:lang w:val="fr-BE"/>
        </w:rPr>
        <w:t xml:space="preserve">Remarque: UEnp et ZEnp renvoient aux moyennes non pondérées pour l’UE et la </w:t>
      </w:r>
      <w:r>
        <w:rPr>
          <w:rFonts w:ascii="Times New Roman" w:hAnsi="Times New Roman"/>
          <w:noProof/>
          <w:lang w:val="fr-BE"/>
        </w:rPr>
        <w:t>zone euro. Le RDBM réel par habitant est mesuré à l’aide du «revenu brut» (c’est-à-dire sans les transferts sociaux en nature) et sans correction compte tenu des standards de pouvoir d’achat. La rémunération nette d’un travailleur à plein temps célibataire</w:t>
      </w:r>
      <w:r>
        <w:rPr>
          <w:rFonts w:ascii="Times New Roman" w:hAnsi="Times New Roman"/>
          <w:noProof/>
          <w:lang w:val="fr-BE"/>
        </w:rPr>
        <w:t xml:space="preserve"> percevant le salaire moyen </w:t>
      </w:r>
      <w:r>
        <w:rPr>
          <w:rStyle w:val="FootnoteReference"/>
          <w:rFonts w:ascii="Times New Roman" w:hAnsi="Times New Roman"/>
          <w:noProof/>
          <w:vertAlign w:val="baseline"/>
          <w:lang w:val="fr-BE"/>
        </w:rPr>
        <w:t>doit être lue et interprétée en combinaison avec d’autres indicateurs, tels que le taux de risque de pauvreté des travailleurs, le rapport entre les 5</w:t>
      </w:r>
      <w:r>
        <w:rPr>
          <w:rStyle w:val="FootnoteReference"/>
          <w:rFonts w:ascii="Times New Roman" w:hAnsi="Times New Roman"/>
          <w:noProof/>
          <w:lang w:val="fr-BE"/>
        </w:rPr>
        <w:t>e</w:t>
      </w:r>
      <w:r>
        <w:rPr>
          <w:rStyle w:val="FootnoteReference"/>
          <w:rFonts w:ascii="Times New Roman" w:hAnsi="Times New Roman"/>
          <w:noProof/>
          <w:vertAlign w:val="baseline"/>
          <w:lang w:val="fr-BE"/>
        </w:rPr>
        <w:t xml:space="preserve"> et 1</w:t>
      </w:r>
      <w:r>
        <w:rPr>
          <w:rStyle w:val="FootnoteReference"/>
          <w:rFonts w:ascii="Times New Roman" w:hAnsi="Times New Roman"/>
          <w:noProof/>
          <w:lang w:val="fr-BE"/>
        </w:rPr>
        <w:t>er</w:t>
      </w:r>
      <w:r>
        <w:rPr>
          <w:rStyle w:val="FootnoteReference"/>
          <w:rFonts w:ascii="Times New Roman" w:hAnsi="Times New Roman"/>
          <w:noProof/>
          <w:vertAlign w:val="baseline"/>
          <w:lang w:val="fr-BE"/>
        </w:rPr>
        <w:t xml:space="preserve"> déciles de la distribution des salaires (D5/D1) et d’autres indicateu</w:t>
      </w:r>
      <w:r>
        <w:rPr>
          <w:rStyle w:val="FootnoteReference"/>
          <w:rFonts w:ascii="Times New Roman" w:hAnsi="Times New Roman"/>
          <w:noProof/>
          <w:vertAlign w:val="baseline"/>
          <w:lang w:val="fr-BE"/>
        </w:rPr>
        <w:t>rs pertinents des mécanismes EPM/SPPM et JAF.</w:t>
      </w:r>
      <w:r>
        <w:rPr>
          <w:rFonts w:ascii="Times New Roman" w:hAnsi="Times New Roman"/>
          <w:noProof/>
          <w:lang w:val="fr-BE"/>
        </w:rPr>
        <w:t xml:space="preserve"> Pour cet indicateur, l’écart par rapport à la moyenne de l’UE est exprimé en standards de pouvoir d’achat (SPA) tandis que les variations sont exprimées en termes réels en monnaie nationale; les moyennes sur tr</w:t>
      </w:r>
      <w:r>
        <w:rPr>
          <w:rFonts w:ascii="Times New Roman" w:hAnsi="Times New Roman"/>
          <w:noProof/>
          <w:lang w:val="fr-BE"/>
        </w:rPr>
        <w:t>ois ans sont employées pour lisser les fluctuations à court terme, tant pour les niveaux que pour les variations. Au 26 octobre 2018, les estimations de la signification statistique pour les variations des indicateurs fondés sur l’EFT et les statistiques E</w:t>
      </w:r>
      <w:r>
        <w:rPr>
          <w:rFonts w:ascii="Times New Roman" w:hAnsi="Times New Roman"/>
          <w:noProof/>
          <w:lang w:val="fr-BE"/>
        </w:rPr>
        <w:t>U-SILC n’étaient pas disponibles.</w:t>
      </w:r>
      <w:r>
        <w:rPr>
          <w:noProof/>
          <w:lang w:val="fr-BE"/>
        </w:rPr>
        <w:tab/>
      </w:r>
    </w:p>
    <w:p w:rsidR="00723CC0" w:rsidRDefault="00242021">
      <w:pPr>
        <w:pStyle w:val="FootnoteText"/>
        <w:jc w:val="both"/>
        <w:rPr>
          <w:rFonts w:ascii="Times New Roman" w:hAnsi="Times New Roman" w:cs="Times New Roman"/>
          <w:noProof/>
          <w:lang w:val="fr-BE"/>
        </w:rPr>
      </w:pPr>
      <w:r>
        <w:rPr>
          <w:rFonts w:ascii="Times New Roman" w:hAnsi="Times New Roman"/>
          <w:noProof/>
          <w:lang w:val="fr-BE"/>
        </w:rPr>
        <w:t>Indications – b: rupture des séries chronologiques; e: estimation; p: provisoire; u: fiabilité incertaine (petit nombre d’observations).</w:t>
      </w:r>
    </w:p>
    <w:p w:rsidR="00723CC0" w:rsidRDefault="00242021">
      <w:pPr>
        <w:rPr>
          <w:rFonts w:ascii="Times New Roman" w:hAnsi="Times New Roman" w:cs="Times New Roman"/>
          <w:b/>
          <w:noProof/>
          <w:sz w:val="24"/>
          <w:szCs w:val="24"/>
          <w:lang w:val="fr-BE"/>
        </w:rPr>
      </w:pPr>
      <w:r>
        <w:rPr>
          <w:noProof/>
          <w:lang w:val="fr-BE"/>
        </w:rPr>
        <w:br w:type="page"/>
      </w:r>
      <w:r>
        <w:rPr>
          <w:rFonts w:ascii="Times New Roman" w:hAnsi="Times New Roman"/>
          <w:b/>
          <w:noProof/>
          <w:sz w:val="24"/>
          <w:lang w:val="fr-BE"/>
        </w:rPr>
        <w:t>Annexe 2 (suite). Indicateurs clés du tableau de bord social, variations et écart p</w:t>
      </w:r>
      <w:r>
        <w:rPr>
          <w:rFonts w:ascii="Times New Roman" w:hAnsi="Times New Roman"/>
          <w:b/>
          <w:noProof/>
          <w:sz w:val="24"/>
          <w:lang w:val="fr-BE"/>
        </w:rPr>
        <w:t>ar rapport à l’UE</w:t>
      </w:r>
    </w:p>
    <w:p w:rsidR="00723CC0" w:rsidRDefault="00242021">
      <w:pPr>
        <w:rPr>
          <w:rFonts w:ascii="Times New Roman" w:eastAsia="Calibri" w:hAnsi="Times New Roman" w:cs="Times New Roman"/>
          <w:b/>
          <w:noProof/>
          <w:sz w:val="24"/>
          <w:szCs w:val="24"/>
        </w:rPr>
      </w:pPr>
      <w:r>
        <w:rPr>
          <w:noProof/>
          <w:lang w:val="en-GB" w:eastAsia="en-GB" w:bidi="ar-SA"/>
        </w:rPr>
        <w:drawing>
          <wp:inline distT="0" distB="0" distL="0" distR="0">
            <wp:extent cx="5756745" cy="6432605"/>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0" y="0"/>
                      <a:ext cx="5760720" cy="6437047"/>
                    </a:xfrm>
                    <a:prstGeom prst="rect">
                      <a:avLst/>
                    </a:prstGeom>
                    <a:noFill/>
                    <a:ln>
                      <a:noFill/>
                    </a:ln>
                  </pic:spPr>
                </pic:pic>
              </a:graphicData>
            </a:graphic>
          </wp:inline>
        </w:drawing>
      </w:r>
    </w:p>
    <w:p w:rsidR="00723CC0" w:rsidRDefault="00242021">
      <w:pPr>
        <w:spacing w:after="0" w:line="240" w:lineRule="auto"/>
        <w:rPr>
          <w:rFonts w:ascii="Times New Roman" w:hAnsi="Times New Roman" w:cs="Times New Roman"/>
          <w:noProof/>
          <w:sz w:val="20"/>
          <w:szCs w:val="20"/>
          <w:lang w:val="fr-BE"/>
        </w:rPr>
      </w:pPr>
      <w:r>
        <w:rPr>
          <w:rFonts w:ascii="Times New Roman" w:hAnsi="Times New Roman"/>
          <w:noProof/>
          <w:sz w:val="20"/>
          <w:lang w:val="fr-BE"/>
        </w:rPr>
        <w:t>Source: Eurostat.</w:t>
      </w:r>
    </w:p>
    <w:p w:rsidR="00723CC0" w:rsidRDefault="00242021">
      <w:pPr>
        <w:spacing w:after="0" w:line="240" w:lineRule="auto"/>
        <w:jc w:val="both"/>
        <w:rPr>
          <w:rFonts w:ascii="Times New Roman" w:hAnsi="Times New Roman" w:cs="Times New Roman"/>
          <w:noProof/>
          <w:sz w:val="20"/>
          <w:szCs w:val="20"/>
          <w:lang w:val="fr-BE"/>
        </w:rPr>
      </w:pPr>
      <w:r>
        <w:rPr>
          <w:rFonts w:ascii="Times New Roman" w:hAnsi="Times New Roman"/>
          <w:noProof/>
          <w:sz w:val="20"/>
          <w:lang w:val="fr-BE"/>
        </w:rPr>
        <w:t xml:space="preserve">Remarque: UEnp et ZEnp renvoient aux moyennes non pondérées pour l’UE et la zone euro. </w:t>
      </w:r>
    </w:p>
    <w:p w:rsidR="00723CC0" w:rsidRDefault="00242021">
      <w:pPr>
        <w:spacing w:after="0" w:line="240" w:lineRule="auto"/>
        <w:jc w:val="both"/>
        <w:rPr>
          <w:rFonts w:ascii="Times New Roman" w:hAnsi="Times New Roman" w:cs="Times New Roman"/>
          <w:noProof/>
          <w:sz w:val="20"/>
          <w:szCs w:val="20"/>
          <w:lang w:val="fr-BE"/>
        </w:rPr>
      </w:pPr>
      <w:r>
        <w:rPr>
          <w:rFonts w:ascii="Times New Roman" w:hAnsi="Times New Roman"/>
          <w:noProof/>
          <w:sz w:val="20"/>
          <w:lang w:val="fr-BE"/>
        </w:rPr>
        <w:t>Indications – b: rupture des séries chronologiques; e: estimation; p: provisoire; u: fiabilité incertaine (petit nombre d’observat</w:t>
      </w:r>
      <w:r>
        <w:rPr>
          <w:rFonts w:ascii="Times New Roman" w:hAnsi="Times New Roman"/>
          <w:noProof/>
          <w:sz w:val="20"/>
          <w:lang w:val="fr-BE"/>
        </w:rPr>
        <w:t>ions). Au</w:t>
      </w:r>
      <w:r>
        <w:rPr>
          <w:rFonts w:ascii="Times New Roman" w:hAnsi="Times New Roman"/>
          <w:noProof/>
          <w:color w:val="000000"/>
          <w:sz w:val="20"/>
          <w:lang w:val="fr-BE"/>
        </w:rPr>
        <w:t xml:space="preserve"> 26 octobre 2018, les estimations de la signification statistique pour les variations des indicateurs fondés sur l’EFT et les statistiques EU-SILC n’étaient pas disponibles.</w:t>
      </w:r>
      <w:r>
        <w:rPr>
          <w:noProof/>
          <w:lang w:val="fr-BE"/>
        </w:rPr>
        <w:tab/>
      </w:r>
    </w:p>
    <w:p w:rsidR="00723CC0" w:rsidRDefault="00242021">
      <w:pPr>
        <w:rPr>
          <w:rFonts w:ascii="Times New Roman" w:eastAsia="Calibri" w:hAnsi="Times New Roman" w:cs="Times New Roman"/>
          <w:b/>
          <w:noProof/>
          <w:sz w:val="24"/>
          <w:szCs w:val="24"/>
          <w:lang w:val="fr-BE"/>
        </w:rPr>
      </w:pPr>
      <w:r>
        <w:rPr>
          <w:noProof/>
          <w:lang w:val="fr-BE"/>
        </w:rPr>
        <w:br w:type="page"/>
      </w:r>
    </w:p>
    <w:p w:rsidR="00723CC0" w:rsidRDefault="00242021">
      <w:pPr>
        <w:jc w:val="both"/>
        <w:rPr>
          <w:rFonts w:ascii="Times New Roman" w:eastAsia="Calibri" w:hAnsi="Times New Roman" w:cs="Times New Roman"/>
          <w:b/>
          <w:noProof/>
          <w:sz w:val="24"/>
          <w:szCs w:val="24"/>
          <w:lang w:val="fr-BE"/>
        </w:rPr>
      </w:pPr>
      <w:r>
        <w:rPr>
          <w:rFonts w:ascii="Times New Roman" w:hAnsi="Times New Roman"/>
          <w:b/>
          <w:noProof/>
          <w:sz w:val="24"/>
          <w:lang w:val="fr-BE"/>
        </w:rPr>
        <w:t xml:space="preserve">Annexe 3. Note méthodologique sur la détermination des tendances et des niveaux dans le tableau de bord </w:t>
      </w:r>
    </w:p>
    <w:p w:rsidR="00723CC0" w:rsidRDefault="00242021">
      <w:pPr>
        <w:jc w:val="both"/>
        <w:rPr>
          <w:rFonts w:cs="Times New Roman"/>
          <w:noProof/>
          <w:sz w:val="20"/>
          <w:szCs w:val="20"/>
          <w:lang w:val="fr-BE"/>
        </w:rPr>
      </w:pPr>
      <w:r>
        <w:rPr>
          <w:rFonts w:ascii="Times New Roman" w:hAnsi="Times New Roman"/>
          <w:noProof/>
          <w:sz w:val="20"/>
          <w:lang w:val="fr-BE"/>
        </w:rPr>
        <w:t>À la mi-2015, la Commission européenne, le Comité de l’emploi et le Comité de la protection sociale ont convenu d’une méthodologie pour évaluer les per</w:t>
      </w:r>
      <w:r>
        <w:rPr>
          <w:rFonts w:ascii="Times New Roman" w:hAnsi="Times New Roman"/>
          <w:noProof/>
          <w:sz w:val="20"/>
          <w:lang w:val="fr-BE"/>
        </w:rPr>
        <w:t xml:space="preserve">formances de chaque État membre sur la base du tableau de bord des indicateurs clés en matière sociale et d’emploi. Dans le cadre de l’accord, la méthodologie devait fournir, pour chaque indicateur, une mesure de la position relative de chaque État membre </w:t>
      </w:r>
      <w:r>
        <w:rPr>
          <w:rFonts w:ascii="Times New Roman" w:hAnsi="Times New Roman"/>
          <w:noProof/>
          <w:sz w:val="20"/>
          <w:lang w:val="fr-BE"/>
        </w:rPr>
        <w:t>dans la répartition des valeurs de l’indicateur pour l’UE. La méthodologie est appliquée tant aux niveaux annuels (les niveaux) qu’aux variations sur l’espace d’une année (les variations) et permettre ainsi de réaliser une évaluation globale de la performa</w:t>
      </w:r>
      <w:r>
        <w:rPr>
          <w:rFonts w:ascii="Times New Roman" w:hAnsi="Times New Roman"/>
          <w:noProof/>
          <w:sz w:val="20"/>
          <w:lang w:val="fr-BE"/>
        </w:rPr>
        <w:t>nce de l’État membre concerné</w:t>
      </w:r>
      <w:r>
        <w:rPr>
          <w:rStyle w:val="FootnoteReference"/>
          <w:rFonts w:ascii="Times New Roman" w:hAnsi="Times New Roman"/>
          <w:noProof/>
          <w:sz w:val="20"/>
        </w:rPr>
        <w:footnoteReference w:id="121"/>
      </w:r>
      <w:r>
        <w:rPr>
          <w:rFonts w:ascii="Times New Roman" w:hAnsi="Times New Roman"/>
          <w:noProof/>
          <w:sz w:val="20"/>
          <w:lang w:val="fr-BE"/>
        </w:rPr>
        <w:t xml:space="preserve">. </w:t>
      </w:r>
    </w:p>
    <w:p w:rsidR="00723CC0" w:rsidRDefault="00242021">
      <w:pPr>
        <w:jc w:val="both"/>
        <w:rPr>
          <w:rFonts w:cs="Times New Roman"/>
          <w:noProof/>
          <w:sz w:val="20"/>
          <w:szCs w:val="20"/>
          <w:lang w:val="fr-BE"/>
        </w:rPr>
      </w:pPr>
      <w:r>
        <w:rPr>
          <w:rFonts w:ascii="Times New Roman" w:hAnsi="Times New Roman"/>
          <w:noProof/>
          <w:sz w:val="20"/>
          <w:lang w:val="fr-BE"/>
        </w:rPr>
        <w:t>En 2017, la Commission a décidé, en accord avec le Comité de l’emploi et le Comité de la protection sociale, d’appliquer la méthodologie au tableau de bord social qui accompagne le socle européen des droits sociaux.</w:t>
      </w:r>
    </w:p>
    <w:p w:rsidR="00723CC0" w:rsidRDefault="00242021">
      <w:pPr>
        <w:jc w:val="both"/>
        <w:rPr>
          <w:rFonts w:ascii="Times New Roman" w:hAnsi="Times New Roman" w:cs="Times New Roman"/>
          <w:noProof/>
          <w:sz w:val="20"/>
          <w:lang w:val="fr-BE"/>
        </w:rPr>
      </w:pPr>
      <w:r>
        <w:rPr>
          <w:rFonts w:ascii="Times New Roman" w:hAnsi="Times New Roman"/>
          <w:noProof/>
          <w:sz w:val="20"/>
          <w:lang w:val="fr-BE"/>
        </w:rPr>
        <w:t xml:space="preserve">Pour </w:t>
      </w:r>
      <w:r>
        <w:rPr>
          <w:rFonts w:ascii="Times New Roman" w:hAnsi="Times New Roman"/>
          <w:noProof/>
          <w:sz w:val="20"/>
          <w:lang w:val="fr-BE"/>
        </w:rPr>
        <w:t>chaque indicateur, les niveaux et les variations sont convertis en cotes normalisées (également dénommées «cotes z») de façon à appliquer un seul et même étalon à tous les indicateurs. Cette opération s’effectue par l’homogénéisation des valeurs brutes, ta</w:t>
      </w:r>
      <w:r>
        <w:rPr>
          <w:rFonts w:ascii="Times New Roman" w:hAnsi="Times New Roman"/>
          <w:noProof/>
          <w:sz w:val="20"/>
          <w:lang w:val="fr-BE"/>
        </w:rPr>
        <w:t>nt des niveaux que des variations, au moyen de la formule suivante:</w:t>
      </w:r>
    </w:p>
    <w:p w:rsidR="00723CC0" w:rsidRDefault="00242021">
      <w:pPr>
        <w:spacing w:after="240" w:line="240" w:lineRule="auto"/>
        <w:jc w:val="both"/>
        <w:rPr>
          <w:rFonts w:ascii="Times New Roman" w:hAnsi="Times New Roman" w:cs="Times New Roman"/>
          <w:noProof/>
          <w:sz w:val="20"/>
        </w:rPr>
      </w:pPr>
      <m:oMathPara>
        <m:oMath>
          <m:sSub>
            <m:sSubPr>
              <m:ctrlPr>
                <w:rPr>
                  <w:rFonts w:ascii="Cambria Math" w:hAnsi="Cambria Math" w:cs="Times New Roman"/>
                  <w:i/>
                  <w:noProof/>
                  <w:sz w:val="20"/>
                </w:rPr>
              </m:ctrlPr>
            </m:sSubPr>
            <m:e>
              <m:r>
                <w:rPr>
                  <w:rFonts w:ascii="Cambria Math" w:hAnsi="Cambria Math" w:cs="Times New Roman"/>
                  <w:noProof/>
                  <w:sz w:val="20"/>
                </w:rPr>
                <m:t>z</m:t>
              </m:r>
              <m:r>
                <w:rPr>
                  <w:rFonts w:ascii="Cambria Math" w:hAnsi="Cambria Math" w:cs="Times New Roman"/>
                  <w:noProof/>
                  <w:sz w:val="20"/>
                </w:rPr>
                <m:t>-</m:t>
              </m:r>
              <m:r>
                <w:rPr>
                  <w:rFonts w:ascii="Cambria Math" w:hAnsi="Cambria Math" w:cs="Times New Roman"/>
                  <w:noProof/>
                  <w:sz w:val="20"/>
                </w:rPr>
                <m:t>cote</m:t>
              </m:r>
              <m:r>
                <w:rPr>
                  <w:rFonts w:ascii="Cambria Math" w:hAnsi="Cambria Math" w:cs="Times New Roman"/>
                  <w:noProof/>
                  <w:sz w:val="20"/>
                </w:rPr>
                <m:t xml:space="preserve"> </m:t>
              </m:r>
              <m:r>
                <w:rPr>
                  <w:rFonts w:ascii="Cambria Math" w:hAnsi="Cambria Math" w:cs="Times New Roman"/>
                  <w:noProof/>
                  <w:sz w:val="20"/>
                </w:rPr>
                <m:t>pour</m:t>
              </m:r>
              <m:r>
                <w:rPr>
                  <w:rFonts w:ascii="Cambria Math" w:hAnsi="Cambria Math" w:cs="Times New Roman"/>
                  <w:noProof/>
                  <w:sz w:val="20"/>
                </w:rPr>
                <m:t xml:space="preserve"> </m:t>
              </m:r>
              <m:r>
                <w:rPr>
                  <w:rFonts w:ascii="Cambria Math" w:hAnsi="Cambria Math" w:cs="Times New Roman"/>
                  <w:noProof/>
                  <w:sz w:val="20"/>
                </w:rPr>
                <m:t>EM</m:t>
              </m:r>
            </m:e>
            <m:sub>
              <m:r>
                <w:rPr>
                  <w:rFonts w:ascii="Cambria Math" w:hAnsi="Cambria Math" w:cs="Times New Roman"/>
                  <w:noProof/>
                  <w:sz w:val="20"/>
                </w:rPr>
                <m:t>X</m:t>
              </m:r>
            </m:sub>
          </m:sSub>
          <m:r>
            <w:rPr>
              <w:rFonts w:ascii="Cambria Math" w:hAnsi="Cambria Math" w:cs="Times New Roman"/>
              <w:noProof/>
              <w:sz w:val="20"/>
            </w:rPr>
            <m:t xml:space="preserve">= </m:t>
          </m:r>
          <m:f>
            <m:fPr>
              <m:ctrlPr>
                <w:rPr>
                  <w:rFonts w:ascii="Cambria Math" w:hAnsi="Cambria Math" w:cs="Times New Roman"/>
                  <w:i/>
                  <w:noProof/>
                  <w:sz w:val="20"/>
                </w:rPr>
              </m:ctrlPr>
            </m:fPr>
            <m:num>
              <m:d>
                <m:dPr>
                  <m:begChr m:val="["/>
                  <m:endChr m:val="]"/>
                  <m:ctrlPr>
                    <w:rPr>
                      <w:rFonts w:ascii="Cambria Math" w:hAnsi="Cambria Math" w:cs="Times New Roman"/>
                      <w:i/>
                      <w:noProof/>
                      <w:sz w:val="20"/>
                    </w:rPr>
                  </m:ctrlPr>
                </m:dPr>
                <m:e>
                  <m:sSub>
                    <m:sSubPr>
                      <m:ctrlPr>
                        <w:rPr>
                          <w:rFonts w:ascii="Cambria Math" w:hAnsi="Cambria Math" w:cs="Times New Roman"/>
                          <w:i/>
                          <w:noProof/>
                          <w:sz w:val="20"/>
                        </w:rPr>
                      </m:ctrlPr>
                    </m:sSubPr>
                    <m:e>
                      <m:r>
                        <w:rPr>
                          <w:rFonts w:ascii="Cambria Math" w:hAnsi="Cambria Math" w:cs="Times New Roman"/>
                          <w:noProof/>
                          <w:sz w:val="20"/>
                        </w:rPr>
                        <m:t xml:space="preserve"> </m:t>
                      </m:r>
                      <m:r>
                        <w:rPr>
                          <w:rFonts w:ascii="Cambria Math" w:hAnsi="Cambria Math" w:cs="Times New Roman"/>
                          <w:noProof/>
                          <w:sz w:val="20"/>
                        </w:rPr>
                        <m:t>indicateur</m:t>
                      </m:r>
                      <m:r>
                        <w:rPr>
                          <w:rFonts w:ascii="Cambria Math" w:hAnsi="Cambria Math" w:cs="Times New Roman"/>
                          <w:noProof/>
                          <w:sz w:val="20"/>
                        </w:rPr>
                        <m:t xml:space="preserve"> </m:t>
                      </m:r>
                      <m:r>
                        <w:rPr>
                          <w:rFonts w:ascii="Cambria Math" w:hAnsi="Cambria Math" w:cs="Times New Roman"/>
                          <w:noProof/>
                          <w:sz w:val="20"/>
                        </w:rPr>
                        <m:t>EM</m:t>
                      </m:r>
                    </m:e>
                    <m:sub>
                      <m:r>
                        <w:rPr>
                          <w:rFonts w:ascii="Cambria Math" w:hAnsi="Cambria Math" w:cs="Times New Roman"/>
                          <w:noProof/>
                          <w:sz w:val="20"/>
                        </w:rPr>
                        <m:t>X</m:t>
                      </m:r>
                    </m:sub>
                  </m:sSub>
                  <m:r>
                    <w:rPr>
                      <w:rFonts w:ascii="Cambria Math" w:hAnsi="Cambria Math" w:cs="Times New Roman"/>
                      <w:noProof/>
                      <w:sz w:val="20"/>
                    </w:rPr>
                    <m:t>-</m:t>
                  </m:r>
                  <m:r>
                    <w:rPr>
                      <w:rFonts w:ascii="Cambria Math" w:hAnsi="Cambria Math" w:cs="Times New Roman"/>
                      <w:noProof/>
                      <w:sz w:val="20"/>
                    </w:rPr>
                    <m:t>moyenne</m:t>
                  </m:r>
                  <m:r>
                    <w:rPr>
                      <w:rFonts w:ascii="Cambria Math" w:hAnsi="Cambria Math" w:cs="Times New Roman"/>
                      <w:noProof/>
                      <w:sz w:val="20"/>
                    </w:rPr>
                    <m:t xml:space="preserve"> </m:t>
                  </m:r>
                  <m:d>
                    <m:dPr>
                      <m:ctrlPr>
                        <w:rPr>
                          <w:rFonts w:ascii="Cambria Math" w:hAnsi="Cambria Math" w:cs="Times New Roman"/>
                          <w:i/>
                          <w:noProof/>
                          <w:sz w:val="20"/>
                        </w:rPr>
                      </m:ctrlPr>
                    </m:dPr>
                    <m:e>
                      <m:r>
                        <w:rPr>
                          <w:rFonts w:ascii="Cambria Math" w:hAnsi="Cambria Math" w:cs="Times New Roman"/>
                          <w:noProof/>
                          <w:sz w:val="20"/>
                        </w:rPr>
                        <m:t>indicateur</m:t>
                      </m:r>
                      <m:r>
                        <w:rPr>
                          <w:rFonts w:ascii="Cambria Math" w:hAnsi="Cambria Math" w:cs="Times New Roman"/>
                          <w:noProof/>
                          <w:sz w:val="20"/>
                        </w:rPr>
                        <m:t xml:space="preserve"> </m:t>
                      </m:r>
                      <m:r>
                        <w:rPr>
                          <w:rFonts w:ascii="Cambria Math" w:hAnsi="Cambria Math" w:cs="Times New Roman"/>
                          <w:noProof/>
                          <w:sz w:val="20"/>
                        </w:rPr>
                        <m:t>EM</m:t>
                      </m:r>
                    </m:e>
                  </m:d>
                </m:e>
              </m:d>
            </m:num>
            <m:den>
              <m:r>
                <w:rPr>
                  <w:rFonts w:ascii="Cambria Math" w:hAnsi="Cambria Math" w:cs="Times New Roman"/>
                  <w:noProof/>
                  <w:sz w:val="20"/>
                </w:rPr>
                <m:t>é</m:t>
              </m:r>
              <m:r>
                <w:rPr>
                  <w:rFonts w:ascii="Cambria Math" w:hAnsi="Cambria Math" w:cs="Times New Roman"/>
                  <w:noProof/>
                  <w:sz w:val="20"/>
                </w:rPr>
                <m:t>cart</m:t>
              </m:r>
              <m:r>
                <w:rPr>
                  <w:rFonts w:ascii="Cambria Math" w:hAnsi="Cambria Math" w:cs="Times New Roman"/>
                  <w:noProof/>
                  <w:sz w:val="20"/>
                </w:rPr>
                <m:t>-</m:t>
              </m:r>
              <m:r>
                <w:rPr>
                  <w:rFonts w:ascii="Cambria Math" w:hAnsi="Cambria Math" w:cs="Times New Roman"/>
                  <w:noProof/>
                  <w:sz w:val="20"/>
                </w:rPr>
                <m:t>type</m:t>
              </m:r>
              <m:r>
                <w:rPr>
                  <w:rFonts w:ascii="Cambria Math" w:hAnsi="Cambria Math" w:cs="Times New Roman"/>
                  <w:noProof/>
                  <w:sz w:val="20"/>
                </w:rPr>
                <m:t xml:space="preserve"> (</m:t>
              </m:r>
              <m:r>
                <w:rPr>
                  <w:rFonts w:ascii="Cambria Math" w:hAnsi="Cambria Math" w:cs="Times New Roman"/>
                  <w:noProof/>
                  <w:sz w:val="20"/>
                </w:rPr>
                <m:t>indicateur</m:t>
              </m:r>
              <m:r>
                <w:rPr>
                  <w:rFonts w:ascii="Cambria Math" w:hAnsi="Cambria Math" w:cs="Times New Roman"/>
                  <w:noProof/>
                  <w:sz w:val="20"/>
                </w:rPr>
                <m:t xml:space="preserve"> </m:t>
              </m:r>
              <m:r>
                <w:rPr>
                  <w:rFonts w:ascii="Cambria Math" w:hAnsi="Cambria Math" w:cs="Times New Roman"/>
                  <w:noProof/>
                  <w:sz w:val="20"/>
                </w:rPr>
                <m:t>EM</m:t>
              </m:r>
              <m:r>
                <w:rPr>
                  <w:rFonts w:ascii="Cambria Math" w:hAnsi="Cambria Math" w:cs="Times New Roman"/>
                  <w:noProof/>
                  <w:sz w:val="20"/>
                </w:rPr>
                <m:t>)</m:t>
              </m:r>
            </m:den>
          </m:f>
        </m:oMath>
      </m:oMathPara>
    </w:p>
    <w:p w:rsidR="00723CC0" w:rsidRDefault="00242021">
      <w:pPr>
        <w:spacing w:after="120"/>
        <w:jc w:val="both"/>
        <w:rPr>
          <w:rFonts w:ascii="Times New Roman" w:hAnsi="Times New Roman" w:cs="Times New Roman"/>
          <w:noProof/>
          <w:sz w:val="20"/>
          <w:lang w:val="fr-BE"/>
        </w:rPr>
      </w:pPr>
      <w:r>
        <w:rPr>
          <w:rFonts w:ascii="Times New Roman" w:hAnsi="Times New Roman"/>
          <w:noProof/>
          <w:sz w:val="20"/>
          <w:lang w:val="fr-BE"/>
        </w:rPr>
        <w:t>Ensuite, les distributions des cotes (sépar</w:t>
      </w:r>
      <w:r>
        <w:rPr>
          <w:rFonts w:ascii="Times New Roman" w:hAnsi="Times New Roman"/>
          <w:noProof/>
          <w:sz w:val="20"/>
          <w:lang w:val="fr-BE"/>
        </w:rPr>
        <w:t>ément pour les niveaux et les variations) sont analysées. Grâce à cette approche, il devient possible d’exprimer la valeur brute d’indicateur de chaque État membre en un multiple de l’écart-type que représente sa déviation par rapport à la moyenne (non pon</w:t>
      </w:r>
      <w:r>
        <w:rPr>
          <w:rFonts w:ascii="Times New Roman" w:hAnsi="Times New Roman"/>
          <w:noProof/>
          <w:sz w:val="20"/>
          <w:lang w:val="fr-BE"/>
        </w:rPr>
        <w:t xml:space="preserve">dérée). La performance de chaque État membre est évaluée et classée sur la base des cotes z ainsi obtenues, par confrontation avec une grille de seuils prédéfinis, définis sous la forme de multiples de l’écart-type. </w:t>
      </w:r>
    </w:p>
    <w:p w:rsidR="00723CC0" w:rsidRDefault="00242021">
      <w:pPr>
        <w:spacing w:after="120"/>
        <w:jc w:val="both"/>
        <w:rPr>
          <w:rFonts w:ascii="Times New Roman" w:hAnsi="Times New Roman" w:cs="Times New Roman"/>
          <w:noProof/>
          <w:sz w:val="20"/>
          <w:lang w:val="fr-BE"/>
        </w:rPr>
      </w:pPr>
      <w:r>
        <w:rPr>
          <w:rFonts w:ascii="Times New Roman" w:hAnsi="Times New Roman"/>
          <w:noProof/>
          <w:sz w:val="20"/>
          <w:lang w:val="fr-BE"/>
        </w:rPr>
        <w:t>Dans cette démarche, l’enjeu le plus im</w:t>
      </w:r>
      <w:r>
        <w:rPr>
          <w:rFonts w:ascii="Times New Roman" w:hAnsi="Times New Roman"/>
          <w:noProof/>
          <w:sz w:val="20"/>
          <w:lang w:val="fr-BE"/>
        </w:rPr>
        <w:t>portant consiste à définir les seuils de démarcation. Étant donné qu’il n’est pas possible de formuler d’hypothèse paramétrique quant à la distribution des valeurs brutes observées</w:t>
      </w:r>
      <w:r>
        <w:rPr>
          <w:rStyle w:val="FootnoteReference"/>
          <w:rFonts w:ascii="Times New Roman" w:hAnsi="Times New Roman"/>
          <w:noProof/>
          <w:sz w:val="20"/>
        </w:rPr>
        <w:footnoteReference w:id="122"/>
      </w:r>
      <w:r>
        <w:rPr>
          <w:rFonts w:ascii="Times New Roman" w:hAnsi="Times New Roman"/>
          <w:noProof/>
          <w:sz w:val="20"/>
          <w:lang w:val="fr-BE"/>
        </w:rPr>
        <w:t>, on recourt habituellement à une «règle générale» pour déterminer ces seui</w:t>
      </w:r>
      <w:r>
        <w:rPr>
          <w:rFonts w:ascii="Times New Roman" w:hAnsi="Times New Roman"/>
          <w:noProof/>
          <w:sz w:val="20"/>
          <w:lang w:val="fr-BE"/>
        </w:rPr>
        <w:t xml:space="preserve">ls. Selon l’analyse des indicateurs clés utilisés dans le tableau de bord, il a été convenu de considérer: </w:t>
      </w:r>
    </w:p>
    <w:p w:rsidR="00723CC0" w:rsidRDefault="00242021">
      <w:pPr>
        <w:pStyle w:val="ListParagraph"/>
        <w:numPr>
          <w:ilvl w:val="0"/>
          <w:numId w:val="20"/>
        </w:numPr>
        <w:spacing w:after="120"/>
        <w:jc w:val="both"/>
        <w:rPr>
          <w:rFonts w:ascii="Times New Roman" w:hAnsi="Times New Roman" w:cs="Times New Roman"/>
          <w:noProof/>
          <w:sz w:val="20"/>
          <w:szCs w:val="20"/>
          <w:lang w:val="fr-BE"/>
        </w:rPr>
      </w:pPr>
      <w:r>
        <w:rPr>
          <w:rFonts w:ascii="Times New Roman" w:hAnsi="Times New Roman"/>
          <w:noProof/>
          <w:sz w:val="20"/>
          <w:lang w:val="fr-BE"/>
        </w:rPr>
        <w:t xml:space="preserve">toute cote inférieure à -1 comme une très bonne performance; </w:t>
      </w:r>
    </w:p>
    <w:p w:rsidR="00723CC0" w:rsidRDefault="00242021">
      <w:pPr>
        <w:pStyle w:val="ListParagraph"/>
        <w:numPr>
          <w:ilvl w:val="0"/>
          <w:numId w:val="20"/>
        </w:numPr>
        <w:spacing w:after="120"/>
        <w:jc w:val="both"/>
        <w:rPr>
          <w:rFonts w:ascii="Times New Roman" w:hAnsi="Times New Roman" w:cs="Times New Roman"/>
          <w:noProof/>
          <w:sz w:val="20"/>
          <w:szCs w:val="20"/>
          <w:lang w:val="fr-BE"/>
        </w:rPr>
      </w:pPr>
      <w:r>
        <w:rPr>
          <w:rFonts w:ascii="Times New Roman" w:hAnsi="Times New Roman"/>
          <w:noProof/>
          <w:sz w:val="20"/>
          <w:lang w:val="fr-BE"/>
        </w:rPr>
        <w:t>toute cote comprise entre -1 et -0,5 comme une bonne performance;</w:t>
      </w:r>
    </w:p>
    <w:p w:rsidR="00723CC0" w:rsidRDefault="00242021">
      <w:pPr>
        <w:pStyle w:val="ListParagraph"/>
        <w:numPr>
          <w:ilvl w:val="0"/>
          <w:numId w:val="20"/>
        </w:numPr>
        <w:spacing w:after="120"/>
        <w:rPr>
          <w:rFonts w:ascii="Times New Roman" w:hAnsi="Times New Roman" w:cs="Times New Roman"/>
          <w:noProof/>
          <w:sz w:val="20"/>
          <w:szCs w:val="20"/>
          <w:lang w:val="fr-BE"/>
        </w:rPr>
      </w:pPr>
      <w:r>
        <w:rPr>
          <w:rFonts w:ascii="Times New Roman" w:hAnsi="Times New Roman"/>
          <w:noProof/>
          <w:sz w:val="20"/>
          <w:lang w:val="fr-BE"/>
        </w:rPr>
        <w:t xml:space="preserve">toute cote comprise </w:t>
      </w:r>
      <w:r>
        <w:rPr>
          <w:rFonts w:ascii="Times New Roman" w:hAnsi="Times New Roman"/>
          <w:noProof/>
          <w:sz w:val="20"/>
          <w:lang w:val="fr-BE"/>
        </w:rPr>
        <w:t>entre -0,5 et 0,5 comme une performance neutre;</w:t>
      </w:r>
    </w:p>
    <w:p w:rsidR="00723CC0" w:rsidRDefault="00242021">
      <w:pPr>
        <w:pStyle w:val="ListParagraph"/>
        <w:numPr>
          <w:ilvl w:val="0"/>
          <w:numId w:val="20"/>
        </w:numPr>
        <w:spacing w:after="120"/>
        <w:jc w:val="both"/>
        <w:rPr>
          <w:rFonts w:ascii="Times New Roman" w:hAnsi="Times New Roman" w:cs="Times New Roman"/>
          <w:noProof/>
          <w:sz w:val="20"/>
          <w:szCs w:val="20"/>
          <w:lang w:val="fr-BE"/>
        </w:rPr>
      </w:pPr>
      <w:r>
        <w:rPr>
          <w:rFonts w:ascii="Times New Roman" w:hAnsi="Times New Roman"/>
          <w:noProof/>
          <w:sz w:val="20"/>
          <w:lang w:val="fr-BE"/>
        </w:rPr>
        <w:t>toute cote comprise entre 0,5 et 1 comme une mauvaise performance;</w:t>
      </w:r>
    </w:p>
    <w:p w:rsidR="00723CC0" w:rsidRDefault="00242021">
      <w:pPr>
        <w:pStyle w:val="ListParagraph"/>
        <w:numPr>
          <w:ilvl w:val="0"/>
          <w:numId w:val="20"/>
        </w:numPr>
        <w:spacing w:after="120"/>
        <w:jc w:val="both"/>
        <w:rPr>
          <w:rFonts w:ascii="Times New Roman" w:hAnsi="Times New Roman" w:cs="Times New Roman"/>
          <w:noProof/>
          <w:sz w:val="20"/>
          <w:szCs w:val="20"/>
          <w:lang w:val="fr-BE"/>
        </w:rPr>
      </w:pPr>
      <w:r>
        <w:rPr>
          <w:rFonts w:ascii="Times New Roman" w:hAnsi="Times New Roman"/>
          <w:noProof/>
          <w:sz w:val="20"/>
          <w:lang w:val="fr-BE"/>
        </w:rPr>
        <w:t>toute cote supérieure à 1 comme une très mauvaise performance</w:t>
      </w:r>
      <w:r>
        <w:rPr>
          <w:rStyle w:val="FootnoteReference"/>
          <w:rFonts w:ascii="Times New Roman" w:hAnsi="Times New Roman"/>
          <w:noProof/>
          <w:sz w:val="20"/>
        </w:rPr>
        <w:footnoteReference w:id="123"/>
      </w:r>
      <w:r>
        <w:rPr>
          <w:rFonts w:ascii="Times New Roman" w:hAnsi="Times New Roman"/>
          <w:noProof/>
          <w:sz w:val="20"/>
          <w:lang w:val="fr-BE"/>
        </w:rPr>
        <w:t>.</w:t>
      </w:r>
    </w:p>
    <w:p w:rsidR="00723CC0" w:rsidRDefault="00242021">
      <w:pPr>
        <w:pStyle w:val="caption4"/>
        <w:rPr>
          <w:rFonts w:ascii="Times New Roman" w:hAnsi="Times New Roman"/>
          <w:noProof/>
          <w:sz w:val="20"/>
          <w:lang w:val="fr-BE"/>
        </w:rPr>
      </w:pPr>
      <w:r>
        <w:rPr>
          <w:rFonts w:ascii="Times New Roman" w:hAnsi="Times New Roman"/>
          <w:noProof/>
          <w:sz w:val="20"/>
          <w:lang w:val="fr-BE"/>
        </w:rPr>
        <w:br w:type="page"/>
      </w:r>
    </w:p>
    <w:p w:rsidR="00723CC0" w:rsidRDefault="00242021">
      <w:pPr>
        <w:pStyle w:val="caption4"/>
        <w:rPr>
          <w:rFonts w:ascii="Times New Roman" w:hAnsi="Times New Roman"/>
          <w:noProof/>
          <w:sz w:val="20"/>
          <w:szCs w:val="20"/>
          <w:lang w:val="fr-BE"/>
        </w:rPr>
      </w:pPr>
      <w:r>
        <w:rPr>
          <w:rFonts w:ascii="Times New Roman" w:hAnsi="Times New Roman"/>
          <w:noProof/>
          <w:sz w:val="20"/>
          <w:lang w:val="fr-BE"/>
        </w:rPr>
        <w:t xml:space="preserve">Tableau </w:t>
      </w:r>
      <w:r>
        <w:rPr>
          <w:rFonts w:ascii="Times New Roman" w:hAnsi="Times New Roman"/>
          <w:noProof/>
          <w:sz w:val="20"/>
          <w:szCs w:val="20"/>
        </w:rPr>
        <w:fldChar w:fldCharType="begin" w:fldLock="1"/>
      </w:r>
      <w:r>
        <w:rPr>
          <w:rFonts w:ascii="Times New Roman" w:hAnsi="Times New Roman"/>
          <w:noProof/>
          <w:sz w:val="20"/>
          <w:szCs w:val="20"/>
          <w:lang w:val="fr-BE"/>
        </w:rPr>
        <w:instrText xml:space="preserve"> SEQ Table \* ARABIC </w:instrText>
      </w:r>
      <w:r>
        <w:rPr>
          <w:rFonts w:ascii="Times New Roman" w:hAnsi="Times New Roman"/>
          <w:noProof/>
          <w:sz w:val="20"/>
          <w:szCs w:val="20"/>
        </w:rPr>
        <w:fldChar w:fldCharType="separate"/>
      </w:r>
      <w:r>
        <w:rPr>
          <w:rFonts w:ascii="Times New Roman" w:hAnsi="Times New Roman"/>
          <w:noProof/>
          <w:sz w:val="20"/>
          <w:szCs w:val="20"/>
          <w:lang w:val="fr-BE"/>
        </w:rPr>
        <w:t>4</w:t>
      </w:r>
      <w:r>
        <w:rPr>
          <w:rFonts w:ascii="Times New Roman" w:hAnsi="Times New Roman"/>
          <w:noProof/>
          <w:sz w:val="20"/>
          <w:szCs w:val="20"/>
        </w:rPr>
        <w:fldChar w:fldCharType="end"/>
      </w:r>
      <w:r>
        <w:rPr>
          <w:rFonts w:ascii="Times New Roman" w:hAnsi="Times New Roman"/>
          <w:noProof/>
          <w:sz w:val="20"/>
          <w:lang w:val="fr-BE"/>
        </w:rPr>
        <w:t>: valeurs de seuil pour les cotes z</w:t>
      </w:r>
    </w:p>
    <w:tbl>
      <w:tblPr>
        <w:tblStyle w:val="LightShading-Accent1"/>
        <w:tblW w:w="8997" w:type="dxa"/>
        <w:tblLook w:val="04A0" w:firstRow="1" w:lastRow="0" w:firstColumn="1" w:lastColumn="0" w:noHBand="0" w:noVBand="1"/>
      </w:tblPr>
      <w:tblGrid>
        <w:gridCol w:w="1725"/>
        <w:gridCol w:w="1428"/>
        <w:gridCol w:w="1558"/>
        <w:gridCol w:w="1428"/>
        <w:gridCol w:w="1428"/>
        <w:gridCol w:w="1430"/>
      </w:tblGrid>
      <w:tr w:rsidR="00723CC0" w:rsidTr="00723CC0">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25" w:type="dxa"/>
            <w:vMerge w:val="restart"/>
            <w:noWrap/>
            <w:hideMark/>
          </w:tcPr>
          <w:p w:rsidR="00723CC0" w:rsidRDefault="00242021">
            <w:pPr>
              <w:jc w:val="center"/>
              <w:rPr>
                <w:rFonts w:ascii="Times New Roman" w:hAnsi="Times New Roman" w:cs="Times New Roman"/>
                <w:noProof/>
                <w:color w:val="000000"/>
                <w:sz w:val="20"/>
                <w:lang w:val="fr-BE"/>
              </w:rPr>
            </w:pPr>
            <w:r>
              <w:rPr>
                <w:rFonts w:ascii="Times New Roman" w:hAnsi="Times New Roman"/>
                <w:noProof/>
                <w:color w:val="000000"/>
                <w:sz w:val="20"/>
                <w:lang w:val="fr-BE"/>
              </w:rPr>
              <w:t> </w:t>
            </w:r>
          </w:p>
        </w:tc>
        <w:tc>
          <w:tcPr>
            <w:tcW w:w="7271" w:type="dxa"/>
            <w:gridSpan w:val="5"/>
            <w:hideMark/>
          </w:tcPr>
          <w:p w:rsidR="00723CC0" w:rsidRDefault="002420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lang w:val="fr-BE"/>
              </w:rPr>
            </w:pPr>
            <w:r>
              <w:rPr>
                <w:rFonts w:ascii="Times New Roman" w:hAnsi="Times New Roman"/>
                <w:noProof/>
                <w:color w:val="000000"/>
                <w:sz w:val="20"/>
                <w:lang w:val="fr-BE"/>
              </w:rPr>
              <w:t>valeurs de seuil pour les cotes z</w:t>
            </w:r>
          </w:p>
        </w:tc>
      </w:tr>
      <w:tr w:rsidR="00723CC0" w:rsidTr="00723CC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725" w:type="dxa"/>
            <w:vMerge/>
            <w:hideMark/>
          </w:tcPr>
          <w:p w:rsidR="00723CC0" w:rsidRDefault="00723CC0">
            <w:pPr>
              <w:rPr>
                <w:rFonts w:ascii="Times New Roman" w:hAnsi="Times New Roman" w:cs="Times New Roman"/>
                <w:noProof/>
                <w:color w:val="000000"/>
                <w:sz w:val="20"/>
                <w:lang w:val="fr-BE"/>
              </w:rPr>
            </w:pPr>
          </w:p>
        </w:tc>
        <w:tc>
          <w:tcPr>
            <w:tcW w:w="1428" w:type="dxa"/>
            <w:noWrap/>
            <w:hideMark/>
          </w:tcPr>
          <w:p w:rsidR="00723CC0" w:rsidRDefault="002420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c>
          <w:tcPr>
            <w:tcW w:w="1558" w:type="dxa"/>
            <w:noWrap/>
            <w:hideMark/>
          </w:tcPr>
          <w:p w:rsidR="00723CC0" w:rsidRDefault="002420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28" w:type="dxa"/>
            <w:noWrap/>
            <w:hideMark/>
          </w:tcPr>
          <w:p w:rsidR="00723CC0" w:rsidRDefault="002420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w:t>
            </w:r>
          </w:p>
        </w:tc>
        <w:tc>
          <w:tcPr>
            <w:tcW w:w="1428" w:type="dxa"/>
            <w:noWrap/>
            <w:hideMark/>
          </w:tcPr>
          <w:p w:rsidR="00723CC0" w:rsidRDefault="002420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30" w:type="dxa"/>
            <w:noWrap/>
            <w:hideMark/>
          </w:tcPr>
          <w:p w:rsidR="00723CC0" w:rsidRDefault="002420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r>
      <w:tr w:rsidR="00723CC0" w:rsidTr="00723CC0">
        <w:trPr>
          <w:trHeight w:val="254"/>
        </w:trPr>
        <w:tc>
          <w:tcPr>
            <w:cnfStyle w:val="001000000000" w:firstRow="0" w:lastRow="0" w:firstColumn="1" w:lastColumn="0" w:oddVBand="0" w:evenVBand="0" w:oddHBand="0" w:evenHBand="0" w:firstRowFirstColumn="0" w:firstRowLastColumn="0" w:lastRowFirstColumn="0" w:lastRowLastColumn="0"/>
            <w:tcW w:w="1725" w:type="dxa"/>
            <w:vMerge/>
            <w:hideMark/>
          </w:tcPr>
          <w:p w:rsidR="00723CC0" w:rsidRDefault="00723CC0">
            <w:pPr>
              <w:rPr>
                <w:rFonts w:ascii="Times New Roman" w:hAnsi="Times New Roman" w:cs="Times New Roman"/>
                <w:noProof/>
                <w:color w:val="000000"/>
                <w:sz w:val="20"/>
              </w:rPr>
            </w:pPr>
          </w:p>
        </w:tc>
        <w:tc>
          <w:tcPr>
            <w:tcW w:w="1428" w:type="dxa"/>
            <w:noWrap/>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(inférieure à)</w:t>
            </w:r>
          </w:p>
        </w:tc>
        <w:tc>
          <w:tcPr>
            <w:tcW w:w="1558" w:type="dxa"/>
            <w:noWrap/>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(inférieure à)</w:t>
            </w:r>
          </w:p>
        </w:tc>
        <w:tc>
          <w:tcPr>
            <w:tcW w:w="1428" w:type="dxa"/>
            <w:noWrap/>
            <w:hideMark/>
          </w:tcPr>
          <w:p w:rsidR="00723CC0" w:rsidRDefault="002420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color w:val="365F91"/>
                <w:sz w:val="20"/>
              </w:rPr>
            </w:pPr>
            <w:r>
              <w:rPr>
                <w:rFonts w:ascii="Times New Roman" w:hAnsi="Times New Roman"/>
                <w:i/>
                <w:noProof/>
                <w:color w:val="auto"/>
                <w:sz w:val="20"/>
              </w:rPr>
              <w:t>(entre)</w:t>
            </w:r>
          </w:p>
        </w:tc>
        <w:tc>
          <w:tcPr>
            <w:tcW w:w="1428" w:type="dxa"/>
            <w:noWrap/>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(supérieure à)</w:t>
            </w:r>
          </w:p>
        </w:tc>
        <w:tc>
          <w:tcPr>
            <w:tcW w:w="1430" w:type="dxa"/>
            <w:noWrap/>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(supérieure à)</w:t>
            </w:r>
          </w:p>
        </w:tc>
      </w:tr>
      <w:tr w:rsidR="00723CC0" w:rsidTr="00723CC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25" w:type="dxa"/>
            <w:vMerge/>
            <w:hideMark/>
          </w:tcPr>
          <w:p w:rsidR="00723CC0" w:rsidRDefault="00723CC0">
            <w:pPr>
              <w:rPr>
                <w:rFonts w:ascii="Times New Roman" w:hAnsi="Times New Roman" w:cs="Times New Roman"/>
                <w:noProof/>
                <w:color w:val="000000"/>
                <w:sz w:val="20"/>
              </w:rPr>
            </w:pPr>
          </w:p>
        </w:tc>
        <w:tc>
          <w:tcPr>
            <w:tcW w:w="7271" w:type="dxa"/>
            <w:gridSpan w:val="5"/>
            <w:hideMark/>
          </w:tcPr>
          <w:p w:rsidR="00723CC0" w:rsidRDefault="002420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rPr>
            </w:pPr>
            <w:r>
              <w:rPr>
                <w:rFonts w:ascii="Times New Roman" w:hAnsi="Times New Roman"/>
                <w:b/>
                <w:noProof/>
                <w:color w:val="000000"/>
                <w:sz w:val="20"/>
              </w:rPr>
              <w:t>Analyse</w:t>
            </w:r>
          </w:p>
        </w:tc>
      </w:tr>
      <w:tr w:rsidR="00723CC0" w:rsidTr="00723CC0">
        <w:trPr>
          <w:trHeight w:val="339"/>
        </w:trPr>
        <w:tc>
          <w:tcPr>
            <w:cnfStyle w:val="001000000000" w:firstRow="0" w:lastRow="0" w:firstColumn="1" w:lastColumn="0" w:oddVBand="0" w:evenVBand="0" w:oddHBand="0" w:evenHBand="0" w:firstRowFirstColumn="0" w:firstRowLastColumn="0" w:lastRowFirstColumn="0" w:lastRowLastColumn="0"/>
            <w:tcW w:w="1725" w:type="dxa"/>
            <w:hideMark/>
          </w:tcPr>
          <w:p w:rsidR="00723CC0" w:rsidRDefault="00242021">
            <w:pPr>
              <w:jc w:val="center"/>
              <w:rPr>
                <w:rFonts w:ascii="Times New Roman" w:hAnsi="Times New Roman" w:cs="Times New Roman"/>
                <w:noProof/>
                <w:color w:val="000000"/>
                <w:sz w:val="20"/>
              </w:rPr>
            </w:pPr>
            <w:r>
              <w:rPr>
                <w:rFonts w:ascii="Times New Roman" w:hAnsi="Times New Roman"/>
                <w:noProof/>
                <w:color w:val="000000"/>
                <w:sz w:val="20"/>
              </w:rPr>
              <w:t>Niveaux</w:t>
            </w:r>
          </w:p>
        </w:tc>
        <w:tc>
          <w:tcPr>
            <w:tcW w:w="1428" w:type="dxa"/>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Très faibles</w:t>
            </w:r>
          </w:p>
        </w:tc>
        <w:tc>
          <w:tcPr>
            <w:tcW w:w="1558" w:type="dxa"/>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Faibles</w:t>
            </w:r>
          </w:p>
        </w:tc>
        <w:tc>
          <w:tcPr>
            <w:tcW w:w="1428" w:type="dxa"/>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Correspondant à la moyenne</w:t>
            </w:r>
          </w:p>
        </w:tc>
        <w:tc>
          <w:tcPr>
            <w:tcW w:w="1428" w:type="dxa"/>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Élevés</w:t>
            </w:r>
          </w:p>
        </w:tc>
        <w:tc>
          <w:tcPr>
            <w:tcW w:w="1430" w:type="dxa"/>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Très élevés</w:t>
            </w:r>
          </w:p>
        </w:tc>
      </w:tr>
      <w:tr w:rsidR="00723CC0" w:rsidTr="00723CC0">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25" w:type="dxa"/>
            <w:noWrap/>
            <w:hideMark/>
          </w:tcPr>
          <w:p w:rsidR="00723CC0" w:rsidRDefault="00242021">
            <w:pPr>
              <w:rPr>
                <w:rFonts w:ascii="Times New Roman" w:hAnsi="Times New Roman" w:cs="Times New Roman"/>
                <w:noProof/>
                <w:color w:val="000000"/>
                <w:sz w:val="20"/>
              </w:rPr>
            </w:pPr>
            <w:r>
              <w:rPr>
                <w:rFonts w:ascii="Times New Roman" w:hAnsi="Times New Roman"/>
                <w:noProof/>
                <w:color w:val="000000"/>
                <w:sz w:val="20"/>
              </w:rPr>
              <w:t> </w:t>
            </w:r>
          </w:p>
        </w:tc>
        <w:tc>
          <w:tcPr>
            <w:tcW w:w="1428" w:type="dxa"/>
            <w:noWrap/>
            <w:hideMark/>
          </w:tcPr>
          <w:p w:rsidR="00723CC0" w:rsidRDefault="00723C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558" w:type="dxa"/>
            <w:noWrap/>
            <w:hideMark/>
          </w:tcPr>
          <w:p w:rsidR="00723CC0" w:rsidRDefault="00723C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28" w:type="dxa"/>
            <w:noWrap/>
            <w:hideMark/>
          </w:tcPr>
          <w:p w:rsidR="00723CC0" w:rsidRDefault="00723C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28" w:type="dxa"/>
            <w:noWrap/>
            <w:hideMark/>
          </w:tcPr>
          <w:p w:rsidR="00723CC0" w:rsidRDefault="00723C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30" w:type="dxa"/>
            <w:noWrap/>
            <w:hideMark/>
          </w:tcPr>
          <w:p w:rsidR="00723CC0" w:rsidRDefault="002420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 </w:t>
            </w:r>
          </w:p>
        </w:tc>
      </w:tr>
      <w:tr w:rsidR="00723CC0" w:rsidTr="00723CC0">
        <w:trPr>
          <w:trHeight w:val="565"/>
        </w:trPr>
        <w:tc>
          <w:tcPr>
            <w:cnfStyle w:val="001000000000" w:firstRow="0" w:lastRow="0" w:firstColumn="1" w:lastColumn="0" w:oddVBand="0" w:evenVBand="0" w:oddHBand="0" w:evenHBand="0" w:firstRowFirstColumn="0" w:firstRowLastColumn="0" w:lastRowFirstColumn="0" w:lastRowLastColumn="0"/>
            <w:tcW w:w="1725" w:type="dxa"/>
            <w:hideMark/>
          </w:tcPr>
          <w:p w:rsidR="00723CC0" w:rsidRDefault="00242021">
            <w:pPr>
              <w:jc w:val="center"/>
              <w:rPr>
                <w:rFonts w:ascii="Times New Roman" w:hAnsi="Times New Roman" w:cs="Times New Roman"/>
                <w:noProof/>
                <w:color w:val="000000"/>
                <w:sz w:val="20"/>
              </w:rPr>
            </w:pPr>
            <w:r>
              <w:rPr>
                <w:rFonts w:ascii="Times New Roman" w:hAnsi="Times New Roman"/>
                <w:noProof/>
                <w:color w:val="000000"/>
                <w:sz w:val="20"/>
              </w:rPr>
              <w:t>Variations</w:t>
            </w:r>
          </w:p>
        </w:tc>
        <w:tc>
          <w:tcPr>
            <w:tcW w:w="1428" w:type="dxa"/>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val="fr-BE"/>
              </w:rPr>
            </w:pPr>
            <w:r>
              <w:rPr>
                <w:rFonts w:ascii="Times New Roman" w:hAnsi="Times New Roman"/>
                <w:noProof/>
                <w:color w:val="002060"/>
                <w:sz w:val="20"/>
                <w:lang w:val="fr-BE"/>
              </w:rPr>
              <w:t xml:space="preserve">Beaucoup plus faibles </w:t>
            </w:r>
            <w:r>
              <w:rPr>
                <w:rFonts w:ascii="Times New Roman" w:hAnsi="Times New Roman"/>
                <w:noProof/>
                <w:color w:val="002060"/>
                <w:sz w:val="20"/>
                <w:lang w:val="fr-BE"/>
              </w:rPr>
              <w:t>que la moyenne</w:t>
            </w:r>
          </w:p>
        </w:tc>
        <w:tc>
          <w:tcPr>
            <w:tcW w:w="1558" w:type="dxa"/>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val="fr-BE"/>
              </w:rPr>
            </w:pPr>
            <w:r>
              <w:rPr>
                <w:rFonts w:ascii="Times New Roman" w:hAnsi="Times New Roman"/>
                <w:noProof/>
                <w:color w:val="002060"/>
                <w:sz w:val="20"/>
                <w:lang w:val="fr-BE"/>
              </w:rPr>
              <w:t>Plus faibles que la moyenne</w:t>
            </w:r>
          </w:p>
        </w:tc>
        <w:tc>
          <w:tcPr>
            <w:tcW w:w="1428" w:type="dxa"/>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Correspondant à la moyenne</w:t>
            </w:r>
          </w:p>
        </w:tc>
        <w:tc>
          <w:tcPr>
            <w:tcW w:w="1428" w:type="dxa"/>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val="fr-BE"/>
              </w:rPr>
            </w:pPr>
            <w:r>
              <w:rPr>
                <w:rFonts w:ascii="Times New Roman" w:hAnsi="Times New Roman"/>
                <w:noProof/>
                <w:color w:val="002060"/>
                <w:sz w:val="20"/>
                <w:lang w:val="fr-BE"/>
              </w:rPr>
              <w:t>Plus élevées que la moyenne</w:t>
            </w:r>
          </w:p>
        </w:tc>
        <w:tc>
          <w:tcPr>
            <w:tcW w:w="1430" w:type="dxa"/>
            <w:hideMark/>
          </w:tcPr>
          <w:p w:rsidR="00723CC0" w:rsidRDefault="002420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lang w:val="fr-BE"/>
              </w:rPr>
            </w:pPr>
            <w:r>
              <w:rPr>
                <w:rFonts w:ascii="Times New Roman" w:hAnsi="Times New Roman"/>
                <w:noProof/>
                <w:color w:val="002060"/>
                <w:sz w:val="20"/>
                <w:lang w:val="fr-BE"/>
              </w:rPr>
              <w:t>Beaucoup plus élevées que la moyenne</w:t>
            </w:r>
          </w:p>
        </w:tc>
      </w:tr>
    </w:tbl>
    <w:p w:rsidR="00723CC0" w:rsidRDefault="00242021">
      <w:pPr>
        <w:jc w:val="both"/>
        <w:rPr>
          <w:rFonts w:ascii="Times New Roman" w:hAnsi="Times New Roman" w:cs="Times New Roman"/>
          <w:noProof/>
          <w:sz w:val="20"/>
          <w:lang w:val="fr-BE"/>
        </w:rPr>
      </w:pPr>
      <w:r>
        <w:rPr>
          <w:noProof/>
          <w:lang w:val="fr-BE"/>
        </w:rPr>
        <w:br w:type="page"/>
      </w:r>
      <w:r>
        <w:rPr>
          <w:rFonts w:ascii="Times New Roman" w:hAnsi="Times New Roman"/>
          <w:noProof/>
          <w:sz w:val="20"/>
          <w:lang w:val="fr-BE"/>
        </w:rPr>
        <w:t>Si l’on combine l’évaluation des niveaux et celle des variations, la performance générale d’un pays selon chaque indica</w:t>
      </w:r>
      <w:r>
        <w:rPr>
          <w:rFonts w:ascii="Times New Roman" w:hAnsi="Times New Roman"/>
          <w:noProof/>
          <w:sz w:val="20"/>
          <w:lang w:val="fr-BE"/>
        </w:rPr>
        <w:t xml:space="preserve">teur peut alors être rangée dans l’une des sept catégories suivantes. Le système de codes de couleur se retrouve dans les différents graphiques dans le corps du rapport. </w:t>
      </w:r>
    </w:p>
    <w:p w:rsidR="00723CC0" w:rsidRDefault="00242021">
      <w:pPr>
        <w:jc w:val="both"/>
        <w:rPr>
          <w:rFonts w:ascii="Times New Roman" w:hAnsi="Times New Roman" w:cs="Times New Roman"/>
          <w:noProof/>
          <w:sz w:val="20"/>
          <w:lang w:val="fr-BE"/>
        </w:rPr>
      </w:pPr>
      <w:r>
        <w:rPr>
          <w:rFonts w:ascii="Times New Roman" w:hAnsi="Times New Roman"/>
          <w:noProof/>
          <w:sz w:val="20"/>
          <w:lang w:val="fr-BE"/>
        </w:rPr>
        <w:t>Les tableaux ci-dessous indiquent la classification fondée sur les cotes z pour les i</w:t>
      </w:r>
      <w:r>
        <w:rPr>
          <w:rFonts w:ascii="Times New Roman" w:hAnsi="Times New Roman"/>
          <w:noProof/>
          <w:sz w:val="20"/>
          <w:lang w:val="fr-BE"/>
        </w:rPr>
        <w:t xml:space="preserve">ndicateurs pour lesquels une </w:t>
      </w:r>
      <w:r>
        <w:rPr>
          <w:rFonts w:ascii="Times New Roman" w:hAnsi="Times New Roman"/>
          <w:noProof/>
          <w:sz w:val="20"/>
          <w:u w:val="single"/>
          <w:lang w:val="fr-BE"/>
        </w:rPr>
        <w:t>valeur faible</w:t>
      </w:r>
      <w:r>
        <w:rPr>
          <w:rFonts w:ascii="Times New Roman" w:hAnsi="Times New Roman"/>
          <w:noProof/>
          <w:sz w:val="20"/>
          <w:lang w:val="fr-BE"/>
        </w:rPr>
        <w:t xml:space="preserve"> est considérée comme une </w:t>
      </w:r>
      <w:r>
        <w:rPr>
          <w:rFonts w:ascii="Times New Roman" w:hAnsi="Times New Roman"/>
          <w:noProof/>
          <w:sz w:val="20"/>
          <w:u w:val="single"/>
          <w:lang w:val="fr-BE"/>
        </w:rPr>
        <w:t>bonne performance</w:t>
      </w:r>
      <w:r>
        <w:rPr>
          <w:rFonts w:ascii="Times New Roman" w:hAnsi="Times New Roman"/>
          <w:noProof/>
          <w:sz w:val="20"/>
          <w:lang w:val="fr-BE"/>
        </w:rPr>
        <w:t xml:space="preserve"> (par exemple le taux de chômage, de pauvreté ou d’exclusion sociale, etc.). </w:t>
      </w:r>
    </w:p>
    <w:tbl>
      <w:tblPr>
        <w:tblStyle w:val="TableGrid"/>
        <w:tblW w:w="0" w:type="auto"/>
        <w:tblLook w:val="04A0" w:firstRow="1" w:lastRow="0" w:firstColumn="1" w:lastColumn="0" w:noHBand="0" w:noVBand="1"/>
      </w:tblPr>
      <w:tblGrid>
        <w:gridCol w:w="2044"/>
        <w:gridCol w:w="3564"/>
        <w:gridCol w:w="3680"/>
      </w:tblGrid>
      <w:tr w:rsidR="00723CC0">
        <w:tc>
          <w:tcPr>
            <w:tcW w:w="2508" w:type="dxa"/>
            <w:shd w:val="clear" w:color="auto" w:fill="00B050"/>
          </w:tcPr>
          <w:p w:rsidR="00723CC0" w:rsidRDefault="00242021">
            <w:pPr>
              <w:rPr>
                <w:rFonts w:ascii="Times New Roman" w:hAnsi="Times New Roman" w:cs="Times New Roman"/>
                <w:noProof/>
                <w:sz w:val="20"/>
                <w:szCs w:val="20"/>
              </w:rPr>
            </w:pPr>
            <w:r>
              <w:rPr>
                <w:rFonts w:ascii="Times New Roman" w:hAnsi="Times New Roman"/>
                <w:b/>
                <w:noProof/>
                <w:sz w:val="20"/>
              </w:rPr>
              <w:t>Meilleurs éléments</w:t>
            </w:r>
            <w:r>
              <w:rPr>
                <w:rFonts w:ascii="Times New Roman" w:hAnsi="Times New Roman"/>
                <w:noProof/>
                <w:sz w:val="20"/>
              </w:rPr>
              <w:t xml:space="preserve"> </w:t>
            </w:r>
          </w:p>
        </w:tc>
        <w:tc>
          <w:tcPr>
            <w:tcW w:w="5640" w:type="dxa"/>
            <w:shd w:val="clear" w:color="auto" w:fill="00B05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cote inférieure à -1,0 pour les niveaux et à 1,0 pour les variations</w:t>
            </w:r>
          </w:p>
        </w:tc>
        <w:tc>
          <w:tcPr>
            <w:tcW w:w="5640" w:type="dxa"/>
            <w:shd w:val="clear" w:color="auto" w:fill="00B05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États membres dont les niveaux sont nettement supérieurs à la moyenne de l’UE et dont la situation s’améliore ou ne se détériore pas beaucoup plus vite que la moyenne de l’UE</w:t>
            </w:r>
          </w:p>
        </w:tc>
      </w:tr>
      <w:tr w:rsidR="00723CC0">
        <w:tc>
          <w:tcPr>
            <w:tcW w:w="2508" w:type="dxa"/>
            <w:shd w:val="clear" w:color="auto" w:fill="92D050"/>
          </w:tcPr>
          <w:p w:rsidR="00723CC0" w:rsidRDefault="00242021">
            <w:pPr>
              <w:rPr>
                <w:rFonts w:ascii="Times New Roman" w:hAnsi="Times New Roman" w:cs="Times New Roman"/>
                <w:noProof/>
                <w:sz w:val="20"/>
                <w:szCs w:val="20"/>
              </w:rPr>
            </w:pPr>
            <w:r>
              <w:rPr>
                <w:rFonts w:ascii="Times New Roman" w:hAnsi="Times New Roman"/>
                <w:b/>
                <w:noProof/>
                <w:sz w:val="20"/>
              </w:rPr>
              <w:t>Mieux que la moyenne</w:t>
            </w:r>
          </w:p>
        </w:tc>
        <w:tc>
          <w:tcPr>
            <w:tcW w:w="5640" w:type="dxa"/>
            <w:shd w:val="clear" w:color="auto" w:fill="92D05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 xml:space="preserve">cote comprise entre -1,0 et -0,5 pour les niveaux et inférieure à 1 pour les variations </w:t>
            </w:r>
            <w:r>
              <w:rPr>
                <w:rFonts w:ascii="Times New Roman" w:hAnsi="Times New Roman"/>
                <w:noProof/>
                <w:sz w:val="20"/>
                <w:u w:val="single"/>
                <w:lang w:val="fr-BE"/>
              </w:rPr>
              <w:t>ou</w:t>
            </w:r>
            <w:r>
              <w:rPr>
                <w:rFonts w:ascii="Times New Roman" w:hAnsi="Times New Roman"/>
                <w:noProof/>
                <w:sz w:val="20"/>
                <w:lang w:val="fr-BE"/>
              </w:rPr>
              <w:t xml:space="preserve"> cote comprise entre -0,5 et 0,5 pour les niveaux et inférieure à -1,0 pour les variations</w:t>
            </w:r>
          </w:p>
        </w:tc>
        <w:tc>
          <w:tcPr>
            <w:tcW w:w="5640" w:type="dxa"/>
            <w:shd w:val="clear" w:color="auto" w:fill="92D05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États membres dont les niveaux sont supérieurs à la moyenne de l’UE et dont</w:t>
            </w:r>
            <w:r>
              <w:rPr>
                <w:rFonts w:ascii="Times New Roman" w:hAnsi="Times New Roman"/>
                <w:noProof/>
                <w:sz w:val="20"/>
                <w:lang w:val="fr-BE"/>
              </w:rPr>
              <w:t xml:space="preserve"> la situation s’améliore ou ne se détériore pas beaucoup plus vite que la moyenne de l’UE</w:t>
            </w:r>
          </w:p>
        </w:tc>
      </w:tr>
      <w:tr w:rsidR="00723CC0">
        <w:tc>
          <w:tcPr>
            <w:tcW w:w="2508" w:type="dxa"/>
            <w:shd w:val="clear" w:color="auto" w:fill="4F81BD" w:themeFill="accent1"/>
          </w:tcPr>
          <w:p w:rsidR="00723CC0" w:rsidRDefault="00242021">
            <w:pPr>
              <w:rPr>
                <w:rFonts w:ascii="Times New Roman" w:hAnsi="Times New Roman" w:cs="Times New Roman"/>
                <w:noProof/>
                <w:sz w:val="20"/>
                <w:szCs w:val="20"/>
              </w:rPr>
            </w:pPr>
            <w:r>
              <w:rPr>
                <w:rFonts w:ascii="Times New Roman" w:hAnsi="Times New Roman"/>
                <w:b/>
                <w:noProof/>
                <w:sz w:val="20"/>
              </w:rPr>
              <w:t>Bien, mais à surveiller</w:t>
            </w:r>
          </w:p>
        </w:tc>
        <w:tc>
          <w:tcPr>
            <w:tcW w:w="5640" w:type="dxa"/>
            <w:shd w:val="clear" w:color="auto" w:fill="4F81BD" w:themeFill="accent1"/>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 xml:space="preserve">cote inférieure à -0,5 pour les niveaux et supérieure à 1,0 pour les variations </w:t>
            </w:r>
            <w:r>
              <w:rPr>
                <w:rFonts w:ascii="Times New Roman" w:hAnsi="Times New Roman"/>
                <w:i/>
                <w:noProof/>
                <w:sz w:val="20"/>
                <w:lang w:val="fr-BE"/>
              </w:rPr>
              <w:t>et</w:t>
            </w:r>
            <w:r>
              <w:rPr>
                <w:rFonts w:ascii="Times New Roman" w:hAnsi="Times New Roman"/>
                <w:noProof/>
                <w:sz w:val="20"/>
                <w:lang w:val="fr-BE"/>
              </w:rPr>
              <w:t xml:space="preserve"> présence d’une variation supérieure à zéro</w:t>
            </w:r>
            <w:r>
              <w:rPr>
                <w:rStyle w:val="FootnoteReference"/>
                <w:rFonts w:ascii="Times New Roman" w:hAnsi="Times New Roman"/>
                <w:noProof/>
                <w:sz w:val="20"/>
              </w:rPr>
              <w:footnoteReference w:id="124"/>
            </w:r>
          </w:p>
        </w:tc>
        <w:tc>
          <w:tcPr>
            <w:tcW w:w="5640" w:type="dxa"/>
            <w:shd w:val="clear" w:color="auto" w:fill="4F81BD" w:themeFill="accent1"/>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 xml:space="preserve">États membres </w:t>
            </w:r>
            <w:r>
              <w:rPr>
                <w:rFonts w:ascii="Times New Roman" w:hAnsi="Times New Roman"/>
                <w:noProof/>
                <w:sz w:val="20"/>
                <w:lang w:val="fr-BE"/>
              </w:rPr>
              <w:t>dont les niveaux sont supérieurs ou nettement supérieurs à la moyenne de l’UE mais dont la situation se détériore beaucoup plus vite que la moyenne de l’UE</w:t>
            </w:r>
          </w:p>
        </w:tc>
      </w:tr>
      <w:tr w:rsidR="00723CC0">
        <w:tc>
          <w:tcPr>
            <w:tcW w:w="2508" w:type="dxa"/>
          </w:tcPr>
          <w:p w:rsidR="00723CC0" w:rsidRDefault="00242021">
            <w:pPr>
              <w:rPr>
                <w:rFonts w:ascii="Times New Roman" w:hAnsi="Times New Roman" w:cs="Times New Roman"/>
                <w:noProof/>
                <w:sz w:val="20"/>
                <w:szCs w:val="20"/>
                <w:lang w:val="fr-BE"/>
              </w:rPr>
            </w:pPr>
            <w:r>
              <w:rPr>
                <w:rFonts w:ascii="Times New Roman" w:hAnsi="Times New Roman"/>
                <w:b/>
                <w:noProof/>
                <w:sz w:val="20"/>
                <w:lang w:val="fr-BE"/>
              </w:rPr>
              <w:t>Autour de la moyenne / neutre</w:t>
            </w:r>
          </w:p>
        </w:tc>
        <w:tc>
          <w:tcPr>
            <w:tcW w:w="5640" w:type="dxa"/>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 xml:space="preserve">cote comprise entre -0,5 et 0,5 pour les niveaux et -1,0 et 1,0 pour </w:t>
            </w:r>
            <w:r>
              <w:rPr>
                <w:rFonts w:ascii="Times New Roman" w:hAnsi="Times New Roman"/>
                <w:noProof/>
                <w:sz w:val="20"/>
                <w:lang w:val="fr-BE"/>
              </w:rPr>
              <w:t>les variations</w:t>
            </w:r>
          </w:p>
        </w:tc>
        <w:tc>
          <w:tcPr>
            <w:tcW w:w="5640" w:type="dxa"/>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États membres dont les niveaux se situent autour de la moyenne et dont la situation ne s’améliore, ni ne se détériore pas plus vite que la moyenne de l’UE</w:t>
            </w:r>
          </w:p>
        </w:tc>
      </w:tr>
      <w:tr w:rsidR="00723CC0">
        <w:tc>
          <w:tcPr>
            <w:tcW w:w="2508" w:type="dxa"/>
            <w:shd w:val="clear" w:color="auto" w:fill="FFFF00"/>
          </w:tcPr>
          <w:p w:rsidR="00723CC0" w:rsidRDefault="00242021">
            <w:pPr>
              <w:rPr>
                <w:rFonts w:ascii="Times New Roman" w:hAnsi="Times New Roman" w:cs="Times New Roman"/>
                <w:noProof/>
                <w:sz w:val="20"/>
                <w:szCs w:val="20"/>
                <w:lang w:val="fr-BE"/>
              </w:rPr>
            </w:pPr>
            <w:r>
              <w:rPr>
                <w:rFonts w:ascii="Times New Roman" w:hAnsi="Times New Roman"/>
                <w:b/>
                <w:noProof/>
                <w:sz w:val="20"/>
                <w:lang w:val="fr-BE"/>
              </w:rPr>
              <w:t>Faible mais en voie d’amélioration</w:t>
            </w:r>
          </w:p>
        </w:tc>
        <w:tc>
          <w:tcPr>
            <w:tcW w:w="5640" w:type="dxa"/>
            <w:shd w:val="clear" w:color="auto" w:fill="FFFF0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cote supérieure à 0,5 pour les niveaux et inférieu</w:t>
            </w:r>
            <w:r>
              <w:rPr>
                <w:rFonts w:ascii="Times New Roman" w:hAnsi="Times New Roman"/>
                <w:noProof/>
                <w:sz w:val="20"/>
                <w:lang w:val="fr-BE"/>
              </w:rPr>
              <w:t>re à -1,0 pour les variations</w:t>
            </w:r>
          </w:p>
        </w:tc>
        <w:tc>
          <w:tcPr>
            <w:tcW w:w="5640" w:type="dxa"/>
            <w:shd w:val="clear" w:color="auto" w:fill="FFFF0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États membres dont les niveaux sont inférieurs ou très inférieurs à la moyenne de l’UE mais dont la situation s’améliore beaucoup plus vite que la moyenne de l’UE</w:t>
            </w:r>
          </w:p>
        </w:tc>
      </w:tr>
      <w:tr w:rsidR="00723CC0">
        <w:tc>
          <w:tcPr>
            <w:tcW w:w="2508" w:type="dxa"/>
            <w:shd w:val="clear" w:color="auto" w:fill="FFC000"/>
          </w:tcPr>
          <w:p w:rsidR="00723CC0" w:rsidRDefault="00242021">
            <w:pPr>
              <w:rPr>
                <w:rFonts w:ascii="Times New Roman" w:hAnsi="Times New Roman" w:cs="Times New Roman"/>
                <w:noProof/>
                <w:sz w:val="20"/>
                <w:szCs w:val="20"/>
              </w:rPr>
            </w:pPr>
            <w:r>
              <w:rPr>
                <w:rFonts w:ascii="Times New Roman" w:hAnsi="Times New Roman"/>
                <w:b/>
                <w:noProof/>
                <w:sz w:val="20"/>
              </w:rPr>
              <w:t>À surveiller</w:t>
            </w:r>
          </w:p>
        </w:tc>
        <w:tc>
          <w:tcPr>
            <w:tcW w:w="5640" w:type="dxa"/>
            <w:shd w:val="clear" w:color="auto" w:fill="FFC00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 xml:space="preserve">cote comprise entre 0,5 et 1,0 pour les niveaux et supérieure à -1,0 pour les variations </w:t>
            </w:r>
            <w:r>
              <w:rPr>
                <w:rFonts w:ascii="Times New Roman" w:hAnsi="Times New Roman"/>
                <w:noProof/>
                <w:sz w:val="20"/>
                <w:u w:val="single"/>
                <w:lang w:val="fr-BE"/>
              </w:rPr>
              <w:t>ou</w:t>
            </w:r>
            <w:r>
              <w:rPr>
                <w:rFonts w:ascii="Times New Roman" w:hAnsi="Times New Roman"/>
                <w:noProof/>
                <w:sz w:val="20"/>
                <w:lang w:val="fr-BE"/>
              </w:rPr>
              <w:t xml:space="preserve"> cote comprise entre -0,5 et 0,5 pour les niveaux et supérieure à 1,0 pour les variations (</w:t>
            </w:r>
            <w:r>
              <w:rPr>
                <w:rFonts w:ascii="Times New Roman" w:hAnsi="Times New Roman"/>
                <w:i/>
                <w:noProof/>
                <w:sz w:val="20"/>
                <w:lang w:val="fr-BE"/>
              </w:rPr>
              <w:t>et</w:t>
            </w:r>
            <w:r>
              <w:rPr>
                <w:rFonts w:ascii="Times New Roman" w:hAnsi="Times New Roman"/>
                <w:noProof/>
                <w:sz w:val="20"/>
                <w:lang w:val="fr-BE"/>
              </w:rPr>
              <w:t xml:space="preserve"> présence d’une variation supérieure à zéro</w:t>
            </w:r>
            <w:r>
              <w:rPr>
                <w:rStyle w:val="FootnoteReference"/>
                <w:rFonts w:ascii="Times New Roman" w:hAnsi="Times New Roman"/>
                <w:noProof/>
                <w:sz w:val="20"/>
              </w:rPr>
              <w:footnoteReference w:id="125"/>
            </w:r>
            <w:r>
              <w:rPr>
                <w:rFonts w:ascii="Times New Roman" w:hAnsi="Times New Roman"/>
                <w:noProof/>
                <w:sz w:val="20"/>
                <w:lang w:val="fr-BE"/>
              </w:rPr>
              <w:t>)</w:t>
            </w:r>
          </w:p>
        </w:tc>
        <w:tc>
          <w:tcPr>
            <w:tcW w:w="5640" w:type="dxa"/>
            <w:shd w:val="clear" w:color="auto" w:fill="FFC00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 xml:space="preserve">Cette catégorie rassemble </w:t>
            </w:r>
            <w:r>
              <w:rPr>
                <w:rFonts w:ascii="Times New Roman" w:hAnsi="Times New Roman"/>
                <w:noProof/>
                <w:sz w:val="20"/>
                <w:lang w:val="fr-BE"/>
              </w:rPr>
              <w:t>deux cas de figure distincts: i) États membres dont les niveaux sont inférieurs à la moyenne de l’UE et dont la situation se détériore ou ne s’améliore pas suffisamment vite et ii) États membres dont les niveaux se situent dans la moyenne de l’UE mais dont</w:t>
            </w:r>
            <w:r>
              <w:rPr>
                <w:rFonts w:ascii="Times New Roman" w:hAnsi="Times New Roman"/>
                <w:noProof/>
                <w:sz w:val="20"/>
                <w:lang w:val="fr-BE"/>
              </w:rPr>
              <w:t xml:space="preserve"> la situation se détériore nettement plus vite que la moyenne de l’UE</w:t>
            </w:r>
          </w:p>
        </w:tc>
      </w:tr>
      <w:tr w:rsidR="00723CC0">
        <w:tc>
          <w:tcPr>
            <w:tcW w:w="2508" w:type="dxa"/>
            <w:shd w:val="clear" w:color="auto" w:fill="FF0000"/>
          </w:tcPr>
          <w:p w:rsidR="00723CC0" w:rsidRDefault="00242021">
            <w:pPr>
              <w:rPr>
                <w:rFonts w:ascii="Times New Roman" w:hAnsi="Times New Roman" w:cs="Times New Roman"/>
                <w:noProof/>
                <w:sz w:val="20"/>
                <w:szCs w:val="20"/>
              </w:rPr>
            </w:pPr>
            <w:r>
              <w:rPr>
                <w:rFonts w:ascii="Times New Roman" w:hAnsi="Times New Roman"/>
                <w:b/>
                <w:noProof/>
                <w:sz w:val="20"/>
              </w:rPr>
              <w:t>Situations critiques</w:t>
            </w:r>
          </w:p>
        </w:tc>
        <w:tc>
          <w:tcPr>
            <w:tcW w:w="5640" w:type="dxa"/>
            <w:shd w:val="clear" w:color="auto" w:fill="FF000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cote supérieure à 1,0 pour les niveaux et à -1,0 pour les variations</w:t>
            </w:r>
          </w:p>
        </w:tc>
        <w:tc>
          <w:tcPr>
            <w:tcW w:w="5640" w:type="dxa"/>
            <w:shd w:val="clear" w:color="auto" w:fill="FF000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 xml:space="preserve">États membres dont les niveaux sont nettement inférieurs à la moyenne de l’UE et dont la </w:t>
            </w:r>
            <w:r>
              <w:rPr>
                <w:rFonts w:ascii="Times New Roman" w:hAnsi="Times New Roman"/>
                <w:noProof/>
                <w:sz w:val="20"/>
                <w:lang w:val="fr-BE"/>
              </w:rPr>
              <w:t>situation se détériore ou ne s’améliore pas avec suffisamment de rapidité</w:t>
            </w:r>
          </w:p>
        </w:tc>
      </w:tr>
    </w:tbl>
    <w:p w:rsidR="00723CC0" w:rsidRDefault="00723CC0">
      <w:pPr>
        <w:jc w:val="both"/>
        <w:rPr>
          <w:rFonts w:ascii="Times New Roman" w:hAnsi="Times New Roman" w:cs="Times New Roman"/>
          <w:noProof/>
          <w:sz w:val="20"/>
          <w:szCs w:val="20"/>
          <w:lang w:val="fr-BE"/>
        </w:rPr>
      </w:pPr>
    </w:p>
    <w:p w:rsidR="00723CC0" w:rsidRDefault="00242021">
      <w:pPr>
        <w:rPr>
          <w:rFonts w:ascii="Times New Roman" w:hAnsi="Times New Roman" w:cs="Times New Roman"/>
          <w:noProof/>
          <w:sz w:val="24"/>
          <w:szCs w:val="24"/>
        </w:rPr>
      </w:pPr>
      <w:r>
        <w:rPr>
          <w:noProof/>
          <w:lang w:val="en-GB" w:eastAsia="en-GB" w:bidi="ar-SA"/>
        </w:rPr>
        <w:drawing>
          <wp:inline distT="0" distB="0" distL="0" distR="0">
            <wp:extent cx="5760720" cy="1472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8" cstate="email">
                      <a:extLst>
                        <a:ext uri="{28A0092B-C50C-407E-A947-70E740481C1C}">
                          <a14:useLocalDpi xmlns:a14="http://schemas.microsoft.com/office/drawing/2010/main" val="0"/>
                        </a:ext>
                      </a:extLst>
                    </a:blip>
                    <a:srcRect/>
                    <a:stretch>
                      <a:fillRect/>
                    </a:stretch>
                  </pic:blipFill>
                  <pic:spPr bwMode="auto">
                    <a:xfrm>
                      <a:off x="0" y="0"/>
                      <a:ext cx="5760720" cy="1472000"/>
                    </a:xfrm>
                    <a:prstGeom prst="rect">
                      <a:avLst/>
                    </a:prstGeom>
                    <a:noFill/>
                    <a:ln>
                      <a:noFill/>
                    </a:ln>
                  </pic:spPr>
                </pic:pic>
              </a:graphicData>
            </a:graphic>
          </wp:inline>
        </w:drawing>
      </w:r>
    </w:p>
    <w:p w:rsidR="00723CC0" w:rsidRDefault="00242021">
      <w:pPr>
        <w:jc w:val="both"/>
        <w:rPr>
          <w:rFonts w:ascii="Times New Roman" w:hAnsi="Times New Roman" w:cs="Times New Roman"/>
          <w:noProof/>
          <w:sz w:val="20"/>
          <w:lang w:val="fr-BE"/>
        </w:rPr>
      </w:pPr>
      <w:r>
        <w:rPr>
          <w:rFonts w:ascii="Times New Roman" w:hAnsi="Times New Roman"/>
          <w:noProof/>
          <w:sz w:val="20"/>
          <w:lang w:val="fr-BE"/>
        </w:rPr>
        <w:t xml:space="preserve">Les tableaux ci-dessous indiquent la classification fondée sur les cotes z pour les indicateurs pour lesquels une </w:t>
      </w:r>
      <w:r>
        <w:rPr>
          <w:rFonts w:ascii="Times New Roman" w:hAnsi="Times New Roman"/>
          <w:noProof/>
          <w:sz w:val="20"/>
          <w:u w:val="single"/>
          <w:lang w:val="fr-BE"/>
        </w:rPr>
        <w:t>valeur élevée</w:t>
      </w:r>
      <w:r>
        <w:rPr>
          <w:rFonts w:ascii="Times New Roman" w:hAnsi="Times New Roman"/>
          <w:noProof/>
          <w:sz w:val="20"/>
          <w:lang w:val="fr-BE"/>
        </w:rPr>
        <w:t xml:space="preserve"> est considérée comme une </w:t>
      </w:r>
      <w:r>
        <w:rPr>
          <w:rFonts w:ascii="Times New Roman" w:hAnsi="Times New Roman"/>
          <w:noProof/>
          <w:sz w:val="20"/>
          <w:u w:val="single"/>
          <w:lang w:val="fr-BE"/>
        </w:rPr>
        <w:t>bonne performance</w:t>
      </w:r>
      <w:r>
        <w:rPr>
          <w:rFonts w:ascii="Times New Roman" w:hAnsi="Times New Roman"/>
          <w:noProof/>
          <w:sz w:val="20"/>
          <w:lang w:val="fr-BE"/>
        </w:rPr>
        <w:t xml:space="preserve"> (par exemple le taux d’emploi, la participation à l’accueil des enfants, etc.). </w:t>
      </w:r>
    </w:p>
    <w:tbl>
      <w:tblPr>
        <w:tblStyle w:val="TableGrid"/>
        <w:tblW w:w="9451" w:type="dxa"/>
        <w:tblLook w:val="04A0" w:firstRow="1" w:lastRow="0" w:firstColumn="1" w:lastColumn="0" w:noHBand="0" w:noVBand="1"/>
      </w:tblPr>
      <w:tblGrid>
        <w:gridCol w:w="2080"/>
        <w:gridCol w:w="3626"/>
        <w:gridCol w:w="3745"/>
      </w:tblGrid>
      <w:tr w:rsidR="00723CC0">
        <w:trPr>
          <w:trHeight w:val="1227"/>
        </w:trPr>
        <w:tc>
          <w:tcPr>
            <w:tcW w:w="2080" w:type="dxa"/>
            <w:shd w:val="clear" w:color="auto" w:fill="00B050"/>
          </w:tcPr>
          <w:p w:rsidR="00723CC0" w:rsidRDefault="00242021">
            <w:pPr>
              <w:rPr>
                <w:rFonts w:ascii="Times New Roman" w:hAnsi="Times New Roman" w:cs="Times New Roman"/>
                <w:noProof/>
                <w:sz w:val="20"/>
                <w:szCs w:val="20"/>
              </w:rPr>
            </w:pPr>
            <w:r>
              <w:rPr>
                <w:rFonts w:ascii="Times New Roman" w:hAnsi="Times New Roman"/>
                <w:b/>
                <w:noProof/>
                <w:sz w:val="20"/>
              </w:rPr>
              <w:t>Meilleurs éléments</w:t>
            </w:r>
            <w:r>
              <w:rPr>
                <w:rFonts w:ascii="Times New Roman" w:hAnsi="Times New Roman"/>
                <w:noProof/>
                <w:sz w:val="20"/>
              </w:rPr>
              <w:t xml:space="preserve"> </w:t>
            </w:r>
          </w:p>
        </w:tc>
        <w:tc>
          <w:tcPr>
            <w:tcW w:w="3626" w:type="dxa"/>
            <w:shd w:val="clear" w:color="auto" w:fill="00B05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cote supérieure à 1,0 pour les niveaux et à -1,0 pour les variations</w:t>
            </w:r>
          </w:p>
        </w:tc>
        <w:tc>
          <w:tcPr>
            <w:tcW w:w="3745" w:type="dxa"/>
            <w:shd w:val="clear" w:color="auto" w:fill="00B05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États membres dont les niveaux sont nettement supérieurs à la moyenne de l’UE et dont</w:t>
            </w:r>
            <w:r>
              <w:rPr>
                <w:rFonts w:ascii="Times New Roman" w:hAnsi="Times New Roman"/>
                <w:noProof/>
                <w:sz w:val="20"/>
                <w:lang w:val="fr-BE"/>
              </w:rPr>
              <w:t xml:space="preserve"> la situation s’améliore ou ne se détériore pas beaucoup plus vite que la moyenne de l’UE</w:t>
            </w:r>
          </w:p>
        </w:tc>
      </w:tr>
      <w:tr w:rsidR="00723CC0">
        <w:trPr>
          <w:trHeight w:val="1213"/>
        </w:trPr>
        <w:tc>
          <w:tcPr>
            <w:tcW w:w="2080" w:type="dxa"/>
            <w:shd w:val="clear" w:color="auto" w:fill="92D050"/>
          </w:tcPr>
          <w:p w:rsidR="00723CC0" w:rsidRDefault="00242021">
            <w:pPr>
              <w:rPr>
                <w:rFonts w:ascii="Times New Roman" w:hAnsi="Times New Roman" w:cs="Times New Roman"/>
                <w:noProof/>
                <w:sz w:val="20"/>
                <w:szCs w:val="20"/>
              </w:rPr>
            </w:pPr>
            <w:r>
              <w:rPr>
                <w:rFonts w:ascii="Times New Roman" w:hAnsi="Times New Roman"/>
                <w:b/>
                <w:noProof/>
                <w:sz w:val="20"/>
              </w:rPr>
              <w:t>Mieux que la moyenne</w:t>
            </w:r>
          </w:p>
        </w:tc>
        <w:tc>
          <w:tcPr>
            <w:tcW w:w="3626" w:type="dxa"/>
            <w:shd w:val="clear" w:color="auto" w:fill="92D05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 xml:space="preserve">cote comprise entre 1,0 et 0,5 pour les niveaux et supérieure à -1,0 pour les variations </w:t>
            </w:r>
            <w:r>
              <w:rPr>
                <w:rFonts w:ascii="Times New Roman" w:hAnsi="Times New Roman"/>
                <w:noProof/>
                <w:sz w:val="20"/>
                <w:u w:val="single"/>
                <w:lang w:val="fr-BE"/>
              </w:rPr>
              <w:t>ou</w:t>
            </w:r>
            <w:r>
              <w:rPr>
                <w:rFonts w:ascii="Times New Roman" w:hAnsi="Times New Roman"/>
                <w:noProof/>
                <w:sz w:val="20"/>
                <w:lang w:val="fr-BE"/>
              </w:rPr>
              <w:t xml:space="preserve"> cote comprise entre -0,5 et 0,5 pour les niveaux et </w:t>
            </w:r>
            <w:r>
              <w:rPr>
                <w:rFonts w:ascii="Times New Roman" w:hAnsi="Times New Roman"/>
                <w:noProof/>
                <w:sz w:val="20"/>
                <w:lang w:val="fr-BE"/>
              </w:rPr>
              <w:t>supérieure à 1,0 pour les variations</w:t>
            </w:r>
          </w:p>
        </w:tc>
        <w:tc>
          <w:tcPr>
            <w:tcW w:w="3745" w:type="dxa"/>
            <w:shd w:val="clear" w:color="auto" w:fill="92D05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États membres dont les niveaux sont supérieurs à la moyenne de l’UE et dont la situation s’améliore ou ne se détériore pas beaucoup plus vite que la moyenne de l’UE</w:t>
            </w:r>
          </w:p>
        </w:tc>
      </w:tr>
      <w:tr w:rsidR="00723CC0">
        <w:trPr>
          <w:trHeight w:val="1227"/>
        </w:trPr>
        <w:tc>
          <w:tcPr>
            <w:tcW w:w="2080" w:type="dxa"/>
            <w:shd w:val="clear" w:color="auto" w:fill="4F81BD" w:themeFill="accent1"/>
          </w:tcPr>
          <w:p w:rsidR="00723CC0" w:rsidRDefault="00242021">
            <w:pPr>
              <w:rPr>
                <w:rFonts w:ascii="Times New Roman" w:hAnsi="Times New Roman" w:cs="Times New Roman"/>
                <w:noProof/>
                <w:sz w:val="20"/>
                <w:szCs w:val="20"/>
              </w:rPr>
            </w:pPr>
            <w:r>
              <w:rPr>
                <w:rFonts w:ascii="Times New Roman" w:hAnsi="Times New Roman"/>
                <w:b/>
                <w:noProof/>
                <w:sz w:val="20"/>
              </w:rPr>
              <w:t>Bien, mais à surveiller</w:t>
            </w:r>
          </w:p>
        </w:tc>
        <w:tc>
          <w:tcPr>
            <w:tcW w:w="3626" w:type="dxa"/>
            <w:shd w:val="clear" w:color="auto" w:fill="4F81BD" w:themeFill="accent1"/>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 xml:space="preserve">cote supérieure à 0,5 pour les niveaux et inférieure à -1,0 pour les variations </w:t>
            </w:r>
            <w:r>
              <w:rPr>
                <w:rFonts w:ascii="Times New Roman" w:hAnsi="Times New Roman"/>
                <w:i/>
                <w:noProof/>
                <w:sz w:val="20"/>
                <w:lang w:val="fr-BE"/>
              </w:rPr>
              <w:t>et</w:t>
            </w:r>
            <w:r>
              <w:rPr>
                <w:rFonts w:ascii="Times New Roman" w:hAnsi="Times New Roman"/>
                <w:noProof/>
                <w:sz w:val="20"/>
                <w:lang w:val="fr-BE"/>
              </w:rPr>
              <w:t xml:space="preserve"> présence d’une variation inférieure à zéro</w:t>
            </w:r>
            <w:r>
              <w:rPr>
                <w:rStyle w:val="FootnoteReference"/>
                <w:rFonts w:ascii="Times New Roman" w:hAnsi="Times New Roman"/>
                <w:noProof/>
                <w:sz w:val="20"/>
              </w:rPr>
              <w:footnoteReference w:id="126"/>
            </w:r>
          </w:p>
        </w:tc>
        <w:tc>
          <w:tcPr>
            <w:tcW w:w="3745" w:type="dxa"/>
            <w:shd w:val="clear" w:color="auto" w:fill="4F81BD" w:themeFill="accent1"/>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 xml:space="preserve">États membres dont les niveaux sont supérieurs ou nettement supérieurs à la moyenne de l’UE mais dont la situation se détériore </w:t>
            </w:r>
            <w:r>
              <w:rPr>
                <w:rFonts w:ascii="Times New Roman" w:hAnsi="Times New Roman"/>
                <w:noProof/>
                <w:sz w:val="20"/>
                <w:lang w:val="fr-BE"/>
              </w:rPr>
              <w:t>beaucoup plus vite que la moyenne de l’UE</w:t>
            </w:r>
          </w:p>
        </w:tc>
      </w:tr>
      <w:tr w:rsidR="00723CC0">
        <w:trPr>
          <w:trHeight w:val="973"/>
        </w:trPr>
        <w:tc>
          <w:tcPr>
            <w:tcW w:w="2080" w:type="dxa"/>
          </w:tcPr>
          <w:p w:rsidR="00723CC0" w:rsidRDefault="00242021">
            <w:pPr>
              <w:rPr>
                <w:rFonts w:ascii="Times New Roman" w:hAnsi="Times New Roman" w:cs="Times New Roman"/>
                <w:noProof/>
                <w:sz w:val="20"/>
                <w:szCs w:val="20"/>
                <w:lang w:val="fr-BE"/>
              </w:rPr>
            </w:pPr>
            <w:r>
              <w:rPr>
                <w:rFonts w:ascii="Times New Roman" w:hAnsi="Times New Roman"/>
                <w:b/>
                <w:noProof/>
                <w:sz w:val="20"/>
                <w:lang w:val="fr-BE"/>
              </w:rPr>
              <w:t>Autour de la moyenne / neutre</w:t>
            </w:r>
          </w:p>
        </w:tc>
        <w:tc>
          <w:tcPr>
            <w:tcW w:w="3626" w:type="dxa"/>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cote comprise entre -0,5 et 0,5 pour les niveaux et -1,0 et 1,0 pour les variations</w:t>
            </w:r>
          </w:p>
        </w:tc>
        <w:tc>
          <w:tcPr>
            <w:tcW w:w="3745" w:type="dxa"/>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 xml:space="preserve">États membres dont les niveaux se situent autour de la moyenne et dont la situation ne s’améliore, </w:t>
            </w:r>
            <w:r>
              <w:rPr>
                <w:rFonts w:ascii="Times New Roman" w:hAnsi="Times New Roman"/>
                <w:noProof/>
                <w:sz w:val="20"/>
                <w:lang w:val="fr-BE"/>
              </w:rPr>
              <w:t>ni ne se détériore pas plus vite que la moyenne de l’UE</w:t>
            </w:r>
          </w:p>
        </w:tc>
      </w:tr>
      <w:tr w:rsidR="00723CC0">
        <w:trPr>
          <w:trHeight w:val="1227"/>
        </w:trPr>
        <w:tc>
          <w:tcPr>
            <w:tcW w:w="2080" w:type="dxa"/>
            <w:shd w:val="clear" w:color="auto" w:fill="FFFF00"/>
          </w:tcPr>
          <w:p w:rsidR="00723CC0" w:rsidRDefault="00242021">
            <w:pPr>
              <w:rPr>
                <w:rFonts w:ascii="Times New Roman" w:hAnsi="Times New Roman" w:cs="Times New Roman"/>
                <w:noProof/>
                <w:sz w:val="20"/>
                <w:szCs w:val="20"/>
                <w:lang w:val="fr-BE"/>
              </w:rPr>
            </w:pPr>
            <w:r>
              <w:rPr>
                <w:rFonts w:ascii="Times New Roman" w:hAnsi="Times New Roman"/>
                <w:b/>
                <w:noProof/>
                <w:sz w:val="20"/>
                <w:lang w:val="fr-BE"/>
              </w:rPr>
              <w:t>Faible mais en voie d’amélioration</w:t>
            </w:r>
          </w:p>
        </w:tc>
        <w:tc>
          <w:tcPr>
            <w:tcW w:w="3626" w:type="dxa"/>
            <w:shd w:val="clear" w:color="auto" w:fill="FFFF0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cote inférieure à -0,5 pour les niveaux et supérieure à 1,0 pour les variations</w:t>
            </w:r>
          </w:p>
        </w:tc>
        <w:tc>
          <w:tcPr>
            <w:tcW w:w="3745" w:type="dxa"/>
            <w:shd w:val="clear" w:color="auto" w:fill="FFFF0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 xml:space="preserve">États membres dont les niveaux sont inférieurs ou très inférieurs à la moyenne de </w:t>
            </w:r>
            <w:r>
              <w:rPr>
                <w:rFonts w:ascii="Times New Roman" w:hAnsi="Times New Roman"/>
                <w:noProof/>
                <w:sz w:val="20"/>
                <w:lang w:val="fr-BE"/>
              </w:rPr>
              <w:t>l’UE mais dont la situation s’améliore beaucoup plus vite que la moyenne de l’UE</w:t>
            </w:r>
          </w:p>
        </w:tc>
      </w:tr>
      <w:tr w:rsidR="00723CC0">
        <w:trPr>
          <w:trHeight w:val="2200"/>
        </w:trPr>
        <w:tc>
          <w:tcPr>
            <w:tcW w:w="2080" w:type="dxa"/>
            <w:shd w:val="clear" w:color="auto" w:fill="FFC000"/>
          </w:tcPr>
          <w:p w:rsidR="00723CC0" w:rsidRDefault="00242021">
            <w:pPr>
              <w:rPr>
                <w:rFonts w:ascii="Times New Roman" w:hAnsi="Times New Roman" w:cs="Times New Roman"/>
                <w:noProof/>
                <w:sz w:val="20"/>
                <w:szCs w:val="20"/>
              </w:rPr>
            </w:pPr>
            <w:r>
              <w:rPr>
                <w:rFonts w:ascii="Times New Roman" w:hAnsi="Times New Roman"/>
                <w:b/>
                <w:noProof/>
                <w:sz w:val="20"/>
              </w:rPr>
              <w:t>À surveiller</w:t>
            </w:r>
          </w:p>
        </w:tc>
        <w:tc>
          <w:tcPr>
            <w:tcW w:w="3626" w:type="dxa"/>
            <w:shd w:val="clear" w:color="auto" w:fill="FFC00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 xml:space="preserve">cote comprise entre -0,5 et -1,0 pour les niveaux et inférieure à 1,0 pour les variations </w:t>
            </w:r>
            <w:r>
              <w:rPr>
                <w:rFonts w:ascii="Times New Roman" w:hAnsi="Times New Roman"/>
                <w:noProof/>
                <w:sz w:val="20"/>
                <w:u w:val="single"/>
                <w:lang w:val="fr-BE"/>
              </w:rPr>
              <w:t>ou</w:t>
            </w:r>
            <w:r>
              <w:rPr>
                <w:rFonts w:ascii="Times New Roman" w:hAnsi="Times New Roman"/>
                <w:noProof/>
                <w:sz w:val="20"/>
                <w:lang w:val="fr-BE"/>
              </w:rPr>
              <w:t xml:space="preserve"> cote comprise entre -0,5 et 0,5 pour les niveaux et inférieure à -1,</w:t>
            </w:r>
            <w:r>
              <w:rPr>
                <w:rFonts w:ascii="Times New Roman" w:hAnsi="Times New Roman"/>
                <w:noProof/>
                <w:sz w:val="20"/>
                <w:lang w:val="fr-BE"/>
              </w:rPr>
              <w:t>0 pour les variations (</w:t>
            </w:r>
            <w:r>
              <w:rPr>
                <w:rFonts w:ascii="Times New Roman" w:hAnsi="Times New Roman"/>
                <w:i/>
                <w:noProof/>
                <w:sz w:val="20"/>
                <w:lang w:val="fr-BE"/>
              </w:rPr>
              <w:t>et</w:t>
            </w:r>
            <w:r>
              <w:rPr>
                <w:rFonts w:ascii="Times New Roman" w:hAnsi="Times New Roman"/>
                <w:noProof/>
                <w:sz w:val="20"/>
                <w:lang w:val="fr-BE"/>
              </w:rPr>
              <w:t xml:space="preserve"> présence d’une variation inférieure à zéro</w:t>
            </w:r>
            <w:r>
              <w:rPr>
                <w:rStyle w:val="FootnoteReference"/>
                <w:rFonts w:ascii="Times New Roman" w:hAnsi="Times New Roman"/>
                <w:noProof/>
                <w:sz w:val="20"/>
              </w:rPr>
              <w:footnoteReference w:id="127"/>
            </w:r>
            <w:r>
              <w:rPr>
                <w:rFonts w:ascii="Times New Roman" w:hAnsi="Times New Roman"/>
                <w:noProof/>
                <w:sz w:val="20"/>
                <w:lang w:val="fr-BE"/>
              </w:rPr>
              <w:t>)</w:t>
            </w:r>
          </w:p>
        </w:tc>
        <w:tc>
          <w:tcPr>
            <w:tcW w:w="3745" w:type="dxa"/>
            <w:shd w:val="clear" w:color="auto" w:fill="FFC00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Cette catégorie rassemble deux cas de figure distincts: i) États membres dont les niveaux sont inférieurs à la moyenne de l’UE et dont la situation se détériore ou ne s’améliore pas suf</w:t>
            </w:r>
            <w:r>
              <w:rPr>
                <w:rFonts w:ascii="Times New Roman" w:hAnsi="Times New Roman"/>
                <w:noProof/>
                <w:sz w:val="20"/>
                <w:lang w:val="fr-BE"/>
              </w:rPr>
              <w:t>fisamment vite et ii) États membres dont les niveaux se situent dans la moyenne de l’UE mais dont la situation se détériore nettement plus vite que la moyenne de l’UE</w:t>
            </w:r>
          </w:p>
        </w:tc>
      </w:tr>
      <w:tr w:rsidR="00723CC0">
        <w:trPr>
          <w:trHeight w:val="987"/>
        </w:trPr>
        <w:tc>
          <w:tcPr>
            <w:tcW w:w="2080" w:type="dxa"/>
            <w:shd w:val="clear" w:color="auto" w:fill="FF0000"/>
          </w:tcPr>
          <w:p w:rsidR="00723CC0" w:rsidRDefault="00242021">
            <w:pPr>
              <w:rPr>
                <w:rFonts w:ascii="Times New Roman" w:hAnsi="Times New Roman" w:cs="Times New Roman"/>
                <w:noProof/>
                <w:sz w:val="20"/>
                <w:szCs w:val="20"/>
              </w:rPr>
            </w:pPr>
            <w:r>
              <w:rPr>
                <w:rFonts w:ascii="Times New Roman" w:hAnsi="Times New Roman"/>
                <w:b/>
                <w:noProof/>
                <w:sz w:val="20"/>
              </w:rPr>
              <w:t>Situations critiques</w:t>
            </w:r>
          </w:p>
        </w:tc>
        <w:tc>
          <w:tcPr>
            <w:tcW w:w="3626" w:type="dxa"/>
            <w:shd w:val="clear" w:color="auto" w:fill="FF000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cote inférieure à 1,0 pour les niveaux et à 1,0 pour les variations</w:t>
            </w:r>
          </w:p>
        </w:tc>
        <w:tc>
          <w:tcPr>
            <w:tcW w:w="3745" w:type="dxa"/>
            <w:shd w:val="clear" w:color="auto" w:fill="FF0000"/>
          </w:tcPr>
          <w:p w:rsidR="00723CC0" w:rsidRDefault="00242021">
            <w:pPr>
              <w:jc w:val="both"/>
              <w:rPr>
                <w:rFonts w:ascii="Times New Roman" w:hAnsi="Times New Roman" w:cs="Times New Roman"/>
                <w:noProof/>
                <w:sz w:val="20"/>
                <w:szCs w:val="20"/>
                <w:lang w:val="fr-BE"/>
              </w:rPr>
            </w:pPr>
            <w:r>
              <w:rPr>
                <w:rFonts w:ascii="Times New Roman" w:hAnsi="Times New Roman"/>
                <w:noProof/>
                <w:sz w:val="20"/>
                <w:lang w:val="fr-BE"/>
              </w:rPr>
              <w:t>États membres dont les niveaux sont nettement inférieurs à la moyenne de l’UE et dont la situation se détériore ou ne s’améliore pas avec suffisamment de rapidité</w:t>
            </w:r>
          </w:p>
        </w:tc>
      </w:tr>
    </w:tbl>
    <w:p w:rsidR="00723CC0" w:rsidRDefault="00723CC0">
      <w:pPr>
        <w:rPr>
          <w:rFonts w:ascii="Times New Roman" w:hAnsi="Times New Roman" w:cs="Times New Roman"/>
          <w:b/>
          <w:i/>
          <w:noProof/>
          <w:sz w:val="24"/>
          <w:szCs w:val="24"/>
          <w:lang w:val="fr-BE"/>
        </w:rPr>
      </w:pPr>
    </w:p>
    <w:p w:rsidR="00723CC0" w:rsidRDefault="00242021">
      <w:pPr>
        <w:rPr>
          <w:rFonts w:ascii="Times New Roman" w:hAnsi="Times New Roman" w:cs="Times New Roman"/>
          <w:b/>
          <w:i/>
          <w:noProof/>
          <w:sz w:val="24"/>
          <w:szCs w:val="24"/>
        </w:rPr>
      </w:pPr>
      <w:r>
        <w:rPr>
          <w:noProof/>
          <w:lang w:val="en-GB" w:eastAsia="en-GB" w:bidi="ar-SA"/>
        </w:rPr>
        <w:drawing>
          <wp:inline distT="0" distB="0" distL="0" distR="0">
            <wp:extent cx="5760720" cy="1472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8" cstate="email">
                      <a:extLst>
                        <a:ext uri="{28A0092B-C50C-407E-A947-70E740481C1C}">
                          <a14:useLocalDpi xmlns:a14="http://schemas.microsoft.com/office/drawing/2010/main" val="0"/>
                        </a:ext>
                      </a:extLst>
                    </a:blip>
                    <a:srcRect/>
                    <a:stretch>
                      <a:fillRect/>
                    </a:stretch>
                  </pic:blipFill>
                  <pic:spPr bwMode="auto">
                    <a:xfrm>
                      <a:off x="0" y="0"/>
                      <a:ext cx="5760720" cy="1472000"/>
                    </a:xfrm>
                    <a:prstGeom prst="rect">
                      <a:avLst/>
                    </a:prstGeom>
                    <a:noFill/>
                    <a:ln>
                      <a:noFill/>
                    </a:ln>
                  </pic:spPr>
                </pic:pic>
              </a:graphicData>
            </a:graphic>
          </wp:inline>
        </w:drawing>
      </w:r>
    </w:p>
    <w:p w:rsidR="00723CC0" w:rsidRDefault="00723CC0">
      <w:pPr>
        <w:rPr>
          <w:rFonts w:ascii="Times New Roman" w:hAnsi="Times New Roman" w:cs="Times New Roman"/>
          <w:b/>
          <w:i/>
          <w:noProof/>
          <w:sz w:val="24"/>
          <w:szCs w:val="24"/>
        </w:rPr>
      </w:pPr>
    </w:p>
    <w:p w:rsidR="00723CC0" w:rsidRDefault="00723CC0">
      <w:pPr>
        <w:rPr>
          <w:rFonts w:ascii="Times New Roman" w:hAnsi="Times New Roman" w:cs="Times New Roman"/>
          <w:b/>
          <w:i/>
          <w:noProof/>
          <w:sz w:val="24"/>
          <w:szCs w:val="24"/>
        </w:rPr>
      </w:pPr>
    </w:p>
    <w:p w:rsidR="00723CC0" w:rsidRDefault="00723CC0">
      <w:pPr>
        <w:rPr>
          <w:rFonts w:ascii="Times New Roman" w:hAnsi="Times New Roman" w:cs="Times New Roman"/>
          <w:b/>
          <w:i/>
          <w:noProof/>
          <w:sz w:val="24"/>
          <w:szCs w:val="24"/>
        </w:rPr>
        <w:sectPr w:rsidR="00723CC0">
          <w:headerReference w:type="even" r:id="rId109"/>
          <w:headerReference w:type="default" r:id="rId110"/>
          <w:footerReference w:type="even" r:id="rId111"/>
          <w:footerReference w:type="default" r:id="rId112"/>
          <w:headerReference w:type="first" r:id="rId113"/>
          <w:footerReference w:type="first" r:id="rId114"/>
          <w:pgSz w:w="11906" w:h="16838"/>
          <w:pgMar w:top="1417" w:right="1417" w:bottom="1417" w:left="1417" w:header="708" w:footer="708" w:gutter="0"/>
          <w:cols w:space="708"/>
          <w:docGrid w:linePitch="360"/>
        </w:sectPr>
      </w:pPr>
    </w:p>
    <w:p w:rsidR="00723CC0" w:rsidRDefault="00242021">
      <w:pPr>
        <w:spacing w:after="0"/>
        <w:rPr>
          <w:rFonts w:ascii="Times New Roman" w:hAnsi="Times New Roman" w:cs="Times New Roman"/>
          <w:b/>
          <w:i/>
          <w:noProof/>
          <w:sz w:val="24"/>
          <w:szCs w:val="24"/>
          <w:lang w:val="fr-BE"/>
        </w:rPr>
      </w:pPr>
      <w:r>
        <w:rPr>
          <w:rFonts w:ascii="Times New Roman" w:hAnsi="Times New Roman"/>
          <w:b/>
          <w:i/>
          <w:noProof/>
          <w:sz w:val="24"/>
          <w:lang w:val="fr-BE"/>
        </w:rPr>
        <w:t xml:space="preserve">Tableau résumé des seuils </w:t>
      </w:r>
      <w:r>
        <w:rPr>
          <w:rFonts w:ascii="Times New Roman" w:hAnsi="Times New Roman"/>
          <w:b/>
          <w:i/>
          <w:noProof/>
          <w:sz w:val="24"/>
          <w:lang w:val="fr-BE"/>
        </w:rPr>
        <w:t>de démarcation</w:t>
      </w:r>
    </w:p>
    <w:tbl>
      <w:tblPr>
        <w:tblW w:w="131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045"/>
        <w:gridCol w:w="883"/>
        <w:gridCol w:w="1701"/>
        <w:gridCol w:w="1559"/>
        <w:gridCol w:w="1701"/>
        <w:gridCol w:w="1559"/>
        <w:gridCol w:w="1668"/>
      </w:tblGrid>
      <w:tr w:rsidR="00723CC0">
        <w:trPr>
          <w:trHeight w:val="409"/>
        </w:trPr>
        <w:tc>
          <w:tcPr>
            <w:tcW w:w="4045" w:type="dxa"/>
            <w:shd w:val="clear" w:color="auto" w:fill="auto"/>
            <w:vAlign w:val="center"/>
            <w:hideMark/>
          </w:tcPr>
          <w:p w:rsidR="00723CC0" w:rsidRDefault="00723CC0">
            <w:pPr>
              <w:spacing w:after="0" w:line="240" w:lineRule="auto"/>
              <w:rPr>
                <w:rFonts w:ascii="Times New Roman" w:eastAsia="Times New Roman" w:hAnsi="Times New Roman" w:cs="Times New Roman"/>
                <w:b/>
                <w:noProof/>
                <w:color w:val="000000"/>
                <w:sz w:val="20"/>
                <w:szCs w:val="20"/>
                <w:lang w:val="fr-BE"/>
              </w:rPr>
            </w:pPr>
          </w:p>
        </w:tc>
        <w:tc>
          <w:tcPr>
            <w:tcW w:w="883" w:type="dxa"/>
            <w:shd w:val="clear" w:color="auto" w:fill="auto"/>
            <w:noWrap/>
            <w:vAlign w:val="center"/>
            <w:hideMark/>
          </w:tcPr>
          <w:p w:rsidR="00723CC0" w:rsidRDefault="00723CC0">
            <w:pPr>
              <w:spacing w:after="0" w:line="240" w:lineRule="auto"/>
              <w:jc w:val="center"/>
              <w:rPr>
                <w:rFonts w:ascii="Times New Roman" w:eastAsia="Times New Roman" w:hAnsi="Times New Roman" w:cs="Times New Roman"/>
                <w:b/>
                <w:noProof/>
                <w:color w:val="000000"/>
                <w:sz w:val="20"/>
                <w:szCs w:val="20"/>
                <w:lang w:val="fr-BE"/>
              </w:rPr>
            </w:pP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Très faibles</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Faibles</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Correspondant à la moyenne</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Élevés</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Très élevés</w:t>
            </w:r>
          </w:p>
        </w:tc>
      </w:tr>
      <w:tr w:rsidR="00723CC0">
        <w:trPr>
          <w:trHeight w:hRule="exact" w:val="258"/>
        </w:trPr>
        <w:tc>
          <w:tcPr>
            <w:tcW w:w="4045" w:type="dxa"/>
            <w:vMerge w:val="restart"/>
            <w:shd w:val="clear" w:color="auto" w:fill="auto"/>
            <w:vAlign w:val="center"/>
            <w:hideMark/>
          </w:tcPr>
          <w:p w:rsidR="00723CC0" w:rsidRDefault="00242021">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color w:val="000000"/>
                <w:sz w:val="16"/>
                <w:lang w:val="fr-BE"/>
              </w:rPr>
              <w:t xml:space="preserve">Jeunes ayant quitté prématurément le système d’éducation et de formation </w:t>
            </w:r>
          </w:p>
          <w:p w:rsidR="00723CC0" w:rsidRDefault="00242021">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color w:val="000000"/>
                <w:sz w:val="16"/>
                <w:lang w:val="fr-BE"/>
              </w:rPr>
              <w:t>(% de la population des 18-24 ans)</w:t>
            </w: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5,4 %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7,4 %</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 xml:space="preserve">entre 7,4 % et </w:t>
            </w:r>
            <w:r>
              <w:rPr>
                <w:rFonts w:ascii="Times New Roman" w:hAnsi="Times New Roman"/>
                <w:noProof/>
                <w:color w:val="000000"/>
                <w:sz w:val="16"/>
              </w:rPr>
              <w:t>11,4 %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11,4 %</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13,4 %</w:t>
            </w:r>
          </w:p>
        </w:tc>
      </w:tr>
      <w:tr w:rsidR="00723CC0">
        <w:trPr>
          <w:trHeight w:hRule="exact" w:val="258"/>
        </w:trPr>
        <w:tc>
          <w:tcPr>
            <w:tcW w:w="4045" w:type="dxa"/>
            <w:vMerge/>
            <w:shd w:val="clear" w:color="auto" w:fill="auto"/>
            <w:vAlign w:val="center"/>
            <w:hideMark/>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-1,0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-0,5 pp</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-0,5 pp et 0,4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0,4 pp</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0,8 pp</w:t>
            </w:r>
          </w:p>
        </w:tc>
      </w:tr>
      <w:tr w:rsidR="00723CC0">
        <w:trPr>
          <w:trHeight w:hRule="exact" w:val="258"/>
        </w:trPr>
        <w:tc>
          <w:tcPr>
            <w:tcW w:w="4045" w:type="dxa"/>
            <w:vMerge w:val="restart"/>
            <w:shd w:val="clear" w:color="auto" w:fill="auto"/>
            <w:vAlign w:val="center"/>
            <w:hideMark/>
          </w:tcPr>
          <w:p w:rsidR="00723CC0" w:rsidRDefault="00242021">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color w:val="000000"/>
                <w:sz w:val="16"/>
                <w:lang w:val="fr-BE"/>
              </w:rPr>
              <w:t>Écart taux d’emploi hommes — femmes (pp)</w:t>
            </w: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5,2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7,8</w:t>
            </w:r>
            <w:r>
              <w:rPr>
                <w:rFonts w:ascii="Times New Roman" w:hAnsi="Times New Roman"/>
                <w:noProof/>
                <w:color w:val="000000"/>
                <w:sz w:val="16"/>
              </w:rPr>
              <w:t xml:space="preserve"> pp</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7,8 pp et 13,2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13,2 pp</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15,9 pp</w:t>
            </w:r>
          </w:p>
        </w:tc>
      </w:tr>
      <w:tr w:rsidR="00723CC0">
        <w:trPr>
          <w:trHeight w:hRule="exact" w:val="258"/>
        </w:trPr>
        <w:tc>
          <w:tcPr>
            <w:tcW w:w="4045" w:type="dxa"/>
            <w:vMerge/>
            <w:shd w:val="clear" w:color="auto" w:fill="auto"/>
            <w:vAlign w:val="center"/>
            <w:hideMark/>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-1,0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-0,5 pp</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-0,5 pp et 0,4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0,4 pp</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0,9 pp</w:t>
            </w:r>
          </w:p>
        </w:tc>
      </w:tr>
      <w:tr w:rsidR="00723CC0">
        <w:trPr>
          <w:trHeight w:hRule="exact" w:val="258"/>
        </w:trPr>
        <w:tc>
          <w:tcPr>
            <w:tcW w:w="4045" w:type="dxa"/>
            <w:vMerge w:val="restart"/>
            <w:shd w:val="clear" w:color="auto" w:fill="auto"/>
            <w:vAlign w:val="center"/>
            <w:hideMark/>
          </w:tcPr>
          <w:p w:rsidR="00723CC0" w:rsidRDefault="00242021">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Rapport interquintile de revenu (S80/S20)</w:t>
            </w: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w:t>
            </w:r>
            <w:r>
              <w:rPr>
                <w:rFonts w:ascii="Times New Roman" w:hAnsi="Times New Roman"/>
                <w:noProof/>
                <w:color w:val="000000"/>
                <w:sz w:val="16"/>
              </w:rPr>
              <w:t xml:space="preserve"> 3,7</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4,3</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4,3 et 5,6</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5,6</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6,2</w:t>
            </w:r>
          </w:p>
        </w:tc>
      </w:tr>
      <w:tr w:rsidR="00723CC0">
        <w:trPr>
          <w:trHeight w:hRule="exact" w:val="258"/>
        </w:trPr>
        <w:tc>
          <w:tcPr>
            <w:tcW w:w="4045" w:type="dxa"/>
            <w:vMerge/>
            <w:shd w:val="clear" w:color="auto" w:fill="auto"/>
            <w:vAlign w:val="center"/>
            <w:hideMark/>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-0,3</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-0,2</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-0,2 et 0,0</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0,0</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0,2</w:t>
            </w:r>
          </w:p>
        </w:tc>
      </w:tr>
      <w:tr w:rsidR="00723CC0">
        <w:trPr>
          <w:trHeight w:hRule="exact" w:val="258"/>
        </w:trPr>
        <w:tc>
          <w:tcPr>
            <w:tcW w:w="4045" w:type="dxa"/>
            <w:vMerge w:val="restart"/>
            <w:shd w:val="clear" w:color="auto" w:fill="auto"/>
            <w:vAlign w:val="center"/>
            <w:hideMark/>
          </w:tcPr>
          <w:p w:rsidR="00723CC0" w:rsidRDefault="00242021">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color w:val="000000"/>
                <w:sz w:val="16"/>
                <w:lang w:val="fr-BE"/>
              </w:rPr>
              <w:t>Risque de pauvreté ou d’exclusion sociale (%)</w:t>
            </w: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16,1 %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19,5 %</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19,5 % et 26,3 %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26,3 %</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29,7 %</w:t>
            </w:r>
          </w:p>
        </w:tc>
      </w:tr>
      <w:tr w:rsidR="00723CC0">
        <w:trPr>
          <w:trHeight w:hRule="exact" w:val="258"/>
        </w:trPr>
        <w:tc>
          <w:tcPr>
            <w:tcW w:w="4045" w:type="dxa"/>
            <w:vMerge/>
            <w:shd w:val="clear" w:color="auto" w:fill="auto"/>
            <w:vAlign w:val="center"/>
            <w:hideMark/>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-1,9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-1,4 pp</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-1,4 pp et -0,5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-0,5 pp</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0,0 pp</w:t>
            </w:r>
          </w:p>
        </w:tc>
      </w:tr>
      <w:tr w:rsidR="00723CC0">
        <w:trPr>
          <w:trHeight w:hRule="exact" w:val="258"/>
        </w:trPr>
        <w:tc>
          <w:tcPr>
            <w:tcW w:w="4045" w:type="dxa"/>
            <w:vMerge w:val="restart"/>
            <w:shd w:val="clear" w:color="auto" w:fill="auto"/>
            <w:vAlign w:val="center"/>
            <w:hideMark/>
          </w:tcPr>
          <w:p w:rsidR="00723CC0" w:rsidRDefault="00242021">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color w:val="000000"/>
                <w:sz w:val="16"/>
                <w:lang w:val="fr-BE"/>
              </w:rPr>
              <w:t xml:space="preserve">Jeunes NEET (% de la population totale âgée de </w:t>
            </w:r>
            <w:r>
              <w:rPr>
                <w:rFonts w:ascii="Times New Roman" w:hAnsi="Times New Roman"/>
                <w:b/>
                <w:noProof/>
                <w:color w:val="000000"/>
                <w:sz w:val="16"/>
                <w:lang w:val="fr-BE"/>
              </w:rPr>
              <w:t>15 à 24 ans)</w:t>
            </w: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6,5 %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8,4 %</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8,4 % et 12,3 %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12,3 %</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14,2 %</w:t>
            </w:r>
          </w:p>
        </w:tc>
      </w:tr>
      <w:tr w:rsidR="00723CC0">
        <w:trPr>
          <w:trHeight w:hRule="exact" w:val="258"/>
        </w:trPr>
        <w:tc>
          <w:tcPr>
            <w:tcW w:w="4045" w:type="dxa"/>
            <w:vMerge/>
            <w:shd w:val="clear" w:color="auto" w:fill="auto"/>
            <w:vAlign w:val="center"/>
            <w:hideMark/>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-1,5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-1,1 pp</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-1,1 pp et -0,2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-0,2 pp</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0,2 pp</w:t>
            </w:r>
          </w:p>
        </w:tc>
      </w:tr>
      <w:tr w:rsidR="00723CC0">
        <w:trPr>
          <w:trHeight w:hRule="exact" w:val="258"/>
        </w:trPr>
        <w:tc>
          <w:tcPr>
            <w:tcW w:w="4045" w:type="dxa"/>
            <w:vMerge w:val="restart"/>
            <w:shd w:val="clear" w:color="auto" w:fill="auto"/>
            <w:vAlign w:val="center"/>
            <w:hideMark/>
          </w:tcPr>
          <w:p w:rsidR="00723CC0" w:rsidRDefault="00242021">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color w:val="000000"/>
                <w:sz w:val="16"/>
                <w:lang w:val="fr-BE"/>
              </w:rPr>
              <w:t xml:space="preserve">Taux d’emploi (% de la population âgée de 20 à 64 ans) </w:t>
            </w: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67,0 %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69,8 %</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69,8 % et 75,3 %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75,3 %</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78,0 %</w:t>
            </w:r>
          </w:p>
        </w:tc>
      </w:tr>
      <w:tr w:rsidR="00723CC0">
        <w:trPr>
          <w:trHeight w:hRule="exact" w:val="258"/>
        </w:trPr>
        <w:tc>
          <w:tcPr>
            <w:tcW w:w="4045" w:type="dxa"/>
            <w:vMerge/>
            <w:shd w:val="clear" w:color="auto" w:fill="auto"/>
            <w:vAlign w:val="center"/>
            <w:hideMark/>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0,5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1,0 pp</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1,0 pp et 1,9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w:t>
            </w:r>
            <w:r>
              <w:rPr>
                <w:rFonts w:ascii="Times New Roman" w:hAnsi="Times New Roman"/>
                <w:noProof/>
                <w:color w:val="000000"/>
                <w:sz w:val="16"/>
              </w:rPr>
              <w:t xml:space="preserve"> à 1,9 pp</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2,4 pp</w:t>
            </w:r>
          </w:p>
        </w:tc>
      </w:tr>
      <w:tr w:rsidR="00723CC0">
        <w:trPr>
          <w:trHeight w:hRule="exact" w:val="258"/>
        </w:trPr>
        <w:tc>
          <w:tcPr>
            <w:tcW w:w="4045" w:type="dxa"/>
            <w:vMerge w:val="restart"/>
            <w:shd w:val="clear" w:color="auto" w:fill="auto"/>
            <w:vAlign w:val="center"/>
            <w:hideMark/>
          </w:tcPr>
          <w:p w:rsidR="00723CC0" w:rsidRDefault="00242021">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color w:val="000000"/>
                <w:sz w:val="16"/>
                <w:lang w:val="fr-BE"/>
              </w:rPr>
              <w:t xml:space="preserve">Taux de chômage (% de la population active âgée de 15 à 74 ans) </w:t>
            </w: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3,6 %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5,6 %</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5,6 % et 9,6 %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9,6 %</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11,7 %</w:t>
            </w:r>
          </w:p>
        </w:tc>
      </w:tr>
      <w:tr w:rsidR="00723CC0">
        <w:trPr>
          <w:trHeight w:hRule="exact" w:val="258"/>
        </w:trPr>
        <w:tc>
          <w:tcPr>
            <w:tcW w:w="4045" w:type="dxa"/>
            <w:vMerge/>
            <w:shd w:val="clear" w:color="auto" w:fill="auto"/>
            <w:vAlign w:val="center"/>
            <w:hideMark/>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-1,7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-1,4</w:t>
            </w:r>
            <w:r>
              <w:rPr>
                <w:rFonts w:ascii="Times New Roman" w:hAnsi="Times New Roman"/>
                <w:noProof/>
                <w:color w:val="000000"/>
                <w:sz w:val="16"/>
              </w:rPr>
              <w:t xml:space="preserve"> pp</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-1,4 pp et -0,8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-0,8 pp</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-0,4 pp</w:t>
            </w:r>
          </w:p>
        </w:tc>
      </w:tr>
      <w:tr w:rsidR="00723CC0">
        <w:trPr>
          <w:trHeight w:hRule="exact" w:val="258"/>
        </w:trPr>
        <w:tc>
          <w:tcPr>
            <w:tcW w:w="4045" w:type="dxa"/>
            <w:vMerge w:val="restart"/>
            <w:shd w:val="clear" w:color="auto" w:fill="auto"/>
            <w:vAlign w:val="center"/>
          </w:tcPr>
          <w:p w:rsidR="00723CC0" w:rsidRDefault="00242021">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color w:val="000000"/>
                <w:sz w:val="16"/>
                <w:lang w:val="fr-BE"/>
              </w:rPr>
              <w:t>Taux de chômage de longue durée (% de la population active âgée de 15 à 74 ans)</w:t>
            </w:r>
          </w:p>
        </w:tc>
        <w:tc>
          <w:tcPr>
            <w:tcW w:w="883"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0,5 %</w:t>
            </w:r>
          </w:p>
        </w:tc>
        <w:tc>
          <w:tcPr>
            <w:tcW w:w="1559"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1,9 %</w:t>
            </w:r>
          </w:p>
        </w:tc>
        <w:tc>
          <w:tcPr>
            <w:tcW w:w="1701"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1,9 % et 4,8 %</w:t>
            </w:r>
          </w:p>
        </w:tc>
        <w:tc>
          <w:tcPr>
            <w:tcW w:w="1559"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4,8 %</w:t>
            </w:r>
          </w:p>
        </w:tc>
        <w:tc>
          <w:tcPr>
            <w:tcW w:w="1668"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 xml:space="preserve">supérieurs à </w:t>
            </w:r>
            <w:r>
              <w:rPr>
                <w:rFonts w:ascii="Times New Roman" w:hAnsi="Times New Roman"/>
                <w:noProof/>
                <w:color w:val="000000"/>
                <w:sz w:val="16"/>
              </w:rPr>
              <w:t>6,3 %</w:t>
            </w:r>
          </w:p>
        </w:tc>
      </w:tr>
      <w:tr w:rsidR="00723CC0">
        <w:trPr>
          <w:trHeight w:hRule="exact" w:val="258"/>
        </w:trPr>
        <w:tc>
          <w:tcPr>
            <w:tcW w:w="4045" w:type="dxa"/>
            <w:vMerge/>
            <w:shd w:val="clear" w:color="auto" w:fill="auto"/>
            <w:vAlign w:val="center"/>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-1,3 pp</w:t>
            </w:r>
          </w:p>
        </w:tc>
        <w:tc>
          <w:tcPr>
            <w:tcW w:w="1559"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-1,0 pp</w:t>
            </w:r>
          </w:p>
        </w:tc>
        <w:tc>
          <w:tcPr>
            <w:tcW w:w="1701"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-1,0 pp et -0,4 pp</w:t>
            </w:r>
          </w:p>
        </w:tc>
        <w:tc>
          <w:tcPr>
            <w:tcW w:w="1559"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-0,4 pp</w:t>
            </w:r>
          </w:p>
        </w:tc>
        <w:tc>
          <w:tcPr>
            <w:tcW w:w="1668"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-0,1 pp</w:t>
            </w:r>
          </w:p>
        </w:tc>
      </w:tr>
      <w:tr w:rsidR="00723CC0">
        <w:trPr>
          <w:trHeight w:hRule="exact" w:val="258"/>
        </w:trPr>
        <w:tc>
          <w:tcPr>
            <w:tcW w:w="4045" w:type="dxa"/>
            <w:vMerge w:val="restart"/>
            <w:shd w:val="clear" w:color="auto" w:fill="auto"/>
            <w:vAlign w:val="center"/>
          </w:tcPr>
          <w:p w:rsidR="00723CC0" w:rsidRDefault="00242021">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RDBM réel par habitant (2008 = 100)</w:t>
            </w:r>
          </w:p>
        </w:tc>
        <w:tc>
          <w:tcPr>
            <w:tcW w:w="883"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90,7</w:t>
            </w:r>
          </w:p>
        </w:tc>
        <w:tc>
          <w:tcPr>
            <w:tcW w:w="1559"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97,1</w:t>
            </w:r>
          </w:p>
        </w:tc>
        <w:tc>
          <w:tcPr>
            <w:tcW w:w="1701"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97,1 % et 110,0</w:t>
            </w:r>
          </w:p>
        </w:tc>
        <w:tc>
          <w:tcPr>
            <w:tcW w:w="1559"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110,0</w:t>
            </w:r>
          </w:p>
        </w:tc>
        <w:tc>
          <w:tcPr>
            <w:tcW w:w="1668"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116,4</w:t>
            </w:r>
          </w:p>
        </w:tc>
      </w:tr>
      <w:tr w:rsidR="00723CC0">
        <w:trPr>
          <w:trHeight w:hRule="exact" w:val="258"/>
        </w:trPr>
        <w:tc>
          <w:tcPr>
            <w:tcW w:w="4045" w:type="dxa"/>
            <w:vMerge/>
            <w:shd w:val="clear" w:color="auto" w:fill="auto"/>
            <w:vAlign w:val="center"/>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0,0 pp</w:t>
            </w:r>
          </w:p>
        </w:tc>
        <w:tc>
          <w:tcPr>
            <w:tcW w:w="1559"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1,6 pp</w:t>
            </w:r>
          </w:p>
        </w:tc>
        <w:tc>
          <w:tcPr>
            <w:tcW w:w="1701"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1,6 pp et 4,8 pp</w:t>
            </w:r>
          </w:p>
        </w:tc>
        <w:tc>
          <w:tcPr>
            <w:tcW w:w="1559"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4,8 pp</w:t>
            </w:r>
          </w:p>
        </w:tc>
        <w:tc>
          <w:tcPr>
            <w:tcW w:w="1668"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6,3 pp</w:t>
            </w:r>
          </w:p>
        </w:tc>
      </w:tr>
      <w:tr w:rsidR="00723CC0">
        <w:trPr>
          <w:trHeight w:val="341"/>
        </w:trPr>
        <w:tc>
          <w:tcPr>
            <w:tcW w:w="4045" w:type="dxa"/>
            <w:vMerge w:val="restart"/>
            <w:shd w:val="clear" w:color="auto" w:fill="auto"/>
            <w:vAlign w:val="center"/>
          </w:tcPr>
          <w:p w:rsidR="00723CC0" w:rsidRDefault="00242021">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color w:val="000000"/>
                <w:sz w:val="16"/>
                <w:lang w:val="fr-BE"/>
              </w:rPr>
              <w:t>Rémunération nette d’un travailleur à plein temps célibataire percevant le salaire moyen (niveaux en SPA, variations</w:t>
            </w:r>
            <w:r>
              <w:rPr>
                <w:rFonts w:ascii="Times New Roman" w:hAnsi="Times New Roman"/>
                <w:b/>
                <w:noProof/>
                <w:color w:val="000000"/>
                <w:sz w:val="16"/>
                <w:lang w:val="fr-BE"/>
              </w:rPr>
              <w:t xml:space="preserve"> en monnaie nationale en termes réels)</w:t>
            </w:r>
          </w:p>
        </w:tc>
        <w:tc>
          <w:tcPr>
            <w:tcW w:w="883"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12 559</w:t>
            </w:r>
          </w:p>
        </w:tc>
        <w:tc>
          <w:tcPr>
            <w:tcW w:w="1559"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16 115</w:t>
            </w:r>
          </w:p>
        </w:tc>
        <w:tc>
          <w:tcPr>
            <w:tcW w:w="1701"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16 115 et 23 228</w:t>
            </w:r>
          </w:p>
        </w:tc>
        <w:tc>
          <w:tcPr>
            <w:tcW w:w="1559"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23 228</w:t>
            </w:r>
          </w:p>
        </w:tc>
        <w:tc>
          <w:tcPr>
            <w:tcW w:w="1668"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26 784</w:t>
            </w:r>
          </w:p>
        </w:tc>
      </w:tr>
      <w:tr w:rsidR="00723CC0">
        <w:trPr>
          <w:trHeight w:val="341"/>
        </w:trPr>
        <w:tc>
          <w:tcPr>
            <w:tcW w:w="4045" w:type="dxa"/>
            <w:vMerge/>
            <w:shd w:val="clear" w:color="auto" w:fill="auto"/>
            <w:vAlign w:val="center"/>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-0,1 %</w:t>
            </w:r>
          </w:p>
        </w:tc>
        <w:tc>
          <w:tcPr>
            <w:tcW w:w="1559"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1,2 %</w:t>
            </w:r>
          </w:p>
        </w:tc>
        <w:tc>
          <w:tcPr>
            <w:tcW w:w="1701"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1,2 % et 3,9 %</w:t>
            </w:r>
          </w:p>
        </w:tc>
        <w:tc>
          <w:tcPr>
            <w:tcW w:w="1559"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3,9 %</w:t>
            </w:r>
          </w:p>
        </w:tc>
        <w:tc>
          <w:tcPr>
            <w:tcW w:w="1668" w:type="dxa"/>
            <w:shd w:val="clear" w:color="auto" w:fill="auto"/>
            <w:noWrap/>
            <w:vAlign w:val="center"/>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w:t>
            </w:r>
            <w:r>
              <w:rPr>
                <w:rFonts w:ascii="Times New Roman" w:hAnsi="Times New Roman"/>
                <w:noProof/>
                <w:color w:val="000000"/>
                <w:sz w:val="16"/>
              </w:rPr>
              <w:t xml:space="preserve"> à 5,2 %</w:t>
            </w:r>
          </w:p>
        </w:tc>
      </w:tr>
      <w:tr w:rsidR="00723CC0">
        <w:trPr>
          <w:trHeight w:hRule="exact" w:val="258"/>
        </w:trPr>
        <w:tc>
          <w:tcPr>
            <w:tcW w:w="4045" w:type="dxa"/>
            <w:vMerge w:val="restart"/>
            <w:shd w:val="clear" w:color="auto" w:fill="auto"/>
            <w:vAlign w:val="center"/>
            <w:hideMark/>
          </w:tcPr>
          <w:p w:rsidR="00723CC0" w:rsidRDefault="00242021">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color w:val="000000"/>
                <w:sz w:val="16"/>
                <w:lang w:val="fr-BE"/>
              </w:rPr>
              <w:t>Incidence des transferts sociaux (autres que les pensions) sur la réduction de la pauvreté (%)</w:t>
            </w: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22,0 %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27,7 %</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27,7 % et 39,2 %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39,2 %</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44,2 %</w:t>
            </w:r>
          </w:p>
        </w:tc>
      </w:tr>
      <w:tr w:rsidR="00723CC0">
        <w:trPr>
          <w:trHeight w:hRule="exact" w:val="258"/>
        </w:trPr>
        <w:tc>
          <w:tcPr>
            <w:tcW w:w="4045" w:type="dxa"/>
            <w:vMerge/>
            <w:shd w:val="clear" w:color="auto" w:fill="auto"/>
            <w:vAlign w:val="center"/>
            <w:hideMark/>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-3,1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-1,5 pp</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-1,5 pp et 1,9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1,9 pp</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3,5 pp</w:t>
            </w:r>
          </w:p>
        </w:tc>
      </w:tr>
      <w:tr w:rsidR="00723CC0">
        <w:trPr>
          <w:trHeight w:hRule="exact" w:val="258"/>
        </w:trPr>
        <w:tc>
          <w:tcPr>
            <w:tcW w:w="4045" w:type="dxa"/>
            <w:vMerge w:val="restart"/>
            <w:shd w:val="clear" w:color="auto" w:fill="auto"/>
            <w:vAlign w:val="center"/>
            <w:hideMark/>
          </w:tcPr>
          <w:p w:rsidR="00723CC0" w:rsidRDefault="00242021">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color w:val="000000"/>
                <w:sz w:val="16"/>
                <w:lang w:val="fr-BE"/>
              </w:rPr>
              <w:t>Enfants de moins de 3 ans dans des structures d’accueil formelles (%)</w:t>
            </w: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12,8 %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21,4 %</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21,4 % et 38,4 %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38,4 %</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46,9 %</w:t>
            </w:r>
          </w:p>
        </w:tc>
      </w:tr>
      <w:tr w:rsidR="00723CC0">
        <w:trPr>
          <w:trHeight w:hRule="exact" w:val="258"/>
        </w:trPr>
        <w:tc>
          <w:tcPr>
            <w:tcW w:w="4045" w:type="dxa"/>
            <w:vMerge/>
            <w:shd w:val="clear" w:color="auto" w:fill="auto"/>
            <w:vAlign w:val="center"/>
            <w:hideMark/>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-3,6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-0,9 pp</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-0,9 pp et 4,6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4,6 pp</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7,4 pp</w:t>
            </w:r>
          </w:p>
        </w:tc>
      </w:tr>
      <w:tr w:rsidR="00723CC0">
        <w:trPr>
          <w:trHeight w:hRule="exact" w:val="258"/>
        </w:trPr>
        <w:tc>
          <w:tcPr>
            <w:tcW w:w="4045" w:type="dxa"/>
            <w:vMerge w:val="restart"/>
            <w:shd w:val="clear" w:color="auto" w:fill="auto"/>
            <w:vAlign w:val="center"/>
            <w:hideMark/>
          </w:tcPr>
          <w:p w:rsidR="00723CC0" w:rsidRDefault="00242021">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color w:val="000000"/>
                <w:sz w:val="16"/>
                <w:lang w:val="fr-BE"/>
              </w:rPr>
              <w:t>Besoins en soins médicaux non satisfaits déclarés par l’intéressé (%)</w:t>
            </w: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0,4 %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 xml:space="preserve">inférieurs à </w:t>
            </w:r>
            <w:r>
              <w:rPr>
                <w:rFonts w:ascii="Times New Roman" w:hAnsi="Times New Roman"/>
                <w:noProof/>
                <w:color w:val="000000"/>
                <w:sz w:val="16"/>
              </w:rPr>
              <w:t>1,0 %</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1,0 % et 3,9 %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3,9 %</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5,4 %</w:t>
            </w:r>
          </w:p>
        </w:tc>
      </w:tr>
      <w:tr w:rsidR="00723CC0">
        <w:trPr>
          <w:trHeight w:hRule="exact" w:val="258"/>
        </w:trPr>
        <w:tc>
          <w:tcPr>
            <w:tcW w:w="4045" w:type="dxa"/>
            <w:vMerge/>
            <w:shd w:val="clear" w:color="auto" w:fill="auto"/>
            <w:vAlign w:val="center"/>
            <w:hideMark/>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-2,2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-1,5 pp</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-1,5 pp et 0,0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0,0 pp</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0,7 pp</w:t>
            </w:r>
          </w:p>
        </w:tc>
      </w:tr>
      <w:tr w:rsidR="00723CC0">
        <w:trPr>
          <w:trHeight w:hRule="exact" w:val="258"/>
        </w:trPr>
        <w:tc>
          <w:tcPr>
            <w:tcW w:w="4045" w:type="dxa"/>
            <w:vMerge w:val="restart"/>
            <w:shd w:val="clear" w:color="auto" w:fill="auto"/>
            <w:vAlign w:val="center"/>
            <w:hideMark/>
          </w:tcPr>
          <w:p w:rsidR="00723CC0" w:rsidRDefault="00242021">
            <w:pPr>
              <w:spacing w:after="0" w:line="240" w:lineRule="auto"/>
              <w:rPr>
                <w:rFonts w:ascii="Times New Roman" w:eastAsia="Times New Roman" w:hAnsi="Times New Roman" w:cs="Times New Roman"/>
                <w:b/>
                <w:noProof/>
                <w:color w:val="000000"/>
                <w:sz w:val="16"/>
                <w:szCs w:val="16"/>
                <w:lang w:val="fr-BE"/>
              </w:rPr>
            </w:pPr>
            <w:r>
              <w:rPr>
                <w:rFonts w:ascii="Times New Roman" w:hAnsi="Times New Roman"/>
                <w:b/>
                <w:noProof/>
                <w:color w:val="000000"/>
                <w:sz w:val="16"/>
                <w:lang w:val="fr-BE"/>
              </w:rPr>
              <w:t xml:space="preserve">Personnes ayant des compétences numériques générales de base ou </w:t>
            </w:r>
            <w:r>
              <w:rPr>
                <w:rFonts w:ascii="Times New Roman" w:hAnsi="Times New Roman"/>
                <w:b/>
                <w:noProof/>
                <w:color w:val="000000"/>
                <w:sz w:val="16"/>
                <w:lang w:val="fr-BE"/>
              </w:rPr>
              <w:t>plus (en % de la population de 16 à 74 ans)</w:t>
            </w: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Niveaux</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43,4 %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inférieurs à 50,4 %</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50,4 % et 64,3 %</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64,3 %</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supérieurs à 71,3 %</w:t>
            </w:r>
          </w:p>
        </w:tc>
      </w:tr>
      <w:tr w:rsidR="00723CC0">
        <w:trPr>
          <w:trHeight w:hRule="exact" w:val="258"/>
        </w:trPr>
        <w:tc>
          <w:tcPr>
            <w:tcW w:w="4045" w:type="dxa"/>
            <w:vMerge/>
            <w:shd w:val="clear" w:color="auto" w:fill="auto"/>
            <w:vAlign w:val="center"/>
            <w:hideMark/>
          </w:tcPr>
          <w:p w:rsidR="00723CC0" w:rsidRDefault="00723CC0">
            <w:pPr>
              <w:spacing w:after="0" w:line="240" w:lineRule="auto"/>
              <w:rPr>
                <w:rFonts w:ascii="Times New Roman" w:eastAsia="Times New Roman" w:hAnsi="Times New Roman" w:cs="Times New Roman"/>
                <w:b/>
                <w:noProof/>
                <w:color w:val="000000"/>
                <w:sz w:val="16"/>
                <w:szCs w:val="16"/>
              </w:rPr>
            </w:pPr>
          </w:p>
        </w:tc>
        <w:tc>
          <w:tcPr>
            <w:tcW w:w="883"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Variations</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-3,0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inférieures à -0,9 pp</w:t>
            </w:r>
          </w:p>
        </w:tc>
        <w:tc>
          <w:tcPr>
            <w:tcW w:w="1701"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entre -0,9 pp et 3,5 pp</w:t>
            </w:r>
          </w:p>
        </w:tc>
        <w:tc>
          <w:tcPr>
            <w:tcW w:w="1559"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3,5 pp</w:t>
            </w:r>
          </w:p>
        </w:tc>
        <w:tc>
          <w:tcPr>
            <w:tcW w:w="1668" w:type="dxa"/>
            <w:shd w:val="clear" w:color="auto" w:fill="auto"/>
            <w:noWrap/>
            <w:vAlign w:val="center"/>
            <w:hideMark/>
          </w:tcPr>
          <w:p w:rsidR="00723CC0" w:rsidRDefault="00242021">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supérieures à 5,6 pp</w:t>
            </w:r>
          </w:p>
        </w:tc>
      </w:tr>
    </w:tbl>
    <w:p w:rsidR="00723CC0" w:rsidRDefault="00723CC0">
      <w:pPr>
        <w:spacing w:line="360" w:lineRule="auto"/>
        <w:contextualSpacing/>
        <w:jc w:val="both"/>
        <w:rPr>
          <w:rFonts w:ascii="Times New Roman" w:hAnsi="Times New Roman" w:cs="Times New Roman"/>
          <w:b/>
          <w:noProof/>
          <w:sz w:val="24"/>
        </w:rPr>
        <w:sectPr w:rsidR="00723CC0">
          <w:headerReference w:type="even" r:id="rId115"/>
          <w:headerReference w:type="default" r:id="rId116"/>
          <w:footerReference w:type="even" r:id="rId117"/>
          <w:footerReference w:type="default" r:id="rId118"/>
          <w:headerReference w:type="first" r:id="rId119"/>
          <w:footerReference w:type="first" r:id="rId120"/>
          <w:pgSz w:w="16838" w:h="11906" w:orient="landscape"/>
          <w:pgMar w:top="1417" w:right="1417" w:bottom="1417" w:left="1417" w:header="708" w:footer="708" w:gutter="0"/>
          <w:cols w:space="708"/>
          <w:docGrid w:linePitch="360"/>
        </w:sectPr>
      </w:pPr>
    </w:p>
    <w:p w:rsidR="00723CC0" w:rsidRDefault="00242021">
      <w:pPr>
        <w:jc w:val="both"/>
        <w:rPr>
          <w:rFonts w:ascii="Times New Roman" w:eastAsia="Calibri" w:hAnsi="Times New Roman" w:cs="Times New Roman"/>
          <w:b/>
          <w:noProof/>
          <w:sz w:val="24"/>
          <w:szCs w:val="24"/>
          <w:lang w:val="fr-BE"/>
        </w:rPr>
      </w:pPr>
      <w:r>
        <w:rPr>
          <w:rFonts w:ascii="Times New Roman" w:hAnsi="Times New Roman"/>
          <w:b/>
          <w:noProof/>
          <w:sz w:val="24"/>
          <w:lang w:val="fr-BE"/>
        </w:rPr>
        <w:t xml:space="preserve">Annexe 4: Tableau synthétique des «tendances en matière d’emploi à surveiller» et nombre d’États membres présentant une détérioration ou une amélioration, recensés par </w:t>
      </w:r>
      <w:r>
        <w:rPr>
          <w:rFonts w:ascii="Times New Roman" w:hAnsi="Times New Roman"/>
          <w:b/>
          <w:noProof/>
          <w:sz w:val="24"/>
          <w:lang w:val="fr-BE"/>
        </w:rPr>
        <w:t>le relevé des résultats en matière d’emploi (EPM) pour 2018</w:t>
      </w:r>
    </w:p>
    <w:p w:rsidR="00723CC0" w:rsidRDefault="00242021">
      <w:pPr>
        <w:jc w:val="both"/>
        <w:rPr>
          <w:rFonts w:ascii="Times New Roman" w:hAnsi="Times New Roman" w:cs="Times New Roman"/>
          <w:noProof/>
          <w:sz w:val="20"/>
          <w:szCs w:val="20"/>
        </w:rPr>
      </w:pPr>
      <w:r>
        <w:rPr>
          <w:rFonts w:ascii="Times New Roman" w:hAnsi="Times New Roman" w:cs="Times New Roman"/>
          <w:noProof/>
          <w:sz w:val="20"/>
          <w:szCs w:val="20"/>
          <w:lang w:val="en-GB" w:eastAsia="en-GB" w:bidi="ar-SA"/>
        </w:rPr>
        <w:drawing>
          <wp:inline distT="0" distB="0" distL="0" distR="0">
            <wp:extent cx="5733782" cy="3212327"/>
            <wp:effectExtent l="0" t="0" r="63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cstate="email">
                      <a:extLst>
                        <a:ext uri="{28A0092B-C50C-407E-A947-70E740481C1C}">
                          <a14:useLocalDpi xmlns:a14="http://schemas.microsoft.com/office/drawing/2010/main" val="0"/>
                        </a:ext>
                      </a:extLst>
                    </a:blip>
                    <a:srcRect/>
                    <a:stretch>
                      <a:fillRect/>
                    </a:stretch>
                  </pic:blipFill>
                  <pic:spPr bwMode="auto">
                    <a:xfrm>
                      <a:off x="0" y="0"/>
                      <a:ext cx="5730060" cy="3210242"/>
                    </a:xfrm>
                    <a:prstGeom prst="rect">
                      <a:avLst/>
                    </a:prstGeom>
                    <a:noFill/>
                  </pic:spPr>
                </pic:pic>
              </a:graphicData>
            </a:graphic>
          </wp:inline>
        </w:drawing>
      </w:r>
    </w:p>
    <w:p w:rsidR="00723CC0" w:rsidRDefault="00242021">
      <w:pPr>
        <w:jc w:val="both"/>
        <w:rPr>
          <w:rFonts w:ascii="Times New Roman" w:hAnsi="Times New Roman" w:cs="Times New Roman"/>
          <w:noProof/>
          <w:sz w:val="20"/>
          <w:lang w:val="fr-BE"/>
        </w:rPr>
      </w:pPr>
      <w:r>
        <w:rPr>
          <w:rFonts w:ascii="Times New Roman" w:hAnsi="Times New Roman"/>
          <w:noProof/>
          <w:sz w:val="20"/>
          <w:lang w:val="fr-BE"/>
        </w:rPr>
        <w:t>Remarque: variations 2016-2017, sauf pour le taux de risque de pauvreté des chômeurs, le piège du chômage et l’écart de rémunération entre hommes et femmes, variations 2015-2016.</w:t>
      </w:r>
    </w:p>
    <w:p w:rsidR="00723CC0" w:rsidRDefault="00242021">
      <w:pPr>
        <w:rPr>
          <w:noProof/>
          <w:lang w:val="fr-BE"/>
        </w:rPr>
      </w:pPr>
      <w:r>
        <w:rPr>
          <w:noProof/>
          <w:lang w:val="fr-BE"/>
        </w:rPr>
        <w:br w:type="page"/>
      </w:r>
    </w:p>
    <w:p w:rsidR="00723CC0" w:rsidRDefault="00242021">
      <w:pPr>
        <w:jc w:val="both"/>
        <w:rPr>
          <w:rFonts w:ascii="Times New Roman" w:eastAsia="Calibri" w:hAnsi="Times New Roman" w:cs="Times New Roman"/>
          <w:b/>
          <w:noProof/>
          <w:sz w:val="24"/>
          <w:szCs w:val="24"/>
          <w:lang w:val="fr-BE"/>
        </w:rPr>
      </w:pPr>
      <w:r>
        <w:rPr>
          <w:rFonts w:ascii="Times New Roman" w:hAnsi="Times New Roman"/>
          <w:b/>
          <w:noProof/>
          <w:sz w:val="24"/>
          <w:lang w:val="fr-BE"/>
        </w:rPr>
        <w:t>Annexe 5: Tab</w:t>
      </w:r>
      <w:r>
        <w:rPr>
          <w:rFonts w:ascii="Times New Roman" w:hAnsi="Times New Roman"/>
          <w:b/>
          <w:noProof/>
          <w:sz w:val="24"/>
          <w:lang w:val="fr-BE"/>
        </w:rPr>
        <w:t xml:space="preserve">leau synthétique des «tendances sociales à surveiller» et nombre d’États membres présentant une détérioration ou une amélioration en 2016 par rapport à 2015, recensés par le suivi des résultats dans le domaine de la protection sociale (SPPM) tel que mis à </w:t>
      </w:r>
      <w:r>
        <w:rPr>
          <w:rFonts w:ascii="Times New Roman" w:hAnsi="Times New Roman"/>
          <w:b/>
          <w:noProof/>
          <w:sz w:val="24"/>
          <w:lang w:val="fr-BE"/>
        </w:rPr>
        <w:t>jour en août 2018</w:t>
      </w:r>
    </w:p>
    <w:p w:rsidR="00723CC0" w:rsidRDefault="00242021">
      <w:pPr>
        <w:rPr>
          <w:rFonts w:ascii="Times New Roman" w:eastAsia="Calibri" w:hAnsi="Times New Roman" w:cs="Times New Roman"/>
          <w:b/>
          <w:noProof/>
          <w:sz w:val="24"/>
          <w:szCs w:val="24"/>
        </w:rPr>
      </w:pPr>
      <w:r>
        <w:rPr>
          <w:rFonts w:ascii="Times New Roman" w:eastAsia="Calibri" w:hAnsi="Times New Roman" w:cs="Times New Roman"/>
          <w:b/>
          <w:noProof/>
          <w:sz w:val="24"/>
          <w:szCs w:val="24"/>
          <w:lang w:val="en-GB" w:eastAsia="en-GB" w:bidi="ar-SA"/>
        </w:rPr>
        <w:drawing>
          <wp:inline distT="0" distB="0" distL="0" distR="0">
            <wp:extent cx="5903239" cy="5709036"/>
            <wp:effectExtent l="0" t="0" r="254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cstate="email">
                      <a:extLst>
                        <a:ext uri="{28A0092B-C50C-407E-A947-70E740481C1C}">
                          <a14:useLocalDpi xmlns:a14="http://schemas.microsoft.com/office/drawing/2010/main" val="0"/>
                        </a:ext>
                      </a:extLst>
                    </a:blip>
                    <a:srcRect/>
                    <a:stretch>
                      <a:fillRect/>
                    </a:stretch>
                  </pic:blipFill>
                  <pic:spPr bwMode="auto">
                    <a:xfrm>
                      <a:off x="0" y="0"/>
                      <a:ext cx="5911034" cy="5716575"/>
                    </a:xfrm>
                    <a:prstGeom prst="rect">
                      <a:avLst/>
                    </a:prstGeom>
                    <a:noFill/>
                  </pic:spPr>
                </pic:pic>
              </a:graphicData>
            </a:graphic>
          </wp:inline>
        </w:drawing>
      </w:r>
    </w:p>
    <w:p w:rsidR="00723CC0" w:rsidRDefault="00242021">
      <w:pPr>
        <w:jc w:val="both"/>
        <w:rPr>
          <w:rFonts w:ascii="Times New Roman" w:hAnsi="Times New Roman" w:cs="Times New Roman"/>
          <w:iCs/>
          <w:noProof/>
          <w:sz w:val="24"/>
          <w:szCs w:val="24"/>
          <w:lang w:val="fr-BE"/>
        </w:rPr>
      </w:pPr>
      <w:r>
        <w:rPr>
          <w:rFonts w:ascii="Times New Roman" w:hAnsi="Times New Roman"/>
          <w:noProof/>
          <w:sz w:val="20"/>
          <w:lang w:val="fr-BE"/>
        </w:rPr>
        <w:t xml:space="preserve">Remarque: pour les indicateurs fondés sur les statistiques EU-SILC, les variations indiquées pour 2015-2016 se rapportent en fait généralement à 2014-2015 en ce qui concerne les indicateurs de revenu et d’intensité du travail des </w:t>
      </w:r>
      <w:r>
        <w:rPr>
          <w:rFonts w:ascii="Times New Roman" w:hAnsi="Times New Roman"/>
          <w:noProof/>
          <w:sz w:val="20"/>
          <w:lang w:val="fr-BE"/>
        </w:rPr>
        <w:t>ménages, ainsi que les besoins en soins médicaux non satisfaits. En ce qui concerne les indicateurs fondés sur l’EFT [taux de chômage de longue durée, jeunes en décrochage scolaire, taux de chômage des jeunes, NEET (15-24 ans), taux d’emploi (55-64 ans)] e</w:t>
      </w:r>
      <w:r>
        <w:rPr>
          <w:rFonts w:ascii="Times New Roman" w:hAnsi="Times New Roman"/>
          <w:noProof/>
          <w:sz w:val="20"/>
          <w:lang w:val="fr-BE"/>
        </w:rPr>
        <w:t>t les chiffres relatifs à la privation matérielle grave (pas encore définitifs pour 2017 pour plusieurs États membres en août 2018), les variations se rapportent à la période 2016-2017.</w:t>
      </w:r>
    </w:p>
    <w:bookmarkEnd w:id="23"/>
    <w:p w:rsidR="00723CC0" w:rsidRDefault="00723CC0">
      <w:pPr>
        <w:rPr>
          <w:rFonts w:ascii="Times New Roman" w:hAnsi="Times New Roman" w:cs="Times New Roman"/>
          <w:iCs/>
          <w:noProof/>
          <w:sz w:val="24"/>
          <w:szCs w:val="24"/>
          <w:lang w:val="fr-BE"/>
        </w:rPr>
      </w:pPr>
    </w:p>
    <w:sectPr w:rsidR="00723CC0">
      <w:headerReference w:type="even" r:id="rId123"/>
      <w:headerReference w:type="default" r:id="rId124"/>
      <w:footerReference w:type="even" r:id="rId125"/>
      <w:footerReference w:type="default" r:id="rId126"/>
      <w:headerReference w:type="first" r:id="rId127"/>
      <w:footerReference w:type="first" r:id="rId1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CC0" w:rsidRDefault="00242021">
      <w:pPr>
        <w:spacing w:after="0" w:line="240" w:lineRule="auto"/>
      </w:pPr>
      <w:r>
        <w:separator/>
      </w:r>
    </w:p>
  </w:endnote>
  <w:endnote w:type="continuationSeparator" w:id="0">
    <w:p w:rsidR="00723CC0" w:rsidRDefault="00242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ordia New">
    <w:altName w:val="Microsoft Sans Serif"/>
    <w:panose1 w:val="020B0304020202020204"/>
    <w:charset w:val="00"/>
    <w:family w:val="swiss"/>
    <w:pitch w:val="variable"/>
    <w:sig w:usb0="81000003" w:usb1="00000000" w:usb2="00000000" w:usb3="00000000" w:csb0="00010001" w:csb1="00000000"/>
  </w:font>
  <w:font w:name="Angsana New">
    <w:altName w:val="Leelawadee UI"/>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692769"/>
      <w:docPartObj>
        <w:docPartGallery w:val="Page Numbers (Bottom of Page)"/>
        <w:docPartUnique/>
      </w:docPartObj>
    </w:sdtPr>
    <w:sdtEndPr>
      <w:rPr>
        <w:noProof/>
      </w:rPr>
    </w:sdtEndPr>
    <w:sdtContent>
      <w:p w:rsidR="00723CC0" w:rsidRDefault="00242021">
        <w:pPr>
          <w:pStyle w:val="Footer"/>
          <w:jc w:val="right"/>
        </w:pPr>
        <w:r>
          <w:fldChar w:fldCharType="begin"/>
        </w:r>
        <w:r>
          <w:instrText xml:space="preserve"> PAGE   \* MERGEFORMAT </w:instrText>
        </w:r>
        <w:r>
          <w:fldChar w:fldCharType="separate"/>
        </w:r>
        <w:r>
          <w:rPr>
            <w:noProof/>
          </w:rPr>
          <w:t>190</w:t>
        </w:r>
        <w:r>
          <w:rPr>
            <w:noProof/>
          </w:rPr>
          <w:fldChar w:fldCharType="end"/>
        </w:r>
      </w:p>
    </w:sdtContent>
  </w:sdt>
  <w:p w:rsidR="00723CC0" w:rsidRDefault="00723CC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p w:rsidR="00723CC0" w:rsidRDefault="00723CC0"/>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21869"/>
      <w:docPartObj>
        <w:docPartGallery w:val="Page Numbers (Bottom of Page)"/>
        <w:docPartUnique/>
      </w:docPartObj>
    </w:sdtPr>
    <w:sdtEndPr>
      <w:rPr>
        <w:rFonts w:ascii="Times New Roman" w:hAnsi="Times New Roman" w:cs="Times New Roman"/>
        <w:noProof/>
      </w:rPr>
    </w:sdtEndPr>
    <w:sdtContent>
      <w:p w:rsidR="00723CC0" w:rsidRDefault="00242021">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191</w:t>
        </w:r>
        <w:r>
          <w:rPr>
            <w:rFonts w:ascii="Times New Roman" w:hAnsi="Times New Roman" w:cs="Times New Roman"/>
            <w:noProof/>
          </w:rPr>
          <w:fldChar w:fldCharType="end"/>
        </w:r>
      </w:p>
    </w:sdtContent>
  </w:sdt>
  <w:p w:rsidR="00723CC0" w:rsidRDefault="00723CC0"/>
  <w:p w:rsidR="00723CC0" w:rsidRDefault="00723CC0"/>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p w:rsidR="00723CC0" w:rsidRDefault="00723CC0"/>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817181"/>
      <w:docPartObj>
        <w:docPartGallery w:val="Page Numbers (Bottom of Page)"/>
        <w:docPartUnique/>
      </w:docPartObj>
    </w:sdtPr>
    <w:sdtEndPr>
      <w:rPr>
        <w:rFonts w:ascii="Times New Roman" w:hAnsi="Times New Roman" w:cs="Times New Roman"/>
        <w:noProof/>
      </w:rPr>
    </w:sdtEndPr>
    <w:sdtContent>
      <w:p w:rsidR="00723CC0" w:rsidRDefault="00242021">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193</w:t>
        </w:r>
        <w:r>
          <w:rPr>
            <w:rFonts w:ascii="Times New Roman" w:hAnsi="Times New Roman" w:cs="Times New Roman"/>
            <w:noProof/>
          </w:rPr>
          <w:fldChar w:fldCharType="end"/>
        </w:r>
      </w:p>
    </w:sdtContent>
  </w:sdt>
  <w:p w:rsidR="00723CC0" w:rsidRDefault="00723CC0"/>
  <w:p w:rsidR="00723CC0" w:rsidRDefault="00723CC0"/>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242021">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826339"/>
      <w:docPartObj>
        <w:docPartGallery w:val="Page Numbers (Bottom of Page)"/>
        <w:docPartUnique/>
      </w:docPartObj>
    </w:sdtPr>
    <w:sdtEndPr>
      <w:rPr>
        <w:rFonts w:ascii="Times New Roman" w:hAnsi="Times New Roman" w:cs="Times New Roman"/>
        <w:noProof/>
      </w:rPr>
    </w:sdtEndPr>
    <w:sdtContent>
      <w:p w:rsidR="00723CC0" w:rsidRDefault="00242021">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noProof/>
          </w:rPr>
          <w:fldChar w:fldCharType="end"/>
        </w:r>
      </w:p>
    </w:sdtContent>
  </w:sdt>
  <w:p w:rsidR="00723CC0" w:rsidRDefault="00723CC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814559"/>
      <w:docPartObj>
        <w:docPartGallery w:val="Page Numbers (Bottom of Page)"/>
        <w:docPartUnique/>
      </w:docPartObj>
    </w:sdtPr>
    <w:sdtEndPr>
      <w:rPr>
        <w:rFonts w:ascii="Times New Roman" w:hAnsi="Times New Roman" w:cs="Times New Roman"/>
        <w:noProof/>
      </w:rPr>
    </w:sdtEndPr>
    <w:sdtContent>
      <w:p w:rsidR="00723CC0" w:rsidRDefault="00242021">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33</w:t>
        </w:r>
        <w:r>
          <w:rPr>
            <w:rFonts w:ascii="Times New Roman" w:hAnsi="Times New Roman" w:cs="Times New Roman"/>
            <w:noProof/>
          </w:rPr>
          <w:fldChar w:fldCharType="end"/>
        </w:r>
      </w:p>
    </w:sdtContent>
  </w:sdt>
  <w:p w:rsidR="00723CC0" w:rsidRDefault="00723CC0"/>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CC0" w:rsidRDefault="00242021">
      <w:pPr>
        <w:spacing w:after="0" w:line="240" w:lineRule="auto"/>
      </w:pPr>
      <w:r>
        <w:separator/>
      </w:r>
    </w:p>
  </w:footnote>
  <w:footnote w:type="continuationSeparator" w:id="0">
    <w:p w:rsidR="00723CC0" w:rsidRDefault="00242021">
      <w:pPr>
        <w:spacing w:after="0" w:line="240" w:lineRule="auto"/>
      </w:pPr>
      <w:r>
        <w:continuationSeparator/>
      </w:r>
    </w:p>
  </w:footnote>
  <w:footnote w:id="1">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lang w:val="fr-BE"/>
        </w:rPr>
        <w:footnoteRef/>
      </w:r>
      <w:r>
        <w:rPr>
          <w:rFonts w:ascii="Times New Roman" w:hAnsi="Times New Roman" w:cs="Times New Roman"/>
          <w:vertAlign w:val="superscript"/>
          <w:lang w:val="fr-BE"/>
        </w:rPr>
        <w:t xml:space="preserve"> </w:t>
      </w:r>
      <w:r>
        <w:rPr>
          <w:rFonts w:ascii="Times New Roman" w:hAnsi="Times New Roman" w:cs="Times New Roman"/>
          <w:lang w:val="fr-BE"/>
        </w:rPr>
        <w:t xml:space="preserve">Le Conseil de l’Union </w:t>
      </w:r>
      <w:r>
        <w:rPr>
          <w:rFonts w:ascii="Times New Roman" w:hAnsi="Times New Roman" w:cs="Times New Roman"/>
          <w:lang w:val="fr-BE"/>
        </w:rPr>
        <w:t>européenne a adopté, en juillet 2018, des lignes directrices pour l’emploi révisées qui harmonisent les lignes directrices avec le socle européen des droits sociaux [décision (UE) 2018/1215 du Conseil du 16 juillet 2018 relative aux lignes directrices pour</w:t>
      </w:r>
      <w:r>
        <w:rPr>
          <w:rFonts w:ascii="Times New Roman" w:hAnsi="Times New Roman" w:cs="Times New Roman"/>
          <w:lang w:val="fr-BE"/>
        </w:rPr>
        <w:t xml:space="preserve"> les politiques de l’emploi des États membres].</w:t>
      </w:r>
    </w:p>
  </w:footnote>
  <w:footnote w:id="2">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lang w:val="fr-BE"/>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 xml:space="preserve">Les chiffres de l’emploi total sont issus des comptes nationaux (concept national) et les autres chiffres proviennent de l’enquête sur les forces de travail. </w:t>
      </w:r>
      <w:r>
        <w:rPr>
          <w:rStyle w:val="FootnoteReference"/>
          <w:rFonts w:ascii="Times New Roman" w:hAnsi="Times New Roman" w:cs="Times New Roman"/>
          <w:vertAlign w:val="baseline"/>
          <w:lang w:val="fr-BE"/>
        </w:rPr>
        <w:t xml:space="preserve">Les chiffres trimestriels corrigés des </w:t>
      </w:r>
      <w:r>
        <w:rPr>
          <w:rStyle w:val="FootnoteReference"/>
          <w:rFonts w:ascii="Times New Roman" w:hAnsi="Times New Roman" w:cs="Times New Roman"/>
          <w:vertAlign w:val="baseline"/>
          <w:lang w:val="fr-BE"/>
        </w:rPr>
        <w:t>variations saisonnières sont utilisés dans la présente section.</w:t>
      </w:r>
    </w:p>
  </w:footnote>
  <w:footnote w:id="3">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lang w:val="fr-BE"/>
        </w:rPr>
        <w:footnoteRef/>
      </w:r>
      <w:r>
        <w:rPr>
          <w:rFonts w:ascii="Times New Roman" w:hAnsi="Times New Roman" w:cs="Times New Roman"/>
          <w:lang w:val="fr-BE"/>
        </w:rPr>
        <w:t xml:space="preserve"> Dans sa communication du 14 novembre 2017 intitulée «Renforcer l’identité européenne par l’éducation et la culture» [COM(2017) 673 final], la Commission a fait part de son ambition d’abaisse</w:t>
      </w:r>
      <w:r>
        <w:rPr>
          <w:rFonts w:ascii="Times New Roman" w:hAnsi="Times New Roman" w:cs="Times New Roman"/>
          <w:lang w:val="fr-BE"/>
        </w:rPr>
        <w:t>r à 5 % à l’horizon 2025 l’objectif de référence pour les jeunes en décrochage scolaire.</w:t>
      </w:r>
    </w:p>
  </w:footnote>
  <w:footnote w:id="4">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lang w:val="fr-BE"/>
        </w:rPr>
        <w:footnoteRef/>
      </w:r>
      <w:r>
        <w:rPr>
          <w:rFonts w:ascii="Times New Roman" w:hAnsi="Times New Roman" w:cs="Times New Roman"/>
          <w:lang w:val="fr-BE"/>
        </w:rPr>
        <w:t xml:space="preserve"> Pour plus de détails: Commission européenne, «Employment and Social Developments in Europe – Annual Review 2018» (rapport annuel 2018 sur l’évolution de l’emploi et </w:t>
      </w:r>
      <w:r>
        <w:rPr>
          <w:rFonts w:ascii="Times New Roman" w:hAnsi="Times New Roman" w:cs="Times New Roman"/>
          <w:lang w:val="fr-BE"/>
        </w:rPr>
        <w:t>de la situation sociale en Europe).</w:t>
      </w:r>
    </w:p>
  </w:footnote>
  <w:footnote w:id="5">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lang w:val="fr-BE"/>
        </w:rPr>
        <w:footnoteRef/>
      </w:r>
      <w:r>
        <w:rPr>
          <w:rStyle w:val="FootnoteReference"/>
          <w:rFonts w:ascii="Times New Roman" w:hAnsi="Times New Roman" w:cs="Times New Roman"/>
          <w:vertAlign w:val="baseline"/>
          <w:lang w:val="fr-BE"/>
        </w:rPr>
        <w:t xml:space="preserve"> Dans les services, c’est le secteur de l’information et de la communication qui a enregistré le pourcentage d’augmentation le plus élevé, devant le secteur des activités spécialisées, scientifiques et techniques et cel</w:t>
      </w:r>
      <w:r>
        <w:rPr>
          <w:rStyle w:val="FootnoteReference"/>
          <w:rFonts w:ascii="Times New Roman" w:hAnsi="Times New Roman" w:cs="Times New Roman"/>
          <w:vertAlign w:val="baseline"/>
          <w:lang w:val="fr-BE"/>
        </w:rPr>
        <w:t>ui des activités de services administratifs et de soutien» (respectivement 3,4 % et 2,9 % en 2017). À l’inverse, les services financiers et d’assurance ont enregistré une baisse de 0,7 %.</w:t>
      </w:r>
    </w:p>
  </w:footnote>
  <w:footnote w:id="6">
    <w:p w:rsidR="00723CC0" w:rsidRDefault="00242021">
      <w:pPr>
        <w:pStyle w:val="FootnoteText"/>
        <w:jc w:val="both"/>
        <w:rPr>
          <w:rFonts w:ascii="Times New Roman" w:hAnsi="Times New Roman" w:cs="Times New Roman"/>
          <w:lang w:val="pl-PL"/>
        </w:rPr>
      </w:pPr>
      <w:r>
        <w:rPr>
          <w:rStyle w:val="FootnoteReference"/>
          <w:rFonts w:ascii="Times New Roman" w:hAnsi="Times New Roman" w:cs="Times New Roman"/>
          <w:lang w:val="fr-BE"/>
        </w:rPr>
        <w:footnoteRef/>
      </w:r>
      <w:r>
        <w:rPr>
          <w:rStyle w:val="FootnoteReference"/>
          <w:rFonts w:ascii="Times New Roman" w:hAnsi="Times New Roman" w:cs="Times New Roman"/>
          <w:vertAlign w:val="baseline"/>
          <w:lang w:val="pl-PL"/>
        </w:rPr>
        <w:t xml:space="preserve"> Les personnes exposées au risque de pauvreté ou d’exclusion social</w:t>
      </w:r>
      <w:r>
        <w:rPr>
          <w:rStyle w:val="FootnoteReference"/>
          <w:rFonts w:ascii="Times New Roman" w:hAnsi="Times New Roman" w:cs="Times New Roman"/>
          <w:vertAlign w:val="baseline"/>
          <w:lang w:val="pl-PL"/>
        </w:rPr>
        <w:t>e (AROPE) sont des personnes exposées au risque de pauvreté (AROP) et/ou souffrant de privation matérielle grave (SMD) et/ou vivant dans un ménage à très faible intensité de travail</w:t>
      </w:r>
      <w:r>
        <w:rPr>
          <w:rFonts w:ascii="Times New Roman" w:hAnsi="Times New Roman" w:cs="Times New Roman"/>
          <w:lang w:val="pl-PL"/>
        </w:rPr>
        <w:t xml:space="preserve"> (VLWI)</w:t>
      </w:r>
      <w:r>
        <w:rPr>
          <w:rStyle w:val="FootnoteReference"/>
          <w:rFonts w:ascii="Times New Roman" w:hAnsi="Times New Roman" w:cs="Times New Roman"/>
          <w:vertAlign w:val="baseline"/>
          <w:lang w:val="pl-PL"/>
        </w:rPr>
        <w:t xml:space="preserve">. </w:t>
      </w:r>
    </w:p>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vertAlign w:val="baseline"/>
          <w:lang w:val="fr-BE"/>
        </w:rPr>
        <w:t>Les personnes exposées au risque de pauvreté sont celles qui vive</w:t>
      </w:r>
      <w:r>
        <w:rPr>
          <w:rStyle w:val="FootnoteReference"/>
          <w:rFonts w:ascii="Times New Roman" w:hAnsi="Times New Roman" w:cs="Times New Roman"/>
          <w:vertAlign w:val="baseline"/>
          <w:lang w:val="fr-BE"/>
        </w:rPr>
        <w:t xml:space="preserve">nt dans un ménage dont le revenu disponible équivalent est inférieur à 60 % du revenu équivalent médian national (il s’agit donc d’un indicateur de pauvreté monétaire). </w:t>
      </w:r>
    </w:p>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vertAlign w:val="baseline"/>
          <w:lang w:val="fr-BE"/>
        </w:rPr>
        <w:t>Les personnes se trouvent dans une situation de privation matérielle grave si elles vi</w:t>
      </w:r>
      <w:r>
        <w:rPr>
          <w:rStyle w:val="FootnoteReference"/>
          <w:rFonts w:ascii="Times New Roman" w:hAnsi="Times New Roman" w:cs="Times New Roman"/>
          <w:vertAlign w:val="baseline"/>
          <w:lang w:val="fr-BE"/>
        </w:rPr>
        <w:t>vent dans un ménage incapable de faire face à au moins quatre des éléments suivants: 1) payer à temps son loyer / son emprunt hypothécaire / les factures de services publics; 2) chauffer correctement son logement; 3) faire face à des dépenses imprévues; 4)</w:t>
      </w:r>
      <w:r>
        <w:rPr>
          <w:rStyle w:val="FootnoteReference"/>
          <w:rFonts w:ascii="Times New Roman" w:hAnsi="Times New Roman" w:cs="Times New Roman"/>
          <w:vertAlign w:val="baseline"/>
          <w:lang w:val="fr-BE"/>
        </w:rPr>
        <w:t xml:space="preserve"> consommer de la viande, du poisson ou un équivalent protéinique tous les deux jours; 5) prendre une semaine de vacances en dehors du domicile; 6) disposer d’une voiture à usage privé; 7) avoir une machine à laver; 8) avoir un téléviseur couleur; 9) avoir </w:t>
      </w:r>
      <w:r>
        <w:rPr>
          <w:rStyle w:val="FootnoteReference"/>
          <w:rFonts w:ascii="Times New Roman" w:hAnsi="Times New Roman" w:cs="Times New Roman"/>
          <w:vertAlign w:val="baseline"/>
          <w:lang w:val="fr-BE"/>
        </w:rPr>
        <w:t xml:space="preserve">un téléphone. </w:t>
      </w:r>
    </w:p>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vertAlign w:val="baseline"/>
          <w:lang w:val="fr-BE"/>
        </w:rPr>
        <w:t xml:space="preserve">Les personnes vivant dans des ménages à très faible intensité de travail [des ménages (presque) sans emploi] sont des personnes âgées de 0 à 59 ans vivant dans un ménage dont les membres en âge de travailler (de 18 à 59 ans) ont travaillé à </w:t>
      </w:r>
      <w:r>
        <w:rPr>
          <w:rStyle w:val="FootnoteReference"/>
          <w:rFonts w:ascii="Times New Roman" w:hAnsi="Times New Roman" w:cs="Times New Roman"/>
          <w:vertAlign w:val="baseline"/>
          <w:lang w:val="fr-BE"/>
        </w:rPr>
        <w:t>moins de 20</w:t>
      </w:r>
      <w:r>
        <w:rPr>
          <w:rFonts w:ascii="Times New Roman" w:hAnsi="Times New Roman" w:cs="Times New Roman"/>
          <w:lang w:val="fr-BE"/>
        </w:rPr>
        <w:t> %</w:t>
      </w:r>
      <w:r>
        <w:rPr>
          <w:rStyle w:val="FootnoteReference"/>
          <w:rFonts w:ascii="Times New Roman" w:hAnsi="Times New Roman" w:cs="Times New Roman"/>
          <w:vertAlign w:val="baseline"/>
          <w:lang w:val="fr-BE"/>
        </w:rPr>
        <w:t xml:space="preserve"> de leur potentiel au cours des 12 mois précédents.</w:t>
      </w:r>
    </w:p>
  </w:footnote>
  <w:footnote w:id="7">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lang w:val="fr-BE"/>
        </w:rPr>
        <w:footnoteRef/>
      </w:r>
      <w:r>
        <w:rPr>
          <w:rStyle w:val="FootnoteReference"/>
          <w:rFonts w:ascii="Times New Roman" w:hAnsi="Times New Roman" w:cs="Times New Roman"/>
          <w:vertAlign w:val="baseline"/>
          <w:lang w:val="fr-BE"/>
        </w:rPr>
        <w:t xml:space="preserve"> Les statistiques sur les revenus provenant de la base de données EU-SILC se rapportent aux revenus de l’année précédente</w:t>
      </w:r>
      <w:r>
        <w:rPr>
          <w:rFonts w:ascii="Times New Roman" w:hAnsi="Times New Roman" w:cs="Times New Roman"/>
          <w:lang w:val="fr-BE"/>
        </w:rPr>
        <w:t>, sauf en ce qui concerne le Royaume-Uni (année de l’enquête) et l’Ir</w:t>
      </w:r>
      <w:r>
        <w:rPr>
          <w:rFonts w:ascii="Times New Roman" w:hAnsi="Times New Roman" w:cs="Times New Roman"/>
          <w:lang w:val="fr-BE"/>
        </w:rPr>
        <w:t>lande (revenus des douze mois ayant précédé l’enquête)</w:t>
      </w:r>
      <w:r>
        <w:rPr>
          <w:rStyle w:val="FootnoteReference"/>
          <w:rFonts w:ascii="Times New Roman" w:hAnsi="Times New Roman" w:cs="Times New Roman"/>
          <w:vertAlign w:val="baseline"/>
          <w:lang w:val="fr-BE"/>
        </w:rPr>
        <w:t>.</w:t>
      </w:r>
    </w:p>
  </w:footnote>
  <w:footnote w:id="8">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lang w:val="fr-BE"/>
        </w:rPr>
        <w:footnoteRef/>
      </w:r>
      <w:r>
        <w:rPr>
          <w:rFonts w:ascii="Times New Roman" w:hAnsi="Times New Roman" w:cs="Times New Roman"/>
          <w:lang w:val="fr-BE"/>
        </w:rPr>
        <w:t xml:space="preserve"> Les données EU-SILC se réfèrent pour la plupart des États membres aux revenus enregistrés l’année précédente (revenus de 2016 pour SILC 2017, voir aussi la note de bas de page</w:t>
      </w:r>
      <w:r>
        <w:rPr>
          <w:rFonts w:ascii="Times New Roman" w:hAnsi="Times New Roman" w:cs="Times New Roman"/>
          <w:lang w:val="fr-BE"/>
        </w:rPr>
        <w:fldChar w:fldCharType="begin"/>
      </w:r>
      <w:r>
        <w:rPr>
          <w:rFonts w:ascii="Times New Roman" w:hAnsi="Times New Roman" w:cs="Times New Roman"/>
          <w:lang w:val="fr-BE"/>
        </w:rPr>
        <w:instrText xml:space="preserve"> NOTEREF _Ref529538880 </w:instrText>
      </w:r>
      <w:r>
        <w:rPr>
          <w:rFonts w:ascii="Times New Roman" w:hAnsi="Times New Roman" w:cs="Times New Roman"/>
          <w:lang w:val="fr-BE"/>
        </w:rPr>
        <w:instrText xml:space="preserve">\h  \* MERGEFORMAT </w:instrText>
      </w:r>
      <w:r>
        <w:rPr>
          <w:rFonts w:ascii="Times New Roman" w:hAnsi="Times New Roman" w:cs="Times New Roman"/>
          <w:lang w:val="fr-BE"/>
        </w:rPr>
      </w:r>
      <w:r>
        <w:rPr>
          <w:rFonts w:ascii="Times New Roman" w:hAnsi="Times New Roman" w:cs="Times New Roman"/>
          <w:lang w:val="fr-BE"/>
        </w:rPr>
        <w:fldChar w:fldCharType="separate"/>
      </w:r>
      <w:r>
        <w:rPr>
          <w:rFonts w:ascii="Times New Roman" w:hAnsi="Times New Roman" w:cs="Times New Roman"/>
          <w:lang w:val="fr-BE"/>
        </w:rPr>
        <w:t>7</w:t>
      </w:r>
      <w:r>
        <w:rPr>
          <w:rFonts w:ascii="Times New Roman" w:hAnsi="Times New Roman" w:cs="Times New Roman"/>
          <w:lang w:val="fr-BE"/>
        </w:rPr>
        <w:fldChar w:fldCharType="end"/>
      </w:r>
      <w:r>
        <w:rPr>
          <w:rFonts w:ascii="Times New Roman" w:hAnsi="Times New Roman" w:cs="Times New Roman"/>
          <w:lang w:val="fr-BE"/>
        </w:rPr>
        <w:t>). Les estimations rapides publiées par Eurostat indiquent que les améliorations de l’indicateur du risque de pauvreté (et du rapport S80/S20) devraient également conce</w:t>
      </w:r>
      <w:r>
        <w:rPr>
          <w:rFonts w:ascii="Times New Roman" w:hAnsi="Times New Roman" w:cs="Times New Roman"/>
          <w:lang w:val="fr-BE"/>
        </w:rPr>
        <w:t>rner, dans la plupart des États membres, les revenus enregistrés en 2017 (indicateurs publiés en 2018).</w:t>
      </w:r>
    </w:p>
  </w:footnote>
  <w:footnote w:id="9">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lang w:val="fr-BE"/>
        </w:rPr>
        <w:footnoteRef/>
      </w:r>
      <w:r>
        <w:rPr>
          <w:rStyle w:val="FootnoteReference"/>
          <w:rFonts w:ascii="Times New Roman" w:hAnsi="Times New Roman" w:cs="Times New Roman"/>
          <w:vertAlign w:val="baseline"/>
          <w:lang w:val="fr-BE"/>
        </w:rPr>
        <w:t xml:space="preserve"> Rapport annuel 2018 du CPS.</w:t>
      </w:r>
    </w:p>
  </w:footnote>
  <w:footnote w:id="10">
    <w:p w:rsidR="00723CC0" w:rsidRDefault="00242021">
      <w:pPr>
        <w:pStyle w:val="FootnoteText"/>
        <w:rPr>
          <w:rFonts w:ascii="Times New Roman" w:hAnsi="Times New Roman" w:cs="Times New Roman"/>
          <w:lang w:val="fr-BE"/>
        </w:rPr>
      </w:pPr>
      <w:r>
        <w:rPr>
          <w:rFonts w:ascii="Times New Roman" w:hAnsi="Times New Roman" w:cs="Times New Roman"/>
          <w:vertAlign w:val="superscript"/>
          <w:lang w:val="fr-BE"/>
        </w:rPr>
        <w:footnoteRef/>
      </w:r>
      <w:r>
        <w:rPr>
          <w:rFonts w:ascii="Times New Roman" w:hAnsi="Times New Roman" w:cs="Times New Roman"/>
          <w:lang w:val="fr-BE"/>
        </w:rPr>
        <w:t xml:space="preserve"> Rapport annuel 2018 du CPS.</w:t>
      </w:r>
    </w:p>
  </w:footnote>
  <w:footnote w:id="11">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lang w:val="fr-BE"/>
        </w:rPr>
        <w:footnoteRef/>
      </w:r>
      <w:r>
        <w:rPr>
          <w:rStyle w:val="FootnoteReference"/>
          <w:rFonts w:ascii="Times New Roman" w:hAnsi="Times New Roman" w:cs="Times New Roman"/>
          <w:vertAlign w:val="baseline"/>
          <w:lang w:val="fr-BE"/>
        </w:rPr>
        <w:t xml:space="preserve"> SWD(2017) 200 final, document accompagnant la communication COM(2017) 250 final du 26 avril 2017.</w:t>
      </w:r>
    </w:p>
  </w:footnote>
  <w:footnote w:id="12">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lang w:val="fr-BE"/>
        </w:rPr>
        <w:footnoteRef/>
      </w:r>
      <w:r>
        <w:rPr>
          <w:rFonts w:ascii="Times New Roman" w:hAnsi="Times New Roman" w:cs="Times New Roman"/>
          <w:lang w:val="fr-BE"/>
        </w:rPr>
        <w:t xml:space="preserve"> </w:t>
      </w:r>
      <w:r>
        <w:rPr>
          <w:rStyle w:val="FootnoteReference"/>
          <w:rFonts w:ascii="Times New Roman" w:hAnsi="Times New Roman" w:cs="Times New Roman"/>
          <w:vertAlign w:val="baseline"/>
          <w:lang w:val="fr-BE"/>
        </w:rPr>
        <w:t>Le r</w:t>
      </w:r>
      <w:r>
        <w:rPr>
          <w:rFonts w:ascii="Times New Roman" w:hAnsi="Times New Roman" w:cs="Times New Roman"/>
          <w:lang w:val="fr-BE"/>
        </w:rPr>
        <w:t xml:space="preserve">elevé </w:t>
      </w:r>
      <w:r>
        <w:rPr>
          <w:rStyle w:val="FootnoteReference"/>
          <w:rFonts w:ascii="Times New Roman" w:hAnsi="Times New Roman" w:cs="Times New Roman"/>
          <w:vertAlign w:val="baseline"/>
          <w:lang w:val="fr-BE"/>
        </w:rPr>
        <w:t>des résultats en matière d’emploi et le suivi des résultats dans le domaine de la protection sociale sont des rapports annuels élaborés respectiv</w:t>
      </w:r>
      <w:r>
        <w:rPr>
          <w:rStyle w:val="FootnoteReference"/>
          <w:rFonts w:ascii="Times New Roman" w:hAnsi="Times New Roman" w:cs="Times New Roman"/>
          <w:vertAlign w:val="baseline"/>
          <w:lang w:val="fr-BE"/>
        </w:rPr>
        <w:t>ement par le Comité de l’emploi et le Comité de la protection sociale. Ils</w:t>
      </w:r>
      <w:r>
        <w:rPr>
          <w:rFonts w:ascii="Times New Roman" w:hAnsi="Times New Roman" w:cs="Times New Roman"/>
          <w:lang w:val="fr-BE"/>
        </w:rPr>
        <w:t xml:space="preserve"> déterminent </w:t>
      </w:r>
      <w:r>
        <w:rPr>
          <w:rStyle w:val="FootnoteReference"/>
          <w:rFonts w:ascii="Times New Roman" w:hAnsi="Times New Roman" w:cs="Times New Roman"/>
          <w:vertAlign w:val="baseline"/>
          <w:lang w:val="fr-BE"/>
        </w:rPr>
        <w:t>les tendances à surveiller, les principaux défis en matière sociale et d’emploi dans les États membres, et</w:t>
      </w:r>
      <w:r>
        <w:rPr>
          <w:rFonts w:ascii="Times New Roman" w:hAnsi="Times New Roman" w:cs="Times New Roman"/>
          <w:lang w:val="fr-BE"/>
        </w:rPr>
        <w:t xml:space="preserve"> suivent </w:t>
      </w:r>
      <w:r>
        <w:rPr>
          <w:rStyle w:val="FootnoteReference"/>
          <w:rFonts w:ascii="Times New Roman" w:hAnsi="Times New Roman" w:cs="Times New Roman"/>
          <w:vertAlign w:val="baseline"/>
          <w:lang w:val="fr-BE"/>
        </w:rPr>
        <w:t>les progrès réalisés vers les objectifs de la stratégi</w:t>
      </w:r>
      <w:r>
        <w:rPr>
          <w:rStyle w:val="FootnoteReference"/>
          <w:rFonts w:ascii="Times New Roman" w:hAnsi="Times New Roman" w:cs="Times New Roman"/>
          <w:vertAlign w:val="baseline"/>
          <w:lang w:val="fr-BE"/>
        </w:rPr>
        <w:t>e Europe 2020 en matière d’emploi et de réduction de la pauvreté.</w:t>
      </w:r>
    </w:p>
  </w:footnote>
  <w:footnote w:id="13">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lang w:val="fr-BE"/>
        </w:rPr>
        <w:footnoteRef/>
      </w:r>
      <w:r>
        <w:rPr>
          <w:rStyle w:val="FootnoteReference"/>
          <w:rFonts w:ascii="Times New Roman" w:hAnsi="Times New Roman" w:cs="Times New Roman"/>
          <w:vertAlign w:val="baseline"/>
          <w:lang w:val="fr-BE"/>
        </w:rPr>
        <w:t xml:space="preserve"> Dans le Rapport conjoint sur l’emploi 2018, sur demande du Comité de l’emploi et du Comité de la protection sociale (et de leurs sous-groupes «indicateurs»), deux indicateurs clés dans le </w:t>
      </w:r>
      <w:r>
        <w:rPr>
          <w:rStyle w:val="FootnoteReference"/>
          <w:rFonts w:ascii="Times New Roman" w:hAnsi="Times New Roman" w:cs="Times New Roman"/>
          <w:vertAlign w:val="baseline"/>
          <w:lang w:val="fr-BE"/>
        </w:rPr>
        <w:t>domaine des «marchés du travail dynamiques et conditions de travail équitables»</w:t>
      </w:r>
      <w:r>
        <w:rPr>
          <w:rFonts w:ascii="Times New Roman" w:hAnsi="Times New Roman" w:cs="Times New Roman"/>
          <w:lang w:val="fr-BE"/>
        </w:rPr>
        <w:t xml:space="preserve"> </w:t>
      </w:r>
      <w:r>
        <w:rPr>
          <w:rStyle w:val="FootnoteReference"/>
          <w:rFonts w:ascii="Times New Roman" w:hAnsi="Times New Roman" w:cs="Times New Roman"/>
          <w:vertAlign w:val="baseline"/>
          <w:lang w:val="fr-BE"/>
        </w:rPr>
        <w:t>(«participants aux politiques actives du marché du travail sur 100 personnes qui souhaitent travailler» et «rémunération des salariés par heure travaillée, en euros») n’ont pas</w:t>
      </w:r>
      <w:r>
        <w:rPr>
          <w:rStyle w:val="FootnoteReference"/>
          <w:rFonts w:ascii="Times New Roman" w:hAnsi="Times New Roman" w:cs="Times New Roman"/>
          <w:vertAlign w:val="baseline"/>
          <w:lang w:val="fr-BE"/>
        </w:rPr>
        <w:t xml:space="preserve"> été inclus dans le tableau récapitulatif et n’ont pas figuré parmi les indicateurs clés du tableau de bord dans l’analyse ultérieure, en raison de problèmes d’ordre technique. À la suite des discussions menées, en septembre</w:t>
      </w:r>
      <w:r>
        <w:rPr>
          <w:rFonts w:ascii="Times New Roman" w:hAnsi="Times New Roman" w:cs="Times New Roman"/>
          <w:lang w:val="fr-BE"/>
        </w:rPr>
        <w:t> </w:t>
      </w:r>
      <w:r>
        <w:rPr>
          <w:rStyle w:val="FootnoteReference"/>
          <w:rFonts w:ascii="Times New Roman" w:hAnsi="Times New Roman" w:cs="Times New Roman"/>
          <w:vertAlign w:val="baseline"/>
          <w:lang w:val="fr-BE"/>
        </w:rPr>
        <w:t>2018, les comités sont convenus</w:t>
      </w:r>
      <w:r>
        <w:rPr>
          <w:rStyle w:val="FootnoteReference"/>
          <w:rFonts w:ascii="Times New Roman" w:hAnsi="Times New Roman" w:cs="Times New Roman"/>
          <w:vertAlign w:val="baseline"/>
          <w:lang w:val="fr-BE"/>
        </w:rPr>
        <w:t xml:space="preserve"> de remplacer ces indicateurs par d’autres (respectivement «taux de chômage de longue durée» et «rémunération nette d’un travailleur à plein temps célibataire et sans enfant percevant un salaire moyen»). Ces indicateurs, qui se rapportent</w:t>
      </w:r>
      <w:r>
        <w:rPr>
          <w:rFonts w:ascii="Times New Roman" w:hAnsi="Times New Roman" w:cs="Times New Roman"/>
          <w:lang w:val="fr-BE"/>
        </w:rPr>
        <w:t xml:space="preserve"> en particulier </w:t>
      </w:r>
      <w:r>
        <w:rPr>
          <w:rStyle w:val="FootnoteReference"/>
          <w:rFonts w:ascii="Times New Roman" w:hAnsi="Times New Roman" w:cs="Times New Roman"/>
          <w:vertAlign w:val="baseline"/>
          <w:lang w:val="fr-BE"/>
        </w:rPr>
        <w:t>au</w:t>
      </w:r>
      <w:r>
        <w:rPr>
          <w:rStyle w:val="FootnoteReference"/>
          <w:rFonts w:ascii="Times New Roman" w:hAnsi="Times New Roman" w:cs="Times New Roman"/>
          <w:vertAlign w:val="baseline"/>
          <w:lang w:val="fr-BE"/>
        </w:rPr>
        <w:t xml:space="preserve">x principes du socle sur le «soutien actif à l’emploi» et les «salaires», seront utilisés dans l’analyse du présent rapport conjoint sur l’emploi. </w:t>
      </w:r>
    </w:p>
  </w:footnote>
  <w:footnote w:id="14">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lang w:val="fr-BE"/>
        </w:rPr>
        <w:footnoteRef/>
      </w:r>
      <w:r>
        <w:rPr>
          <w:rStyle w:val="FootnoteReference"/>
          <w:rFonts w:ascii="Times New Roman" w:hAnsi="Times New Roman" w:cs="Times New Roman"/>
          <w:vertAlign w:val="baseline"/>
          <w:lang w:val="fr-BE"/>
        </w:rPr>
        <w:t xml:space="preserve"> Comme l</w:t>
      </w:r>
      <w:r>
        <w:rPr>
          <w:rFonts w:ascii="Times New Roman" w:hAnsi="Times New Roman" w:cs="Times New Roman"/>
          <w:lang w:val="fr-BE"/>
        </w:rPr>
        <w:t>’</w:t>
      </w:r>
      <w:r>
        <w:rPr>
          <w:rStyle w:val="FootnoteReference"/>
          <w:rFonts w:ascii="Times New Roman" w:hAnsi="Times New Roman" w:cs="Times New Roman"/>
          <w:vertAlign w:val="baseline"/>
          <w:lang w:val="fr-BE"/>
        </w:rPr>
        <w:t>ont demandé les comités, cet indicateur est mesuré sur la base du «revenu non ajusté» (hors transf</w:t>
      </w:r>
      <w:r>
        <w:rPr>
          <w:rStyle w:val="FootnoteReference"/>
          <w:rFonts w:ascii="Times New Roman" w:hAnsi="Times New Roman" w:cs="Times New Roman"/>
          <w:vertAlign w:val="baseline"/>
          <w:lang w:val="fr-BE"/>
        </w:rPr>
        <w:t>erts sociaux en nature) et sans référence à l</w:t>
      </w:r>
      <w:r>
        <w:rPr>
          <w:rFonts w:ascii="Times New Roman" w:hAnsi="Times New Roman" w:cs="Times New Roman"/>
          <w:lang w:val="fr-BE"/>
        </w:rPr>
        <w:t>’</w:t>
      </w:r>
      <w:r>
        <w:rPr>
          <w:rStyle w:val="FootnoteReference"/>
          <w:rFonts w:ascii="Times New Roman" w:hAnsi="Times New Roman" w:cs="Times New Roman"/>
          <w:vertAlign w:val="baseline"/>
          <w:lang w:val="fr-BE"/>
        </w:rPr>
        <w:t>utilisation des standards de pouvoir d</w:t>
      </w:r>
      <w:r>
        <w:rPr>
          <w:rFonts w:ascii="Times New Roman" w:hAnsi="Times New Roman" w:cs="Times New Roman"/>
          <w:lang w:val="fr-BE"/>
        </w:rPr>
        <w:t>’</w:t>
      </w:r>
      <w:r>
        <w:rPr>
          <w:rStyle w:val="FootnoteReference"/>
          <w:rFonts w:ascii="Times New Roman" w:hAnsi="Times New Roman" w:cs="Times New Roman"/>
          <w:vertAlign w:val="baseline"/>
          <w:lang w:val="fr-BE"/>
        </w:rPr>
        <w:t>achat (SPA).</w:t>
      </w:r>
    </w:p>
  </w:footnote>
  <w:footnote w:id="15">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lang w:val="fr-BE"/>
        </w:rPr>
        <w:footnoteRef/>
      </w:r>
      <w:r>
        <w:rPr>
          <w:rStyle w:val="FootnoteReference"/>
          <w:rFonts w:ascii="Times New Roman" w:hAnsi="Times New Roman" w:cs="Times New Roman"/>
          <w:vertAlign w:val="baseline"/>
          <w:lang w:val="fr-BE"/>
        </w:rPr>
        <w:t xml:space="preserve"> Les niveaux de cet indicateur sont exprimés en standards de pouvoir d’achat (SPA), tandis que les variations sont exprimé</w:t>
      </w:r>
      <w:r>
        <w:rPr>
          <w:rFonts w:ascii="Times New Roman" w:hAnsi="Times New Roman" w:cs="Times New Roman"/>
          <w:lang w:val="fr-BE"/>
        </w:rPr>
        <w:t>e</w:t>
      </w:r>
      <w:r>
        <w:rPr>
          <w:rStyle w:val="FootnoteReference"/>
          <w:rFonts w:ascii="Times New Roman" w:hAnsi="Times New Roman" w:cs="Times New Roman"/>
          <w:vertAlign w:val="baseline"/>
          <w:lang w:val="fr-BE"/>
        </w:rPr>
        <w:t xml:space="preserve">s en monnaie nationale, en termes </w:t>
      </w:r>
      <w:r>
        <w:rPr>
          <w:rStyle w:val="FootnoteReference"/>
          <w:rFonts w:ascii="Times New Roman" w:hAnsi="Times New Roman" w:cs="Times New Roman"/>
          <w:vertAlign w:val="baseline"/>
          <w:lang w:val="fr-BE"/>
        </w:rPr>
        <w:t>réels. Pour lisser les fluctuations à court terme, on utilise les moyennes sur 3 ans, tant pour les niveaux que pour les variations. Cet indicateur doit être lu et interprété en combinaison avec d’autres indicateurs, tels que le taux de travailleurs pauvre</w:t>
      </w:r>
      <w:r>
        <w:rPr>
          <w:rStyle w:val="FootnoteReference"/>
          <w:rFonts w:ascii="Times New Roman" w:hAnsi="Times New Roman" w:cs="Times New Roman"/>
          <w:vertAlign w:val="baseline"/>
          <w:lang w:val="fr-BE"/>
        </w:rPr>
        <w:t>s, le rapport entre les 5e et 1er déciles de la distribution des salaires (D5/D1) et d’autres indicateurs pertinents du relevé des résultats en matière d</w:t>
      </w:r>
      <w:r>
        <w:rPr>
          <w:rFonts w:ascii="Times New Roman" w:hAnsi="Times New Roman" w:cs="Times New Roman"/>
          <w:lang w:val="fr-BE"/>
        </w:rPr>
        <w:t>’</w:t>
      </w:r>
      <w:r>
        <w:rPr>
          <w:rStyle w:val="FootnoteReference"/>
          <w:rFonts w:ascii="Times New Roman" w:hAnsi="Times New Roman" w:cs="Times New Roman"/>
          <w:vertAlign w:val="baseline"/>
          <w:lang w:val="fr-BE"/>
        </w:rPr>
        <w:t>emploi, du suivi des résultats dans le domaine de la protection sociale et du cadre d’évaluation conjo</w:t>
      </w:r>
      <w:r>
        <w:rPr>
          <w:rStyle w:val="FootnoteReference"/>
          <w:rFonts w:ascii="Times New Roman" w:hAnsi="Times New Roman" w:cs="Times New Roman"/>
          <w:vertAlign w:val="baseline"/>
          <w:lang w:val="fr-BE"/>
        </w:rPr>
        <w:t>inte.</w:t>
      </w:r>
    </w:p>
  </w:footnote>
  <w:footnote w:id="16">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lang w:val="fr-BE"/>
        </w:rPr>
        <w:footnoteRef/>
      </w:r>
      <w:r>
        <w:rPr>
          <w:rStyle w:val="FootnoteReference"/>
          <w:rFonts w:ascii="Times New Roman" w:hAnsi="Times New Roman" w:cs="Times New Roman"/>
          <w:vertAlign w:val="baseline"/>
          <w:lang w:val="fr-BE"/>
        </w:rPr>
        <w:t xml:space="preserve"> Elle correspond à la différence, dans la population totale, entre la proportion de personnes exposées au risque de pauvreté avant et après les transferts sociaux.</w:t>
      </w:r>
    </w:p>
  </w:footnote>
  <w:footnote w:id="17">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lang w:val="fr-BE"/>
        </w:rPr>
        <w:footnoteRef/>
      </w:r>
      <w:r>
        <w:rPr>
          <w:rStyle w:val="FootnoteReference"/>
          <w:rFonts w:ascii="Times New Roman" w:hAnsi="Times New Roman" w:cs="Times New Roman"/>
          <w:vertAlign w:val="baseline"/>
          <w:lang w:val="fr-BE"/>
        </w:rPr>
        <w:t xml:space="preserve"> Sauf pour le revenu disponible brut des ménages, qui est mesuré sous forme d</w:t>
      </w:r>
      <w:r>
        <w:rPr>
          <w:rFonts w:ascii="Times New Roman" w:hAnsi="Times New Roman" w:cs="Times New Roman"/>
          <w:lang w:val="fr-BE"/>
        </w:rPr>
        <w:t>’</w:t>
      </w:r>
      <w:r>
        <w:rPr>
          <w:rStyle w:val="FootnoteReference"/>
          <w:rFonts w:ascii="Times New Roman" w:hAnsi="Times New Roman" w:cs="Times New Roman"/>
          <w:vertAlign w:val="baseline"/>
          <w:lang w:val="fr-BE"/>
        </w:rPr>
        <w:t>indice</w:t>
      </w:r>
      <w:r>
        <w:rPr>
          <w:rStyle w:val="FootnoteReference"/>
          <w:rFonts w:ascii="Times New Roman" w:hAnsi="Times New Roman" w:cs="Times New Roman"/>
          <w:vertAlign w:val="baseline"/>
          <w:lang w:val="fr-BE"/>
        </w:rPr>
        <w:t xml:space="preserve"> (2008</w:t>
      </w:r>
      <w:r>
        <w:rPr>
          <w:rFonts w:ascii="Times New Roman" w:hAnsi="Times New Roman" w:cs="Times New Roman"/>
          <w:lang w:val="fr-BE"/>
        </w:rPr>
        <w:t> </w:t>
      </w:r>
      <w:r>
        <w:rPr>
          <w:rStyle w:val="FootnoteReference"/>
          <w:rFonts w:ascii="Times New Roman" w:hAnsi="Times New Roman" w:cs="Times New Roman"/>
          <w:vertAlign w:val="baseline"/>
          <w:lang w:val="fr-BE"/>
        </w:rPr>
        <w:t>=</w:t>
      </w:r>
      <w:r>
        <w:rPr>
          <w:rFonts w:ascii="Times New Roman" w:hAnsi="Times New Roman" w:cs="Times New Roman"/>
          <w:lang w:val="fr-BE"/>
        </w:rPr>
        <w:t> </w:t>
      </w:r>
      <w:r>
        <w:rPr>
          <w:rStyle w:val="FootnoteReference"/>
          <w:rFonts w:ascii="Times New Roman" w:hAnsi="Times New Roman" w:cs="Times New Roman"/>
          <w:vertAlign w:val="baseline"/>
          <w:lang w:val="fr-BE"/>
        </w:rPr>
        <w:t>100, ce qui signifie que la comparaison est faite par rapport à la situation antérieure à la crise), les variations portent sur la dernière année; pour</w:t>
      </w:r>
      <w:r>
        <w:rPr>
          <w:rFonts w:ascii="Times New Roman" w:hAnsi="Times New Roman" w:cs="Times New Roman"/>
          <w:lang w:val="fr-BE"/>
        </w:rPr>
        <w:t xml:space="preserve"> la </w:t>
      </w:r>
      <w:r>
        <w:rPr>
          <w:rStyle w:val="FootnoteReference"/>
          <w:rFonts w:ascii="Times New Roman" w:hAnsi="Times New Roman" w:cs="Times New Roman"/>
          <w:vertAlign w:val="baseline"/>
          <w:lang w:val="fr-BE"/>
        </w:rPr>
        <w:t>rémunération nette d’un travailleur à plein temps célibataire et sans enfant percevant un sa</w:t>
      </w:r>
      <w:r>
        <w:rPr>
          <w:rStyle w:val="FootnoteReference"/>
          <w:rFonts w:ascii="Times New Roman" w:hAnsi="Times New Roman" w:cs="Times New Roman"/>
          <w:vertAlign w:val="baseline"/>
          <w:lang w:val="fr-BE"/>
        </w:rPr>
        <w:t>laire moyen</w:t>
      </w:r>
      <w:r>
        <w:rPr>
          <w:rFonts w:ascii="Times New Roman" w:hAnsi="Times New Roman" w:cs="Times New Roman"/>
          <w:lang w:val="fr-BE"/>
        </w:rPr>
        <w:t>, les moyennes calculées sur trois ans sont utilisées, en accord avec le Comité de l’emploi et le Comité de la protection sociale.</w:t>
      </w:r>
    </w:p>
  </w:footnote>
  <w:footnote w:id="18">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lang w:val="fr-BE"/>
        </w:rPr>
        <w:footnoteRef/>
      </w:r>
      <w:r>
        <w:rPr>
          <w:rFonts w:ascii="Times New Roman" w:hAnsi="Times New Roman" w:cs="Times New Roman"/>
          <w:vertAlign w:val="superscript"/>
          <w:lang w:val="fr-BE"/>
        </w:rPr>
        <w:t xml:space="preserve"> </w:t>
      </w:r>
      <w:r>
        <w:rPr>
          <w:rFonts w:ascii="Times New Roman" w:hAnsi="Times New Roman" w:cs="Times New Roman"/>
          <w:lang w:val="fr-BE"/>
        </w:rPr>
        <w:t xml:space="preserve">La date limite pour l’extraction des indicateurs clés du tableau de bord social a été fixée au 26 octobre 2018. </w:t>
      </w:r>
      <w:r>
        <w:rPr>
          <w:rFonts w:ascii="Times New Roman" w:hAnsi="Times New Roman" w:cs="Times New Roman"/>
          <w:lang w:val="fr-BE"/>
        </w:rPr>
        <w:t>La version finale du rapport conjoint sur l’emploi sera mise à jour en vue de son adoption par le Conseil EPSCO.</w:t>
      </w:r>
    </w:p>
  </w:footnote>
  <w:footnote w:id="19">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lang w:val="fr-BE"/>
        </w:rPr>
        <w:footnoteRef/>
      </w:r>
      <w:r>
        <w:rPr>
          <w:rFonts w:ascii="Times New Roman" w:hAnsi="Times New Roman" w:cs="Times New Roman"/>
          <w:lang w:val="fr-BE"/>
        </w:rPr>
        <w:t xml:space="preserve"> Les données reposent sur les moyennes UE pondérées, à l’exception de l’indicateur «Rémunération nette d’un travailleur à plein temps célibata</w:t>
      </w:r>
      <w:r>
        <w:rPr>
          <w:rFonts w:ascii="Times New Roman" w:hAnsi="Times New Roman" w:cs="Times New Roman"/>
          <w:lang w:val="fr-BE"/>
        </w:rPr>
        <w:t>ire et sans enfant percevant un salaire moyen» pour lequel la moyenne n’est pas pondérée.</w:t>
      </w:r>
    </w:p>
  </w:footnote>
  <w:footnote w:id="20">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lang w:val="fr-BE"/>
        </w:rPr>
        <w:footnoteRef/>
      </w:r>
      <w:r>
        <w:rPr>
          <w:rFonts w:ascii="Times New Roman" w:hAnsi="Times New Roman" w:cs="Times New Roman"/>
          <w:lang w:val="fr-BE"/>
        </w:rPr>
        <w:t xml:space="preserve"> L’amélioration de la tendance se confirme si l’on fait abstraction deux nouveaux indicateurs («taux de chômage de longue durée» et «rémunération nette d’un travaill</w:t>
      </w:r>
      <w:r>
        <w:rPr>
          <w:rFonts w:ascii="Times New Roman" w:hAnsi="Times New Roman" w:cs="Times New Roman"/>
          <w:lang w:val="fr-BE"/>
        </w:rPr>
        <w:t>eur à plein temps célibataire et sans enfant percevant un salaire moyen») pour permettre une comparaison fondée sur la même série d’indicateurs. Dans ce cas, le pourcentage global de «situation critique», de cas «à surveiller» ou de résultat «faible mais e</w:t>
      </w:r>
      <w:r>
        <w:rPr>
          <w:rFonts w:ascii="Times New Roman" w:hAnsi="Times New Roman" w:cs="Times New Roman"/>
          <w:lang w:val="fr-BE"/>
        </w:rPr>
        <w:t>n voie d’amélioration» par rapport au nombre total d’évaluations est toujours de 31 %, tandis que le pourcentage de «situations critiques» augmente légèrement et atteint 11 %.</w:t>
      </w:r>
    </w:p>
  </w:footnote>
  <w:footnote w:id="21">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lang w:val="fr-BE"/>
        </w:rPr>
        <w:footnoteRef/>
      </w:r>
      <w:r>
        <w:rPr>
          <w:rFonts w:ascii="Times New Roman" w:hAnsi="Times New Roman" w:cs="Times New Roman"/>
          <w:lang w:val="fr-BE"/>
        </w:rPr>
        <w:t xml:space="preserve"> «Compléter l’Union économique et monétaire européenne»,</w:t>
      </w:r>
      <w:r>
        <w:rPr>
          <w:rFonts w:ascii="Times New Roman" w:hAnsi="Times New Roman" w:cs="Times New Roman"/>
          <w:i/>
          <w:lang w:val="fr-BE"/>
        </w:rPr>
        <w:t xml:space="preserve"> </w:t>
      </w:r>
      <w:r>
        <w:rPr>
          <w:rFonts w:ascii="Times New Roman" w:hAnsi="Times New Roman" w:cs="Times New Roman"/>
          <w:lang w:val="fr-BE"/>
        </w:rPr>
        <w:t>rapport de Jean-Claude</w:t>
      </w:r>
      <w:r>
        <w:rPr>
          <w:rFonts w:ascii="Times New Roman" w:hAnsi="Times New Roman" w:cs="Times New Roman"/>
          <w:lang w:val="fr-BE"/>
        </w:rPr>
        <w:t xml:space="preserve"> Juncker, en étroite collaboration avec Donald Tusk, Jeroen Dijsselbloem, Mario Draghi et Martin Schulz, 22 juin 2015.</w:t>
      </w:r>
    </w:p>
  </w:footnote>
  <w:footnote w:id="22">
    <w:p w:rsidR="00723CC0" w:rsidRDefault="00242021">
      <w:pPr>
        <w:pStyle w:val="FootnoteText"/>
        <w:rPr>
          <w:rFonts w:ascii="Times New Roman" w:hAnsi="Times New Roman" w:cs="Times New Roman"/>
          <w:lang w:val="fr-BE"/>
        </w:rPr>
      </w:pPr>
      <w:r>
        <w:rPr>
          <w:rStyle w:val="FootnoteReference"/>
          <w:rFonts w:ascii="Times New Roman" w:hAnsi="Times New Roman" w:cs="Times New Roman"/>
          <w:lang w:val="fr-BE"/>
        </w:rPr>
        <w:footnoteRef/>
      </w:r>
      <w:r>
        <w:rPr>
          <w:rFonts w:ascii="Times New Roman" w:hAnsi="Times New Roman" w:cs="Times New Roman"/>
          <w:lang w:val="fr-BE"/>
        </w:rPr>
        <w:t xml:space="preserve"> COM(2017) 291 final.</w:t>
      </w:r>
    </w:p>
  </w:footnote>
  <w:footnote w:id="23">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lang w:val="fr-BE"/>
        </w:rPr>
        <w:footnoteRef/>
      </w:r>
      <w:r>
        <w:rPr>
          <w:rFonts w:ascii="Times New Roman" w:hAnsi="Times New Roman" w:cs="Times New Roman"/>
          <w:lang w:val="fr-BE"/>
        </w:rPr>
        <w:t xml:space="preserve"> COM(2017) 250 final.</w:t>
      </w:r>
    </w:p>
  </w:footnote>
  <w:footnote w:id="24">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 xml:space="preserve">Décision (UE) 2018/1215 du Conseil du 16 juillet 2018 relative aux lignes directrices </w:t>
      </w:r>
      <w:r>
        <w:rPr>
          <w:rFonts w:ascii="Times New Roman" w:hAnsi="Times New Roman" w:cs="Times New Roman"/>
          <w:lang w:val="fr-BE"/>
        </w:rPr>
        <w:t>pour les politiques de l’emploi des États membres.</w:t>
      </w:r>
    </w:p>
  </w:footnote>
  <w:footnote w:id="25">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Y compris la base de données LABREF (consultable à l’adresse suivante: </w:t>
      </w:r>
      <w:hyperlink r:id="rId1" w:history="1">
        <w:r>
          <w:rPr>
            <w:rStyle w:val="Hyperlink"/>
            <w:rFonts w:ascii="Times New Roman" w:hAnsi="Times New Roman" w:cs="Times New Roman"/>
            <w:lang w:val="fr-BE"/>
          </w:rPr>
          <w:t>http://ec.europa.eu/social/main.jsp?catId=11</w:t>
        </w:r>
        <w:r>
          <w:rPr>
            <w:rStyle w:val="Hyperlink"/>
            <w:rFonts w:ascii="Times New Roman" w:hAnsi="Times New Roman" w:cs="Times New Roman"/>
            <w:lang w:val="fr-BE"/>
          </w:rPr>
          <w:t>43&amp;intPageId=3193&amp;langId=fr</w:t>
        </w:r>
      </w:hyperlink>
      <w:r>
        <w:rPr>
          <w:rStyle w:val="FootnoteReference"/>
          <w:rFonts w:ascii="Times New Roman" w:hAnsi="Times New Roman" w:cs="Times New Roman"/>
          <w:vertAlign w:val="baseline"/>
          <w:lang w:val="fr-BE"/>
        </w:rPr>
        <w:t>).</w:t>
      </w:r>
    </w:p>
  </w:footnote>
  <w:footnote w:id="26">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Commission européenne (2018), «Labour Market and Wage Developments in Europe – Annual Review 2018» (Rapport annuel 2018 sur l’évolution du marché du travail et des rémunérations en Europe), Luxembourg: Office des publications de l’Union européenne.</w:t>
      </w:r>
      <w:r>
        <w:rPr>
          <w:rFonts w:ascii="Times New Roman" w:hAnsi="Times New Roman" w:cs="Times New Roman"/>
          <w:lang w:val="fr-BE"/>
        </w:rPr>
        <w:t xml:space="preserve"> Consul</w:t>
      </w:r>
      <w:r>
        <w:rPr>
          <w:rFonts w:ascii="Times New Roman" w:hAnsi="Times New Roman" w:cs="Times New Roman"/>
          <w:lang w:val="fr-BE"/>
        </w:rPr>
        <w:t xml:space="preserve">table à l’adresse suivante: </w:t>
      </w:r>
      <w:hyperlink r:id="rId2" w:history="1">
        <w:r>
          <w:rPr>
            <w:rStyle w:val="Hyperlink"/>
            <w:rFonts w:ascii="Times New Roman" w:hAnsi="Times New Roman" w:cs="Times New Roman"/>
            <w:lang w:val="fr-BE"/>
          </w:rPr>
          <w:t>http://ec.europa.eu/social/main.jsp?catId=738&amp;langId=fr&amp;pubId=8139&amp;furtherPubs=yes</w:t>
        </w:r>
      </w:hyperlink>
    </w:p>
  </w:footnote>
  <w:footnote w:id="27">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Commission européenne (2018), «Employment an</w:t>
      </w:r>
      <w:r>
        <w:rPr>
          <w:rStyle w:val="FootnoteReference"/>
          <w:rFonts w:ascii="Times New Roman" w:hAnsi="Times New Roman" w:cs="Times New Roman"/>
          <w:vertAlign w:val="baseline"/>
          <w:lang w:val="fr-BE"/>
        </w:rPr>
        <w:t>d Social Developments in Europe – Annual Review 2018» (Rapport annuel 2018 sur l’évolution de l’emploi et de la situation sociale en Europe), Luxembourg: Office des publications de l’Union européenne.</w:t>
      </w:r>
      <w:r>
        <w:rPr>
          <w:rFonts w:ascii="Times New Roman" w:hAnsi="Times New Roman" w:cs="Times New Roman"/>
          <w:lang w:val="fr-BE"/>
        </w:rPr>
        <w:t xml:space="preserve"> Consultable à l’adresse suivante: </w:t>
      </w:r>
      <w:hyperlink r:id="rId3" w:history="1">
        <w:r>
          <w:rPr>
            <w:rStyle w:val="Hyperlink"/>
            <w:rFonts w:ascii="Times New Roman" w:hAnsi="Times New Roman" w:cs="Times New Roman"/>
            <w:lang w:val="fr-BE"/>
          </w:rPr>
          <w:t>http://ec.europa.eu/social/main.jsp?catId=738&amp;langId=fr&amp;pubId=8110&amp;furtherPubs=yes</w:t>
        </w:r>
      </w:hyperlink>
    </w:p>
  </w:footnote>
  <w:footnote w:id="28">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L’examen des chiffres du tableau de bord social selon la méthode commune repose dans le rappo</w:t>
      </w:r>
      <w:r>
        <w:rPr>
          <w:rStyle w:val="FootnoteReference"/>
          <w:rFonts w:ascii="Times New Roman" w:hAnsi="Times New Roman" w:cs="Times New Roman"/>
          <w:vertAlign w:val="baseline"/>
        </w:rPr>
        <w:t>rt sur le recours à la notion de convergence des niveaux, ou «</w:t>
      </w:r>
      <w:r>
        <w:rPr>
          <w:rFonts w:ascii="Times New Roman" w:hAnsi="Times New Roman" w:cs="Times New Roman"/>
        </w:rPr>
        <w:sym w:font="Symbol" w:char="F062"/>
      </w:r>
      <w:r>
        <w:rPr>
          <w:rStyle w:val="FootnoteReference"/>
          <w:rFonts w:ascii="Times New Roman" w:hAnsi="Times New Roman" w:cs="Times New Roman"/>
          <w:vertAlign w:val="baseline"/>
        </w:rPr>
        <w:t>-convergence». Cette notion fait référence à la situation dans laquelle les indicateurs des pays les moins performants s’améliorent plus rapidement que ceux des pays les plus performants. L’éva</w:t>
      </w:r>
      <w:r>
        <w:rPr>
          <w:rStyle w:val="FootnoteReference"/>
          <w:rFonts w:ascii="Times New Roman" w:hAnsi="Times New Roman" w:cs="Times New Roman"/>
          <w:vertAlign w:val="baseline"/>
        </w:rPr>
        <w:t>luation de ce paramètre est possible par l’examen de la pente de la droite de régression dans le diagramme de dispersion des niveaux par rapport aux variations.</w:t>
      </w:r>
    </w:p>
  </w:footnote>
  <w:footnote w:id="29">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Voir le chapitre 2 et l’annexe 2 pour plus de précisions.</w:t>
      </w:r>
    </w:p>
  </w:footnote>
  <w:footnote w:id="30">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Cette baisse doit être interprété</w:t>
      </w:r>
      <w:r>
        <w:rPr>
          <w:rFonts w:ascii="Times New Roman" w:hAnsi="Times New Roman" w:cs="Times New Roman"/>
          <w:lang w:val="fr-BE"/>
        </w:rPr>
        <w:t>e avec prudence, car les statistiques sur l’emploi pour le Danemark présentent une rupture dans les séries en 2017 et en 2016 (voir également les annexes 1 et 2). Une rupture de série est également signalée pour la Belgique en 2017.</w:t>
      </w:r>
    </w:p>
  </w:footnote>
  <w:footnote w:id="31">
    <w:p w:rsidR="00723CC0" w:rsidRDefault="00242021">
      <w:pPr>
        <w:pStyle w:val="FootnoteText"/>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Eurostat, EFT.</w:t>
      </w:r>
    </w:p>
  </w:footnote>
  <w:footnote w:id="32">
    <w:p w:rsidR="00723CC0" w:rsidRDefault="00242021">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FMI,</w:t>
      </w:r>
      <w:r>
        <w:rPr>
          <w:rFonts w:ascii="Times New Roman" w:hAnsi="Times New Roman" w:cs="Times New Roman"/>
          <w:lang w:val="fr-BE"/>
        </w:rPr>
        <w:t xml:space="preserve"> 2017, </w:t>
      </w:r>
      <w:r>
        <w:rPr>
          <w:rFonts w:ascii="Times New Roman" w:hAnsi="Times New Roman" w:cs="Times New Roman"/>
          <w:i/>
          <w:lang w:val="fr-BE"/>
        </w:rPr>
        <w:t>Perspectives de l’économie mondiale</w:t>
      </w:r>
      <w:r>
        <w:rPr>
          <w:rFonts w:ascii="Times New Roman" w:hAnsi="Times New Roman" w:cs="Times New Roman"/>
          <w:lang w:val="fr-BE"/>
        </w:rPr>
        <w:t>, octobre 2017.</w:t>
      </w:r>
    </w:p>
  </w:footnote>
  <w:footnote w:id="33">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w:t>
      </w:r>
      <w:r>
        <w:rPr>
          <w:rStyle w:val="FootnoteReference"/>
          <w:rFonts w:ascii="Times New Roman" w:hAnsi="Times New Roman" w:cs="Times New Roman"/>
          <w:vertAlign w:val="baseline"/>
          <w:lang w:val="fr-BE"/>
        </w:rPr>
        <w:t xml:space="preserve">Commission européenne, 2018, «Labour Market and Wage Developments in Europe – Annual Review 2018» (Rapport annuel 2018 sur l’évolution du marché du travail et des rémunérations en Europe), </w:t>
      </w:r>
      <w:r>
        <w:rPr>
          <w:rStyle w:val="FootnoteReference"/>
          <w:rFonts w:ascii="Times New Roman" w:hAnsi="Times New Roman" w:cs="Times New Roman"/>
          <w:vertAlign w:val="baseline"/>
          <w:lang w:val="fr-BE"/>
        </w:rPr>
        <w:t>Luxembourg: Office des publications de l’Union européenne</w:t>
      </w:r>
      <w:r>
        <w:rPr>
          <w:rFonts w:ascii="Times New Roman" w:hAnsi="Times New Roman" w:cs="Times New Roman"/>
          <w:lang w:val="fr-BE"/>
        </w:rPr>
        <w:t>.</w:t>
      </w:r>
    </w:p>
  </w:footnote>
  <w:footnote w:id="34">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Les niveaux de rémunérations nettes sont mesurés en standards de pouvoir d’achat (SPA) afin de permettre une comparaison utile entre les États membres. Les variations sont mesurées en monnaie nat</w:t>
      </w:r>
      <w:r>
        <w:rPr>
          <w:rStyle w:val="FootnoteReference"/>
          <w:rFonts w:ascii="Times New Roman" w:hAnsi="Times New Roman" w:cs="Times New Roman"/>
          <w:vertAlign w:val="baseline"/>
          <w:lang w:val="fr-BE"/>
        </w:rPr>
        <w:t>ionale et en termes réels. Cet indicateur doit être lu et interprété en combinaison avec d’autres, tels que le taux de risque de pauvreté parmi les personnes qui travaillent, le rapport entre les 5e et 1er déciles de la distribution des salaires (D5/D1) et</w:t>
      </w:r>
      <w:r>
        <w:rPr>
          <w:rStyle w:val="FootnoteReference"/>
          <w:rFonts w:ascii="Times New Roman" w:hAnsi="Times New Roman" w:cs="Times New Roman"/>
          <w:vertAlign w:val="baseline"/>
          <w:lang w:val="fr-BE"/>
        </w:rPr>
        <w:t xml:space="preserve"> d’autres indicateurs pertinents du SPPM, du relevé des résultats en matière d</w:t>
      </w:r>
      <w:r>
        <w:rPr>
          <w:rFonts w:ascii="Times New Roman" w:hAnsi="Times New Roman" w:cs="Times New Roman"/>
          <w:lang w:val="fr-BE"/>
        </w:rPr>
        <w:t>’</w:t>
      </w:r>
      <w:r>
        <w:rPr>
          <w:rStyle w:val="FootnoteReference"/>
          <w:rFonts w:ascii="Times New Roman" w:hAnsi="Times New Roman" w:cs="Times New Roman"/>
          <w:vertAlign w:val="baseline"/>
          <w:lang w:val="fr-BE"/>
        </w:rPr>
        <w:t>emploi et du cadre d’évaluation conjointe.</w:t>
      </w:r>
    </w:p>
  </w:footnote>
  <w:footnote w:id="35">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Commission européenne (2018), «Labour Market and Wage Developments in Europe – Annual Review 2018» (Rapport annuel 2018 sur l’évolut</w:t>
      </w:r>
      <w:r>
        <w:rPr>
          <w:rStyle w:val="FootnoteReference"/>
          <w:rFonts w:ascii="Times New Roman" w:hAnsi="Times New Roman" w:cs="Times New Roman"/>
          <w:vertAlign w:val="baseline"/>
          <w:lang w:val="fr-BE"/>
        </w:rPr>
        <w:t>ion du marché du travail et des rémunérations en Europe), Luxembourg: Office des publications de l’Union européenne</w:t>
      </w:r>
      <w:r>
        <w:rPr>
          <w:rFonts w:ascii="Times New Roman" w:hAnsi="Times New Roman" w:cs="Times New Roman"/>
          <w:lang w:val="fr-BE"/>
        </w:rPr>
        <w:t>.</w:t>
      </w:r>
    </w:p>
  </w:footnote>
  <w:footnote w:id="36">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Des informations détaillées sur les tendances récentes, y compris selon les différentes catégories de revenus, peuvent être consultées da</w:t>
      </w:r>
      <w:r>
        <w:rPr>
          <w:rStyle w:val="FootnoteReference"/>
          <w:rFonts w:ascii="Times New Roman" w:hAnsi="Times New Roman" w:cs="Times New Roman"/>
          <w:vertAlign w:val="baseline"/>
          <w:lang w:val="fr-BE"/>
        </w:rPr>
        <w:t>ns: «Tax Policies in the European Union – 2018 Survey» (Politique fiscales dans l</w:t>
      </w:r>
      <w:r>
        <w:rPr>
          <w:rFonts w:ascii="Times New Roman" w:hAnsi="Times New Roman" w:cs="Times New Roman"/>
          <w:lang w:val="fr-BE"/>
        </w:rPr>
        <w:t>’</w:t>
      </w:r>
      <w:r>
        <w:rPr>
          <w:rStyle w:val="FootnoteReference"/>
          <w:rFonts w:ascii="Times New Roman" w:hAnsi="Times New Roman" w:cs="Times New Roman"/>
          <w:vertAlign w:val="baseline"/>
          <w:lang w:val="fr-BE"/>
        </w:rPr>
        <w:t>Union européenne – Enquête 2018), Commission européenne, DG «Fiscalité et union douanière».</w:t>
      </w:r>
    </w:p>
  </w:footnote>
  <w:footnote w:id="37">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Eurofound, 2018, «Statutory minimum wages 2018» (Les salaires minimums légaux en</w:t>
      </w:r>
      <w:r>
        <w:rPr>
          <w:rStyle w:val="FootnoteReference"/>
          <w:rFonts w:ascii="Times New Roman" w:hAnsi="Times New Roman" w:cs="Times New Roman"/>
          <w:vertAlign w:val="baseline"/>
        </w:rPr>
        <w:t xml:space="preserve"> 2018).</w:t>
      </w:r>
    </w:p>
  </w:footnote>
  <w:footnote w:id="38">
    <w:p w:rsidR="00723CC0" w:rsidRDefault="00242021">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vertAlign w:val="superscript"/>
          <w:lang w:val="fr-BE"/>
        </w:rPr>
        <w:t xml:space="preserve"> </w:t>
      </w:r>
      <w:r>
        <w:rPr>
          <w:rFonts w:ascii="Times New Roman" w:hAnsi="Times New Roman" w:cs="Times New Roman"/>
          <w:lang w:val="fr-BE"/>
        </w:rPr>
        <w:t>Cette hausse doit être interprétée avec prudence, car les statistiques danoises présentent une rupture dans les séries en 2017 et en 2016 (voir également les annexes 1 et 2). Une rupture de série est également signalée pour la Belgique et pour Ma</w:t>
      </w:r>
      <w:r>
        <w:rPr>
          <w:rFonts w:ascii="Times New Roman" w:hAnsi="Times New Roman" w:cs="Times New Roman"/>
          <w:lang w:val="fr-BE"/>
        </w:rPr>
        <w:t>lte en 2017.</w:t>
      </w:r>
    </w:p>
  </w:footnote>
  <w:footnote w:id="39">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Dans l’étude PISA, on désigne comme «peu performants» les élèves de 15 ans qui obtiennent, pour les compétences de base, une note inférieure au seuil de compétence de base requis pour pouvoir participer pleinement à la société moderne (c’est</w:t>
      </w:r>
      <w:r>
        <w:rPr>
          <w:rStyle w:val="FootnoteReference"/>
          <w:rFonts w:ascii="Times New Roman" w:hAnsi="Times New Roman" w:cs="Times New Roman"/>
          <w:vertAlign w:val="baseline"/>
        </w:rPr>
        <w:t>-à-dire le niveau 2).</w:t>
      </w:r>
    </w:p>
  </w:footnote>
  <w:footnote w:id="40">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L’enquête sur les compétences de base des jeunes de 15 ans du programme international de l’OCDE pour le suivi des acquis des élèves (PISA) est menée tous les trois ans.</w:t>
      </w:r>
    </w:p>
  </w:footnote>
  <w:footnote w:id="41">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La DG «Emploi, affaires sociales et inclusion» a travaillé av</w:t>
      </w:r>
      <w:r>
        <w:rPr>
          <w:rStyle w:val="FootnoteReference"/>
          <w:rFonts w:ascii="Times New Roman" w:hAnsi="Times New Roman" w:cs="Times New Roman"/>
          <w:vertAlign w:val="baseline"/>
        </w:rPr>
        <w:t>ec les États membres (en consultation avec la DG «Éducation, jeunesse, sport et culture») à la mise en place d’un cadre global pour l’évaluation comparative des systèmes d’éducation et de formation des adultes et des compétences des adultes dans l’Union eu</w:t>
      </w:r>
      <w:r>
        <w:rPr>
          <w:rStyle w:val="FootnoteReference"/>
          <w:rFonts w:ascii="Times New Roman" w:hAnsi="Times New Roman" w:cs="Times New Roman"/>
          <w:vertAlign w:val="baseline"/>
        </w:rPr>
        <w:t>ropéenne, dans une perspective transnationale. Ce cadre repose sur une démarche articulée en trois étapes avalisée par le Comité de l’emploi et le Comité de la protection sociale en juin 2017. Dans un premier temps, les principaux défis généraux dans le do</w:t>
      </w:r>
      <w:r>
        <w:rPr>
          <w:rStyle w:val="FootnoteReference"/>
          <w:rFonts w:ascii="Times New Roman" w:hAnsi="Times New Roman" w:cs="Times New Roman"/>
          <w:vertAlign w:val="baseline"/>
        </w:rPr>
        <w:t>maine des compétences et de l’apprentissage des adultes sont examinés et un ensemble d’indicateurs de résultats de haut niveau est déterminé (taux d’emploi, productivité et inadéquation des compétences). Dans un deuxième temps, une série d’indicateurs de p</w:t>
      </w:r>
      <w:r>
        <w:rPr>
          <w:rStyle w:val="FootnoteReference"/>
          <w:rFonts w:ascii="Times New Roman" w:hAnsi="Times New Roman" w:cs="Times New Roman"/>
          <w:vertAlign w:val="baseline"/>
        </w:rPr>
        <w:t>erformance est arrêtée, dont la proportion d’adultes possédant un niveau de compétences moyen ou élevé, la participation des adultes à des activités d’apprentissage, les compétences numériques et la part des emplois nécessitant des compétences de niveau mo</w:t>
      </w:r>
      <w:r>
        <w:rPr>
          <w:rStyle w:val="FootnoteReference"/>
          <w:rFonts w:ascii="Times New Roman" w:hAnsi="Times New Roman" w:cs="Times New Roman"/>
          <w:vertAlign w:val="baseline"/>
        </w:rPr>
        <w:t xml:space="preserve">yen ou élevé. Pour la troisième étape, un travail thématique permet de déterminer les principaux leviers d’action qui sont efficaces pour améliorer les performances des systèmes de qualification et d’apprentissage des adultes: la fourniture d’orientations </w:t>
      </w:r>
      <w:r>
        <w:rPr>
          <w:rStyle w:val="FootnoteReference"/>
          <w:rFonts w:ascii="Times New Roman" w:hAnsi="Times New Roman" w:cs="Times New Roman"/>
          <w:vertAlign w:val="baseline"/>
        </w:rPr>
        <w:t>sur les possibilités d’apprentissage, les initiatives visant à associer les groupes défavorisés, comme les chômeurs et les travailleurs peu qualifiés, à des activités d’apprentissage et les mesures visant à soutenir/à encourager financièrement les entrepri</w:t>
      </w:r>
      <w:r>
        <w:rPr>
          <w:rStyle w:val="FootnoteReference"/>
          <w:rFonts w:ascii="Times New Roman" w:hAnsi="Times New Roman" w:cs="Times New Roman"/>
          <w:vertAlign w:val="baseline"/>
        </w:rPr>
        <w:t>ses à former leur personnel. Ces indicateurs sont présentés dans cette section.</w:t>
      </w:r>
    </w:p>
  </w:footnote>
  <w:footnote w:id="42">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Les données portent sur l’ensemble des services (tels que la fourniture d’informations, l’évaluation, les compétences de gestion de carrière, l’orientation et l’offre de cons</w:t>
      </w:r>
      <w:r>
        <w:rPr>
          <w:rStyle w:val="FootnoteReference"/>
          <w:rFonts w:ascii="Times New Roman" w:hAnsi="Times New Roman" w:cs="Times New Roman"/>
          <w:vertAlign w:val="baseline"/>
        </w:rPr>
        <w:t>eils) ayant pour but d’aider les (candidats) apprenants à opérer des choix en rapport avec des possibilités d’éducation et de formation.</w:t>
      </w:r>
    </w:p>
  </w:footnote>
  <w:footnote w:id="43">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Commission européenne, 2015, «An in-depth analysis of adult learning policies and their effectiveness in Europe» (Ana</w:t>
      </w:r>
      <w:r>
        <w:rPr>
          <w:rStyle w:val="FootnoteReference"/>
          <w:rFonts w:ascii="Times New Roman" w:hAnsi="Times New Roman" w:cs="Times New Roman"/>
          <w:vertAlign w:val="baseline"/>
        </w:rPr>
        <w:t>lyse approfondie des politiques en matière d’apprentissage des adultes et de leur efficacité en Europe).</w:t>
      </w:r>
    </w:p>
  </w:footnote>
  <w:footnote w:id="44">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Voir, par exemple, ESRI, 2012, </w:t>
      </w:r>
      <w:r>
        <w:rPr>
          <w:rStyle w:val="FootnoteReference"/>
          <w:rFonts w:ascii="Times New Roman" w:hAnsi="Times New Roman" w:cs="Times New Roman"/>
          <w:i/>
          <w:vertAlign w:val="baseline"/>
        </w:rPr>
        <w:t>Literacy, Numeracy and Activation among the Unemployed</w:t>
      </w:r>
      <w:r>
        <w:rPr>
          <w:rStyle w:val="FootnoteReference"/>
          <w:rFonts w:ascii="Times New Roman" w:hAnsi="Times New Roman" w:cs="Times New Roman"/>
          <w:vertAlign w:val="baseline"/>
        </w:rPr>
        <w:t xml:space="preserve"> (Alphabétisation et apprentissage du calcul et activation des c</w:t>
      </w:r>
      <w:r>
        <w:rPr>
          <w:rStyle w:val="FootnoteReference"/>
          <w:rFonts w:ascii="Times New Roman" w:hAnsi="Times New Roman" w:cs="Times New Roman"/>
          <w:vertAlign w:val="baseline"/>
        </w:rPr>
        <w:t>hômeurs); Shaw</w:t>
      </w:r>
      <w:r>
        <w:rPr>
          <w:rFonts w:ascii="Times New Roman" w:hAnsi="Times New Roman" w:cs="Times New Roman"/>
        </w:rPr>
        <w:t>,</w:t>
      </w:r>
      <w:r>
        <w:rPr>
          <w:rStyle w:val="FootnoteReference"/>
          <w:rFonts w:ascii="Times New Roman" w:hAnsi="Times New Roman" w:cs="Times New Roman"/>
          <w:vertAlign w:val="baseline"/>
        </w:rPr>
        <w:t xml:space="preserve"> N., Armistead, C., 2002, «Evaluation of the Union Learning Fund Year 4», Londres: Department of Education and Skills (ministère de l’éducation et des qualifications), Casey, H. et al. (2006), </w:t>
      </w:r>
      <w:r>
        <w:rPr>
          <w:rStyle w:val="FootnoteReference"/>
          <w:rFonts w:ascii="Times New Roman" w:hAnsi="Times New Roman" w:cs="Times New Roman"/>
          <w:i/>
          <w:vertAlign w:val="baseline"/>
        </w:rPr>
        <w:t xml:space="preserve">You wouldn’t expect a maths teacher to teach </w:t>
      </w:r>
      <w:r>
        <w:rPr>
          <w:rStyle w:val="FootnoteReference"/>
          <w:rFonts w:ascii="Times New Roman" w:hAnsi="Times New Roman" w:cs="Times New Roman"/>
          <w:i/>
          <w:vertAlign w:val="baseline"/>
        </w:rPr>
        <w:t>plastering:</w:t>
      </w:r>
      <w:r>
        <w:rPr>
          <w:rStyle w:val="FootnoteReference"/>
          <w:rFonts w:ascii="Times New Roman" w:hAnsi="Times New Roman" w:cs="Times New Roman"/>
          <w:vertAlign w:val="baseline"/>
        </w:rPr>
        <w:t xml:space="preserve"> </w:t>
      </w:r>
      <w:r>
        <w:rPr>
          <w:rStyle w:val="FootnoteReference"/>
          <w:rFonts w:ascii="Times New Roman" w:hAnsi="Times New Roman" w:cs="Times New Roman"/>
          <w:i/>
          <w:vertAlign w:val="baseline"/>
        </w:rPr>
        <w:t>Embedding literacy, language and numeracy in post-16 vocational programmes – the impact on learning and achievement</w:t>
      </w:r>
      <w:r>
        <w:rPr>
          <w:rStyle w:val="FootnoteReference"/>
          <w:rFonts w:ascii="Times New Roman" w:hAnsi="Times New Roman" w:cs="Times New Roman"/>
          <w:vertAlign w:val="baseline"/>
        </w:rPr>
        <w:t>, NRDC.</w:t>
      </w:r>
    </w:p>
  </w:footnote>
  <w:footnote w:id="45">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Par</w:t>
      </w:r>
      <w:r>
        <w:rPr>
          <w:rFonts w:ascii="Times New Roman" w:hAnsi="Times New Roman" w:cs="Times New Roman"/>
        </w:rPr>
        <w:t xml:space="preserve"> </w:t>
      </w:r>
      <w:r>
        <w:rPr>
          <w:rStyle w:val="FootnoteReference"/>
          <w:rFonts w:ascii="Times New Roman" w:hAnsi="Times New Roman" w:cs="Times New Roman"/>
          <w:vertAlign w:val="baseline"/>
        </w:rPr>
        <w:t>«travailleurs peu qualifiés», on entend ici les personnes ayant achevé, au plus, l’enseignement secondaire inférieu</w:t>
      </w:r>
      <w:r>
        <w:rPr>
          <w:rStyle w:val="FootnoteReference"/>
          <w:rFonts w:ascii="Times New Roman" w:hAnsi="Times New Roman" w:cs="Times New Roman"/>
          <w:vertAlign w:val="baseline"/>
        </w:rPr>
        <w:t>r (niveaux 0 à 2 de la CITE).</w:t>
      </w:r>
    </w:p>
  </w:footnote>
  <w:footnote w:id="46">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Les données proviennent des statistiques européennes sur l’apprentissage tout au long de la vie et portent sur les trois types de mesures d’incitation financière, à savoir les subventions directes à la formation, les mesures</w:t>
      </w:r>
      <w:r>
        <w:rPr>
          <w:rStyle w:val="FootnoteReference"/>
          <w:rFonts w:ascii="Times New Roman" w:hAnsi="Times New Roman" w:cs="Times New Roman"/>
          <w:vertAlign w:val="baseline"/>
        </w:rPr>
        <w:t xml:space="preserve"> d’incitation fiscale et les recettes provenant de fonds de formation financés par des prélèvements. L’enquête fournit entre autres des données sur les montants attribués aux entreprises par des fonds de formation collectifs, mutuels ou autres ou sur tout </w:t>
      </w:r>
      <w:r>
        <w:rPr>
          <w:rStyle w:val="FootnoteReference"/>
          <w:rFonts w:ascii="Times New Roman" w:hAnsi="Times New Roman" w:cs="Times New Roman"/>
          <w:vertAlign w:val="baseline"/>
        </w:rPr>
        <w:t>autre soutien financier obtenu auprès du secteur public et destinés à la réalisation d’activités de formation professionnelle continue.</w:t>
      </w:r>
    </w:p>
  </w:footnote>
  <w:footnote w:id="47">
    <w:p w:rsidR="00723CC0" w:rsidRDefault="00242021">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Cette hausse doit être interprétée avec prudence, car les statistiques danoises présentent une rupture dans les séries</w:t>
      </w:r>
      <w:r>
        <w:rPr>
          <w:rFonts w:ascii="Times New Roman" w:hAnsi="Times New Roman" w:cs="Times New Roman"/>
          <w:lang w:val="fr-BE"/>
        </w:rPr>
        <w:t xml:space="preserve"> en 2017 et en 2016 (voir également les annexes 1 et 2). Des ruptures de série sont également signalées pour la Belgique, l’Irlande et Malte en 2017.</w:t>
      </w:r>
    </w:p>
  </w:footnote>
  <w:footnote w:id="48">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Eurofound, 2016, «Exploring the Diversity of NEETs» (Explorer la diversité des NEET). Luxembourg</w:t>
      </w:r>
      <w:r>
        <w:rPr>
          <w:rFonts w:ascii="Times New Roman" w:hAnsi="Times New Roman" w:cs="Times New Roman"/>
          <w:lang w:val="fr-BE"/>
        </w:rPr>
        <w:t>:</w:t>
      </w:r>
      <w:r>
        <w:rPr>
          <w:rStyle w:val="FootnoteReference"/>
          <w:rFonts w:ascii="Times New Roman" w:hAnsi="Times New Roman" w:cs="Times New Roman"/>
          <w:vertAlign w:val="baseline"/>
          <w:lang w:val="fr-BE"/>
        </w:rPr>
        <w:t xml:space="preserve"> Office</w:t>
      </w:r>
      <w:r>
        <w:rPr>
          <w:rStyle w:val="FootnoteReference"/>
          <w:rFonts w:ascii="Times New Roman" w:hAnsi="Times New Roman" w:cs="Times New Roman"/>
          <w:vertAlign w:val="baseline"/>
          <w:lang w:val="fr-BE"/>
        </w:rPr>
        <w:t xml:space="preserve"> des publications de l’Union européenne</w:t>
      </w:r>
      <w:r>
        <w:rPr>
          <w:rFonts w:ascii="Times New Roman" w:hAnsi="Times New Roman" w:cs="Times New Roman"/>
          <w:lang w:val="fr-BE"/>
        </w:rPr>
        <w:t>.</w:t>
      </w:r>
    </w:p>
  </w:footnote>
  <w:footnote w:id="49">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En 2017, 44,9 % des femmes âgées de 30 à 34 ans dans l’UE avaient suivi des études supérieures contre 34,9 % des hommes (voir également plus haut dans le présent chapitre); dans tous les États membres, le taux de </w:t>
      </w:r>
      <w:r>
        <w:rPr>
          <w:rStyle w:val="FootnoteReference"/>
          <w:rFonts w:ascii="Times New Roman" w:hAnsi="Times New Roman" w:cs="Times New Roman"/>
          <w:vertAlign w:val="baseline"/>
        </w:rPr>
        <w:t>diplômés de l’enseignement supérieur est plus élevé pour les femmes que pour les hommes.</w:t>
      </w:r>
    </w:p>
  </w:footnote>
  <w:footnote w:id="50">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L’indicateur de référence du tableau de bord social est l’écart de rémunération non ajusté entre les hommes et les femmes (l’écart non ajusté ne tient pas compte des</w:t>
      </w:r>
      <w:r>
        <w:rPr>
          <w:rStyle w:val="FootnoteReference"/>
          <w:rFonts w:ascii="Times New Roman" w:hAnsi="Times New Roman" w:cs="Times New Roman"/>
          <w:vertAlign w:val="baseline"/>
        </w:rPr>
        <w:t xml:space="preserve"> caractéristiques individuelles pouvant expliquer une partie de la différence de gains), ce qui devrait donner une image globale des inégalités de rémunération entre les sexes. Les travaux de recherche montrent que l’écart de rémunération entre les hommes </w:t>
      </w:r>
      <w:r>
        <w:rPr>
          <w:rStyle w:val="FootnoteReference"/>
          <w:rFonts w:ascii="Times New Roman" w:hAnsi="Times New Roman" w:cs="Times New Roman"/>
          <w:vertAlign w:val="baseline"/>
        </w:rPr>
        <w:t xml:space="preserve">et les femmes subsiste en grande partie, même lorsque les différences en matière de niveau d’études, de choix professionnel, d’horaires de travail et d’autres caractéristiques observables sont prises en compte (voir, par exemple, </w:t>
      </w:r>
      <w:hyperlink r:id="rId4" w:history="1">
        <w:r>
          <w:rPr>
            <w:rStyle w:val="Hyperlink"/>
            <w:rFonts w:ascii="Times New Roman" w:hAnsi="Times New Roman" w:cs="Times New Roman"/>
          </w:rPr>
          <w:t>http://ec.europa.eu/justice/gender-equality/files/gender_pay_gap/2016_factors_gpg_en.pdf</w:t>
        </w:r>
      </w:hyperlink>
      <w:r>
        <w:rPr>
          <w:rStyle w:val="FootnoteReference"/>
          <w:rFonts w:ascii="Times New Roman" w:hAnsi="Times New Roman" w:cs="Times New Roman"/>
          <w:vertAlign w:val="baseline"/>
        </w:rPr>
        <w:t>).</w:t>
      </w:r>
    </w:p>
  </w:footnote>
  <w:footnote w:id="51">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Commission européenne, 2018, «</w:t>
      </w:r>
      <w:r>
        <w:rPr>
          <w:rStyle w:val="FootnoteReference"/>
          <w:rFonts w:ascii="Times New Roman" w:hAnsi="Times New Roman" w:cs="Times New Roman"/>
          <w:vertAlign w:val="baseline"/>
          <w:lang w:val="fr-BE"/>
        </w:rPr>
        <w:t>Ageing Report 2018</w:t>
      </w:r>
      <w:r>
        <w:rPr>
          <w:rFonts w:ascii="Times New Roman" w:hAnsi="Times New Roman" w:cs="Times New Roman"/>
          <w:lang w:val="fr-BE"/>
        </w:rPr>
        <w:t>» (Rapport 2018 sur le vieillissemen</w:t>
      </w:r>
      <w:r>
        <w:rPr>
          <w:rFonts w:ascii="Times New Roman" w:hAnsi="Times New Roman" w:cs="Times New Roman"/>
          <w:lang w:val="fr-BE"/>
        </w:rPr>
        <w:t xml:space="preserve">t), publié dans la revue </w:t>
      </w:r>
      <w:r>
        <w:rPr>
          <w:rFonts w:ascii="Times New Roman" w:hAnsi="Times New Roman" w:cs="Times New Roman"/>
          <w:i/>
          <w:lang w:val="fr-BE"/>
        </w:rPr>
        <w:t>European Economy Institutional Paper</w:t>
      </w:r>
      <w:r>
        <w:rPr>
          <w:rFonts w:ascii="Times New Roman" w:hAnsi="Times New Roman" w:cs="Times New Roman"/>
          <w:lang w:val="fr-BE"/>
        </w:rPr>
        <w:t>,</w:t>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nº 079</w:t>
      </w:r>
      <w:r>
        <w:rPr>
          <w:rStyle w:val="FootnoteReference"/>
          <w:rFonts w:ascii="Times New Roman" w:hAnsi="Times New Roman" w:cs="Times New Roman"/>
          <w:vertAlign w:val="baseline"/>
          <w:lang w:val="fr-BE"/>
        </w:rPr>
        <w:t>.</w:t>
      </w:r>
    </w:p>
  </w:footnote>
  <w:footnote w:id="52">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La trappe à inactivité pour le deuxième apporteur de revenus du ménage mesure le taux d’imposition effectif marginal sur les revenus du travail du deuxième membre d’un couple qui pass</w:t>
      </w:r>
      <w:r>
        <w:rPr>
          <w:rStyle w:val="FootnoteReference"/>
          <w:rFonts w:ascii="Times New Roman" w:hAnsi="Times New Roman" w:cs="Times New Roman"/>
          <w:vertAlign w:val="baseline"/>
          <w:lang w:val="fr-BE"/>
        </w:rPr>
        <w:t>e de l’assistance sociale à l’emploi</w:t>
      </w:r>
      <w:r>
        <w:rPr>
          <w:rFonts w:ascii="Times New Roman" w:hAnsi="Times New Roman" w:cs="Times New Roman"/>
          <w:lang w:val="fr-BE"/>
        </w:rPr>
        <w:t>.</w:t>
      </w:r>
      <w:r>
        <w:rPr>
          <w:rStyle w:val="FootnoteReference"/>
          <w:rFonts w:ascii="Times New Roman" w:hAnsi="Times New Roman" w:cs="Times New Roman"/>
          <w:vertAlign w:val="baseline"/>
          <w:lang w:val="fr-BE"/>
        </w:rPr>
        <w:t xml:space="preserve"> Le piège des bas salaires est calculé pour un couple sans enfants dans lequel le deuxième apporteur de revenus augmente ses gains de 33 % à 67 % du salaire moyen et dans lequel le principal apporteur de revenus perçoit</w:t>
      </w:r>
      <w:r>
        <w:rPr>
          <w:rStyle w:val="FootnoteReference"/>
          <w:rFonts w:ascii="Times New Roman" w:hAnsi="Times New Roman" w:cs="Times New Roman"/>
          <w:vertAlign w:val="baseline"/>
          <w:lang w:val="fr-BE"/>
        </w:rPr>
        <w:t xml:space="preserve"> un salaire équivalant à 100 % du salaire moyen.</w:t>
      </w:r>
    </w:p>
  </w:footnote>
  <w:footnote w:id="53">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Dans l’UE, en</w:t>
      </w:r>
      <w:r>
        <w:rPr>
          <w:rFonts w:ascii="Times New Roman" w:hAnsi="Times New Roman" w:cs="Times New Roman"/>
          <w:lang w:val="fr-BE"/>
        </w:rPr>
        <w:t xml:space="preserve"> </w:t>
      </w:r>
      <w:r>
        <w:rPr>
          <w:rStyle w:val="FootnoteReference"/>
          <w:rFonts w:ascii="Times New Roman" w:hAnsi="Times New Roman" w:cs="Times New Roman"/>
          <w:vertAlign w:val="baseline"/>
          <w:lang w:val="fr-BE"/>
        </w:rPr>
        <w:t>2014, près de 20 % des personnes âgées de 15 à 29 ans étaient issues de l’immigration, c’est-à-dire qu’elles étaient nées en dehors de l’UE ou nées dans l’UE d’au moins un parent né en dehors</w:t>
      </w:r>
      <w:r>
        <w:rPr>
          <w:rStyle w:val="FootnoteReference"/>
          <w:rFonts w:ascii="Times New Roman" w:hAnsi="Times New Roman" w:cs="Times New Roman"/>
          <w:vertAlign w:val="baseline"/>
          <w:lang w:val="fr-BE"/>
        </w:rPr>
        <w:t xml:space="preserve"> de l’UE. Source: Eurostat.</w:t>
      </w:r>
    </w:p>
  </w:footnote>
  <w:footnote w:id="54">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OCDE, 2017, Vers un rattrapage? La mobilité intergénérationnelle et les enfants d’immigrés.</w:t>
      </w:r>
    </w:p>
  </w:footnote>
  <w:footnote w:id="55">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Le taux d’emploi des personnes nées en dehors de l’Union est le plus élevé parmi les personnes arrivées pour des raisons professionnelles ou d’études (71 % en</w:t>
      </w:r>
      <w:r>
        <w:rPr>
          <w:rFonts w:ascii="Times New Roman" w:hAnsi="Times New Roman" w:cs="Times New Roman"/>
        </w:rPr>
        <w:t xml:space="preserve"> </w:t>
      </w:r>
      <w:r>
        <w:rPr>
          <w:rStyle w:val="FootnoteReference"/>
          <w:rFonts w:ascii="Times New Roman" w:hAnsi="Times New Roman" w:cs="Times New Roman"/>
          <w:vertAlign w:val="baseline"/>
        </w:rPr>
        <w:t>2014, ce qui est même supérieur au taux d’emploi des personnes nées dans l’UE), et le plus faibl</w:t>
      </w:r>
      <w:r>
        <w:rPr>
          <w:rStyle w:val="FootnoteReference"/>
          <w:rFonts w:ascii="Times New Roman" w:hAnsi="Times New Roman" w:cs="Times New Roman"/>
          <w:vertAlign w:val="baseline"/>
        </w:rPr>
        <w:t>e parmi les personnes arrivées pour des raisons familiales et les réfugiés. Les personnes ayant migré pour des raisons familiales sont en</w:t>
      </w:r>
      <w:r>
        <w:rPr>
          <w:rFonts w:ascii="Times New Roman" w:hAnsi="Times New Roman" w:cs="Times New Roman"/>
        </w:rPr>
        <w:t xml:space="preserve"> </w:t>
      </w:r>
      <w:r>
        <w:rPr>
          <w:rStyle w:val="FootnoteReference"/>
          <w:rFonts w:ascii="Times New Roman" w:hAnsi="Times New Roman" w:cs="Times New Roman"/>
          <w:vertAlign w:val="baseline"/>
        </w:rPr>
        <w:t>2014 celles dont la proportion est la plus élevée parmi les personnes nées en dehors de l’Union (52 %). Leur taux d</w:t>
      </w:r>
      <w:r>
        <w:rPr>
          <w:rFonts w:ascii="Times New Roman" w:hAnsi="Times New Roman" w:cs="Times New Roman"/>
        </w:rPr>
        <w:t>’</w:t>
      </w:r>
      <w:r>
        <w:rPr>
          <w:rStyle w:val="FootnoteReference"/>
          <w:rFonts w:ascii="Times New Roman" w:hAnsi="Times New Roman" w:cs="Times New Roman"/>
          <w:vertAlign w:val="baseline"/>
        </w:rPr>
        <w:t>em</w:t>
      </w:r>
      <w:r>
        <w:rPr>
          <w:rStyle w:val="FootnoteReference"/>
          <w:rFonts w:ascii="Times New Roman" w:hAnsi="Times New Roman" w:cs="Times New Roman"/>
          <w:vertAlign w:val="baseline"/>
        </w:rPr>
        <w:t>ploi était de 53 % en</w:t>
      </w:r>
      <w:r>
        <w:rPr>
          <w:rFonts w:ascii="Times New Roman" w:hAnsi="Times New Roman" w:cs="Times New Roman"/>
        </w:rPr>
        <w:t xml:space="preserve"> </w:t>
      </w:r>
      <w:r>
        <w:rPr>
          <w:rStyle w:val="FootnoteReference"/>
          <w:rFonts w:ascii="Times New Roman" w:hAnsi="Times New Roman" w:cs="Times New Roman"/>
          <w:vertAlign w:val="baseline"/>
        </w:rPr>
        <w:t>2014, inférieur à celui des réfugiés (56 %).</w:t>
      </w:r>
    </w:p>
  </w:footnote>
  <w:footnote w:id="56">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En termes de niveau d’études, les ressortissants de pays tiers (âgés de 25 à 54 ans) étaient plus susceptibles d’avoir un faible niveau d’éducation en 2017 (43,6 %) par rapport aux ressor</w:t>
      </w:r>
      <w:r>
        <w:rPr>
          <w:rStyle w:val="FootnoteReference"/>
          <w:rFonts w:ascii="Times New Roman" w:hAnsi="Times New Roman" w:cs="Times New Roman"/>
          <w:vertAlign w:val="baseline"/>
        </w:rPr>
        <w:t>tissants du pays d’accueil (21,2 %), et moins susceptibles d’avoir obtenu un diplôme de l’enseignement supérieur (respectivement 26,3 % et 31,6 %).</w:t>
      </w:r>
    </w:p>
  </w:footnote>
  <w:footnote w:id="57">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L’écart d’emploi entre les personnes nées en dehors de l</w:t>
      </w:r>
      <w:r>
        <w:rPr>
          <w:rFonts w:ascii="Times New Roman" w:hAnsi="Times New Roman" w:cs="Times New Roman"/>
          <w:lang w:val="fr-BE"/>
        </w:rPr>
        <w:t>’</w:t>
      </w:r>
      <w:r>
        <w:rPr>
          <w:rStyle w:val="FootnoteReference"/>
          <w:rFonts w:ascii="Times New Roman" w:hAnsi="Times New Roman" w:cs="Times New Roman"/>
          <w:vertAlign w:val="baseline"/>
          <w:lang w:val="fr-BE"/>
        </w:rPr>
        <w:t>Union et les personnes nées dans l’Union est le p</w:t>
      </w:r>
      <w:r>
        <w:rPr>
          <w:rStyle w:val="FootnoteReference"/>
          <w:rFonts w:ascii="Times New Roman" w:hAnsi="Times New Roman" w:cs="Times New Roman"/>
          <w:vertAlign w:val="baseline"/>
          <w:lang w:val="fr-BE"/>
        </w:rPr>
        <w:t>lus élevé parmi les diplômés de l’enseignement supérieur, ce qui met en évidence le fait que les migrants tirent moins profit de leur éducation que les personnes nées dans l’Union (voir aussi le rapport annuel 2015 sur l</w:t>
      </w:r>
      <w:r>
        <w:rPr>
          <w:rFonts w:ascii="Times New Roman" w:hAnsi="Times New Roman" w:cs="Times New Roman"/>
          <w:lang w:val="fr-BE"/>
        </w:rPr>
        <w:t>’</w:t>
      </w:r>
      <w:r>
        <w:rPr>
          <w:rStyle w:val="FootnoteReference"/>
          <w:rFonts w:ascii="Times New Roman" w:hAnsi="Times New Roman" w:cs="Times New Roman"/>
          <w:vertAlign w:val="baseline"/>
          <w:lang w:val="fr-BE"/>
        </w:rPr>
        <w:t>évolution de l</w:t>
      </w:r>
      <w:r>
        <w:rPr>
          <w:rFonts w:ascii="Times New Roman" w:hAnsi="Times New Roman" w:cs="Times New Roman"/>
          <w:lang w:val="fr-BE"/>
        </w:rPr>
        <w:t>’</w:t>
      </w:r>
      <w:r>
        <w:rPr>
          <w:rStyle w:val="FootnoteReference"/>
          <w:rFonts w:ascii="Times New Roman" w:hAnsi="Times New Roman" w:cs="Times New Roman"/>
          <w:vertAlign w:val="baseline"/>
          <w:lang w:val="fr-BE"/>
        </w:rPr>
        <w:t>emploi et de la situ</w:t>
      </w:r>
      <w:r>
        <w:rPr>
          <w:rStyle w:val="FootnoteReference"/>
          <w:rFonts w:ascii="Times New Roman" w:hAnsi="Times New Roman" w:cs="Times New Roman"/>
          <w:vertAlign w:val="baseline"/>
          <w:lang w:val="fr-BE"/>
        </w:rPr>
        <w:t>ation sociale en Europe). En</w:t>
      </w:r>
      <w:r>
        <w:rPr>
          <w:rFonts w:ascii="Times New Roman" w:hAnsi="Times New Roman" w:cs="Times New Roman"/>
          <w:lang w:val="fr-BE"/>
        </w:rPr>
        <w:t xml:space="preserve"> </w:t>
      </w:r>
      <w:r>
        <w:rPr>
          <w:rStyle w:val="FootnoteReference"/>
          <w:rFonts w:ascii="Times New Roman" w:hAnsi="Times New Roman" w:cs="Times New Roman"/>
          <w:vertAlign w:val="baseline"/>
          <w:lang w:val="fr-BE"/>
        </w:rPr>
        <w:t>2017, environ 42 % des ressortissants de pays tiers ayant un niveau d’éducation élevé étaient surqualifiés: c’est-à-dire qu’ils disposaient d’un travail, mais dans des métiers faiblement ou moyennement qualifiés, contre environ</w:t>
      </w:r>
      <w:r>
        <w:rPr>
          <w:rStyle w:val="FootnoteReference"/>
          <w:rFonts w:ascii="Times New Roman" w:hAnsi="Times New Roman" w:cs="Times New Roman"/>
          <w:vertAlign w:val="baseline"/>
          <w:lang w:val="fr-BE"/>
        </w:rPr>
        <w:t xml:space="preserve"> 20 % des ressortissants du pays d’accueil. Toutefois, l’écart entre les deux groupes s’est bel et bien réduit au cours des quelques dernières années, passant de 25 points de pourcentage en</w:t>
      </w:r>
      <w:r>
        <w:rPr>
          <w:rFonts w:ascii="Times New Roman" w:hAnsi="Times New Roman" w:cs="Times New Roman"/>
          <w:lang w:val="fr-BE"/>
        </w:rPr>
        <w:t xml:space="preserve"> </w:t>
      </w:r>
      <w:r>
        <w:rPr>
          <w:rStyle w:val="FootnoteReference"/>
          <w:rFonts w:ascii="Times New Roman" w:hAnsi="Times New Roman" w:cs="Times New Roman"/>
          <w:vertAlign w:val="baseline"/>
          <w:lang w:val="fr-BE"/>
        </w:rPr>
        <w:t>2012 à 20</w:t>
      </w:r>
      <w:r>
        <w:rPr>
          <w:rFonts w:ascii="Times New Roman" w:hAnsi="Times New Roman" w:cs="Times New Roman"/>
          <w:lang w:val="fr-BE"/>
        </w:rPr>
        <w:t xml:space="preserve"> points </w:t>
      </w:r>
      <w:r>
        <w:rPr>
          <w:rStyle w:val="FootnoteReference"/>
          <w:rFonts w:ascii="Times New Roman" w:hAnsi="Times New Roman" w:cs="Times New Roman"/>
          <w:vertAlign w:val="baseline"/>
          <w:lang w:val="fr-BE"/>
        </w:rPr>
        <w:t>en</w:t>
      </w:r>
      <w:r>
        <w:rPr>
          <w:rFonts w:ascii="Times New Roman" w:hAnsi="Times New Roman" w:cs="Times New Roman"/>
          <w:lang w:val="fr-BE"/>
        </w:rPr>
        <w:t xml:space="preserve"> </w:t>
      </w:r>
      <w:r>
        <w:rPr>
          <w:rStyle w:val="FootnoteReference"/>
          <w:rFonts w:ascii="Times New Roman" w:hAnsi="Times New Roman" w:cs="Times New Roman"/>
          <w:vertAlign w:val="baseline"/>
          <w:lang w:val="fr-BE"/>
        </w:rPr>
        <w:t>2017.</w:t>
      </w:r>
    </w:p>
  </w:footnote>
  <w:footnote w:id="58">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Les données provenant de l’enquête SRC</w:t>
      </w:r>
      <w:r>
        <w:rPr>
          <w:rStyle w:val="FootnoteReference"/>
          <w:rFonts w:ascii="Times New Roman" w:hAnsi="Times New Roman" w:cs="Times New Roman"/>
          <w:vertAlign w:val="baseline"/>
        </w:rPr>
        <w:t>V-UE 2015 ont été analysées par le réseau Academic Network of European Disability Experts (ANED).</w:t>
      </w:r>
    </w:p>
  </w:footnote>
  <w:footnote w:id="59">
    <w:p w:rsidR="00723CC0" w:rsidRDefault="00242021">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La prévalence du handicap diffère également entre les États membres dans une large mesure.</w:t>
      </w:r>
    </w:p>
  </w:footnote>
  <w:footnote w:id="60">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Ibidem</w:t>
      </w:r>
    </w:p>
  </w:footnote>
  <w:footnote w:id="61">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SRCV-UE, 2017, Taux de risque de pauvreté en fonction </w:t>
      </w:r>
      <w:r>
        <w:rPr>
          <w:rStyle w:val="FootnoteReference"/>
          <w:rFonts w:ascii="Times New Roman" w:hAnsi="Times New Roman" w:cs="Times New Roman"/>
          <w:vertAlign w:val="baseline"/>
        </w:rPr>
        <w:t>du niveau de limitation d’activité, du sexe et de l’âge (hlth_dpe050)</w:t>
      </w:r>
    </w:p>
  </w:footnote>
  <w:footnote w:id="62">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Eurofound, 2018, La situation sociale et de l’emploi des personnes handicapées, Office des publications de l’Union européenne, Luxembourg</w:t>
      </w:r>
      <w:r>
        <w:rPr>
          <w:rFonts w:ascii="Times New Roman" w:hAnsi="Times New Roman" w:cs="Times New Roman"/>
          <w:lang w:val="fr-BE"/>
        </w:rPr>
        <w:t>, à paraître</w:t>
      </w:r>
      <w:r>
        <w:rPr>
          <w:rStyle w:val="FootnoteReference"/>
          <w:rFonts w:ascii="Times New Roman" w:hAnsi="Times New Roman" w:cs="Times New Roman"/>
          <w:vertAlign w:val="baseline"/>
          <w:lang w:val="fr-BE"/>
        </w:rPr>
        <w:t>.</w:t>
      </w:r>
    </w:p>
  </w:footnote>
  <w:footnote w:id="63">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COM(2017) 247 final.</w:t>
      </w:r>
    </w:p>
  </w:footnote>
  <w:footnote w:id="64">
    <w:p w:rsidR="00723CC0" w:rsidRDefault="00242021">
      <w:pPr>
        <w:pStyle w:val="FootnoteText"/>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Recommandation du Conseil du 10 mars 2014 relative à un cadre de qualité pour les stages, 2014/C 88/01.</w:t>
      </w:r>
    </w:p>
  </w:footnote>
  <w:footnote w:id="65">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Un futur module ad hoc de l’enquête EFT d’</w:t>
      </w:r>
      <w:r>
        <w:rPr>
          <w:rFonts w:ascii="Times New Roman" w:hAnsi="Times New Roman" w:cs="Times New Roman"/>
        </w:rPr>
        <w:t>Eurostat</w:t>
      </w:r>
      <w:r>
        <w:rPr>
          <w:rStyle w:val="FootnoteReference"/>
          <w:rFonts w:ascii="Times New Roman" w:hAnsi="Times New Roman" w:cs="Times New Roman"/>
          <w:vertAlign w:val="baseline"/>
        </w:rPr>
        <w:t xml:space="preserve"> en matière de travail indépendant, dont les résultats sont attendus en 2019, permettra de faire la</w:t>
      </w:r>
      <w:r>
        <w:rPr>
          <w:rStyle w:val="FootnoteReference"/>
          <w:rFonts w:ascii="Times New Roman" w:hAnsi="Times New Roman" w:cs="Times New Roman"/>
          <w:vertAlign w:val="baseline"/>
        </w:rPr>
        <w:t xml:space="preserve"> lumière sur cette question.</w:t>
      </w:r>
    </w:p>
  </w:footnote>
  <w:footnote w:id="66">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Eurofound (2017), </w:t>
      </w:r>
      <w:r>
        <w:rPr>
          <w:rStyle w:val="FootnoteReference"/>
          <w:rFonts w:ascii="Times New Roman" w:hAnsi="Times New Roman" w:cs="Times New Roman"/>
          <w:i/>
          <w:vertAlign w:val="baseline"/>
        </w:rPr>
        <w:t>Exploring self-employment in the European Union</w:t>
      </w:r>
      <w:r>
        <w:rPr>
          <w:rStyle w:val="FootnoteReference"/>
          <w:rFonts w:ascii="Times New Roman" w:hAnsi="Times New Roman" w:cs="Times New Roman"/>
          <w:vertAlign w:val="baseline"/>
        </w:rPr>
        <w:t>, Office des publications de l’Union européenne, Luxembourg.</w:t>
      </w:r>
    </w:p>
  </w:footnote>
  <w:footnote w:id="67">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Sur la base des données de 2015 de la sixième enquête européenne sur les conditions de travail (E</w:t>
      </w:r>
      <w:r>
        <w:rPr>
          <w:rStyle w:val="FootnoteReference"/>
          <w:rFonts w:ascii="Times New Roman" w:hAnsi="Times New Roman" w:cs="Times New Roman"/>
          <w:vertAlign w:val="baseline"/>
        </w:rPr>
        <w:t>WCS), cinq groupes distincts de travailleurs indépendants ont été mis en évidence («employeurs», «travailleurs stables à leur compte», «petits commerçants et agriculteurs», «vulnérables» et «dissimulés»). Les groupes résultent d’un modèle statistique (anal</w:t>
      </w:r>
      <w:r>
        <w:rPr>
          <w:rStyle w:val="FootnoteReference"/>
          <w:rFonts w:ascii="Times New Roman" w:hAnsi="Times New Roman" w:cs="Times New Roman"/>
          <w:vertAlign w:val="baseline"/>
        </w:rPr>
        <w:t>yse en classes latentes) permettant de contrôler des variables relatives à la dépendance économique (par exemple, le nombre de clients ou la facilité à en trouver de nouveaux), à la dépendance opérationnelle (par exemple, la possibilité de s’absenter du tr</w:t>
      </w:r>
      <w:r>
        <w:rPr>
          <w:rStyle w:val="FootnoteReference"/>
          <w:rFonts w:ascii="Times New Roman" w:hAnsi="Times New Roman" w:cs="Times New Roman"/>
          <w:vertAlign w:val="baseline"/>
        </w:rPr>
        <w:t>avail à brève échéance) et à l’esprit d’entreprise (par exemple, le fait de posséder plusieurs établissements, la motivation à devenir travailleur indépendant). Pour plus de précisions: Eurofound (2017), ibid.</w:t>
      </w:r>
    </w:p>
  </w:footnote>
  <w:footnote w:id="68">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L’enquête COLLEEM</w:t>
      </w:r>
      <w:r>
        <w:rPr>
          <w:rFonts w:ascii="Times New Roman" w:hAnsi="Times New Roman" w:cs="Times New Roman"/>
          <w:lang w:val="fr-BE"/>
        </w:rPr>
        <w:t xml:space="preserve"> («Économie et travail coll</w:t>
      </w:r>
      <w:r>
        <w:rPr>
          <w:rFonts w:ascii="Times New Roman" w:hAnsi="Times New Roman" w:cs="Times New Roman"/>
          <w:lang w:val="fr-BE"/>
        </w:rPr>
        <w:t xml:space="preserve">aboratifs») </w:t>
      </w:r>
      <w:r>
        <w:rPr>
          <w:rStyle w:val="FootnoteReference"/>
          <w:rFonts w:ascii="Times New Roman" w:hAnsi="Times New Roman" w:cs="Times New Roman"/>
          <w:vertAlign w:val="baseline"/>
          <w:lang w:val="fr-BE"/>
        </w:rPr>
        <w:t>est une enquête en ligne réalisée auprès d’un panel sur les plateformes numériques, commandée par la DG EMPL et coordonnée par le JRC. Elle a été menée dans les 14 États membres de l’UE: DE, ES, FI, FR, HR, HU, IT, LT, NL, PT, RO, SE, SK et UK.</w:t>
      </w:r>
      <w:r>
        <w:rPr>
          <w:rStyle w:val="FootnoteReference"/>
          <w:rFonts w:ascii="Times New Roman" w:hAnsi="Times New Roman" w:cs="Times New Roman"/>
          <w:vertAlign w:val="baseline"/>
          <w:lang w:val="fr-BE"/>
        </w:rPr>
        <w:t xml:space="preserve"> L’enquête a été réalisée en juin</w:t>
      </w:r>
      <w:r>
        <w:rPr>
          <w:rFonts w:ascii="Times New Roman" w:hAnsi="Times New Roman" w:cs="Times New Roman"/>
          <w:lang w:val="fr-BE"/>
        </w:rPr>
        <w:t> </w:t>
      </w:r>
      <w:r>
        <w:rPr>
          <w:rStyle w:val="FootnoteReference"/>
          <w:rFonts w:ascii="Times New Roman" w:hAnsi="Times New Roman" w:cs="Times New Roman"/>
          <w:vertAlign w:val="baseline"/>
          <w:lang w:val="fr-BE"/>
        </w:rPr>
        <w:t>2017. Voir Pesole e.a. (2018).</w:t>
      </w:r>
    </w:p>
  </w:footnote>
  <w:footnote w:id="69">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Commission européenne (2018). Évolution de l’emploi et de la situation sociale en Europe. Rapport annuel 2018. Luxembourg: Office des publications de l’Union européenne</w:t>
      </w:r>
      <w:r>
        <w:rPr>
          <w:rFonts w:ascii="Times New Roman" w:hAnsi="Times New Roman" w:cs="Times New Roman"/>
          <w:lang w:val="fr-BE"/>
        </w:rPr>
        <w:t>.</w:t>
      </w:r>
    </w:p>
  </w:footnote>
  <w:footnote w:id="70">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Eurofound (2018),</w:t>
      </w:r>
      <w:r>
        <w:rPr>
          <w:rStyle w:val="FootnoteReference"/>
          <w:rFonts w:ascii="Times New Roman" w:hAnsi="Times New Roman" w:cs="Times New Roman"/>
          <w:vertAlign w:val="baseline"/>
        </w:rPr>
        <w:t xml:space="preserve"> «Does employment Status matter for job quality?» («Le statut professionnel a-t-il une incidence sur la qualité de l’emploi?»), bientôt disponible.</w:t>
      </w:r>
    </w:p>
  </w:footnote>
  <w:footnote w:id="71">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La septième dimension, à savoir les revenus, est exclue en raison de son manque de fiabilité.</w:t>
      </w:r>
    </w:p>
  </w:footnote>
  <w:footnote w:id="72">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Pour ces r</w:t>
      </w:r>
      <w:r>
        <w:rPr>
          <w:rStyle w:val="FootnoteReference"/>
          <w:rFonts w:ascii="Times New Roman" w:hAnsi="Times New Roman" w:cs="Times New Roman"/>
          <w:vertAlign w:val="baseline"/>
          <w:lang w:val="fr-BE"/>
        </w:rPr>
        <w:t>aisons, le taux de chômage de longue durée a été approuvé</w:t>
      </w:r>
      <w:r>
        <w:rPr>
          <w:rFonts w:ascii="Times New Roman" w:hAnsi="Times New Roman" w:cs="Times New Roman"/>
          <w:lang w:val="fr-BE"/>
        </w:rPr>
        <w:t xml:space="preserve"> par le Comité de l’emploi </w:t>
      </w:r>
      <w:r>
        <w:rPr>
          <w:rStyle w:val="FootnoteReference"/>
          <w:rFonts w:ascii="Times New Roman" w:hAnsi="Times New Roman" w:cs="Times New Roman"/>
          <w:vertAlign w:val="baseline"/>
          <w:lang w:val="fr-BE"/>
        </w:rPr>
        <w:t>en tant qu’indicateur clé du tableau de bord social pour suivre le soutien actif à l’emploi.</w:t>
      </w:r>
    </w:p>
  </w:footnote>
  <w:footnote w:id="73">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Il convient néanmoins d’interpréter cet indicateur avec prudence, car il mesu</w:t>
      </w:r>
      <w:r>
        <w:rPr>
          <w:rStyle w:val="FootnoteReference"/>
          <w:rFonts w:ascii="Times New Roman" w:hAnsi="Times New Roman" w:cs="Times New Roman"/>
          <w:vertAlign w:val="baseline"/>
        </w:rPr>
        <w:t>re uniquement la participation aux politiques du marché du travail (et non l’efficacité de celles-ci) et, pour un certain nombre de pays, il présente des problèmes de fiabilité statistique liés au processus de collecte des données.</w:t>
      </w:r>
    </w:p>
  </w:footnote>
  <w:footnote w:id="74">
    <w:p w:rsidR="00723CC0" w:rsidRDefault="0024202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FootnoteReference"/>
          <w:rFonts w:ascii="Times New Roman" w:hAnsi="Times New Roman" w:cs="Times New Roman"/>
          <w:vertAlign w:val="baseline"/>
        </w:rPr>
        <w:t xml:space="preserve">Commission européenne </w:t>
      </w:r>
      <w:r>
        <w:rPr>
          <w:rStyle w:val="FootnoteReference"/>
          <w:rFonts w:ascii="Times New Roman" w:hAnsi="Times New Roman" w:cs="Times New Roman"/>
          <w:vertAlign w:val="baseline"/>
        </w:rPr>
        <w:t>(2018), «Labour Market and Wage Developments in Europe» (Évolution du marché du travail et des rémunérations en Europe), Rapport annuel 2018, Luxembourg: Office des publications de l’Union européenne</w:t>
      </w:r>
      <w:r>
        <w:rPr>
          <w:rFonts w:ascii="Times New Roman" w:hAnsi="Times New Roman" w:cs="Times New Roman"/>
        </w:rPr>
        <w:t>.</w:t>
      </w:r>
    </w:p>
  </w:footnote>
  <w:footnote w:id="75">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Personnes au chômage depuis moins d’un an.</w:t>
      </w:r>
    </w:p>
  </w:footnote>
  <w:footnote w:id="76">
    <w:p w:rsidR="00723CC0" w:rsidRDefault="00242021">
      <w:pPr>
        <w:keepNext/>
        <w:spacing w:line="240" w:lineRule="auto"/>
        <w:jc w:val="both"/>
        <w:rPr>
          <w:rFonts w:ascii="Times New Roman" w:hAnsi="Times New Roman" w:cs="Times New Roman"/>
          <w:noProof/>
          <w:sz w:val="20"/>
          <w:szCs w:val="20"/>
          <w:lang w:val="fr-BE" w:eastAsia="en-GB"/>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BE"/>
        </w:rPr>
        <w:t xml:space="preserve"> Les modèles de l’OCDE utilisés pour cet indicateur ont été affinés depuis l’adoption du rapport conjoint sur l’emploi de 2018 au sein du Conseil, en particulier pour AT, DE, DK, EE, ES, FI, IE, IT et UK.</w:t>
      </w:r>
    </w:p>
  </w:footnote>
  <w:footnote w:id="77">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Ces indicateurs relatifs aux politiques ont été é</w:t>
      </w:r>
      <w:r>
        <w:rPr>
          <w:rStyle w:val="FootnoteReference"/>
          <w:rFonts w:ascii="Times New Roman" w:hAnsi="Times New Roman" w:cs="Times New Roman"/>
          <w:vertAlign w:val="baseline"/>
          <w:lang w:val="fr-BE"/>
        </w:rPr>
        <w:t>laborés par l’OCDE sur la base des données recueillies dans le cadre d’enquêtes globales réalisées par des experts. Ils fournissent des informations sur les conditions juridiques (</w:t>
      </w:r>
      <w:r>
        <w:rPr>
          <w:rStyle w:val="FootnoteReference"/>
          <w:rFonts w:ascii="Times New Roman" w:hAnsi="Times New Roman" w:cs="Times New Roman"/>
          <w:i/>
          <w:vertAlign w:val="baseline"/>
          <w:lang w:val="fr-BE"/>
        </w:rPr>
        <w:t>de jure</w:t>
      </w:r>
      <w:r>
        <w:rPr>
          <w:rStyle w:val="FootnoteReference"/>
          <w:rFonts w:ascii="Times New Roman" w:hAnsi="Times New Roman" w:cs="Times New Roman"/>
          <w:vertAlign w:val="baseline"/>
          <w:lang w:val="fr-BE"/>
        </w:rPr>
        <w:t>), mais pas sur leur mise en œuvre effective (qui peut varier entre p</w:t>
      </w:r>
      <w:r>
        <w:rPr>
          <w:rStyle w:val="FootnoteReference"/>
          <w:rFonts w:ascii="Times New Roman" w:hAnsi="Times New Roman" w:cs="Times New Roman"/>
          <w:vertAlign w:val="baseline"/>
          <w:lang w:val="fr-BE"/>
        </w:rPr>
        <w:t>ays ayant les mêmes règles).</w:t>
      </w:r>
      <w:r>
        <w:rPr>
          <w:rFonts w:ascii="Times New Roman" w:hAnsi="Times New Roman" w:cs="Times New Roman"/>
          <w:lang w:val="fr-BE"/>
        </w:rPr>
        <w:t xml:space="preserve"> </w:t>
      </w:r>
      <w:r>
        <w:rPr>
          <w:rStyle w:val="FootnoteReference"/>
          <w:rFonts w:ascii="Times New Roman" w:hAnsi="Times New Roman" w:cs="Times New Roman"/>
          <w:vertAlign w:val="baseline"/>
          <w:lang w:val="fr-BE"/>
        </w:rPr>
        <w:t>Ces indicateurs ne peuvent être interprétés de manière réductrice, étant donné qu’il n’est pas possible de définir un degré de rigueur «optimal» des exigences en matière de recherche d’emploi et de disponibilité.</w:t>
      </w:r>
    </w:p>
  </w:footnote>
  <w:footnote w:id="78">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Ce chiffre f</w:t>
      </w:r>
      <w:r>
        <w:rPr>
          <w:rStyle w:val="FootnoteReference"/>
          <w:rFonts w:ascii="Times New Roman" w:hAnsi="Times New Roman" w:cs="Times New Roman"/>
          <w:vertAlign w:val="baseline"/>
          <w:lang w:val="fr-BE"/>
        </w:rPr>
        <w:t>ait référence aux citoyens mobiles «de longue durée» de l’</w:t>
      </w:r>
      <w:r>
        <w:rPr>
          <w:rFonts w:ascii="Times New Roman" w:hAnsi="Times New Roman" w:cs="Times New Roman"/>
          <w:lang w:val="fr-BE"/>
        </w:rPr>
        <w:t>EU</w:t>
      </w:r>
      <w:r>
        <w:rPr>
          <w:rStyle w:val="FootnoteReference"/>
          <w:rFonts w:ascii="Times New Roman" w:hAnsi="Times New Roman" w:cs="Times New Roman"/>
          <w:vertAlign w:val="baseline"/>
          <w:lang w:val="fr-BE"/>
        </w:rPr>
        <w:t>-28, en âge de travailler et vivant dans l’</w:t>
      </w:r>
      <w:r>
        <w:rPr>
          <w:rFonts w:ascii="Times New Roman" w:hAnsi="Times New Roman" w:cs="Times New Roman"/>
          <w:lang w:val="fr-BE"/>
        </w:rPr>
        <w:t>EU</w:t>
      </w:r>
      <w:r>
        <w:rPr>
          <w:rStyle w:val="FootnoteReference"/>
          <w:rFonts w:ascii="Times New Roman" w:hAnsi="Times New Roman" w:cs="Times New Roman"/>
          <w:vertAlign w:val="baseline"/>
          <w:lang w:val="fr-BE"/>
        </w:rPr>
        <w:t>-28, sur la base des statistiques démographiques d’Eurostat. Pour plus de détails, voir Commission européenne (</w:t>
      </w:r>
      <w:r>
        <w:rPr>
          <w:rFonts w:ascii="Times New Roman" w:hAnsi="Times New Roman" w:cs="Times New Roman"/>
          <w:lang w:val="fr-BE"/>
        </w:rPr>
        <w:t>à paraître</w:t>
      </w:r>
      <w:r>
        <w:rPr>
          <w:rStyle w:val="FootnoteReference"/>
          <w:rFonts w:ascii="Times New Roman" w:hAnsi="Times New Roman" w:cs="Times New Roman"/>
          <w:vertAlign w:val="baseline"/>
          <w:lang w:val="fr-BE"/>
        </w:rPr>
        <w:t>), «2018 Annual Report on Intr</w:t>
      </w:r>
      <w:r>
        <w:rPr>
          <w:rStyle w:val="FootnoteReference"/>
          <w:rFonts w:ascii="Times New Roman" w:hAnsi="Times New Roman" w:cs="Times New Roman"/>
          <w:vertAlign w:val="baseline"/>
          <w:lang w:val="fr-BE"/>
        </w:rPr>
        <w:t>a-EU Labour Mobility» (Rapport annuel 2018</w:t>
      </w:r>
      <w:r>
        <w:rPr>
          <w:rFonts w:ascii="Times New Roman" w:hAnsi="Times New Roman" w:cs="Times New Roman"/>
          <w:lang w:val="fr-BE"/>
        </w:rPr>
        <w:t xml:space="preserve"> </w:t>
      </w:r>
      <w:r>
        <w:rPr>
          <w:rStyle w:val="FootnoteReference"/>
          <w:rFonts w:ascii="Times New Roman" w:hAnsi="Times New Roman" w:cs="Times New Roman"/>
          <w:vertAlign w:val="baseline"/>
          <w:lang w:val="fr-BE"/>
        </w:rPr>
        <w:t>sur la mobilité de la main-d’œuvre à l’intérieur de l’UE), direction générale de l’emploi, des affaires sociales et de l’inclusion.</w:t>
      </w:r>
    </w:p>
  </w:footnote>
  <w:footnote w:id="79">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DNB (2018), «DNBulletin: Flexibilisering arbeidsmarkt gaat gepaard met daling a</w:t>
      </w:r>
      <w:r>
        <w:rPr>
          <w:rFonts w:ascii="Times New Roman" w:hAnsi="Times New Roman" w:cs="Times New Roman"/>
          <w:lang w:val="fr-BE"/>
        </w:rPr>
        <w:t>rbeidsinkomensquote», publié le 1er février 2018.</w:t>
      </w:r>
    </w:p>
  </w:footnote>
  <w:footnote w:id="80">
    <w:p w:rsidR="00723CC0" w:rsidRDefault="00242021">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Voir «Employment and Social Developments in Europe» (Évolution de l’emploi et de la situation sociale en Europe), chapitre 5, éditions 2018 et 2017. </w:t>
      </w:r>
    </w:p>
  </w:footnote>
  <w:footnote w:id="81">
    <w:p w:rsidR="00723CC0" w:rsidRDefault="00242021">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vertAlign w:val="superscript"/>
          <w:lang w:val="fr-BE"/>
        </w:rPr>
        <w:t xml:space="preserve"> </w:t>
      </w:r>
      <w:r>
        <w:rPr>
          <w:rFonts w:ascii="Times New Roman" w:hAnsi="Times New Roman" w:cs="Times New Roman"/>
          <w:lang w:val="fr-BE"/>
        </w:rPr>
        <w:t xml:space="preserve">Eurofound (2016), «Le concept de représentativité </w:t>
      </w:r>
      <w:r>
        <w:rPr>
          <w:rFonts w:ascii="Times New Roman" w:hAnsi="Times New Roman" w:cs="Times New Roman"/>
          <w:lang w:val="fr-BE"/>
        </w:rPr>
        <w:t>aux niveaux national, international et européen».</w:t>
      </w:r>
    </w:p>
  </w:footnote>
  <w:footnote w:id="82">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Tels que collectés, par exemple, lors du séminaire «The Social Pillar and European Semester as tools for delivering social Europe – a reflection with civil society» (Le socle européen des droits sociaux e</w:t>
      </w:r>
      <w:r>
        <w:rPr>
          <w:rFonts w:ascii="Times New Roman" w:hAnsi="Times New Roman" w:cs="Times New Roman"/>
          <w:lang w:val="fr-BE"/>
        </w:rPr>
        <w:t>t le Semestre européen en tant qu’outils de mise en œuvre de l’Europe sociale – Une réflexion avec la société civile), qui a eu lieu le 2 octobre 2018 à Bruxelles.</w:t>
      </w:r>
    </w:p>
  </w:footnote>
  <w:footnote w:id="83">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lang w:val="fr-BE"/>
        </w:rPr>
        <w:t xml:space="preserve"> </w:t>
      </w:r>
      <w:r>
        <w:rPr>
          <w:rFonts w:ascii="Times New Roman" w:hAnsi="Times New Roman" w:cs="Times New Roman"/>
          <w:lang w:val="fr-BE"/>
        </w:rPr>
        <w:t>Ce paragraphe repose sur les conclusions du Comité de l’emploi dans son étude thématique d</w:t>
      </w:r>
      <w:r>
        <w:rPr>
          <w:rFonts w:ascii="Times New Roman" w:hAnsi="Times New Roman" w:cs="Times New Roman"/>
          <w:lang w:val="fr-BE"/>
        </w:rPr>
        <w:t>u 3 octobre 2018 sur la mise en œuvre de la recommandation du Conseil relative à l’intégration des chômeurs de longue durée sur le marché du travail. Une évaluation approfondie est en cours et sera publiée au début de l’année 2019, en même temps qu’un rapp</w:t>
      </w:r>
      <w:r>
        <w:rPr>
          <w:rFonts w:ascii="Times New Roman" w:hAnsi="Times New Roman" w:cs="Times New Roman"/>
          <w:lang w:val="fr-BE"/>
        </w:rPr>
        <w:t>ort au Conseil.</w:t>
      </w:r>
    </w:p>
  </w:footnote>
  <w:footnote w:id="84">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vertAlign w:val="superscript"/>
          <w:lang w:val="fr-BE"/>
        </w:rPr>
        <w:t xml:space="preserve"> </w:t>
      </w:r>
      <w:r>
        <w:rPr>
          <w:rFonts w:ascii="Times New Roman" w:hAnsi="Times New Roman" w:cs="Times New Roman"/>
          <w:lang w:val="fr-BE"/>
        </w:rPr>
        <w:t>Une analyse détaillée du rôle joué par les partenaires sociaux dans les réformes récentes sera proposée dans une publication à paraître d’Eurofound (2019), intitulée «Social dialogue practices within the context of the EU Semester» (prati</w:t>
      </w:r>
      <w:r>
        <w:rPr>
          <w:rFonts w:ascii="Times New Roman" w:hAnsi="Times New Roman" w:cs="Times New Roman"/>
          <w:lang w:val="fr-BE"/>
        </w:rPr>
        <w:t>ques de dialogue social dans le contexte du Semestre européen).</w:t>
      </w:r>
    </w:p>
  </w:footnote>
  <w:footnote w:id="85">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Au 26 octobre 2018, les données 2017 n’étaient disponibles que pour 18 États membres. Une mise à jour est prévue dans la version finale du rapport conjoint sur l’emploi.</w:t>
      </w:r>
    </w:p>
  </w:footnote>
  <w:footnote w:id="86">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 xml:space="preserve">Le RDBM est mesuré à l’aide du «revenu brut» (c’est-à-dire sans les transferts sociaux en nature), en termes réels. Données non disponibles pour la Croatie et Malte au 26 octobre </w:t>
      </w:r>
      <w:r>
        <w:rPr>
          <w:rStyle w:val="FootnoteReference"/>
          <w:rFonts w:ascii="Times New Roman" w:hAnsi="Times New Roman" w:cs="Times New Roman"/>
          <w:vertAlign w:val="baseline"/>
          <w:lang w:val="fr-BE"/>
        </w:rPr>
        <w:t>2018</w:t>
      </w:r>
      <w:r>
        <w:rPr>
          <w:rFonts w:ascii="Times New Roman" w:hAnsi="Times New Roman" w:cs="Times New Roman"/>
          <w:lang w:val="fr-BE"/>
        </w:rPr>
        <w:t>.</w:t>
      </w:r>
    </w:p>
  </w:footnote>
  <w:footnote w:id="87">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Voir section 1.2 pour les définitions du risque de pauvreté ou d’excl</w:t>
      </w:r>
      <w:r>
        <w:rPr>
          <w:rFonts w:ascii="Times New Roman" w:hAnsi="Times New Roman" w:cs="Times New Roman"/>
          <w:lang w:val="fr-BE"/>
        </w:rPr>
        <w:t>usion sociale et de ses sous-composants. Remarque: les statistiques sur le revenu et les conditions de vie (EU-SILC) se rapportent aux revenus de l’année précédente. Par conséquent, les statistiques EU-SILC pour 2017 en ce qui concerne le taux AROPE, le ra</w:t>
      </w:r>
      <w:r>
        <w:rPr>
          <w:rFonts w:ascii="Times New Roman" w:hAnsi="Times New Roman" w:cs="Times New Roman"/>
          <w:lang w:val="fr-BE"/>
        </w:rPr>
        <w:t>pport S80/S20, etc. renvoient à l’exercice 2016.</w:t>
      </w:r>
    </w:p>
  </w:footnote>
  <w:footnote w:id="88">
    <w:p w:rsidR="00723CC0" w:rsidRDefault="00242021">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vertAlign w:val="superscript"/>
          <w:lang w:val="fr-BE"/>
        </w:rPr>
        <w:t xml:space="preserve"> </w:t>
      </w:r>
      <w:r>
        <w:rPr>
          <w:rFonts w:ascii="Times New Roman" w:hAnsi="Times New Roman" w:cs="Times New Roman"/>
          <w:lang w:val="fr-BE"/>
        </w:rPr>
        <w:t xml:space="preserve">L’écart relatif médian du risque de pauvreté correspond à la différence, exprimée en pourcentage du seuil de risque de pauvreté, entre le revenu total disponible équivalent médian des personnes se situant </w:t>
      </w:r>
      <w:r>
        <w:rPr>
          <w:rFonts w:ascii="Times New Roman" w:hAnsi="Times New Roman" w:cs="Times New Roman"/>
          <w:lang w:val="fr-BE"/>
        </w:rPr>
        <w:t>en-dessous du seuil de risque de pauvreté et le seuil de risque de pauvreté (60 % du revenu équivalent médian national).</w:t>
      </w:r>
    </w:p>
  </w:footnote>
  <w:footnote w:id="89">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EU-SILC (2017), personnes exposées au risque de pauvreté ou d’exclusion sociale par niveau de limitation d’activité, sexe et âge [hlt</w:t>
      </w:r>
      <w:r>
        <w:rPr>
          <w:rFonts w:ascii="Times New Roman" w:hAnsi="Times New Roman" w:cs="Times New Roman"/>
          <w:lang w:val="fr-BE"/>
        </w:rPr>
        <w:t>h_dpe010].</w:t>
      </w:r>
    </w:p>
  </w:footnote>
  <w:footnote w:id="90">
    <w:p w:rsidR="00723CC0" w:rsidRDefault="00242021">
      <w:pPr>
        <w:pStyle w:val="FootnoteText"/>
        <w:rPr>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w:t>
      </w:r>
      <w:r>
        <w:rPr>
          <w:rFonts w:ascii="Times New Roman" w:hAnsi="Times New Roman" w:cs="Times New Roman"/>
        </w:rPr>
        <w:t>Idem.</w:t>
      </w:r>
    </w:p>
  </w:footnote>
  <w:footnote w:id="91">
    <w:p w:rsidR="00723CC0" w:rsidRDefault="00242021">
      <w:pPr>
        <w:pStyle w:val="FootnoteText"/>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Sur la base des données Sespros. Aucune donnée relative à 2015 n’est disponible pour la Pologne.</w:t>
      </w:r>
    </w:p>
  </w:footnote>
  <w:footnote w:id="92">
    <w:p w:rsidR="00723CC0" w:rsidRDefault="00242021">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Voir également: Commission européenne (2018), «Employment and Social Developments in Europe. Annual Review 2018» (rapport annuel sur l’é</w:t>
      </w:r>
      <w:r>
        <w:rPr>
          <w:rStyle w:val="FootnoteReference"/>
          <w:rFonts w:ascii="Times New Roman" w:hAnsi="Times New Roman" w:cs="Times New Roman"/>
          <w:vertAlign w:val="baseline"/>
        </w:rPr>
        <w:t>volution de l’emploi et de la situation sociale en Europe en 2018). Luxembourg: Office des publications de l’Union européenne.</w:t>
      </w:r>
    </w:p>
  </w:footnote>
  <w:footnote w:id="93">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Cette question est en partie traitée également dans la section 3.3.</w:t>
      </w:r>
    </w:p>
  </w:footnote>
  <w:footnote w:id="94">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Les données sur lesquelles ce paragraphe et le suivant so</w:t>
      </w:r>
      <w:r>
        <w:rPr>
          <w:rFonts w:ascii="Times New Roman" w:hAnsi="Times New Roman" w:cs="Times New Roman"/>
          <w:lang w:val="fr-BE"/>
        </w:rPr>
        <w:t>nt fondés sont tirées du document suivant: Commission européenne, SWD(2018) 70 final, «Impact Assessment Accompanying the Proposal for a Council recommendation on access to social protection for workers and the self-employed» (analyse d’impact accompagnant</w:t>
      </w:r>
      <w:r>
        <w:rPr>
          <w:rFonts w:ascii="Times New Roman" w:hAnsi="Times New Roman" w:cs="Times New Roman"/>
          <w:lang w:val="fr-BE"/>
        </w:rPr>
        <w:t xml:space="preserve"> la proposition de recommandation du Conseil relative à l’accès des travailleurs salariés et non salariés à la protection sociale).</w:t>
      </w:r>
    </w:p>
  </w:footnote>
  <w:footnote w:id="95">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Belgique, Bulgarie, République tchèque, Danemark, Allemagne, Estonie, Grèce, Espagne, France, Croatie, Italie, Luxembourg,</w:t>
      </w:r>
      <w:r>
        <w:rPr>
          <w:rFonts w:ascii="Times New Roman" w:hAnsi="Times New Roman" w:cs="Times New Roman"/>
          <w:lang w:val="fr-BE"/>
        </w:rPr>
        <w:t xml:space="preserve"> Hongrie, Malte, Pays</w:t>
      </w:r>
      <w:r>
        <w:rPr>
          <w:rFonts w:ascii="Times New Roman" w:hAnsi="Times New Roman" w:cs="Times New Roman"/>
          <w:lang w:val="fr-BE"/>
        </w:rPr>
        <w:noBreakHyphen/>
        <w:t>Bas, Autriche, Pologne, Portugal, Roumanie, Slovénie, Slovaquie, Finlande, Suède et Royaume</w:t>
      </w:r>
      <w:r>
        <w:rPr>
          <w:rFonts w:ascii="Times New Roman" w:hAnsi="Times New Roman" w:cs="Times New Roman"/>
          <w:lang w:val="fr-BE"/>
        </w:rPr>
        <w:noBreakHyphen/>
        <w:t>Uni.</w:t>
      </w:r>
    </w:p>
  </w:footnote>
  <w:footnote w:id="96">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Approuvée par le CPS en juin 2018.</w:t>
      </w:r>
    </w:p>
  </w:footnote>
  <w:footnote w:id="97">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Dans le cadre de l’analyse comparative, est dite «à faible salaire» une personne qui touche 50 % d</w:t>
      </w:r>
      <w:r>
        <w:rPr>
          <w:rFonts w:ascii="Times New Roman" w:hAnsi="Times New Roman" w:cs="Times New Roman"/>
          <w:lang w:val="fr-BE"/>
        </w:rPr>
        <w:t>u salaire brut moyen national.</w:t>
      </w:r>
    </w:p>
  </w:footnote>
  <w:footnote w:id="98">
    <w:p w:rsidR="00723CC0" w:rsidRDefault="00242021">
      <w:pPr>
        <w:pStyle w:val="FootnoteText"/>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lang w:val="fr-BE"/>
        </w:rPr>
        <w:t xml:space="preserve"> </w:t>
      </w:r>
      <w:r>
        <w:rPr>
          <w:rFonts w:ascii="Times New Roman" w:hAnsi="Times New Roman" w:cs="Times New Roman"/>
          <w:lang w:val="fr-BE"/>
        </w:rPr>
        <w:t xml:space="preserve">Les indicateurs sont basés sur les dernières informations disponibles d’après le modèle impôts-prestations de l’OCDE. Les informations ne sont pas disponibles pour Chypre. Les informations sur l’Italie et la Grèce ne </w:t>
      </w:r>
      <w:r>
        <w:rPr>
          <w:rFonts w:ascii="Times New Roman" w:hAnsi="Times New Roman" w:cs="Times New Roman"/>
          <w:lang w:val="fr-BE"/>
        </w:rPr>
        <w:t>comprennent pas les régimes de revenu minimum nouvellement instaurés et n’ont pas été prises en compte dans l’analyse.</w:t>
      </w:r>
    </w:p>
  </w:footnote>
  <w:footnote w:id="99">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Voir note 88 pour la définition de l’écart relatif du risque de pauvreté</w:t>
      </w:r>
      <w:r>
        <w:rPr>
          <w:rStyle w:val="FootnoteReference"/>
          <w:rFonts w:ascii="Times New Roman" w:hAnsi="Times New Roman" w:cs="Times New Roman"/>
          <w:vertAlign w:val="baseline"/>
          <w:lang w:val="fr-BE"/>
        </w:rPr>
        <w:t>.</w:t>
      </w:r>
    </w:p>
  </w:footnote>
  <w:footnote w:id="100">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vertAlign w:val="superscript"/>
          <w:lang w:val="fr-BE"/>
        </w:rPr>
        <w:t xml:space="preserve"> </w:t>
      </w:r>
      <w:r>
        <w:rPr>
          <w:rFonts w:ascii="Times New Roman" w:hAnsi="Times New Roman" w:cs="Times New Roman"/>
          <w:lang w:val="fr-BE"/>
        </w:rPr>
        <w:t>Nombre de personnes remplissant les conditions d’admissibil</w:t>
      </w:r>
      <w:r>
        <w:rPr>
          <w:rFonts w:ascii="Times New Roman" w:hAnsi="Times New Roman" w:cs="Times New Roman"/>
          <w:lang w:val="fr-BE"/>
        </w:rPr>
        <w:t>ité et susceptibles de bénéficier d’un régime.</w:t>
      </w:r>
    </w:p>
  </w:footnote>
  <w:footnote w:id="101">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Il s’agit là d’une différence par rapport au concept théorique de «revenu universel», qui suppose l’octroi d’un certain niveau de revenu à chaque citoyen, quelle que soit sa situation. Pour de plus amples in</w:t>
      </w:r>
      <w:r>
        <w:rPr>
          <w:rFonts w:ascii="Times New Roman" w:hAnsi="Times New Roman" w:cs="Times New Roman"/>
          <w:lang w:val="fr-BE"/>
        </w:rPr>
        <w:t>formations, veuillez consulter la publication suivante: Commission européenne (2018), «Employment and Social Developments in Europe, Annual Review 2018»</w:t>
      </w:r>
      <w:r>
        <w:rPr>
          <w:rStyle w:val="FootnoteReference"/>
          <w:rFonts w:ascii="Times New Roman" w:hAnsi="Times New Roman" w:cs="Times New Roman"/>
          <w:vertAlign w:val="baseline"/>
          <w:lang w:val="fr-BE"/>
        </w:rPr>
        <w:t xml:space="preserve"> (rapport annuel 2018 sur l’évolution de l’emploi et de la situation sociale en Europe), p. 142.</w:t>
      </w:r>
    </w:p>
  </w:footnote>
  <w:footnote w:id="102">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D’apr</w:t>
      </w:r>
      <w:r>
        <w:rPr>
          <w:rFonts w:ascii="Times New Roman" w:hAnsi="Times New Roman" w:cs="Times New Roman"/>
          <w:lang w:val="fr-BE"/>
        </w:rPr>
        <w:t>ès le module ad hoc EU-SILC 2016 sur l’accès aux services. Les raisons suivantes ont été prises en compte pour les besoins de l’analyse comparative: «aucun cours ou programme adapté accessible» et «n’a pas les moyens».</w:t>
      </w:r>
    </w:p>
  </w:footnote>
  <w:footnote w:id="103">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lang w:val="fr-BE"/>
        </w:rPr>
        <w:t xml:space="preserve"> </w:t>
      </w:r>
      <w:r>
        <w:rPr>
          <w:rFonts w:ascii="Times New Roman" w:hAnsi="Times New Roman" w:cs="Times New Roman"/>
          <w:lang w:val="fr-BE"/>
        </w:rPr>
        <w:t>Un examen plus approfondi de la pro</w:t>
      </w:r>
      <w:r>
        <w:rPr>
          <w:rFonts w:ascii="Times New Roman" w:hAnsi="Times New Roman" w:cs="Times New Roman"/>
          <w:lang w:val="fr-BE"/>
        </w:rPr>
        <w:t>blématique des besoins non satisfaits en soins de santé et de l’accès au logement est proposé dans la suite de la présente section.</w:t>
      </w:r>
    </w:p>
  </w:footnote>
  <w:footnote w:id="104">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lang w:val="fr-BE"/>
        </w:rPr>
        <w:t xml:space="preserve"> </w:t>
      </w:r>
      <w:r>
        <w:rPr>
          <w:rFonts w:ascii="Times New Roman" w:hAnsi="Times New Roman" w:cs="Times New Roman"/>
          <w:lang w:val="fr-BE"/>
        </w:rPr>
        <w:t xml:space="preserve">Les données figurant dans le présent paragraphe sont tirées des statistiques EU-SILC. </w:t>
      </w:r>
    </w:p>
  </w:footnote>
  <w:footnote w:id="105">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lang w:val="fr-BE"/>
        </w:rPr>
        <w:t xml:space="preserve"> </w:t>
      </w:r>
      <w:r>
        <w:rPr>
          <w:rFonts w:ascii="Times New Roman" w:hAnsi="Times New Roman" w:cs="Times New Roman"/>
          <w:lang w:val="fr-BE"/>
        </w:rPr>
        <w:t>Le taux de privation en matière d</w:t>
      </w:r>
      <w:r>
        <w:rPr>
          <w:rFonts w:ascii="Times New Roman" w:hAnsi="Times New Roman" w:cs="Times New Roman"/>
          <w:lang w:val="fr-BE"/>
        </w:rPr>
        <w:t>e logement est une mesure du manque de commodités dans un logement et est calculé par référence aux ménages qui connaissent au moins l’un des problèmes suivants: i) fuites du toit, ii) ni baignoire ni douche, iii) absence de toilettes intérieures et iv) lo</w:t>
      </w:r>
      <w:r>
        <w:rPr>
          <w:rFonts w:ascii="Times New Roman" w:hAnsi="Times New Roman" w:cs="Times New Roman"/>
          <w:lang w:val="fr-BE"/>
        </w:rPr>
        <w:t xml:space="preserve">gement jugé trop sombre. </w:t>
      </w:r>
    </w:p>
  </w:footnote>
  <w:footnote w:id="106">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 xml:space="preserve">Données établies par la </w:t>
      </w:r>
      <w:r>
        <w:rPr>
          <w:rStyle w:val="FootnoteReference"/>
          <w:rFonts w:ascii="Times New Roman" w:hAnsi="Times New Roman" w:cs="Times New Roman"/>
          <w:vertAlign w:val="baseline"/>
          <w:lang w:val="fr-BE"/>
        </w:rPr>
        <w:t xml:space="preserve">FEANTSA, la fédération des organisations nationales de la société civile qui travaillent avec les sans-abri en Europe. </w:t>
      </w:r>
      <w:r>
        <w:rPr>
          <w:rFonts w:ascii="Times New Roman" w:hAnsi="Times New Roman" w:cs="Times New Roman"/>
          <w:lang w:val="fr-BE"/>
        </w:rPr>
        <w:t xml:space="preserve">Voir </w:t>
      </w:r>
      <w:r>
        <w:rPr>
          <w:rStyle w:val="FootnoteReference"/>
          <w:rFonts w:ascii="Times New Roman" w:hAnsi="Times New Roman" w:cs="Times New Roman"/>
          <w:vertAlign w:val="baseline"/>
          <w:lang w:val="fr-BE"/>
        </w:rPr>
        <w:t>FEANTSA (2018), «Third overview of housing exclusion in Europe», (troisième rapp</w:t>
      </w:r>
      <w:r>
        <w:rPr>
          <w:rStyle w:val="FootnoteReference"/>
          <w:rFonts w:ascii="Times New Roman" w:hAnsi="Times New Roman" w:cs="Times New Roman"/>
          <w:vertAlign w:val="baseline"/>
          <w:lang w:val="fr-BE"/>
        </w:rPr>
        <w:t>ort sur l’exclusion en matière de logement en Europe).</w:t>
      </w:r>
    </w:p>
  </w:footnote>
  <w:footnote w:id="107">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Ratio des pensions brutes individuelles médianes des 65 à 74 ans par rapport aux rémunérations brutes individuelles médianes des 50 à 59 ans.</w:t>
      </w:r>
    </w:p>
  </w:footnote>
  <w:footnote w:id="108">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 xml:space="preserve">Les données pour la Croatie et l’Irlande se rapportent </w:t>
      </w:r>
      <w:r>
        <w:rPr>
          <w:rFonts w:ascii="Times New Roman" w:hAnsi="Times New Roman" w:cs="Times New Roman"/>
          <w:lang w:val="fr-BE"/>
        </w:rPr>
        <w:t>à 2016.</w:t>
      </w:r>
    </w:p>
  </w:footnote>
  <w:footnote w:id="109">
    <w:p w:rsidR="00723CC0" w:rsidRDefault="00242021">
      <w:pPr>
        <w:pStyle w:val="FootnoteText"/>
        <w:jc w:val="both"/>
        <w:rPr>
          <w:rStyle w:val="FootnoteReference"/>
          <w:rFonts w:ascii="Times New Roman" w:hAnsi="Times New Roman" w:cs="Times New Roman"/>
          <w:vertAlign w:val="baseline"/>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Enquête européenne sur la santé, le vieillissement et les retraites en Europe (Survey of Health, Ageing and Retirement in Europe – SHARE). Source des données: vague 7 de l’enquête SHARE, 2017.</w:t>
      </w:r>
    </w:p>
  </w:footnote>
  <w:footnote w:id="110">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 xml:space="preserve">Pour les besoins de la comparaison, on entend par </w:t>
      </w:r>
      <w:r>
        <w:rPr>
          <w:rFonts w:ascii="Times New Roman" w:hAnsi="Times New Roman" w:cs="Times New Roman"/>
          <w:lang w:val="fr-BE"/>
        </w:rPr>
        <w:t>«indépendants à la retraite» les retraités qui ont eu un emploi non salarié pendant 50 % au moins de leur carrière.</w:t>
      </w:r>
    </w:p>
  </w:footnote>
  <w:footnote w:id="111">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fr-BE"/>
        </w:rPr>
        <w:t xml:space="preserve"> </w:t>
      </w:r>
      <w:r>
        <w:rPr>
          <w:rFonts w:ascii="Times New Roman" w:hAnsi="Times New Roman" w:cs="Times New Roman"/>
          <w:lang w:val="fr-BE"/>
        </w:rPr>
        <w:t>L’enquête sur la santé, le vieillissement et les retraites en Europe (SHARE) est une base de données de panel pluridisciplinaire et transn</w:t>
      </w:r>
      <w:r>
        <w:rPr>
          <w:rFonts w:ascii="Times New Roman" w:hAnsi="Times New Roman" w:cs="Times New Roman"/>
          <w:lang w:val="fr-BE"/>
        </w:rPr>
        <w:t>ationale regroupant des microdonnées sur la santé, le statut socioéconomique ainsi que les réseaux sociaux et familiaux; elle porte sur plus de 120 000 personnes de 50 ans ou plus (plus de 297 000 entretiens) et couvre 27 pays européens. L’Irlande, les Pay</w:t>
      </w:r>
      <w:r>
        <w:rPr>
          <w:rFonts w:ascii="Times New Roman" w:hAnsi="Times New Roman" w:cs="Times New Roman"/>
          <w:lang w:val="fr-BE"/>
        </w:rPr>
        <w:t>s-Bas et le Royaume-Uni sont exclus de la vague 7. Dans certains États membres, la taille des échantillons ne permet pas d’effectuer les comparaisons.</w:t>
      </w:r>
    </w:p>
  </w:footnote>
  <w:footnote w:id="112">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Le rapport S80/S20 est supérieur d’un tiers pour les indépendants à la retraite par rapport aux anciens</w:t>
      </w:r>
      <w:r>
        <w:rPr>
          <w:rStyle w:val="FootnoteReference"/>
          <w:rFonts w:ascii="Times New Roman" w:hAnsi="Times New Roman" w:cs="Times New Roman"/>
          <w:vertAlign w:val="baseline"/>
        </w:rPr>
        <w:t xml:space="preserve"> salariés.</w:t>
      </w:r>
    </w:p>
  </w:footnote>
  <w:footnote w:id="113">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EU28 sauf Irlande, Pays-Bas et Royaume-Uni.</w:t>
      </w:r>
    </w:p>
  </w:footnote>
  <w:footnote w:id="114">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La notion de «besoins en soins médicaux non satisfaits déclarés par l’intéressé» se base sur la propre appréciation d’une personne quant à la question de savoir si elle avait besoin de consulter un médecin ou de suivre un traitement pour un type de soins </w:t>
      </w:r>
      <w:r>
        <w:rPr>
          <w:rStyle w:val="FootnoteReference"/>
          <w:rFonts w:ascii="Times New Roman" w:hAnsi="Times New Roman" w:cs="Times New Roman"/>
          <w:vertAlign w:val="baseline"/>
        </w:rPr>
        <w:t>de santé particulier mais ne l’a pas fait ou n’a pas cherché à le faire pour les trois raisons suivantes: «raisons financières», «liste d’attente» et «distance excessive». Les problèmes que les gens signalent au moment de bénéficier de soins lorsqu’ils son</w:t>
      </w:r>
      <w:r>
        <w:rPr>
          <w:rStyle w:val="FootnoteReference"/>
          <w:rFonts w:ascii="Times New Roman" w:hAnsi="Times New Roman" w:cs="Times New Roman"/>
          <w:vertAlign w:val="baseline"/>
        </w:rPr>
        <w:t>t malades reflètent souvent des obstacles importants aux soins.</w:t>
      </w:r>
    </w:p>
  </w:footnote>
  <w:footnote w:id="115">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Les dépenses directes correspondent aux paiements directs pour les biens et services prélevés sur les revenus principaux ou les économies du ménage, lorsque le paiement est effectué par l’ut</w:t>
      </w:r>
      <w:r>
        <w:rPr>
          <w:rStyle w:val="FootnoteReference"/>
          <w:rFonts w:ascii="Times New Roman" w:hAnsi="Times New Roman" w:cs="Times New Roman"/>
          <w:vertAlign w:val="baseline"/>
        </w:rPr>
        <w:t>ilisateur au moment de l’achat des biens ou de l’utilisation des services, soit sans remboursement, soit en partage des coûts avec un régime organisé.</w:t>
      </w:r>
    </w:p>
  </w:footnote>
  <w:footnote w:id="116">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Rapport 2018 sur le vieillissement, Commission européenne.</w:t>
      </w:r>
    </w:p>
  </w:footnote>
  <w:footnote w:id="117">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Des équipes mixtes de l’assistance sociale</w:t>
      </w:r>
      <w:r>
        <w:rPr>
          <w:rStyle w:val="FootnoteReference"/>
          <w:rFonts w:ascii="Times New Roman" w:hAnsi="Times New Roman" w:cs="Times New Roman"/>
          <w:vertAlign w:val="baseline"/>
        </w:rPr>
        <w:t xml:space="preserve"> et de l’agence pour l’emploi proposent des services entièrement intégrés aux chômeurs dans les régions reculées de Bulgarie.</w:t>
      </w:r>
    </w:p>
  </w:footnote>
  <w:footnote w:id="118">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Avec le concours financier du FSE.</w:t>
      </w:r>
    </w:p>
  </w:footnote>
  <w:footnote w:id="119">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Commission européenne et Comité de la protection sociale (2018), «The 2018 Pension Adequacy</w:t>
      </w:r>
      <w:r>
        <w:rPr>
          <w:rStyle w:val="FootnoteReference"/>
          <w:rFonts w:ascii="Times New Roman" w:hAnsi="Times New Roman" w:cs="Times New Roman"/>
          <w:vertAlign w:val="baseline"/>
        </w:rPr>
        <w:t xml:space="preserve"> Report: current and future income adequacy in old age in the EU» (Rapport 2018 sur l’adéquation des retraites: adéquation actuelle et future des revenus des personnes âgées dans l’UE).</w:t>
      </w:r>
    </w:p>
  </w:footnote>
  <w:footnote w:id="120">
    <w:p w:rsidR="00723CC0" w:rsidRDefault="00242021">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Ibidem.</w:t>
      </w:r>
    </w:p>
  </w:footnote>
  <w:footnote w:id="121">
    <w:p w:rsidR="00723CC0" w:rsidRDefault="00242021">
      <w:pPr>
        <w:pStyle w:val="FootnoteText"/>
        <w:jc w:val="both"/>
        <w:rPr>
          <w:rFonts w:ascii="Times New Roman" w:hAnsi="Times New Roman" w:cs="Times New Roman"/>
          <w:lang w:val="fr-BE"/>
        </w:rPr>
      </w:pPr>
      <w:r>
        <w:rPr>
          <w:rStyle w:val="FootnoteReference"/>
        </w:rPr>
        <w:footnoteRef/>
      </w:r>
      <w:r>
        <w:rPr>
          <w:rFonts w:ascii="Times New Roman" w:hAnsi="Times New Roman" w:cs="Times New Roman"/>
          <w:lang w:val="fr-BE"/>
        </w:rPr>
        <w:t xml:space="preserve"> Sauf en ce qui concerne le nouvel indicateur «rémunération</w:t>
      </w:r>
      <w:r>
        <w:rPr>
          <w:rFonts w:ascii="Times New Roman" w:hAnsi="Times New Roman" w:cs="Times New Roman"/>
          <w:lang w:val="fr-BE"/>
        </w:rPr>
        <w:t xml:space="preserve"> nette d’un travailleur à plein temps célibataire et sans enfant percevant un salaire moyen», pour lequel les moyennes sur trois ans sont employées pour lisser les fluctuations à court terme, et ce tant pour les niveaux que pour les variations.</w:t>
      </w:r>
    </w:p>
  </w:footnote>
  <w:footnote w:id="122">
    <w:p w:rsidR="00723CC0" w:rsidRDefault="00242021">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Les tests</w:t>
      </w:r>
      <w:r>
        <w:rPr>
          <w:rFonts w:ascii="Times New Roman" w:hAnsi="Times New Roman" w:cs="Times New Roman"/>
          <w:lang w:val="fr-BE"/>
        </w:rPr>
        <w:t xml:space="preserve"> de normalité et de répartition en T auxquels il a été procédé ont amené à rejeter toute hypothèse distributionnelle.</w:t>
      </w:r>
    </w:p>
  </w:footnote>
  <w:footnote w:id="123">
    <w:p w:rsidR="00723CC0" w:rsidRDefault="00242021">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Dans une situation normale, les seuils de démarcation retenus correspondent approximativement à 15 %, 30 %, 50 %, 70 % et 85 % de la dis</w:t>
      </w:r>
      <w:r>
        <w:rPr>
          <w:rFonts w:ascii="Times New Roman" w:hAnsi="Times New Roman" w:cs="Times New Roman"/>
          <w:lang w:val="fr-BE"/>
        </w:rPr>
        <w:t>tribution cumulative.</w:t>
      </w:r>
    </w:p>
  </w:footnote>
  <w:footnote w:id="124">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Ce dernier critère évite à l’État membre présentant un niveau «faible» ou «très faible» d’être rangé dans la catégorie «en voie de détérioration» lorsqu’il présente une variation qui, bien que «beaucoup plus élevée que la moyenne», </w:t>
      </w:r>
      <w:r>
        <w:rPr>
          <w:rFonts w:ascii="Times New Roman" w:hAnsi="Times New Roman" w:cs="Times New Roman"/>
          <w:lang w:val="fr-BE"/>
        </w:rPr>
        <w:t>continue de s’améliorer.</w:t>
      </w:r>
    </w:p>
  </w:footnote>
  <w:footnote w:id="125">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Ce dernier critère évite à l’État membre présentant un niveau «autour de la moyenne» d’être rangé dans la catégorie «à surveiller» lorsqu’il présente une variation qui, bien que «beaucoup plus élevée que la moyenne», continue de </w:t>
      </w:r>
      <w:r>
        <w:rPr>
          <w:rFonts w:ascii="Times New Roman" w:hAnsi="Times New Roman" w:cs="Times New Roman"/>
          <w:lang w:val="fr-BE"/>
        </w:rPr>
        <w:t>s’améliorer.</w:t>
      </w:r>
    </w:p>
  </w:footnote>
  <w:footnote w:id="126">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Ce dernier critère évite à l’État membre présentant un niveau «élevé» ou «très élevé» d’être rangé dans la catégorie «en voie de détérioration» lorsqu’il présente une variation qui, bien que «beaucoup plus faible que la moyenne», continue de</w:t>
      </w:r>
      <w:r>
        <w:rPr>
          <w:rFonts w:ascii="Times New Roman" w:hAnsi="Times New Roman" w:cs="Times New Roman"/>
          <w:lang w:val="fr-BE"/>
        </w:rPr>
        <w:t xml:space="preserve"> s’améliorer.</w:t>
      </w:r>
    </w:p>
  </w:footnote>
  <w:footnote w:id="127">
    <w:p w:rsidR="00723CC0" w:rsidRDefault="00242021">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Ce dernier critère évite à l’État membre présentant un niveau «autour de la moyenne» d’être rangé dans la catégorie «à surveiller» lorsqu’il présente une variation qui, bien que «beaucoup plus faible que la moyenne», continue de s’améliorer</w:t>
      </w:r>
      <w:r>
        <w:rPr>
          <w:rFonts w:ascii="Times New Roman" w:hAnsi="Times New Roman" w:cs="Times New Roman"/>
          <w:lang w:val="fr-B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p w:rsidR="00723CC0" w:rsidRDefault="00723CC0"/>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p w:rsidR="00723CC0" w:rsidRDefault="00723CC0"/>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CC0" w:rsidRDefault="00723CC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3BC80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8662A"/>
    <w:multiLevelType w:val="multilevel"/>
    <w:tmpl w:val="FF9CA58E"/>
    <w:lvl w:ilvl="0">
      <w:start w:val="3"/>
      <w:numFmt w:val="decimal"/>
      <w:lvlText w:val="%1."/>
      <w:lvlJc w:val="left"/>
      <w:pPr>
        <w:ind w:left="1080" w:hanging="360"/>
      </w:pPr>
      <w:rPr>
        <w:rFonts w:hint="default"/>
      </w:rPr>
    </w:lvl>
    <w:lvl w:ilvl="1">
      <w:start w:val="2"/>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67C6BEF"/>
    <w:multiLevelType w:val="hybridMultilevel"/>
    <w:tmpl w:val="66705D6A"/>
    <w:lvl w:ilvl="0" w:tplc="0809000F">
      <w:start w:val="1"/>
      <w:numFmt w:val="decimal"/>
      <w:lvlText w:val="%1."/>
      <w:lvlJc w:val="left"/>
      <w:pPr>
        <w:ind w:left="993" w:hanging="360"/>
      </w:pPr>
    </w:lvl>
    <w:lvl w:ilvl="1" w:tplc="08090019" w:tentative="1">
      <w:start w:val="1"/>
      <w:numFmt w:val="lowerLetter"/>
      <w:lvlText w:val="%2."/>
      <w:lvlJc w:val="left"/>
      <w:pPr>
        <w:ind w:left="1713" w:hanging="360"/>
      </w:pPr>
    </w:lvl>
    <w:lvl w:ilvl="2" w:tplc="0809001B" w:tentative="1">
      <w:start w:val="1"/>
      <w:numFmt w:val="lowerRoman"/>
      <w:lvlText w:val="%3."/>
      <w:lvlJc w:val="right"/>
      <w:pPr>
        <w:ind w:left="2433" w:hanging="180"/>
      </w:pPr>
    </w:lvl>
    <w:lvl w:ilvl="3" w:tplc="0809000F" w:tentative="1">
      <w:start w:val="1"/>
      <w:numFmt w:val="decimal"/>
      <w:lvlText w:val="%4."/>
      <w:lvlJc w:val="left"/>
      <w:pPr>
        <w:ind w:left="3153" w:hanging="360"/>
      </w:pPr>
    </w:lvl>
    <w:lvl w:ilvl="4" w:tplc="08090019" w:tentative="1">
      <w:start w:val="1"/>
      <w:numFmt w:val="lowerLetter"/>
      <w:lvlText w:val="%5."/>
      <w:lvlJc w:val="left"/>
      <w:pPr>
        <w:ind w:left="3873" w:hanging="360"/>
      </w:pPr>
    </w:lvl>
    <w:lvl w:ilvl="5" w:tplc="0809001B" w:tentative="1">
      <w:start w:val="1"/>
      <w:numFmt w:val="lowerRoman"/>
      <w:lvlText w:val="%6."/>
      <w:lvlJc w:val="right"/>
      <w:pPr>
        <w:ind w:left="4593" w:hanging="180"/>
      </w:pPr>
    </w:lvl>
    <w:lvl w:ilvl="6" w:tplc="0809000F" w:tentative="1">
      <w:start w:val="1"/>
      <w:numFmt w:val="decimal"/>
      <w:lvlText w:val="%7."/>
      <w:lvlJc w:val="left"/>
      <w:pPr>
        <w:ind w:left="5313" w:hanging="360"/>
      </w:pPr>
    </w:lvl>
    <w:lvl w:ilvl="7" w:tplc="08090019" w:tentative="1">
      <w:start w:val="1"/>
      <w:numFmt w:val="lowerLetter"/>
      <w:lvlText w:val="%8."/>
      <w:lvlJc w:val="left"/>
      <w:pPr>
        <w:ind w:left="6033" w:hanging="360"/>
      </w:pPr>
    </w:lvl>
    <w:lvl w:ilvl="8" w:tplc="0809001B" w:tentative="1">
      <w:start w:val="1"/>
      <w:numFmt w:val="lowerRoman"/>
      <w:lvlText w:val="%9."/>
      <w:lvlJc w:val="right"/>
      <w:pPr>
        <w:ind w:left="6753" w:hanging="180"/>
      </w:pPr>
    </w:lvl>
  </w:abstractNum>
  <w:abstractNum w:abstractNumId="3" w15:restartNumberingAfterBreak="0">
    <w:nsid w:val="1600363A"/>
    <w:multiLevelType w:val="hybridMultilevel"/>
    <w:tmpl w:val="3C10C42C"/>
    <w:lvl w:ilvl="0" w:tplc="293E9450">
      <w:numFmt w:val="bullet"/>
      <w:lvlText w:val="-"/>
      <w:lvlJc w:val="left"/>
      <w:pPr>
        <w:ind w:left="720" w:hanging="360"/>
      </w:pPr>
      <w:rPr>
        <w:rFonts w:ascii="Times New Roman" w:eastAsiaTheme="minorHAnsi" w:hAnsi="Times New Roman" w:cs="Times New Roman"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63251A"/>
    <w:multiLevelType w:val="hybridMultilevel"/>
    <w:tmpl w:val="7B68E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784CF7"/>
    <w:multiLevelType w:val="hybridMultilevel"/>
    <w:tmpl w:val="ACDE4642"/>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F62E54"/>
    <w:multiLevelType w:val="hybridMultilevel"/>
    <w:tmpl w:val="EF705552"/>
    <w:lvl w:ilvl="0" w:tplc="293E9450">
      <w:numFmt w:val="bullet"/>
      <w:lvlText w:val="-"/>
      <w:lvlJc w:val="left"/>
      <w:pPr>
        <w:ind w:left="720" w:hanging="360"/>
      </w:pPr>
      <w:rPr>
        <w:rFonts w:ascii="Times New Roman" w:eastAsiaTheme="minorHAnsi" w:hAnsi="Times New Roman" w:cs="Times New Roman" w:hint="default"/>
      </w:rPr>
    </w:lvl>
    <w:lvl w:ilvl="1" w:tplc="C9C4009A">
      <w:start w:val="6"/>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F43598"/>
    <w:multiLevelType w:val="hybridMultilevel"/>
    <w:tmpl w:val="06901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9C3A43"/>
    <w:multiLevelType w:val="hybridMultilevel"/>
    <w:tmpl w:val="ECB09D2A"/>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F0E29B56">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B92A87"/>
    <w:multiLevelType w:val="multilevel"/>
    <w:tmpl w:val="D2D8303A"/>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0" w15:restartNumberingAfterBreak="0">
    <w:nsid w:val="4B135AB1"/>
    <w:multiLevelType w:val="hybridMultilevel"/>
    <w:tmpl w:val="E3ACCEF2"/>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95536F"/>
    <w:multiLevelType w:val="hybridMultilevel"/>
    <w:tmpl w:val="550C289E"/>
    <w:lvl w:ilvl="0" w:tplc="BD0E6C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BA37A3D"/>
    <w:multiLevelType w:val="hybridMultilevel"/>
    <w:tmpl w:val="30104474"/>
    <w:lvl w:ilvl="0" w:tplc="B0C0507E">
      <w:start w:val="460"/>
      <w:numFmt w:val="bullet"/>
      <w:lvlText w:val="-"/>
      <w:lvlJc w:val="left"/>
      <w:pPr>
        <w:ind w:left="1800" w:hanging="360"/>
      </w:pPr>
      <w:rPr>
        <w:rFonts w:ascii="Calibri" w:eastAsia="Calibri" w:hAnsi="Calibri" w:cs="Times New Roman" w:hint="default"/>
      </w:rPr>
    </w:lvl>
    <w:lvl w:ilvl="1" w:tplc="08090005">
      <w:start w:val="1"/>
      <w:numFmt w:val="bullet"/>
      <w:lvlText w:val=""/>
      <w:lvlJc w:val="left"/>
      <w:pPr>
        <w:ind w:left="2520" w:hanging="360"/>
      </w:pPr>
      <w:rPr>
        <w:rFonts w:ascii="Wingdings" w:hAnsi="Wingdings"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4C1036EC"/>
    <w:multiLevelType w:val="hybridMultilevel"/>
    <w:tmpl w:val="903C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186A11"/>
    <w:multiLevelType w:val="hybridMultilevel"/>
    <w:tmpl w:val="577492F0"/>
    <w:lvl w:ilvl="0" w:tplc="73B445A6">
      <w:numFmt w:val="bullet"/>
      <w:lvlText w:val="-"/>
      <w:lvlJc w:val="left"/>
      <w:pPr>
        <w:ind w:left="720" w:hanging="360"/>
      </w:pPr>
      <w:rPr>
        <w:rFonts w:ascii="Calibri" w:eastAsia="Calibri" w:hAnsi="Calibri" w:cs="Calibri"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1E677A0"/>
    <w:multiLevelType w:val="hybridMultilevel"/>
    <w:tmpl w:val="2DB2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C360B4"/>
    <w:multiLevelType w:val="hybridMultilevel"/>
    <w:tmpl w:val="1D8E3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5D5A71"/>
    <w:multiLevelType w:val="hybridMultilevel"/>
    <w:tmpl w:val="F762FC72"/>
    <w:lvl w:ilvl="0" w:tplc="28FCC366">
      <w:numFmt w:val="bullet"/>
      <w:lvlText w:val="-"/>
      <w:lvlJc w:val="left"/>
      <w:pPr>
        <w:ind w:left="360" w:hanging="360"/>
      </w:pPr>
      <w:rPr>
        <w:rFonts w:ascii="Calibri" w:eastAsia="Times New Roman" w:hAnsi="Calibri" w:cs="Calibri" w:hint="default"/>
        <w:color w:val="403152"/>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18" w15:restartNumberingAfterBreak="0">
    <w:nsid w:val="77B52236"/>
    <w:multiLevelType w:val="hybridMultilevel"/>
    <w:tmpl w:val="5AEC9DE0"/>
    <w:lvl w:ilvl="0" w:tplc="B0C0507E">
      <w:start w:val="460"/>
      <w:numFmt w:val="bullet"/>
      <w:lvlText w:val="-"/>
      <w:lvlJc w:val="left"/>
      <w:pPr>
        <w:ind w:left="1800" w:hanging="360"/>
      </w:pPr>
      <w:rPr>
        <w:rFonts w:ascii="Calibri" w:eastAsia="Calibri" w:hAnsi="Calibri"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6"/>
  </w:num>
  <w:num w:numId="3">
    <w:abstractNumId w:val="10"/>
  </w:num>
  <w:num w:numId="4">
    <w:abstractNumId w:val="8"/>
  </w:num>
  <w:num w:numId="5">
    <w:abstractNumId w:val="5"/>
  </w:num>
  <w:num w:numId="6">
    <w:abstractNumId w:val="2"/>
  </w:num>
  <w:num w:numId="7">
    <w:abstractNumId w:val="0"/>
  </w:num>
  <w:num w:numId="8">
    <w:abstractNumId w:val="11"/>
  </w:num>
  <w:num w:numId="9">
    <w:abstractNumId w:val="17"/>
  </w:num>
  <w:num w:numId="10">
    <w:abstractNumId w:val="1"/>
  </w:num>
  <w:num w:numId="11">
    <w:abstractNumId w:val="12"/>
  </w:num>
  <w:num w:numId="12">
    <w:abstractNumId w:val="18"/>
  </w:num>
  <w:num w:numId="13">
    <w:abstractNumId w:val="7"/>
  </w:num>
  <w:num w:numId="14">
    <w:abstractNumId w:val="16"/>
  </w:num>
  <w:num w:numId="15">
    <w:abstractNumId w:val="13"/>
  </w:num>
  <w:num w:numId="16">
    <w:abstractNumId w:val="4"/>
  </w:num>
  <w:num w:numId="17">
    <w:abstractNumId w:val="9"/>
  </w:num>
  <w:num w:numId="18">
    <w:abstractNumId w:val="14"/>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hideSpellingErrors/>
  <w:hideGrammaticalError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1"/>
    <w:docVar w:name="LW_CORRIGENDUM" w:val="&lt;UNUSED&gt;"/>
    <w:docVar w:name="LW_COVERPAGE_EXISTS" w:val="True"/>
    <w:docVar w:name="LW_COVERPAGE_GUID" w:val="46A97F22-6518-4683-B64C-6CAB130914E8"/>
    <w:docVar w:name="LW_COVERPAGE_TYPE" w:val="1"/>
    <w:docVar w:name="LW_CROSSREFERENCE" w:val="&lt;UNUSED&gt;"/>
    <w:docVar w:name="LW_DocType" w:val="NORMAL"/>
    <w:docVar w:name="LW_EMISSION" w:val="21.11.2018"/>
    <w:docVar w:name="LW_EMISSION_ISODATE" w:val="2018-11-21"/>
    <w:docVar w:name="LW_EMISSION_LOCATION" w:val="BRX"/>
    <w:docVar w:name="LW_EMISSION_PREFIX" w:val="Bruxelles, le "/>
    <w:docVar w:name="LW_EMISSION_SUFFIX" w:val=" "/>
    <w:docVar w:name="LW_ID_DOCTYPE_NONLW" w:val="CP-035"/>
    <w:docVar w:name="LW_LANGUE" w:val="FR"/>
    <w:docVar w:name="LW_LEVEL_OF_SENSITIVITY" w:val="Standard treatment"/>
    <w:docVar w:name="LW_NOM.INST" w:val="COMMISSION EUROPÉENNE"/>
    <w:docVar w:name="LW_NOM.INST_JOINTDOC" w:val="&lt;EMPTY&gt;"/>
    <w:docVar w:name="LW_PART_NBR" w:val="1"/>
    <w:docVar w:name="LW_PART_NBR_TOTAL" w:val="1"/>
    <w:docVar w:name="LW_REF.II.NEW.CP" w:val="&lt;UNUSED&gt;"/>
    <w:docVar w:name="LW_REF.II.NEW.CP_NUMBER" w:val="&lt;UNUSED&gt;"/>
    <w:docVar w:name="LW_REF.II.NEW.CP_YEAR" w:val="2018"/>
    <w:docVar w:name="LW_REF.INST.NEW" w:val="COM"/>
    <w:docVar w:name="LW_REF.INST.NEW_ADOPTED" w:val="final"/>
    <w:docVar w:name="LW_REF.INST.NEW_TEXT" w:val="(2018) 76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ccompagnant la communication de la Commission_x000d__x000d__x000b__x000d__x000d__x000b__x000d_sur l'examen annuel de la croissance 2019"/>
    <w:docVar w:name="LW_TYPE.DOC.CP" w:val="PROJET DE RAPPORT CONJOINT SUR L'EMPLOI_x000b_DE LA COMMISSION ET DU CONSEIL_x000b_"/>
  </w:docVars>
  <w:rsids>
    <w:rsidRoot w:val="00723CC0"/>
    <w:rsid w:val="00242021"/>
    <w:rsid w:val="00723CC0"/>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96"/>
  <w15:docId w15:val="{D5EE4DBD-AF00-42BE-87FE-E22A88083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l-GR" w:bidi="el-G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320" w:after="120" w:line="360" w:lineRule="auto"/>
      <w:outlineLvl w:val="2"/>
    </w:pPr>
    <w:rPr>
      <w:rFonts w:ascii="Times New Roman" w:eastAsiaTheme="majorEastAsia" w:hAnsi="Times New Roman" w:cstheme="majorBidi"/>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customStyle="1" w:styleId="caption1">
    <w:name w:val="caption1"/>
    <w:aliases w:val="caption"/>
    <w:basedOn w:val="Normal"/>
    <w:next w:val="Normal"/>
    <w:unhideWhenUsed/>
    <w:qFormat/>
    <w:rPr>
      <w:rFonts w:ascii="Calibri" w:eastAsia="Times New Roman" w:hAnsi="Calibri" w:cs="Times New Roman"/>
      <w:b/>
      <w:bCs/>
      <w:sz w:val="18"/>
      <w:szCs w:val="18"/>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style>
  <w:style w:type="paragraph" w:customStyle="1" w:styleId="p1">
    <w:name w:val="p1"/>
    <w:basedOn w:val="Normal"/>
    <w:pPr>
      <w:spacing w:after="0" w:line="240" w:lineRule="auto"/>
    </w:pPr>
    <w:rPr>
      <w:rFonts w:ascii="Helvetica" w:hAnsi="Helvetica"/>
      <w:sz w:val="17"/>
      <w:szCs w:val="17"/>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paragraph" w:styleId="TOC3">
    <w:name w:val="toc 3"/>
    <w:basedOn w:val="Normal"/>
    <w:next w:val="Normal"/>
    <w:autoRedefine/>
    <w:uiPriority w:val="39"/>
    <w:unhideWhenUsed/>
    <w:qFormat/>
    <w:pPr>
      <w:spacing w:after="100"/>
      <w:ind w:left="440"/>
    </w:pPr>
    <w:rPr>
      <w:rFonts w:ascii="Times New Roman" w:hAnsi="Times New Roman"/>
      <w:sz w:val="24"/>
    </w:rPr>
  </w:style>
  <w:style w:type="character" w:customStyle="1" w:styleId="PagedecouvertureChar">
    <w:name w:val="Page de couverture Char"/>
    <w:basedOn w:val="DefaultParagraphFont"/>
    <w:link w:val="Pagedecouverture"/>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lang w:val="hr-HR" w:eastAsia="en-US" w:bidi="ar-SA"/>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rPr>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lang w:val="en-GB"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Revision">
    <w:name w:val="Revision"/>
    <w:hidden/>
    <w:uiPriority w:val="99"/>
    <w:semiHidden/>
    <w:pPr>
      <w:spacing w:after="0" w:line="240" w:lineRule="auto"/>
    </w:pPr>
  </w:style>
  <w:style w:type="paragraph" w:customStyle="1" w:styleId="caption2">
    <w:name w:val="caption2"/>
    <w:aliases w:val="caption"/>
    <w:basedOn w:val="Normal"/>
    <w:next w:val="Normal"/>
    <w:uiPriority w:val="35"/>
    <w:unhideWhenUsed/>
    <w:qFormat/>
    <w:pPr>
      <w:spacing w:line="240" w:lineRule="auto"/>
    </w:pPr>
    <w:rPr>
      <w:b/>
      <w:bCs/>
      <w:color w:val="4F81BD" w:themeColor="accent1"/>
      <w:sz w:val="18"/>
      <w:szCs w:val="18"/>
    </w:rPr>
  </w:style>
  <w:style w:type="numbering" w:customStyle="1" w:styleId="Bullets">
    <w:name w:val="Bullets"/>
    <w:aliases w:val="NumbLstBTBullet,NumbLstBullet"/>
    <w:uiPriority w:val="99"/>
    <w:pPr>
      <w:numPr>
        <w:numId w:val="17"/>
      </w:numPr>
    </w:pPr>
  </w:style>
  <w:style w:type="paragraph" w:customStyle="1" w:styleId="Bullet1">
    <w:name w:val="Bullet 1"/>
    <w:aliases w:val="Bullet1,BTBullet1"/>
    <w:basedOn w:val="Normal"/>
    <w:uiPriority w:val="6"/>
    <w:qFormat/>
    <w:pPr>
      <w:numPr>
        <w:numId w:val="17"/>
      </w:numPr>
      <w:spacing w:before="120" w:after="120" w:line="240" w:lineRule="auto"/>
      <w:contextualSpacing/>
    </w:pPr>
    <w:rPr>
      <w:rFonts w:ascii="Verdana" w:hAnsi="Verdana"/>
      <w:color w:val="000000" w:themeColor="text1"/>
      <w:sz w:val="20"/>
      <w:lang w:val="en-GB" w:eastAsia="en-US" w:bidi="ar-SA"/>
    </w:rPr>
  </w:style>
  <w:style w:type="paragraph" w:customStyle="1" w:styleId="Bullet2">
    <w:name w:val="Bullet 2"/>
    <w:aliases w:val="Bullet2,BTBullet2"/>
    <w:basedOn w:val="Normal"/>
    <w:uiPriority w:val="6"/>
    <w:qFormat/>
    <w:pPr>
      <w:numPr>
        <w:ilvl w:val="1"/>
        <w:numId w:val="17"/>
      </w:numPr>
      <w:spacing w:before="120" w:after="120" w:line="240" w:lineRule="auto"/>
      <w:contextualSpacing/>
    </w:pPr>
    <w:rPr>
      <w:rFonts w:ascii="Verdana" w:hAnsi="Verdana"/>
      <w:color w:val="000000" w:themeColor="text1"/>
      <w:sz w:val="20"/>
      <w:lang w:val="en-GB" w:eastAsia="en-US" w:bidi="ar-SA"/>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aption3">
    <w:name w:val="caption3"/>
    <w:aliases w:val="caption"/>
    <w:basedOn w:val="Normal"/>
    <w:next w:val="Normal"/>
    <w:unhideWhenUsed/>
    <w:qFormat/>
    <w:rPr>
      <w:rFonts w:ascii="Calibri" w:eastAsia="Times New Roman" w:hAnsi="Calibri" w:cs="Times New Roman"/>
      <w:b/>
      <w:bCs/>
      <w:sz w:val="18"/>
      <w:szCs w:val="18"/>
      <w:lang w:val="en-GB" w:eastAsia="en-GB" w:bidi="ar-SA"/>
    </w:rPr>
  </w:style>
  <w:style w:type="paragraph" w:customStyle="1" w:styleId="caption4">
    <w:name w:val="caption4"/>
    <w:aliases w:val="caption"/>
    <w:basedOn w:val="Normal"/>
    <w:next w:val="Normal"/>
    <w:unhideWhenUsed/>
    <w:qFormat/>
    <w:rPr>
      <w:rFonts w:ascii="Calibri" w:eastAsia="Times New Roman" w:hAnsi="Calibri" w:cs="Times New Roman"/>
      <w:b/>
      <w:bCs/>
      <w:sz w:val="18"/>
      <w:szCs w:val="18"/>
      <w:lang w:val="en-GB" w:eastAsia="en-GB" w:bidi="ar-SA"/>
    </w:rPr>
  </w:style>
  <w:style w:type="table" w:styleId="LightShading-Accent1">
    <w:name w:val="Light Shading Accent 1"/>
    <w:basedOn w:val="TableNormal"/>
    <w:uiPriority w:val="60"/>
    <w:pPr>
      <w:spacing w:after="0" w:line="240" w:lineRule="auto"/>
    </w:pPr>
    <w:rPr>
      <w:color w:val="365F91" w:themeColor="accent1" w:themeShade="BF"/>
      <w:lang w:val="it-IT" w:eastAsia="en-US"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8628">
      <w:bodyDiv w:val="1"/>
      <w:marLeft w:val="0"/>
      <w:marRight w:val="0"/>
      <w:marTop w:val="0"/>
      <w:marBottom w:val="0"/>
      <w:divBdr>
        <w:top w:val="none" w:sz="0" w:space="0" w:color="auto"/>
        <w:left w:val="none" w:sz="0" w:space="0" w:color="auto"/>
        <w:bottom w:val="none" w:sz="0" w:space="0" w:color="auto"/>
        <w:right w:val="none" w:sz="0" w:space="0" w:color="auto"/>
      </w:divBdr>
    </w:div>
    <w:div w:id="78983969">
      <w:bodyDiv w:val="1"/>
      <w:marLeft w:val="0"/>
      <w:marRight w:val="0"/>
      <w:marTop w:val="0"/>
      <w:marBottom w:val="0"/>
      <w:divBdr>
        <w:top w:val="none" w:sz="0" w:space="0" w:color="auto"/>
        <w:left w:val="none" w:sz="0" w:space="0" w:color="auto"/>
        <w:bottom w:val="none" w:sz="0" w:space="0" w:color="auto"/>
        <w:right w:val="none" w:sz="0" w:space="0" w:color="auto"/>
      </w:divBdr>
    </w:div>
    <w:div w:id="166334583">
      <w:bodyDiv w:val="1"/>
      <w:marLeft w:val="0"/>
      <w:marRight w:val="0"/>
      <w:marTop w:val="0"/>
      <w:marBottom w:val="0"/>
      <w:divBdr>
        <w:top w:val="none" w:sz="0" w:space="0" w:color="auto"/>
        <w:left w:val="none" w:sz="0" w:space="0" w:color="auto"/>
        <w:bottom w:val="none" w:sz="0" w:space="0" w:color="auto"/>
        <w:right w:val="none" w:sz="0" w:space="0" w:color="auto"/>
      </w:divBdr>
    </w:div>
    <w:div w:id="218326599">
      <w:bodyDiv w:val="1"/>
      <w:marLeft w:val="0"/>
      <w:marRight w:val="0"/>
      <w:marTop w:val="0"/>
      <w:marBottom w:val="0"/>
      <w:divBdr>
        <w:top w:val="none" w:sz="0" w:space="0" w:color="auto"/>
        <w:left w:val="none" w:sz="0" w:space="0" w:color="auto"/>
        <w:bottom w:val="none" w:sz="0" w:space="0" w:color="auto"/>
        <w:right w:val="none" w:sz="0" w:space="0" w:color="auto"/>
      </w:divBdr>
    </w:div>
    <w:div w:id="270599525">
      <w:bodyDiv w:val="1"/>
      <w:marLeft w:val="0"/>
      <w:marRight w:val="0"/>
      <w:marTop w:val="0"/>
      <w:marBottom w:val="0"/>
      <w:divBdr>
        <w:top w:val="none" w:sz="0" w:space="0" w:color="auto"/>
        <w:left w:val="none" w:sz="0" w:space="0" w:color="auto"/>
        <w:bottom w:val="none" w:sz="0" w:space="0" w:color="auto"/>
        <w:right w:val="none" w:sz="0" w:space="0" w:color="auto"/>
      </w:divBdr>
    </w:div>
    <w:div w:id="293800910">
      <w:bodyDiv w:val="1"/>
      <w:marLeft w:val="0"/>
      <w:marRight w:val="0"/>
      <w:marTop w:val="0"/>
      <w:marBottom w:val="0"/>
      <w:divBdr>
        <w:top w:val="none" w:sz="0" w:space="0" w:color="auto"/>
        <w:left w:val="none" w:sz="0" w:space="0" w:color="auto"/>
        <w:bottom w:val="none" w:sz="0" w:space="0" w:color="auto"/>
        <w:right w:val="none" w:sz="0" w:space="0" w:color="auto"/>
      </w:divBdr>
    </w:div>
    <w:div w:id="349451542">
      <w:bodyDiv w:val="1"/>
      <w:marLeft w:val="0"/>
      <w:marRight w:val="0"/>
      <w:marTop w:val="0"/>
      <w:marBottom w:val="0"/>
      <w:divBdr>
        <w:top w:val="none" w:sz="0" w:space="0" w:color="auto"/>
        <w:left w:val="none" w:sz="0" w:space="0" w:color="auto"/>
        <w:bottom w:val="none" w:sz="0" w:space="0" w:color="auto"/>
        <w:right w:val="none" w:sz="0" w:space="0" w:color="auto"/>
      </w:divBdr>
    </w:div>
    <w:div w:id="372312360">
      <w:bodyDiv w:val="1"/>
      <w:marLeft w:val="0"/>
      <w:marRight w:val="0"/>
      <w:marTop w:val="0"/>
      <w:marBottom w:val="0"/>
      <w:divBdr>
        <w:top w:val="none" w:sz="0" w:space="0" w:color="auto"/>
        <w:left w:val="none" w:sz="0" w:space="0" w:color="auto"/>
        <w:bottom w:val="none" w:sz="0" w:space="0" w:color="auto"/>
        <w:right w:val="none" w:sz="0" w:space="0" w:color="auto"/>
      </w:divBdr>
    </w:div>
    <w:div w:id="377971127">
      <w:bodyDiv w:val="1"/>
      <w:marLeft w:val="0"/>
      <w:marRight w:val="0"/>
      <w:marTop w:val="0"/>
      <w:marBottom w:val="0"/>
      <w:divBdr>
        <w:top w:val="none" w:sz="0" w:space="0" w:color="auto"/>
        <w:left w:val="none" w:sz="0" w:space="0" w:color="auto"/>
        <w:bottom w:val="none" w:sz="0" w:space="0" w:color="auto"/>
        <w:right w:val="none" w:sz="0" w:space="0" w:color="auto"/>
      </w:divBdr>
    </w:div>
    <w:div w:id="428623679">
      <w:bodyDiv w:val="1"/>
      <w:marLeft w:val="0"/>
      <w:marRight w:val="0"/>
      <w:marTop w:val="0"/>
      <w:marBottom w:val="0"/>
      <w:divBdr>
        <w:top w:val="none" w:sz="0" w:space="0" w:color="auto"/>
        <w:left w:val="none" w:sz="0" w:space="0" w:color="auto"/>
        <w:bottom w:val="none" w:sz="0" w:space="0" w:color="auto"/>
        <w:right w:val="none" w:sz="0" w:space="0" w:color="auto"/>
      </w:divBdr>
    </w:div>
    <w:div w:id="588972892">
      <w:bodyDiv w:val="1"/>
      <w:marLeft w:val="0"/>
      <w:marRight w:val="0"/>
      <w:marTop w:val="0"/>
      <w:marBottom w:val="0"/>
      <w:divBdr>
        <w:top w:val="none" w:sz="0" w:space="0" w:color="auto"/>
        <w:left w:val="none" w:sz="0" w:space="0" w:color="auto"/>
        <w:bottom w:val="none" w:sz="0" w:space="0" w:color="auto"/>
        <w:right w:val="none" w:sz="0" w:space="0" w:color="auto"/>
      </w:divBdr>
    </w:div>
    <w:div w:id="685592935">
      <w:bodyDiv w:val="1"/>
      <w:marLeft w:val="0"/>
      <w:marRight w:val="0"/>
      <w:marTop w:val="0"/>
      <w:marBottom w:val="0"/>
      <w:divBdr>
        <w:top w:val="none" w:sz="0" w:space="0" w:color="auto"/>
        <w:left w:val="none" w:sz="0" w:space="0" w:color="auto"/>
        <w:bottom w:val="none" w:sz="0" w:space="0" w:color="auto"/>
        <w:right w:val="none" w:sz="0" w:space="0" w:color="auto"/>
      </w:divBdr>
    </w:div>
    <w:div w:id="686177168">
      <w:bodyDiv w:val="1"/>
      <w:marLeft w:val="0"/>
      <w:marRight w:val="0"/>
      <w:marTop w:val="0"/>
      <w:marBottom w:val="0"/>
      <w:divBdr>
        <w:top w:val="none" w:sz="0" w:space="0" w:color="auto"/>
        <w:left w:val="none" w:sz="0" w:space="0" w:color="auto"/>
        <w:bottom w:val="none" w:sz="0" w:space="0" w:color="auto"/>
        <w:right w:val="none" w:sz="0" w:space="0" w:color="auto"/>
      </w:divBdr>
    </w:div>
    <w:div w:id="756558449">
      <w:bodyDiv w:val="1"/>
      <w:marLeft w:val="0"/>
      <w:marRight w:val="0"/>
      <w:marTop w:val="0"/>
      <w:marBottom w:val="0"/>
      <w:divBdr>
        <w:top w:val="none" w:sz="0" w:space="0" w:color="auto"/>
        <w:left w:val="none" w:sz="0" w:space="0" w:color="auto"/>
        <w:bottom w:val="none" w:sz="0" w:space="0" w:color="auto"/>
        <w:right w:val="none" w:sz="0" w:space="0" w:color="auto"/>
      </w:divBdr>
    </w:div>
    <w:div w:id="768815737">
      <w:bodyDiv w:val="1"/>
      <w:marLeft w:val="0"/>
      <w:marRight w:val="0"/>
      <w:marTop w:val="0"/>
      <w:marBottom w:val="0"/>
      <w:divBdr>
        <w:top w:val="none" w:sz="0" w:space="0" w:color="auto"/>
        <w:left w:val="none" w:sz="0" w:space="0" w:color="auto"/>
        <w:bottom w:val="none" w:sz="0" w:space="0" w:color="auto"/>
        <w:right w:val="none" w:sz="0" w:space="0" w:color="auto"/>
      </w:divBdr>
    </w:div>
    <w:div w:id="824318180">
      <w:bodyDiv w:val="1"/>
      <w:marLeft w:val="0"/>
      <w:marRight w:val="0"/>
      <w:marTop w:val="0"/>
      <w:marBottom w:val="0"/>
      <w:divBdr>
        <w:top w:val="none" w:sz="0" w:space="0" w:color="auto"/>
        <w:left w:val="none" w:sz="0" w:space="0" w:color="auto"/>
        <w:bottom w:val="none" w:sz="0" w:space="0" w:color="auto"/>
        <w:right w:val="none" w:sz="0" w:space="0" w:color="auto"/>
      </w:divBdr>
    </w:div>
    <w:div w:id="856575107">
      <w:bodyDiv w:val="1"/>
      <w:marLeft w:val="0"/>
      <w:marRight w:val="0"/>
      <w:marTop w:val="0"/>
      <w:marBottom w:val="0"/>
      <w:divBdr>
        <w:top w:val="none" w:sz="0" w:space="0" w:color="auto"/>
        <w:left w:val="none" w:sz="0" w:space="0" w:color="auto"/>
        <w:bottom w:val="none" w:sz="0" w:space="0" w:color="auto"/>
        <w:right w:val="none" w:sz="0" w:space="0" w:color="auto"/>
      </w:divBdr>
    </w:div>
    <w:div w:id="865017805">
      <w:bodyDiv w:val="1"/>
      <w:marLeft w:val="0"/>
      <w:marRight w:val="0"/>
      <w:marTop w:val="0"/>
      <w:marBottom w:val="0"/>
      <w:divBdr>
        <w:top w:val="none" w:sz="0" w:space="0" w:color="auto"/>
        <w:left w:val="none" w:sz="0" w:space="0" w:color="auto"/>
        <w:bottom w:val="none" w:sz="0" w:space="0" w:color="auto"/>
        <w:right w:val="none" w:sz="0" w:space="0" w:color="auto"/>
      </w:divBdr>
    </w:div>
    <w:div w:id="948241332">
      <w:bodyDiv w:val="1"/>
      <w:marLeft w:val="0"/>
      <w:marRight w:val="0"/>
      <w:marTop w:val="0"/>
      <w:marBottom w:val="0"/>
      <w:divBdr>
        <w:top w:val="none" w:sz="0" w:space="0" w:color="auto"/>
        <w:left w:val="none" w:sz="0" w:space="0" w:color="auto"/>
        <w:bottom w:val="none" w:sz="0" w:space="0" w:color="auto"/>
        <w:right w:val="none" w:sz="0" w:space="0" w:color="auto"/>
      </w:divBdr>
    </w:div>
    <w:div w:id="1022703499">
      <w:bodyDiv w:val="1"/>
      <w:marLeft w:val="0"/>
      <w:marRight w:val="0"/>
      <w:marTop w:val="0"/>
      <w:marBottom w:val="0"/>
      <w:divBdr>
        <w:top w:val="none" w:sz="0" w:space="0" w:color="auto"/>
        <w:left w:val="none" w:sz="0" w:space="0" w:color="auto"/>
        <w:bottom w:val="none" w:sz="0" w:space="0" w:color="auto"/>
        <w:right w:val="none" w:sz="0" w:space="0" w:color="auto"/>
      </w:divBdr>
    </w:div>
    <w:div w:id="1053194197">
      <w:bodyDiv w:val="1"/>
      <w:marLeft w:val="0"/>
      <w:marRight w:val="0"/>
      <w:marTop w:val="0"/>
      <w:marBottom w:val="0"/>
      <w:divBdr>
        <w:top w:val="none" w:sz="0" w:space="0" w:color="auto"/>
        <w:left w:val="none" w:sz="0" w:space="0" w:color="auto"/>
        <w:bottom w:val="none" w:sz="0" w:space="0" w:color="auto"/>
        <w:right w:val="none" w:sz="0" w:space="0" w:color="auto"/>
      </w:divBdr>
    </w:div>
    <w:div w:id="1060403953">
      <w:bodyDiv w:val="1"/>
      <w:marLeft w:val="0"/>
      <w:marRight w:val="0"/>
      <w:marTop w:val="0"/>
      <w:marBottom w:val="0"/>
      <w:divBdr>
        <w:top w:val="none" w:sz="0" w:space="0" w:color="auto"/>
        <w:left w:val="none" w:sz="0" w:space="0" w:color="auto"/>
        <w:bottom w:val="none" w:sz="0" w:space="0" w:color="auto"/>
        <w:right w:val="none" w:sz="0" w:space="0" w:color="auto"/>
      </w:divBdr>
      <w:divsChild>
        <w:div w:id="969476412">
          <w:marLeft w:val="0"/>
          <w:marRight w:val="0"/>
          <w:marTop w:val="0"/>
          <w:marBottom w:val="0"/>
          <w:divBdr>
            <w:top w:val="none" w:sz="0" w:space="0" w:color="auto"/>
            <w:left w:val="none" w:sz="0" w:space="0" w:color="auto"/>
            <w:bottom w:val="none" w:sz="0" w:space="0" w:color="auto"/>
            <w:right w:val="none" w:sz="0" w:space="0" w:color="auto"/>
          </w:divBdr>
        </w:div>
        <w:div w:id="987587115">
          <w:marLeft w:val="0"/>
          <w:marRight w:val="0"/>
          <w:marTop w:val="0"/>
          <w:marBottom w:val="0"/>
          <w:divBdr>
            <w:top w:val="none" w:sz="0" w:space="0" w:color="auto"/>
            <w:left w:val="none" w:sz="0" w:space="0" w:color="auto"/>
            <w:bottom w:val="none" w:sz="0" w:space="0" w:color="auto"/>
            <w:right w:val="none" w:sz="0" w:space="0" w:color="auto"/>
          </w:divBdr>
        </w:div>
        <w:div w:id="552078085">
          <w:marLeft w:val="0"/>
          <w:marRight w:val="0"/>
          <w:marTop w:val="0"/>
          <w:marBottom w:val="0"/>
          <w:divBdr>
            <w:top w:val="none" w:sz="0" w:space="0" w:color="auto"/>
            <w:left w:val="none" w:sz="0" w:space="0" w:color="auto"/>
            <w:bottom w:val="none" w:sz="0" w:space="0" w:color="auto"/>
            <w:right w:val="none" w:sz="0" w:space="0" w:color="auto"/>
          </w:divBdr>
        </w:div>
        <w:div w:id="1286421750">
          <w:marLeft w:val="0"/>
          <w:marRight w:val="0"/>
          <w:marTop w:val="0"/>
          <w:marBottom w:val="0"/>
          <w:divBdr>
            <w:top w:val="none" w:sz="0" w:space="0" w:color="auto"/>
            <w:left w:val="none" w:sz="0" w:space="0" w:color="auto"/>
            <w:bottom w:val="none" w:sz="0" w:space="0" w:color="auto"/>
            <w:right w:val="none" w:sz="0" w:space="0" w:color="auto"/>
          </w:divBdr>
        </w:div>
        <w:div w:id="1097290522">
          <w:marLeft w:val="0"/>
          <w:marRight w:val="0"/>
          <w:marTop w:val="0"/>
          <w:marBottom w:val="0"/>
          <w:divBdr>
            <w:top w:val="none" w:sz="0" w:space="0" w:color="auto"/>
            <w:left w:val="none" w:sz="0" w:space="0" w:color="auto"/>
            <w:bottom w:val="none" w:sz="0" w:space="0" w:color="auto"/>
            <w:right w:val="none" w:sz="0" w:space="0" w:color="auto"/>
          </w:divBdr>
        </w:div>
      </w:divsChild>
    </w:div>
    <w:div w:id="1118791346">
      <w:bodyDiv w:val="1"/>
      <w:marLeft w:val="0"/>
      <w:marRight w:val="0"/>
      <w:marTop w:val="0"/>
      <w:marBottom w:val="0"/>
      <w:divBdr>
        <w:top w:val="none" w:sz="0" w:space="0" w:color="auto"/>
        <w:left w:val="none" w:sz="0" w:space="0" w:color="auto"/>
        <w:bottom w:val="none" w:sz="0" w:space="0" w:color="auto"/>
        <w:right w:val="none" w:sz="0" w:space="0" w:color="auto"/>
      </w:divBdr>
    </w:div>
    <w:div w:id="1140615748">
      <w:bodyDiv w:val="1"/>
      <w:marLeft w:val="0"/>
      <w:marRight w:val="0"/>
      <w:marTop w:val="0"/>
      <w:marBottom w:val="0"/>
      <w:divBdr>
        <w:top w:val="none" w:sz="0" w:space="0" w:color="auto"/>
        <w:left w:val="none" w:sz="0" w:space="0" w:color="auto"/>
        <w:bottom w:val="none" w:sz="0" w:space="0" w:color="auto"/>
        <w:right w:val="none" w:sz="0" w:space="0" w:color="auto"/>
      </w:divBdr>
    </w:div>
    <w:div w:id="1236554328">
      <w:bodyDiv w:val="1"/>
      <w:marLeft w:val="0"/>
      <w:marRight w:val="0"/>
      <w:marTop w:val="0"/>
      <w:marBottom w:val="0"/>
      <w:divBdr>
        <w:top w:val="none" w:sz="0" w:space="0" w:color="auto"/>
        <w:left w:val="none" w:sz="0" w:space="0" w:color="auto"/>
        <w:bottom w:val="none" w:sz="0" w:space="0" w:color="auto"/>
        <w:right w:val="none" w:sz="0" w:space="0" w:color="auto"/>
      </w:divBdr>
    </w:div>
    <w:div w:id="1258372325">
      <w:bodyDiv w:val="1"/>
      <w:marLeft w:val="0"/>
      <w:marRight w:val="0"/>
      <w:marTop w:val="0"/>
      <w:marBottom w:val="0"/>
      <w:divBdr>
        <w:top w:val="none" w:sz="0" w:space="0" w:color="auto"/>
        <w:left w:val="none" w:sz="0" w:space="0" w:color="auto"/>
        <w:bottom w:val="none" w:sz="0" w:space="0" w:color="auto"/>
        <w:right w:val="none" w:sz="0" w:space="0" w:color="auto"/>
      </w:divBdr>
    </w:div>
    <w:div w:id="1283654103">
      <w:bodyDiv w:val="1"/>
      <w:marLeft w:val="0"/>
      <w:marRight w:val="0"/>
      <w:marTop w:val="0"/>
      <w:marBottom w:val="0"/>
      <w:divBdr>
        <w:top w:val="none" w:sz="0" w:space="0" w:color="auto"/>
        <w:left w:val="none" w:sz="0" w:space="0" w:color="auto"/>
        <w:bottom w:val="none" w:sz="0" w:space="0" w:color="auto"/>
        <w:right w:val="none" w:sz="0" w:space="0" w:color="auto"/>
      </w:divBdr>
    </w:div>
    <w:div w:id="1292252607">
      <w:bodyDiv w:val="1"/>
      <w:marLeft w:val="0"/>
      <w:marRight w:val="0"/>
      <w:marTop w:val="0"/>
      <w:marBottom w:val="0"/>
      <w:divBdr>
        <w:top w:val="none" w:sz="0" w:space="0" w:color="auto"/>
        <w:left w:val="none" w:sz="0" w:space="0" w:color="auto"/>
        <w:bottom w:val="none" w:sz="0" w:space="0" w:color="auto"/>
        <w:right w:val="none" w:sz="0" w:space="0" w:color="auto"/>
      </w:divBdr>
    </w:div>
    <w:div w:id="1343821286">
      <w:bodyDiv w:val="1"/>
      <w:marLeft w:val="0"/>
      <w:marRight w:val="0"/>
      <w:marTop w:val="0"/>
      <w:marBottom w:val="0"/>
      <w:divBdr>
        <w:top w:val="none" w:sz="0" w:space="0" w:color="auto"/>
        <w:left w:val="none" w:sz="0" w:space="0" w:color="auto"/>
        <w:bottom w:val="none" w:sz="0" w:space="0" w:color="auto"/>
        <w:right w:val="none" w:sz="0" w:space="0" w:color="auto"/>
      </w:divBdr>
    </w:div>
    <w:div w:id="1395473199">
      <w:bodyDiv w:val="1"/>
      <w:marLeft w:val="0"/>
      <w:marRight w:val="0"/>
      <w:marTop w:val="0"/>
      <w:marBottom w:val="0"/>
      <w:divBdr>
        <w:top w:val="none" w:sz="0" w:space="0" w:color="auto"/>
        <w:left w:val="none" w:sz="0" w:space="0" w:color="auto"/>
        <w:bottom w:val="none" w:sz="0" w:space="0" w:color="auto"/>
        <w:right w:val="none" w:sz="0" w:space="0" w:color="auto"/>
      </w:divBdr>
    </w:div>
    <w:div w:id="1450784112">
      <w:bodyDiv w:val="1"/>
      <w:marLeft w:val="0"/>
      <w:marRight w:val="0"/>
      <w:marTop w:val="0"/>
      <w:marBottom w:val="0"/>
      <w:divBdr>
        <w:top w:val="none" w:sz="0" w:space="0" w:color="auto"/>
        <w:left w:val="none" w:sz="0" w:space="0" w:color="auto"/>
        <w:bottom w:val="none" w:sz="0" w:space="0" w:color="auto"/>
        <w:right w:val="none" w:sz="0" w:space="0" w:color="auto"/>
      </w:divBdr>
    </w:div>
    <w:div w:id="1619490799">
      <w:bodyDiv w:val="1"/>
      <w:marLeft w:val="0"/>
      <w:marRight w:val="0"/>
      <w:marTop w:val="0"/>
      <w:marBottom w:val="0"/>
      <w:divBdr>
        <w:top w:val="none" w:sz="0" w:space="0" w:color="auto"/>
        <w:left w:val="none" w:sz="0" w:space="0" w:color="auto"/>
        <w:bottom w:val="none" w:sz="0" w:space="0" w:color="auto"/>
        <w:right w:val="none" w:sz="0" w:space="0" w:color="auto"/>
      </w:divBdr>
    </w:div>
    <w:div w:id="1622611341">
      <w:bodyDiv w:val="1"/>
      <w:marLeft w:val="0"/>
      <w:marRight w:val="0"/>
      <w:marTop w:val="0"/>
      <w:marBottom w:val="0"/>
      <w:divBdr>
        <w:top w:val="none" w:sz="0" w:space="0" w:color="auto"/>
        <w:left w:val="none" w:sz="0" w:space="0" w:color="auto"/>
        <w:bottom w:val="none" w:sz="0" w:space="0" w:color="auto"/>
        <w:right w:val="none" w:sz="0" w:space="0" w:color="auto"/>
      </w:divBdr>
    </w:div>
    <w:div w:id="1645281451">
      <w:bodyDiv w:val="1"/>
      <w:marLeft w:val="0"/>
      <w:marRight w:val="0"/>
      <w:marTop w:val="0"/>
      <w:marBottom w:val="0"/>
      <w:divBdr>
        <w:top w:val="none" w:sz="0" w:space="0" w:color="auto"/>
        <w:left w:val="none" w:sz="0" w:space="0" w:color="auto"/>
        <w:bottom w:val="none" w:sz="0" w:space="0" w:color="auto"/>
        <w:right w:val="none" w:sz="0" w:space="0" w:color="auto"/>
      </w:divBdr>
    </w:div>
    <w:div w:id="1697467213">
      <w:bodyDiv w:val="1"/>
      <w:marLeft w:val="0"/>
      <w:marRight w:val="0"/>
      <w:marTop w:val="0"/>
      <w:marBottom w:val="0"/>
      <w:divBdr>
        <w:top w:val="none" w:sz="0" w:space="0" w:color="auto"/>
        <w:left w:val="none" w:sz="0" w:space="0" w:color="auto"/>
        <w:bottom w:val="none" w:sz="0" w:space="0" w:color="auto"/>
        <w:right w:val="none" w:sz="0" w:space="0" w:color="auto"/>
      </w:divBdr>
    </w:div>
    <w:div w:id="1710183356">
      <w:bodyDiv w:val="1"/>
      <w:marLeft w:val="0"/>
      <w:marRight w:val="0"/>
      <w:marTop w:val="0"/>
      <w:marBottom w:val="0"/>
      <w:divBdr>
        <w:top w:val="none" w:sz="0" w:space="0" w:color="auto"/>
        <w:left w:val="none" w:sz="0" w:space="0" w:color="auto"/>
        <w:bottom w:val="none" w:sz="0" w:space="0" w:color="auto"/>
        <w:right w:val="none" w:sz="0" w:space="0" w:color="auto"/>
      </w:divBdr>
    </w:div>
    <w:div w:id="1783911856">
      <w:bodyDiv w:val="1"/>
      <w:marLeft w:val="0"/>
      <w:marRight w:val="0"/>
      <w:marTop w:val="0"/>
      <w:marBottom w:val="0"/>
      <w:divBdr>
        <w:top w:val="none" w:sz="0" w:space="0" w:color="auto"/>
        <w:left w:val="none" w:sz="0" w:space="0" w:color="auto"/>
        <w:bottom w:val="none" w:sz="0" w:space="0" w:color="auto"/>
        <w:right w:val="none" w:sz="0" w:space="0" w:color="auto"/>
      </w:divBdr>
    </w:div>
    <w:div w:id="1796831369">
      <w:bodyDiv w:val="1"/>
      <w:marLeft w:val="0"/>
      <w:marRight w:val="0"/>
      <w:marTop w:val="0"/>
      <w:marBottom w:val="0"/>
      <w:divBdr>
        <w:top w:val="none" w:sz="0" w:space="0" w:color="auto"/>
        <w:left w:val="none" w:sz="0" w:space="0" w:color="auto"/>
        <w:bottom w:val="none" w:sz="0" w:space="0" w:color="auto"/>
        <w:right w:val="none" w:sz="0" w:space="0" w:color="auto"/>
      </w:divBdr>
      <w:divsChild>
        <w:div w:id="1965110512">
          <w:marLeft w:val="0"/>
          <w:marRight w:val="0"/>
          <w:marTop w:val="0"/>
          <w:marBottom w:val="0"/>
          <w:divBdr>
            <w:top w:val="none" w:sz="0" w:space="0" w:color="auto"/>
            <w:left w:val="none" w:sz="0" w:space="0" w:color="auto"/>
            <w:bottom w:val="none" w:sz="0" w:space="0" w:color="auto"/>
            <w:right w:val="none" w:sz="0" w:space="0" w:color="auto"/>
          </w:divBdr>
        </w:div>
      </w:divsChild>
    </w:div>
    <w:div w:id="1860704672">
      <w:bodyDiv w:val="1"/>
      <w:marLeft w:val="0"/>
      <w:marRight w:val="0"/>
      <w:marTop w:val="0"/>
      <w:marBottom w:val="0"/>
      <w:divBdr>
        <w:top w:val="none" w:sz="0" w:space="0" w:color="auto"/>
        <w:left w:val="none" w:sz="0" w:space="0" w:color="auto"/>
        <w:bottom w:val="none" w:sz="0" w:space="0" w:color="auto"/>
        <w:right w:val="none" w:sz="0" w:space="0" w:color="auto"/>
      </w:divBdr>
    </w:div>
    <w:div w:id="1860774715">
      <w:bodyDiv w:val="1"/>
      <w:marLeft w:val="0"/>
      <w:marRight w:val="0"/>
      <w:marTop w:val="0"/>
      <w:marBottom w:val="0"/>
      <w:divBdr>
        <w:top w:val="none" w:sz="0" w:space="0" w:color="auto"/>
        <w:left w:val="none" w:sz="0" w:space="0" w:color="auto"/>
        <w:bottom w:val="none" w:sz="0" w:space="0" w:color="auto"/>
        <w:right w:val="none" w:sz="0" w:space="0" w:color="auto"/>
      </w:divBdr>
    </w:div>
    <w:div w:id="1960913443">
      <w:bodyDiv w:val="1"/>
      <w:marLeft w:val="0"/>
      <w:marRight w:val="0"/>
      <w:marTop w:val="0"/>
      <w:marBottom w:val="0"/>
      <w:divBdr>
        <w:top w:val="none" w:sz="0" w:space="0" w:color="auto"/>
        <w:left w:val="none" w:sz="0" w:space="0" w:color="auto"/>
        <w:bottom w:val="none" w:sz="0" w:space="0" w:color="auto"/>
        <w:right w:val="none" w:sz="0" w:space="0" w:color="auto"/>
      </w:divBdr>
    </w:div>
    <w:div w:id="2023048483">
      <w:bodyDiv w:val="1"/>
      <w:marLeft w:val="0"/>
      <w:marRight w:val="0"/>
      <w:marTop w:val="0"/>
      <w:marBottom w:val="0"/>
      <w:divBdr>
        <w:top w:val="none" w:sz="0" w:space="0" w:color="auto"/>
        <w:left w:val="none" w:sz="0" w:space="0" w:color="auto"/>
        <w:bottom w:val="none" w:sz="0" w:space="0" w:color="auto"/>
        <w:right w:val="none" w:sz="0" w:space="0" w:color="auto"/>
      </w:divBdr>
    </w:div>
    <w:div w:id="209145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13.xml"/><Relationship Id="rId21" Type="http://schemas.openxmlformats.org/officeDocument/2006/relationships/footer" Target="footer5.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footer" Target="footer11.xml"/><Relationship Id="rId16" Type="http://schemas.openxmlformats.org/officeDocument/2006/relationships/image" Target="media/image3.png"/><Relationship Id="rId107" Type="http://schemas.openxmlformats.org/officeDocument/2006/relationships/image" Target="media/image82.emf"/><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emf"/><Relationship Id="rId123" Type="http://schemas.openxmlformats.org/officeDocument/2006/relationships/header" Target="header16.xml"/><Relationship Id="rId128" Type="http://schemas.openxmlformats.org/officeDocument/2006/relationships/footer" Target="footer18.xml"/><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image" Target="media/image70.png"/><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emf"/><Relationship Id="rId113" Type="http://schemas.openxmlformats.org/officeDocument/2006/relationships/header" Target="header12.xml"/><Relationship Id="rId118" Type="http://schemas.openxmlformats.org/officeDocument/2006/relationships/footer" Target="footer14.xml"/><Relationship Id="rId126" Type="http://schemas.openxmlformats.org/officeDocument/2006/relationships/footer" Target="footer17.xml"/><Relationship Id="rId8" Type="http://schemas.openxmlformats.org/officeDocument/2006/relationships/image" Target="media/image1.emf"/><Relationship Id="rId51" Type="http://schemas.openxmlformats.org/officeDocument/2006/relationships/image" Target="media/image26.png"/><Relationship Id="rId72" Type="http://schemas.openxmlformats.org/officeDocument/2006/relationships/image" Target="media/image47.emf"/><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image" Target="media/image78.emf"/><Relationship Id="rId108" Type="http://schemas.openxmlformats.org/officeDocument/2006/relationships/image" Target="media/image83.emf"/><Relationship Id="rId116" Type="http://schemas.openxmlformats.org/officeDocument/2006/relationships/header" Target="header14.xml"/><Relationship Id="rId124" Type="http://schemas.openxmlformats.org/officeDocument/2006/relationships/header" Target="header17.xml"/><Relationship Id="rId129"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image" Target="media/image81.emf"/><Relationship Id="rId114" Type="http://schemas.openxmlformats.org/officeDocument/2006/relationships/footer" Target="footer12.xml"/><Relationship Id="rId119" Type="http://schemas.openxmlformats.org/officeDocument/2006/relationships/header" Target="header15.xml"/><Relationship Id="rId127" Type="http://schemas.openxmlformats.org/officeDocument/2006/relationships/header" Target="header18.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emf"/><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85.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14.png"/><Relationship Id="rId109" Type="http://schemas.openxmlformats.org/officeDocument/2006/relationships/header" Target="header10.xml"/><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emf"/><Relationship Id="rId120" Type="http://schemas.openxmlformats.org/officeDocument/2006/relationships/footer" Target="footer15.xml"/><Relationship Id="rId125"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image" Target="media/image5.emf"/><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header" Target="header11.xml"/><Relationship Id="rId115" Type="http://schemas.openxmlformats.org/officeDocument/2006/relationships/header" Target="header13.xml"/><Relationship Id="rId61" Type="http://schemas.openxmlformats.org/officeDocument/2006/relationships/image" Target="media/image36.png"/><Relationship Id="rId82" Type="http://schemas.openxmlformats.org/officeDocument/2006/relationships/image" Target="media/image57.png"/></Relationships>
</file>

<file path=word/_rels/footnotes.xml.rels><?xml version="1.0" encoding="UTF-8" standalone="yes"?>
<Relationships xmlns="http://schemas.openxmlformats.org/package/2006/relationships"><Relationship Id="rId3" Type="http://schemas.openxmlformats.org/officeDocument/2006/relationships/hyperlink" Target="http://ec.europa.eu/social/main.jsp?catId=738&amp;langId=fr&amp;pubId=8110&amp;furtherPubs=yes" TargetMode="External"/><Relationship Id="rId2" Type="http://schemas.openxmlformats.org/officeDocument/2006/relationships/hyperlink" Target="http://ec.europa.eu/social/main.jsp?catId=738&amp;langId=fr&amp;pubId=8139&amp;furtherPubs=yes" TargetMode="External"/><Relationship Id="rId1" Type="http://schemas.openxmlformats.org/officeDocument/2006/relationships/hyperlink" Target="http://ec.europa.eu/social/main.jsp?catId=1143&amp;intPageId=3193&amp;langId=fr" TargetMode="External"/><Relationship Id="rId4" Type="http://schemas.openxmlformats.org/officeDocument/2006/relationships/hyperlink" Target="http://ec.europa.eu/justice/gender-equality/files/gender_pay_gap/2016_factors_gpg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2AA1C3E-03F5-48F3-ACF6-4417B4744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194</Pages>
  <Words>60271</Words>
  <Characters>320647</Characters>
  <Application>Microsoft Office Word</Application>
  <DocSecurity>0</DocSecurity>
  <Lines>5171</Lines>
  <Paragraphs>1094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25</cp:revision>
  <cp:lastPrinted>2018-11-16T15:32:00Z</cp:lastPrinted>
  <dcterms:created xsi:type="dcterms:W3CDTF">2018-11-20T15:34:00Z</dcterms:created>
  <dcterms:modified xsi:type="dcterms:W3CDTF">2018-11-21T08:31:00Z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