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220" w:rsidRDefault="00EF2564">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6AD0776-A669-4AEF-8117-EC0BE35F37D7" style="width:450.85pt;height:348pt">
            <v:imagedata r:id="rId8" o:title=""/>
          </v:shape>
        </w:pict>
      </w:r>
    </w:p>
    <w:bookmarkEnd w:id="0"/>
    <w:p w:rsidR="00EF5220" w:rsidRDefault="00EF5220">
      <w:pPr>
        <w:rPr>
          <w:noProof/>
          <w:lang w:val="en-GB"/>
        </w:rPr>
        <w:sectPr w:rsidR="00EF5220">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EF5220" w:rsidRDefault="00EF2564">
      <w:pPr>
        <w:rPr>
          <w:rFonts w:ascii="Times New Roman" w:hAnsi="Times New Roman" w:cs="Times New Roman"/>
          <w:b/>
          <w:noProof/>
          <w:sz w:val="24"/>
          <w:szCs w:val="24"/>
          <w:lang w:val="en-GB"/>
        </w:rPr>
      </w:pPr>
      <w:r>
        <w:rPr>
          <w:rFonts w:ascii="Times New Roman" w:hAnsi="Times New Roman"/>
          <w:b/>
          <w:noProof/>
          <w:sz w:val="24"/>
          <w:lang w:val="en-GB"/>
        </w:rPr>
        <w:lastRenderedPageBreak/>
        <w:t>TABLE OF CONTENTS</w:t>
      </w:r>
    </w:p>
    <w:p w:rsidR="00EF5220" w:rsidRDefault="00EF2564">
      <w:pPr>
        <w:pStyle w:val="TOC1"/>
        <w:tabs>
          <w:tab w:val="right" w:leader="dot" w:pos="9062"/>
        </w:tabs>
        <w:rPr>
          <w:rFonts w:asciiTheme="minorHAnsi" w:eastAsiaTheme="minorEastAsia" w:hAnsiTheme="minorHAnsi"/>
          <w:noProof/>
          <w:sz w:val="22"/>
          <w:lang w:val="en-GB" w:eastAsia="en-GB" w:bidi="ar-SA"/>
        </w:rPr>
      </w:pPr>
      <w:r>
        <w:rPr>
          <w:rFonts w:asciiTheme="minorHAnsi" w:hAnsiTheme="minorHAnsi" w:cs="Times New Roman"/>
          <w:noProof/>
          <w:sz w:val="22"/>
          <w:szCs w:val="24"/>
          <w:lang w:val="en-GB"/>
        </w:rPr>
        <w:fldChar w:fldCharType="begin"/>
      </w:r>
      <w:r>
        <w:rPr>
          <w:rFonts w:cs="Times New Roman"/>
          <w:noProof/>
          <w:szCs w:val="24"/>
          <w:lang w:val="en-GB"/>
        </w:rPr>
        <w:instrText xml:space="preserve"> TOC \o "1-3" \h \z \u </w:instrText>
      </w:r>
      <w:r>
        <w:rPr>
          <w:rFonts w:asciiTheme="minorHAnsi" w:hAnsiTheme="minorHAnsi" w:cs="Times New Roman"/>
          <w:noProof/>
          <w:sz w:val="22"/>
          <w:szCs w:val="24"/>
          <w:lang w:val="en-GB"/>
        </w:rPr>
        <w:fldChar w:fldCharType="separate"/>
      </w:r>
      <w:hyperlink w:anchor="_Toc527539773" w:history="1">
        <w:r>
          <w:rPr>
            <w:rStyle w:val="Hyperlink"/>
            <w:noProof/>
            <w:lang w:val="en-GB"/>
          </w:rPr>
          <w:t>FOREWORD</w:t>
        </w:r>
        <w:r>
          <w:rPr>
            <w:noProof/>
            <w:webHidden/>
            <w:lang w:val="en-GB"/>
          </w:rPr>
          <w:tab/>
        </w:r>
        <w:r>
          <w:rPr>
            <w:noProof/>
            <w:webHidden/>
            <w:lang w:val="en-GB"/>
          </w:rPr>
          <w:fldChar w:fldCharType="begin"/>
        </w:r>
        <w:r>
          <w:rPr>
            <w:noProof/>
            <w:webHidden/>
            <w:lang w:val="en-GB"/>
          </w:rPr>
          <w:instrText xml:space="preserve"> PAGEREF _Toc527539773 \h </w:instrText>
        </w:r>
        <w:r>
          <w:rPr>
            <w:noProof/>
            <w:webHidden/>
            <w:lang w:val="en-GB"/>
          </w:rPr>
        </w:r>
        <w:r>
          <w:rPr>
            <w:noProof/>
            <w:webHidden/>
            <w:lang w:val="en-GB"/>
          </w:rPr>
          <w:fldChar w:fldCharType="separate"/>
        </w:r>
        <w:r>
          <w:rPr>
            <w:noProof/>
            <w:webHidden/>
            <w:lang w:val="en-GB"/>
          </w:rPr>
          <w:t>2</w:t>
        </w:r>
        <w:r>
          <w:rPr>
            <w:noProof/>
            <w:webHidden/>
            <w:lang w:val="en-GB"/>
          </w:rPr>
          <w:fldChar w:fldCharType="end"/>
        </w:r>
      </w:hyperlink>
    </w:p>
    <w:p w:rsidR="00EF5220" w:rsidRDefault="00EF2564">
      <w:pPr>
        <w:pStyle w:val="TOC1"/>
        <w:tabs>
          <w:tab w:val="right" w:leader="dot" w:pos="9062"/>
        </w:tabs>
        <w:rPr>
          <w:rFonts w:asciiTheme="minorHAnsi" w:eastAsiaTheme="minorEastAsia" w:hAnsiTheme="minorHAnsi"/>
          <w:noProof/>
          <w:sz w:val="22"/>
          <w:lang w:val="en-GB" w:eastAsia="en-GB" w:bidi="ar-SA"/>
        </w:rPr>
      </w:pPr>
      <w:hyperlink w:anchor="_Toc527539774" w:history="1">
        <w:r>
          <w:rPr>
            <w:rStyle w:val="Hyperlink"/>
            <w:noProof/>
            <w:lang w:val="en-GB"/>
          </w:rPr>
          <w:t>KEY MESSAGES</w:t>
        </w:r>
        <w:r>
          <w:rPr>
            <w:noProof/>
            <w:webHidden/>
            <w:lang w:val="en-GB"/>
          </w:rPr>
          <w:tab/>
        </w:r>
        <w:r>
          <w:rPr>
            <w:noProof/>
            <w:webHidden/>
            <w:lang w:val="en-GB"/>
          </w:rPr>
          <w:fldChar w:fldCharType="begin"/>
        </w:r>
        <w:r>
          <w:rPr>
            <w:noProof/>
            <w:webHidden/>
            <w:lang w:val="en-GB"/>
          </w:rPr>
          <w:instrText xml:space="preserve"> PAGEREF _Toc527539774 \h </w:instrText>
        </w:r>
        <w:r>
          <w:rPr>
            <w:noProof/>
            <w:webHidden/>
            <w:lang w:val="en-GB"/>
          </w:rPr>
        </w:r>
        <w:r>
          <w:rPr>
            <w:noProof/>
            <w:webHidden/>
            <w:lang w:val="en-GB"/>
          </w:rPr>
          <w:fldChar w:fldCharType="separate"/>
        </w:r>
        <w:r>
          <w:rPr>
            <w:noProof/>
            <w:webHidden/>
            <w:lang w:val="en-GB"/>
          </w:rPr>
          <w:t>3</w:t>
        </w:r>
        <w:r>
          <w:rPr>
            <w:noProof/>
            <w:webHidden/>
            <w:lang w:val="en-GB"/>
          </w:rPr>
          <w:fldChar w:fldCharType="end"/>
        </w:r>
      </w:hyperlink>
    </w:p>
    <w:p w:rsidR="00EF5220" w:rsidRDefault="00EF2564">
      <w:pPr>
        <w:pStyle w:val="TOC1"/>
        <w:tabs>
          <w:tab w:val="left" w:pos="440"/>
          <w:tab w:val="right" w:leader="dot" w:pos="9062"/>
        </w:tabs>
        <w:ind w:left="435" w:hanging="435"/>
        <w:rPr>
          <w:rFonts w:asciiTheme="minorHAnsi" w:eastAsiaTheme="minorEastAsia" w:hAnsiTheme="minorHAnsi"/>
          <w:noProof/>
          <w:sz w:val="22"/>
          <w:lang w:val="en-GB" w:eastAsia="en-GB" w:bidi="ar-SA"/>
        </w:rPr>
      </w:pPr>
      <w:hyperlink w:anchor="_Toc527539775" w:history="1">
        <w:r>
          <w:rPr>
            <w:rStyle w:val="Hyperlink"/>
            <w:noProof/>
            <w:lang w:val="en-GB"/>
          </w:rPr>
          <w:t>1.</w:t>
        </w:r>
        <w:r>
          <w:rPr>
            <w:rFonts w:asciiTheme="minorHAnsi" w:eastAsiaTheme="minorEastAsia" w:hAnsiTheme="minorHAnsi"/>
            <w:noProof/>
            <w:sz w:val="22"/>
            <w:lang w:val="en-GB" w:eastAsia="en-GB" w:bidi="ar-SA"/>
          </w:rPr>
          <w:tab/>
        </w:r>
        <w:r>
          <w:rPr>
            <w:rStyle w:val="Hyperlink"/>
            <w:noProof/>
            <w:lang w:val="en-GB"/>
          </w:rPr>
          <w:t xml:space="preserve">OVERVIEW OF </w:t>
        </w:r>
        <w:r>
          <w:rPr>
            <w:rStyle w:val="Hyperlink"/>
            <w:noProof/>
            <w:lang w:val="en-GB"/>
          </w:rPr>
          <w:t>LABOUR MARKET AND SOCIAL TRENDS AND CHALLENGES IN THE EUROPEAN UNION</w:t>
        </w:r>
        <w:r>
          <w:rPr>
            <w:noProof/>
            <w:webHidden/>
            <w:lang w:val="en-GB"/>
          </w:rPr>
          <w:tab/>
        </w:r>
        <w:r>
          <w:rPr>
            <w:noProof/>
            <w:webHidden/>
            <w:lang w:val="en-GB"/>
          </w:rPr>
          <w:fldChar w:fldCharType="begin"/>
        </w:r>
        <w:r>
          <w:rPr>
            <w:noProof/>
            <w:webHidden/>
            <w:lang w:val="en-GB"/>
          </w:rPr>
          <w:instrText xml:space="preserve"> PAGEREF _Toc527539775 \h </w:instrText>
        </w:r>
        <w:r>
          <w:rPr>
            <w:noProof/>
            <w:webHidden/>
            <w:lang w:val="en-GB"/>
          </w:rPr>
        </w:r>
        <w:r>
          <w:rPr>
            <w:noProof/>
            <w:webHidden/>
            <w:lang w:val="en-GB"/>
          </w:rPr>
          <w:fldChar w:fldCharType="separate"/>
        </w:r>
        <w:r>
          <w:rPr>
            <w:noProof/>
            <w:webHidden/>
            <w:lang w:val="en-GB"/>
          </w:rPr>
          <w:t>12</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76" w:history="1">
        <w:r>
          <w:rPr>
            <w:rStyle w:val="Hyperlink"/>
            <w:noProof/>
            <w:lang w:val="en-GB"/>
          </w:rPr>
          <w:t>1.1</w:t>
        </w:r>
        <w:r>
          <w:rPr>
            <w:rFonts w:asciiTheme="minorHAnsi" w:eastAsiaTheme="minorEastAsia" w:hAnsiTheme="minorHAnsi"/>
            <w:noProof/>
            <w:sz w:val="22"/>
            <w:lang w:val="en-GB" w:eastAsia="en-GB" w:bidi="ar-SA"/>
          </w:rPr>
          <w:tab/>
        </w:r>
        <w:r>
          <w:rPr>
            <w:rStyle w:val="Hyperlink"/>
            <w:noProof/>
            <w:lang w:val="en-GB"/>
          </w:rPr>
          <w:t>Labour market trends</w:t>
        </w:r>
        <w:r>
          <w:rPr>
            <w:noProof/>
            <w:webHidden/>
            <w:lang w:val="en-GB"/>
          </w:rPr>
          <w:tab/>
        </w:r>
        <w:r>
          <w:rPr>
            <w:noProof/>
            <w:webHidden/>
            <w:lang w:val="en-GB"/>
          </w:rPr>
          <w:fldChar w:fldCharType="begin"/>
        </w:r>
        <w:r>
          <w:rPr>
            <w:noProof/>
            <w:webHidden/>
            <w:lang w:val="en-GB"/>
          </w:rPr>
          <w:instrText xml:space="preserve"> PAGEREF _Toc527539776 \h </w:instrText>
        </w:r>
        <w:r>
          <w:rPr>
            <w:noProof/>
            <w:webHidden/>
            <w:lang w:val="en-GB"/>
          </w:rPr>
        </w:r>
        <w:r>
          <w:rPr>
            <w:noProof/>
            <w:webHidden/>
            <w:lang w:val="en-GB"/>
          </w:rPr>
          <w:fldChar w:fldCharType="separate"/>
        </w:r>
        <w:r>
          <w:rPr>
            <w:noProof/>
            <w:webHidden/>
            <w:lang w:val="en-GB"/>
          </w:rPr>
          <w:t>12</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77" w:history="1">
        <w:r>
          <w:rPr>
            <w:rStyle w:val="Hyperlink"/>
            <w:noProof/>
            <w:lang w:val="en-GB"/>
          </w:rPr>
          <w:t>1.2</w:t>
        </w:r>
        <w:r>
          <w:rPr>
            <w:rFonts w:asciiTheme="minorHAnsi" w:eastAsiaTheme="minorEastAsia" w:hAnsiTheme="minorHAnsi"/>
            <w:noProof/>
            <w:sz w:val="22"/>
            <w:lang w:val="en-GB" w:eastAsia="en-GB" w:bidi="ar-SA"/>
          </w:rPr>
          <w:tab/>
        </w:r>
        <w:r>
          <w:rPr>
            <w:rStyle w:val="Hyperlink"/>
            <w:noProof/>
            <w:lang w:val="en-GB"/>
          </w:rPr>
          <w:t>Social trends</w:t>
        </w:r>
        <w:r>
          <w:rPr>
            <w:noProof/>
            <w:webHidden/>
            <w:lang w:val="en-GB"/>
          </w:rPr>
          <w:tab/>
        </w:r>
        <w:r>
          <w:rPr>
            <w:noProof/>
            <w:webHidden/>
            <w:lang w:val="en-GB"/>
          </w:rPr>
          <w:fldChar w:fldCharType="begin"/>
        </w:r>
        <w:r>
          <w:rPr>
            <w:noProof/>
            <w:webHidden/>
            <w:lang w:val="en-GB"/>
          </w:rPr>
          <w:instrText xml:space="preserve"> PAGEREF _Toc527539777 \h </w:instrText>
        </w:r>
        <w:r>
          <w:rPr>
            <w:noProof/>
            <w:webHidden/>
            <w:lang w:val="en-GB"/>
          </w:rPr>
        </w:r>
        <w:r>
          <w:rPr>
            <w:noProof/>
            <w:webHidden/>
            <w:lang w:val="en-GB"/>
          </w:rPr>
          <w:fldChar w:fldCharType="separate"/>
        </w:r>
        <w:r>
          <w:rPr>
            <w:noProof/>
            <w:webHidden/>
            <w:lang w:val="en-GB"/>
          </w:rPr>
          <w:t>17</w:t>
        </w:r>
        <w:r>
          <w:rPr>
            <w:noProof/>
            <w:webHidden/>
            <w:lang w:val="en-GB"/>
          </w:rPr>
          <w:fldChar w:fldCharType="end"/>
        </w:r>
      </w:hyperlink>
    </w:p>
    <w:p w:rsidR="00EF5220" w:rsidRDefault="00EF2564">
      <w:pPr>
        <w:pStyle w:val="TOC1"/>
        <w:tabs>
          <w:tab w:val="left" w:pos="440"/>
          <w:tab w:val="right" w:leader="dot" w:pos="9062"/>
        </w:tabs>
        <w:rPr>
          <w:rFonts w:asciiTheme="minorHAnsi" w:eastAsiaTheme="minorEastAsia" w:hAnsiTheme="minorHAnsi"/>
          <w:noProof/>
          <w:sz w:val="22"/>
          <w:lang w:val="en-GB" w:eastAsia="en-GB" w:bidi="ar-SA"/>
        </w:rPr>
      </w:pPr>
      <w:hyperlink w:anchor="_Toc527539778" w:history="1">
        <w:r>
          <w:rPr>
            <w:rStyle w:val="Hyperlink"/>
            <w:noProof/>
            <w:lang w:val="en-GB"/>
          </w:rPr>
          <w:t>2.</w:t>
        </w:r>
        <w:r>
          <w:rPr>
            <w:rFonts w:asciiTheme="minorHAnsi" w:eastAsiaTheme="minorEastAsia" w:hAnsiTheme="minorHAnsi"/>
            <w:noProof/>
            <w:sz w:val="22"/>
            <w:lang w:val="en-GB" w:eastAsia="en-GB" w:bidi="ar-SA"/>
          </w:rPr>
          <w:tab/>
        </w:r>
        <w:r>
          <w:rPr>
            <w:rStyle w:val="Hyperlink"/>
            <w:noProof/>
            <w:lang w:val="en-GB"/>
          </w:rPr>
          <w:t>SNAPSHOTS</w:t>
        </w:r>
        <w:r>
          <w:rPr>
            <w:rStyle w:val="Hyperlink"/>
            <w:noProof/>
            <w:lang w:val="en-GB"/>
          </w:rPr>
          <w:t xml:space="preserve"> FROM THE SOCIAL SCOREBOARD</w:t>
        </w:r>
        <w:r>
          <w:rPr>
            <w:noProof/>
            <w:webHidden/>
            <w:lang w:val="en-GB"/>
          </w:rPr>
          <w:tab/>
        </w:r>
        <w:r>
          <w:rPr>
            <w:noProof/>
            <w:webHidden/>
            <w:lang w:val="en-GB"/>
          </w:rPr>
          <w:fldChar w:fldCharType="begin"/>
        </w:r>
        <w:r>
          <w:rPr>
            <w:noProof/>
            <w:webHidden/>
            <w:lang w:val="en-GB"/>
          </w:rPr>
          <w:instrText xml:space="preserve"> PAGEREF _Toc527539778 \h </w:instrText>
        </w:r>
        <w:r>
          <w:rPr>
            <w:noProof/>
            <w:webHidden/>
            <w:lang w:val="en-GB"/>
          </w:rPr>
        </w:r>
        <w:r>
          <w:rPr>
            <w:noProof/>
            <w:webHidden/>
            <w:lang w:val="en-GB"/>
          </w:rPr>
          <w:fldChar w:fldCharType="separate"/>
        </w:r>
        <w:r>
          <w:rPr>
            <w:noProof/>
            <w:webHidden/>
            <w:lang w:val="en-GB"/>
          </w:rPr>
          <w:t>21</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79" w:history="1">
        <w:r>
          <w:rPr>
            <w:rStyle w:val="Hyperlink"/>
            <w:noProof/>
            <w:lang w:val="en-GB"/>
          </w:rPr>
          <w:t>2.1</w:t>
        </w:r>
        <w:r>
          <w:rPr>
            <w:rFonts w:asciiTheme="minorHAnsi" w:eastAsiaTheme="minorEastAsia" w:hAnsiTheme="minorHAnsi"/>
            <w:noProof/>
            <w:sz w:val="22"/>
            <w:lang w:val="en-GB" w:eastAsia="en-GB" w:bidi="ar-SA"/>
          </w:rPr>
          <w:tab/>
        </w:r>
        <w:r>
          <w:rPr>
            <w:rStyle w:val="Hyperlink"/>
            <w:noProof/>
            <w:lang w:val="en-GB"/>
          </w:rPr>
          <w:t>The scoreboard explained</w:t>
        </w:r>
        <w:r>
          <w:rPr>
            <w:noProof/>
            <w:webHidden/>
            <w:lang w:val="en-GB"/>
          </w:rPr>
          <w:tab/>
        </w:r>
        <w:r>
          <w:rPr>
            <w:noProof/>
            <w:webHidden/>
            <w:lang w:val="en-GB"/>
          </w:rPr>
          <w:fldChar w:fldCharType="begin"/>
        </w:r>
        <w:r>
          <w:rPr>
            <w:noProof/>
            <w:webHidden/>
            <w:lang w:val="en-GB"/>
          </w:rPr>
          <w:instrText xml:space="preserve"> PAGEREF _Toc527539779 \h </w:instrText>
        </w:r>
        <w:r>
          <w:rPr>
            <w:noProof/>
            <w:webHidden/>
            <w:lang w:val="en-GB"/>
          </w:rPr>
        </w:r>
        <w:r>
          <w:rPr>
            <w:noProof/>
            <w:webHidden/>
            <w:lang w:val="en-GB"/>
          </w:rPr>
          <w:fldChar w:fldCharType="separate"/>
        </w:r>
        <w:r>
          <w:rPr>
            <w:noProof/>
            <w:webHidden/>
            <w:lang w:val="en-GB"/>
          </w:rPr>
          <w:t>21</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80" w:history="1">
        <w:r>
          <w:rPr>
            <w:rStyle w:val="Hyperlink"/>
            <w:noProof/>
            <w:lang w:val="en-GB"/>
          </w:rPr>
          <w:t>2.2</w:t>
        </w:r>
        <w:r>
          <w:rPr>
            <w:rFonts w:asciiTheme="minorHAnsi" w:eastAsiaTheme="minorEastAsia" w:hAnsiTheme="minorHAnsi"/>
            <w:noProof/>
            <w:sz w:val="22"/>
            <w:lang w:val="en-GB" w:eastAsia="en-GB" w:bidi="ar-SA"/>
          </w:rPr>
          <w:tab/>
        </w:r>
        <w:r>
          <w:rPr>
            <w:rStyle w:val="Hyperlink"/>
            <w:noProof/>
            <w:lang w:val="en-GB"/>
          </w:rPr>
          <w:t>Evidence from the social scoreboard</w:t>
        </w:r>
        <w:r>
          <w:rPr>
            <w:noProof/>
            <w:webHidden/>
            <w:lang w:val="en-GB"/>
          </w:rPr>
          <w:tab/>
        </w:r>
        <w:r>
          <w:rPr>
            <w:noProof/>
            <w:webHidden/>
            <w:lang w:val="en-GB"/>
          </w:rPr>
          <w:fldChar w:fldCharType="begin"/>
        </w:r>
        <w:r>
          <w:rPr>
            <w:noProof/>
            <w:webHidden/>
            <w:lang w:val="en-GB"/>
          </w:rPr>
          <w:instrText xml:space="preserve"> PAGEREF _Toc527539780 \h </w:instrText>
        </w:r>
        <w:r>
          <w:rPr>
            <w:noProof/>
            <w:webHidden/>
            <w:lang w:val="en-GB"/>
          </w:rPr>
        </w:r>
        <w:r>
          <w:rPr>
            <w:noProof/>
            <w:webHidden/>
            <w:lang w:val="en-GB"/>
          </w:rPr>
          <w:fldChar w:fldCharType="separate"/>
        </w:r>
        <w:r>
          <w:rPr>
            <w:noProof/>
            <w:webHidden/>
            <w:lang w:val="en-GB"/>
          </w:rPr>
          <w:t>23</w:t>
        </w:r>
        <w:r>
          <w:rPr>
            <w:noProof/>
            <w:webHidden/>
            <w:lang w:val="en-GB"/>
          </w:rPr>
          <w:fldChar w:fldCharType="end"/>
        </w:r>
      </w:hyperlink>
    </w:p>
    <w:p w:rsidR="00EF5220" w:rsidRDefault="00EF2564">
      <w:pPr>
        <w:pStyle w:val="TOC1"/>
        <w:tabs>
          <w:tab w:val="left" w:pos="660"/>
          <w:tab w:val="right" w:leader="dot" w:pos="9062"/>
        </w:tabs>
        <w:ind w:left="440" w:hanging="440"/>
        <w:rPr>
          <w:rFonts w:asciiTheme="minorHAnsi" w:eastAsiaTheme="minorEastAsia" w:hAnsiTheme="minorHAnsi"/>
          <w:noProof/>
          <w:sz w:val="22"/>
          <w:lang w:val="en-GB" w:eastAsia="en-GB" w:bidi="ar-SA"/>
        </w:rPr>
      </w:pPr>
      <w:hyperlink w:anchor="_Toc527539781" w:history="1">
        <w:r>
          <w:rPr>
            <w:rStyle w:val="Hyperlink"/>
            <w:noProof/>
            <w:lang w:val="en-GB"/>
          </w:rPr>
          <w:t xml:space="preserve">3. </w:t>
        </w:r>
        <w:r>
          <w:rPr>
            <w:rFonts w:asciiTheme="minorHAnsi" w:eastAsiaTheme="minorEastAsia" w:hAnsiTheme="minorHAnsi"/>
            <w:noProof/>
            <w:sz w:val="22"/>
            <w:lang w:val="en-GB" w:eastAsia="en-GB" w:bidi="ar-SA"/>
          </w:rPr>
          <w:tab/>
        </w:r>
        <w:r>
          <w:rPr>
            <w:rStyle w:val="Hyperlink"/>
            <w:noProof/>
            <w:lang w:val="en-GB"/>
          </w:rPr>
          <w:t>EMPLOYMENT AND SOCIAL REFORMS – MEMBER STATES PERFORMANCE AND ACTION</w:t>
        </w:r>
        <w:r>
          <w:rPr>
            <w:noProof/>
            <w:webHidden/>
            <w:lang w:val="en-GB"/>
          </w:rPr>
          <w:tab/>
        </w:r>
        <w:r>
          <w:rPr>
            <w:noProof/>
            <w:webHidden/>
            <w:lang w:val="en-GB"/>
          </w:rPr>
          <w:fldChar w:fldCharType="begin"/>
        </w:r>
        <w:r>
          <w:rPr>
            <w:noProof/>
            <w:webHidden/>
            <w:lang w:val="en-GB"/>
          </w:rPr>
          <w:instrText xml:space="preserve"> PAGEREF _Toc527539781 \h </w:instrText>
        </w:r>
        <w:r>
          <w:rPr>
            <w:noProof/>
            <w:webHidden/>
            <w:lang w:val="en-GB"/>
          </w:rPr>
        </w:r>
        <w:r>
          <w:rPr>
            <w:noProof/>
            <w:webHidden/>
            <w:lang w:val="en-GB"/>
          </w:rPr>
          <w:fldChar w:fldCharType="separate"/>
        </w:r>
        <w:r>
          <w:rPr>
            <w:noProof/>
            <w:webHidden/>
            <w:lang w:val="en-GB"/>
          </w:rPr>
          <w:t>30</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82" w:history="1">
        <w:r>
          <w:rPr>
            <w:rStyle w:val="Hyperlink"/>
            <w:noProof/>
            <w:lang w:val="en-GB"/>
          </w:rPr>
          <w:t xml:space="preserve">3.1 </w:t>
        </w:r>
        <w:r>
          <w:rPr>
            <w:rFonts w:asciiTheme="minorHAnsi" w:eastAsiaTheme="minorEastAsia" w:hAnsiTheme="minorHAnsi"/>
            <w:noProof/>
            <w:sz w:val="22"/>
            <w:lang w:val="en-GB" w:eastAsia="en-GB" w:bidi="ar-SA"/>
          </w:rPr>
          <w:tab/>
        </w:r>
        <w:r>
          <w:rPr>
            <w:rStyle w:val="Hyperlink"/>
            <w:noProof/>
            <w:lang w:val="en-GB"/>
          </w:rPr>
          <w:t>Guideline 5: Boosting demand for labo</w:t>
        </w:r>
        <w:r>
          <w:rPr>
            <w:rStyle w:val="Hyperlink"/>
            <w:noProof/>
            <w:lang w:val="en-GB"/>
          </w:rPr>
          <w:t>ur</w:t>
        </w:r>
        <w:r>
          <w:rPr>
            <w:noProof/>
            <w:webHidden/>
            <w:lang w:val="en-GB"/>
          </w:rPr>
          <w:tab/>
        </w:r>
        <w:r>
          <w:rPr>
            <w:noProof/>
            <w:webHidden/>
            <w:lang w:val="en-GB"/>
          </w:rPr>
          <w:fldChar w:fldCharType="begin"/>
        </w:r>
        <w:r>
          <w:rPr>
            <w:noProof/>
            <w:webHidden/>
            <w:lang w:val="en-GB"/>
          </w:rPr>
          <w:instrText xml:space="preserve"> PAGEREF _Toc527539782 \h </w:instrText>
        </w:r>
        <w:r>
          <w:rPr>
            <w:noProof/>
            <w:webHidden/>
            <w:lang w:val="en-GB"/>
          </w:rPr>
        </w:r>
        <w:r>
          <w:rPr>
            <w:noProof/>
            <w:webHidden/>
            <w:lang w:val="en-GB"/>
          </w:rPr>
          <w:fldChar w:fldCharType="separate"/>
        </w:r>
        <w:r>
          <w:rPr>
            <w:noProof/>
            <w:webHidden/>
            <w:lang w:val="en-GB"/>
          </w:rPr>
          <w:t>30</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83" w:history="1">
        <w:r>
          <w:rPr>
            <w:rStyle w:val="Hyperlink"/>
            <w:noProof/>
            <w:lang w:val="en-GB"/>
          </w:rPr>
          <w:t>3.1.1</w:t>
        </w:r>
        <w:r>
          <w:rPr>
            <w:rFonts w:asciiTheme="minorHAnsi" w:eastAsiaTheme="minorEastAsia" w:hAnsiTheme="minorHAnsi"/>
            <w:noProof/>
            <w:sz w:val="22"/>
            <w:lang w:val="en-GB" w:eastAsia="en-GB" w:bidi="ar-SA"/>
          </w:rPr>
          <w:tab/>
        </w:r>
        <w:r>
          <w:rPr>
            <w:rStyle w:val="Hyperlink"/>
            <w:noProof/>
            <w:lang w:val="en-GB"/>
          </w:rPr>
          <w:t>Key indicators</w:t>
        </w:r>
        <w:r>
          <w:rPr>
            <w:noProof/>
            <w:webHidden/>
            <w:lang w:val="en-GB"/>
          </w:rPr>
          <w:tab/>
        </w:r>
        <w:r>
          <w:rPr>
            <w:noProof/>
            <w:webHidden/>
            <w:lang w:val="en-GB"/>
          </w:rPr>
          <w:fldChar w:fldCharType="begin"/>
        </w:r>
        <w:r>
          <w:rPr>
            <w:noProof/>
            <w:webHidden/>
            <w:lang w:val="en-GB"/>
          </w:rPr>
          <w:instrText xml:space="preserve"> PAGEREF _Toc527539783 \h </w:instrText>
        </w:r>
        <w:r>
          <w:rPr>
            <w:noProof/>
            <w:webHidden/>
            <w:lang w:val="en-GB"/>
          </w:rPr>
        </w:r>
        <w:r>
          <w:rPr>
            <w:noProof/>
            <w:webHidden/>
            <w:lang w:val="en-GB"/>
          </w:rPr>
          <w:fldChar w:fldCharType="separate"/>
        </w:r>
        <w:r>
          <w:rPr>
            <w:noProof/>
            <w:webHidden/>
            <w:lang w:val="en-GB"/>
          </w:rPr>
          <w:t>31</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84" w:history="1">
        <w:r>
          <w:rPr>
            <w:rStyle w:val="Hyperlink"/>
            <w:noProof/>
            <w:lang w:val="en-GB"/>
          </w:rPr>
          <w:t>3.1.2</w:t>
        </w:r>
        <w:r>
          <w:rPr>
            <w:rFonts w:asciiTheme="minorHAnsi" w:eastAsiaTheme="minorEastAsia" w:hAnsiTheme="minorHAnsi"/>
            <w:noProof/>
            <w:sz w:val="22"/>
            <w:lang w:val="en-GB" w:eastAsia="en-GB" w:bidi="ar-SA"/>
          </w:rPr>
          <w:tab/>
        </w:r>
        <w:r>
          <w:rPr>
            <w:rStyle w:val="Hyperlink"/>
            <w:noProof/>
            <w:lang w:val="en-GB"/>
          </w:rPr>
          <w:t>Policy response</w:t>
        </w:r>
        <w:r>
          <w:rPr>
            <w:noProof/>
            <w:webHidden/>
            <w:lang w:val="en-GB"/>
          </w:rPr>
          <w:tab/>
        </w:r>
        <w:r>
          <w:rPr>
            <w:noProof/>
            <w:webHidden/>
            <w:lang w:val="en-GB"/>
          </w:rPr>
          <w:fldChar w:fldCharType="begin"/>
        </w:r>
        <w:r>
          <w:rPr>
            <w:noProof/>
            <w:webHidden/>
            <w:lang w:val="en-GB"/>
          </w:rPr>
          <w:instrText xml:space="preserve"> PAGEREF _Toc527539784 \h </w:instrText>
        </w:r>
        <w:r>
          <w:rPr>
            <w:noProof/>
            <w:webHidden/>
            <w:lang w:val="en-GB"/>
          </w:rPr>
        </w:r>
        <w:r>
          <w:rPr>
            <w:noProof/>
            <w:webHidden/>
            <w:lang w:val="en-GB"/>
          </w:rPr>
          <w:fldChar w:fldCharType="separate"/>
        </w:r>
        <w:r>
          <w:rPr>
            <w:noProof/>
            <w:webHidden/>
            <w:lang w:val="en-GB"/>
          </w:rPr>
          <w:t>45</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85" w:history="1">
        <w:r>
          <w:rPr>
            <w:rStyle w:val="Hyperlink"/>
            <w:rFonts w:cs="Times New Roman"/>
            <w:noProof/>
            <w:lang w:val="en-GB"/>
          </w:rPr>
          <w:t>3.2.</w:t>
        </w:r>
        <w:r>
          <w:rPr>
            <w:rFonts w:asciiTheme="minorHAnsi" w:eastAsiaTheme="minorEastAsia" w:hAnsiTheme="minorHAnsi"/>
            <w:noProof/>
            <w:sz w:val="22"/>
            <w:lang w:val="en-GB" w:eastAsia="en-GB" w:bidi="ar-SA"/>
          </w:rPr>
          <w:tab/>
        </w:r>
        <w:r>
          <w:rPr>
            <w:rStyle w:val="Hyperlink"/>
            <w:noProof/>
            <w:lang w:val="en-GB"/>
          </w:rPr>
          <w:t>G</w:t>
        </w:r>
        <w:r>
          <w:rPr>
            <w:rStyle w:val="Hyperlink"/>
            <w:noProof/>
            <w:lang w:val="en-GB"/>
          </w:rPr>
          <w:t>uideline 6: Enhancing labour supply and improving access to employment, skills and competences</w:t>
        </w:r>
        <w:r>
          <w:rPr>
            <w:noProof/>
            <w:webHidden/>
            <w:lang w:val="en-GB"/>
          </w:rPr>
          <w:tab/>
        </w:r>
        <w:r>
          <w:rPr>
            <w:noProof/>
            <w:webHidden/>
            <w:lang w:val="en-GB"/>
          </w:rPr>
          <w:fldChar w:fldCharType="begin"/>
        </w:r>
        <w:r>
          <w:rPr>
            <w:noProof/>
            <w:webHidden/>
            <w:lang w:val="en-GB"/>
          </w:rPr>
          <w:instrText xml:space="preserve"> PAGEREF _Toc527539785 \h </w:instrText>
        </w:r>
        <w:r>
          <w:rPr>
            <w:noProof/>
            <w:webHidden/>
            <w:lang w:val="en-GB"/>
          </w:rPr>
        </w:r>
        <w:r>
          <w:rPr>
            <w:noProof/>
            <w:webHidden/>
            <w:lang w:val="en-GB"/>
          </w:rPr>
          <w:fldChar w:fldCharType="separate"/>
        </w:r>
        <w:r>
          <w:rPr>
            <w:noProof/>
            <w:webHidden/>
            <w:lang w:val="en-GB"/>
          </w:rPr>
          <w:t>51</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86" w:history="1">
        <w:r>
          <w:rPr>
            <w:rStyle w:val="Hyperlink"/>
            <w:noProof/>
            <w:lang w:val="en-GB"/>
          </w:rPr>
          <w:t>3.2.1</w:t>
        </w:r>
        <w:r>
          <w:rPr>
            <w:rFonts w:asciiTheme="minorHAnsi" w:eastAsiaTheme="minorEastAsia" w:hAnsiTheme="minorHAnsi"/>
            <w:noProof/>
            <w:sz w:val="22"/>
            <w:lang w:val="en-GB" w:eastAsia="en-GB" w:bidi="ar-SA"/>
          </w:rPr>
          <w:tab/>
        </w:r>
        <w:r>
          <w:rPr>
            <w:rStyle w:val="Hyperlink"/>
            <w:noProof/>
            <w:lang w:val="en-GB"/>
          </w:rPr>
          <w:t>Key indicators</w:t>
        </w:r>
        <w:r>
          <w:rPr>
            <w:noProof/>
            <w:webHidden/>
            <w:lang w:val="en-GB"/>
          </w:rPr>
          <w:tab/>
        </w:r>
        <w:r>
          <w:rPr>
            <w:noProof/>
            <w:webHidden/>
            <w:lang w:val="en-GB"/>
          </w:rPr>
          <w:fldChar w:fldCharType="begin"/>
        </w:r>
        <w:r>
          <w:rPr>
            <w:noProof/>
            <w:webHidden/>
            <w:lang w:val="en-GB"/>
          </w:rPr>
          <w:instrText xml:space="preserve"> PAGEREF _T</w:instrText>
        </w:r>
        <w:r>
          <w:rPr>
            <w:noProof/>
            <w:webHidden/>
            <w:lang w:val="en-GB"/>
          </w:rPr>
          <w:instrText xml:space="preserve">oc527539786 \h </w:instrText>
        </w:r>
        <w:r>
          <w:rPr>
            <w:noProof/>
            <w:webHidden/>
            <w:lang w:val="en-GB"/>
          </w:rPr>
        </w:r>
        <w:r>
          <w:rPr>
            <w:noProof/>
            <w:webHidden/>
            <w:lang w:val="en-GB"/>
          </w:rPr>
          <w:fldChar w:fldCharType="separate"/>
        </w:r>
        <w:r>
          <w:rPr>
            <w:noProof/>
            <w:webHidden/>
            <w:lang w:val="en-GB"/>
          </w:rPr>
          <w:t>51</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87" w:history="1">
        <w:r>
          <w:rPr>
            <w:rStyle w:val="Hyperlink"/>
            <w:noProof/>
            <w:lang w:val="en-GB"/>
          </w:rPr>
          <w:t>3.2.2</w:t>
        </w:r>
        <w:r>
          <w:rPr>
            <w:rFonts w:asciiTheme="minorHAnsi" w:eastAsiaTheme="minorEastAsia" w:hAnsiTheme="minorHAnsi"/>
            <w:noProof/>
            <w:sz w:val="22"/>
            <w:lang w:val="en-GB" w:eastAsia="en-GB" w:bidi="ar-SA"/>
          </w:rPr>
          <w:tab/>
        </w:r>
        <w:r>
          <w:rPr>
            <w:rStyle w:val="Hyperlink"/>
            <w:noProof/>
            <w:lang w:val="en-GB"/>
          </w:rPr>
          <w:t>Policy response</w:t>
        </w:r>
        <w:r>
          <w:rPr>
            <w:noProof/>
            <w:webHidden/>
            <w:lang w:val="en-GB"/>
          </w:rPr>
          <w:tab/>
        </w:r>
        <w:r>
          <w:rPr>
            <w:noProof/>
            <w:webHidden/>
            <w:lang w:val="en-GB"/>
          </w:rPr>
          <w:fldChar w:fldCharType="begin"/>
        </w:r>
        <w:r>
          <w:rPr>
            <w:noProof/>
            <w:webHidden/>
            <w:lang w:val="en-GB"/>
          </w:rPr>
          <w:instrText xml:space="preserve"> PAGEREF _Toc527539787 \h </w:instrText>
        </w:r>
        <w:r>
          <w:rPr>
            <w:noProof/>
            <w:webHidden/>
            <w:lang w:val="en-GB"/>
          </w:rPr>
        </w:r>
        <w:r>
          <w:rPr>
            <w:noProof/>
            <w:webHidden/>
            <w:lang w:val="en-GB"/>
          </w:rPr>
          <w:fldChar w:fldCharType="separate"/>
        </w:r>
        <w:r>
          <w:rPr>
            <w:noProof/>
            <w:webHidden/>
            <w:lang w:val="en-GB"/>
          </w:rPr>
          <w:t>78</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88" w:history="1">
        <w:r>
          <w:rPr>
            <w:rStyle w:val="Hyperlink"/>
            <w:rFonts w:cs="Times New Roman"/>
            <w:noProof/>
            <w:lang w:val="en-GB"/>
          </w:rPr>
          <w:t>3.3.</w:t>
        </w:r>
        <w:r>
          <w:rPr>
            <w:rFonts w:asciiTheme="minorHAnsi" w:eastAsiaTheme="minorEastAsia" w:hAnsiTheme="minorHAnsi"/>
            <w:noProof/>
            <w:sz w:val="22"/>
            <w:lang w:val="en-GB" w:eastAsia="en-GB" w:bidi="ar-SA"/>
          </w:rPr>
          <w:tab/>
        </w:r>
        <w:r>
          <w:rPr>
            <w:rStyle w:val="Hyperlink"/>
            <w:noProof/>
            <w:lang w:val="en-GB"/>
          </w:rPr>
          <w:t>Guideline 7: Enhancing the functioning of labour markets and the effectiveness of social dialogue</w:t>
        </w:r>
        <w:r>
          <w:rPr>
            <w:noProof/>
            <w:webHidden/>
            <w:lang w:val="en-GB"/>
          </w:rPr>
          <w:tab/>
        </w:r>
        <w:r>
          <w:rPr>
            <w:noProof/>
            <w:webHidden/>
            <w:lang w:val="en-GB"/>
          </w:rPr>
          <w:fldChar w:fldCharType="begin"/>
        </w:r>
        <w:r>
          <w:rPr>
            <w:noProof/>
            <w:webHidden/>
            <w:lang w:val="en-GB"/>
          </w:rPr>
          <w:instrText xml:space="preserve"> PAGEREF _Toc527539788 \h </w:instrText>
        </w:r>
        <w:r>
          <w:rPr>
            <w:noProof/>
            <w:webHidden/>
            <w:lang w:val="en-GB"/>
          </w:rPr>
        </w:r>
        <w:r>
          <w:rPr>
            <w:noProof/>
            <w:webHidden/>
            <w:lang w:val="en-GB"/>
          </w:rPr>
          <w:fldChar w:fldCharType="separate"/>
        </w:r>
        <w:r>
          <w:rPr>
            <w:noProof/>
            <w:webHidden/>
            <w:lang w:val="en-GB"/>
          </w:rPr>
          <w:t>91</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89" w:history="1">
        <w:r>
          <w:rPr>
            <w:rStyle w:val="Hyperlink"/>
            <w:noProof/>
            <w:lang w:val="en-GB"/>
          </w:rPr>
          <w:t xml:space="preserve">3.3.1 </w:t>
        </w:r>
        <w:r>
          <w:rPr>
            <w:rFonts w:asciiTheme="minorHAnsi" w:eastAsiaTheme="minorEastAsia" w:hAnsiTheme="minorHAnsi"/>
            <w:noProof/>
            <w:sz w:val="22"/>
            <w:lang w:val="en-GB" w:eastAsia="en-GB" w:bidi="ar-SA"/>
          </w:rPr>
          <w:tab/>
        </w:r>
        <w:r>
          <w:rPr>
            <w:rStyle w:val="Hyperlink"/>
            <w:noProof/>
            <w:lang w:val="en-GB"/>
          </w:rPr>
          <w:t>Key indicators</w:t>
        </w:r>
        <w:r>
          <w:rPr>
            <w:noProof/>
            <w:webHidden/>
            <w:lang w:val="en-GB"/>
          </w:rPr>
          <w:tab/>
        </w:r>
        <w:r>
          <w:rPr>
            <w:noProof/>
            <w:webHidden/>
            <w:lang w:val="en-GB"/>
          </w:rPr>
          <w:fldChar w:fldCharType="begin"/>
        </w:r>
        <w:r>
          <w:rPr>
            <w:noProof/>
            <w:webHidden/>
            <w:lang w:val="en-GB"/>
          </w:rPr>
          <w:instrText xml:space="preserve"> PAGEREF _Toc527539789 \h </w:instrText>
        </w:r>
        <w:r>
          <w:rPr>
            <w:noProof/>
            <w:webHidden/>
            <w:lang w:val="en-GB"/>
          </w:rPr>
        </w:r>
        <w:r>
          <w:rPr>
            <w:noProof/>
            <w:webHidden/>
            <w:lang w:val="en-GB"/>
          </w:rPr>
          <w:fldChar w:fldCharType="separate"/>
        </w:r>
        <w:r>
          <w:rPr>
            <w:noProof/>
            <w:webHidden/>
            <w:lang w:val="en-GB"/>
          </w:rPr>
          <w:t>91</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90" w:history="1">
        <w:r>
          <w:rPr>
            <w:rStyle w:val="Hyperlink"/>
            <w:noProof/>
            <w:lang w:val="en-GB"/>
          </w:rPr>
          <w:t xml:space="preserve">3.3.2 </w:t>
        </w:r>
        <w:r>
          <w:rPr>
            <w:rFonts w:asciiTheme="minorHAnsi" w:eastAsiaTheme="minorEastAsia" w:hAnsiTheme="minorHAnsi"/>
            <w:noProof/>
            <w:sz w:val="22"/>
            <w:lang w:val="en-GB" w:eastAsia="en-GB" w:bidi="ar-SA"/>
          </w:rPr>
          <w:tab/>
        </w:r>
        <w:r>
          <w:rPr>
            <w:rStyle w:val="Hyperlink"/>
            <w:noProof/>
            <w:lang w:val="en-GB"/>
          </w:rPr>
          <w:t>Policy response</w:t>
        </w:r>
        <w:r>
          <w:rPr>
            <w:noProof/>
            <w:webHidden/>
            <w:lang w:val="en-GB"/>
          </w:rPr>
          <w:tab/>
        </w:r>
        <w:r>
          <w:rPr>
            <w:noProof/>
            <w:webHidden/>
            <w:lang w:val="en-GB"/>
          </w:rPr>
          <w:fldChar w:fldCharType="begin"/>
        </w:r>
        <w:r>
          <w:rPr>
            <w:noProof/>
            <w:webHidden/>
            <w:lang w:val="en-GB"/>
          </w:rPr>
          <w:instrText xml:space="preserve"> PAGERE</w:instrText>
        </w:r>
        <w:r>
          <w:rPr>
            <w:noProof/>
            <w:webHidden/>
            <w:lang w:val="en-GB"/>
          </w:rPr>
          <w:instrText xml:space="preserve">F _Toc527539790 \h </w:instrText>
        </w:r>
        <w:r>
          <w:rPr>
            <w:noProof/>
            <w:webHidden/>
            <w:lang w:val="en-GB"/>
          </w:rPr>
        </w:r>
        <w:r>
          <w:rPr>
            <w:noProof/>
            <w:webHidden/>
            <w:lang w:val="en-GB"/>
          </w:rPr>
          <w:fldChar w:fldCharType="separate"/>
        </w:r>
        <w:r>
          <w:rPr>
            <w:noProof/>
            <w:webHidden/>
            <w:lang w:val="en-GB"/>
          </w:rPr>
          <w:t>116</w:t>
        </w:r>
        <w:r>
          <w:rPr>
            <w:noProof/>
            <w:webHidden/>
            <w:lang w:val="en-GB"/>
          </w:rPr>
          <w:fldChar w:fldCharType="end"/>
        </w:r>
      </w:hyperlink>
    </w:p>
    <w:p w:rsidR="00EF5220" w:rsidRDefault="00EF2564">
      <w:pPr>
        <w:pStyle w:val="TOC3"/>
        <w:tabs>
          <w:tab w:val="left" w:pos="1100"/>
          <w:tab w:val="right" w:leader="dot" w:pos="9062"/>
        </w:tabs>
        <w:rPr>
          <w:rFonts w:asciiTheme="minorHAnsi" w:eastAsiaTheme="minorEastAsia" w:hAnsiTheme="minorHAnsi"/>
          <w:noProof/>
          <w:sz w:val="22"/>
          <w:lang w:val="en-GB" w:eastAsia="en-GB" w:bidi="ar-SA"/>
        </w:rPr>
      </w:pPr>
      <w:hyperlink w:anchor="_Toc527539791" w:history="1">
        <w:r>
          <w:rPr>
            <w:rStyle w:val="Hyperlink"/>
            <w:rFonts w:cs="Times New Roman"/>
            <w:noProof/>
            <w:lang w:val="en-GB"/>
          </w:rPr>
          <w:t>3.4.</w:t>
        </w:r>
        <w:r>
          <w:rPr>
            <w:rFonts w:asciiTheme="minorHAnsi" w:eastAsiaTheme="minorEastAsia" w:hAnsiTheme="minorHAnsi"/>
            <w:noProof/>
            <w:sz w:val="22"/>
            <w:lang w:val="en-GB" w:eastAsia="en-GB" w:bidi="ar-SA"/>
          </w:rPr>
          <w:tab/>
        </w:r>
        <w:r>
          <w:rPr>
            <w:rStyle w:val="Hyperlink"/>
            <w:noProof/>
            <w:lang w:val="en-GB"/>
          </w:rPr>
          <w:t>Guideline 8: Promoting equal opportunities for all, fostering social inclusion and combatting poverty</w:t>
        </w:r>
        <w:r>
          <w:rPr>
            <w:noProof/>
            <w:webHidden/>
            <w:lang w:val="en-GB"/>
          </w:rPr>
          <w:tab/>
        </w:r>
        <w:r>
          <w:rPr>
            <w:noProof/>
            <w:webHidden/>
            <w:lang w:val="en-GB"/>
          </w:rPr>
          <w:fldChar w:fldCharType="begin"/>
        </w:r>
        <w:r>
          <w:rPr>
            <w:noProof/>
            <w:webHidden/>
            <w:lang w:val="en-GB"/>
          </w:rPr>
          <w:instrText xml:space="preserve"> PAGEREF _Toc527539791 \h </w:instrText>
        </w:r>
        <w:r>
          <w:rPr>
            <w:noProof/>
            <w:webHidden/>
            <w:lang w:val="en-GB"/>
          </w:rPr>
        </w:r>
        <w:r>
          <w:rPr>
            <w:noProof/>
            <w:webHidden/>
            <w:lang w:val="en-GB"/>
          </w:rPr>
          <w:fldChar w:fldCharType="separate"/>
        </w:r>
        <w:r>
          <w:rPr>
            <w:noProof/>
            <w:webHidden/>
            <w:lang w:val="en-GB"/>
          </w:rPr>
          <w:t>130</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92" w:history="1">
        <w:r>
          <w:rPr>
            <w:rStyle w:val="Hyperlink"/>
            <w:noProof/>
            <w:lang w:val="en-GB"/>
          </w:rPr>
          <w:t>3.4.1</w:t>
        </w:r>
        <w:r>
          <w:rPr>
            <w:rFonts w:asciiTheme="minorHAnsi" w:eastAsiaTheme="minorEastAsia" w:hAnsiTheme="minorHAnsi"/>
            <w:noProof/>
            <w:sz w:val="22"/>
            <w:lang w:val="en-GB" w:eastAsia="en-GB" w:bidi="ar-SA"/>
          </w:rPr>
          <w:tab/>
        </w:r>
        <w:r>
          <w:rPr>
            <w:rStyle w:val="Hyperlink"/>
            <w:noProof/>
            <w:lang w:val="en-GB"/>
          </w:rPr>
          <w:t>Key indicators</w:t>
        </w:r>
        <w:r>
          <w:rPr>
            <w:noProof/>
            <w:webHidden/>
            <w:lang w:val="en-GB"/>
          </w:rPr>
          <w:tab/>
        </w:r>
        <w:r>
          <w:rPr>
            <w:noProof/>
            <w:webHidden/>
            <w:lang w:val="en-GB"/>
          </w:rPr>
          <w:fldChar w:fldCharType="begin"/>
        </w:r>
        <w:r>
          <w:rPr>
            <w:noProof/>
            <w:webHidden/>
            <w:lang w:val="en-GB"/>
          </w:rPr>
          <w:instrText xml:space="preserve"> PAGEREF _Toc527539792 \h </w:instrText>
        </w:r>
        <w:r>
          <w:rPr>
            <w:noProof/>
            <w:webHidden/>
            <w:lang w:val="en-GB"/>
          </w:rPr>
        </w:r>
        <w:r>
          <w:rPr>
            <w:noProof/>
            <w:webHidden/>
            <w:lang w:val="en-GB"/>
          </w:rPr>
          <w:fldChar w:fldCharType="separate"/>
        </w:r>
        <w:r>
          <w:rPr>
            <w:noProof/>
            <w:webHidden/>
            <w:lang w:val="en-GB"/>
          </w:rPr>
          <w:t>130</w:t>
        </w:r>
        <w:r>
          <w:rPr>
            <w:noProof/>
            <w:webHidden/>
            <w:lang w:val="en-GB"/>
          </w:rPr>
          <w:fldChar w:fldCharType="end"/>
        </w:r>
      </w:hyperlink>
    </w:p>
    <w:p w:rsidR="00EF5220" w:rsidRDefault="00EF2564">
      <w:pPr>
        <w:pStyle w:val="TOC3"/>
        <w:tabs>
          <w:tab w:val="left" w:pos="1320"/>
          <w:tab w:val="right" w:leader="dot" w:pos="9062"/>
        </w:tabs>
        <w:rPr>
          <w:rFonts w:asciiTheme="minorHAnsi" w:eastAsiaTheme="minorEastAsia" w:hAnsiTheme="minorHAnsi"/>
          <w:noProof/>
          <w:sz w:val="22"/>
          <w:lang w:val="en-GB" w:eastAsia="en-GB" w:bidi="ar-SA"/>
        </w:rPr>
      </w:pPr>
      <w:hyperlink w:anchor="_Toc527539793" w:history="1">
        <w:r>
          <w:rPr>
            <w:rStyle w:val="Hyperlink"/>
            <w:noProof/>
            <w:lang w:val="en-GB"/>
          </w:rPr>
          <w:t>3.4.2</w:t>
        </w:r>
        <w:r>
          <w:rPr>
            <w:rFonts w:asciiTheme="minorHAnsi" w:eastAsiaTheme="minorEastAsia" w:hAnsiTheme="minorHAnsi"/>
            <w:noProof/>
            <w:sz w:val="22"/>
            <w:lang w:val="en-GB" w:eastAsia="en-GB" w:bidi="ar-SA"/>
          </w:rPr>
          <w:tab/>
        </w:r>
        <w:r>
          <w:rPr>
            <w:rStyle w:val="Hyperlink"/>
            <w:noProof/>
            <w:lang w:val="en-GB"/>
          </w:rPr>
          <w:t>Policy response</w:t>
        </w:r>
        <w:r>
          <w:rPr>
            <w:noProof/>
            <w:webHidden/>
            <w:lang w:val="en-GB"/>
          </w:rPr>
          <w:tab/>
        </w:r>
        <w:r>
          <w:rPr>
            <w:noProof/>
            <w:webHidden/>
            <w:lang w:val="en-GB"/>
          </w:rPr>
          <w:fldChar w:fldCharType="begin"/>
        </w:r>
        <w:r>
          <w:rPr>
            <w:noProof/>
            <w:webHidden/>
            <w:lang w:val="en-GB"/>
          </w:rPr>
          <w:instrText xml:space="preserve"> PAGEREF _Toc527539793 \h </w:instrText>
        </w:r>
        <w:r>
          <w:rPr>
            <w:noProof/>
            <w:webHidden/>
            <w:lang w:val="en-GB"/>
          </w:rPr>
        </w:r>
        <w:r>
          <w:rPr>
            <w:noProof/>
            <w:webHidden/>
            <w:lang w:val="en-GB"/>
          </w:rPr>
          <w:fldChar w:fldCharType="separate"/>
        </w:r>
        <w:r>
          <w:rPr>
            <w:noProof/>
            <w:webHidden/>
            <w:lang w:val="en-GB"/>
          </w:rPr>
          <w:t>151</w:t>
        </w:r>
        <w:r>
          <w:rPr>
            <w:noProof/>
            <w:webHidden/>
            <w:lang w:val="en-GB"/>
          </w:rPr>
          <w:fldChar w:fldCharType="end"/>
        </w:r>
      </w:hyperlink>
    </w:p>
    <w:p w:rsidR="00EF5220" w:rsidRDefault="00EF2564">
      <w:pPr>
        <w:pStyle w:val="TOC1"/>
        <w:tabs>
          <w:tab w:val="right" w:leader="dot" w:pos="9062"/>
        </w:tabs>
        <w:rPr>
          <w:rFonts w:asciiTheme="minorHAnsi" w:eastAsiaTheme="minorEastAsia" w:hAnsiTheme="minorHAnsi"/>
          <w:noProof/>
          <w:sz w:val="22"/>
          <w:lang w:val="en-GB" w:eastAsia="en-GB" w:bidi="ar-SA"/>
        </w:rPr>
      </w:pPr>
      <w:hyperlink w:anchor="_Toc527539794" w:history="1">
        <w:r>
          <w:rPr>
            <w:rStyle w:val="Hyperlink"/>
            <w:noProof/>
            <w:lang w:val="en-GB"/>
          </w:rPr>
          <w:t>ANNEXES</w:t>
        </w:r>
        <w:r>
          <w:rPr>
            <w:noProof/>
            <w:webHidden/>
            <w:lang w:val="en-GB"/>
          </w:rPr>
          <w:tab/>
        </w:r>
        <w:r>
          <w:rPr>
            <w:noProof/>
            <w:webHidden/>
            <w:lang w:val="en-GB"/>
          </w:rPr>
          <w:fldChar w:fldCharType="begin"/>
        </w:r>
        <w:r>
          <w:rPr>
            <w:noProof/>
            <w:webHidden/>
            <w:lang w:val="en-GB"/>
          </w:rPr>
          <w:instrText xml:space="preserve"> PAGEREF _Toc527539794 \h </w:instrText>
        </w:r>
        <w:r>
          <w:rPr>
            <w:noProof/>
            <w:webHidden/>
            <w:lang w:val="en-GB"/>
          </w:rPr>
        </w:r>
        <w:r>
          <w:rPr>
            <w:noProof/>
            <w:webHidden/>
            <w:lang w:val="en-GB"/>
          </w:rPr>
          <w:fldChar w:fldCharType="separate"/>
        </w:r>
        <w:r>
          <w:rPr>
            <w:noProof/>
            <w:webHidden/>
            <w:lang w:val="en-GB"/>
          </w:rPr>
          <w:t>158</w:t>
        </w:r>
        <w:r>
          <w:rPr>
            <w:noProof/>
            <w:webHidden/>
            <w:lang w:val="en-GB"/>
          </w:rPr>
          <w:fldChar w:fldCharType="end"/>
        </w:r>
      </w:hyperlink>
    </w:p>
    <w:p w:rsidR="00EF5220" w:rsidRDefault="00EF2564">
      <w:pPr>
        <w:rPr>
          <w:rFonts w:ascii="Times New Roman" w:hAnsi="Times New Roman" w:cs="Times New Roman"/>
          <w:b/>
          <w:noProof/>
          <w:sz w:val="24"/>
          <w:szCs w:val="24"/>
          <w:lang w:val="en-GB"/>
        </w:rPr>
      </w:pPr>
      <w:r>
        <w:rPr>
          <w:rFonts w:ascii="Times New Roman" w:hAnsi="Times New Roman" w:cs="Times New Roman"/>
          <w:noProof/>
          <w:sz w:val="24"/>
          <w:szCs w:val="24"/>
          <w:lang w:val="en-GB"/>
        </w:rPr>
        <w:fldChar w:fldCharType="end"/>
      </w:r>
      <w:r>
        <w:rPr>
          <w:noProof/>
          <w:lang w:val="en-GB"/>
        </w:rPr>
        <w:br w:type="page"/>
      </w:r>
    </w:p>
    <w:p w:rsidR="00EF5220" w:rsidRDefault="00EF2564">
      <w:pPr>
        <w:pStyle w:val="Heading1"/>
        <w:rPr>
          <w:noProof/>
          <w:lang w:val="en-GB"/>
        </w:rPr>
      </w:pPr>
      <w:bookmarkStart w:id="1" w:name="_Toc527539773"/>
      <w:r>
        <w:rPr>
          <w:noProof/>
          <w:lang w:val="en-GB"/>
        </w:rPr>
        <w:lastRenderedPageBreak/>
        <w:t>FOREWORD</w:t>
      </w:r>
      <w:bookmarkEnd w:id="1"/>
    </w:p>
    <w:p w:rsidR="00EF5220" w:rsidRDefault="00EF2564">
      <w:pPr>
        <w:spacing w:line="360"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The Joint Employment Report (JER) by the European Commission and the Council is mandated by Article 148 of the Treaty on the Functioning of the European Union (TFEU). The initial proposal for this report by the </w:t>
      </w:r>
      <w:r>
        <w:rPr>
          <w:rFonts w:ascii="Times New Roman" w:eastAsia="Calibri" w:hAnsi="Times New Roman" w:cs="Times New Roman"/>
          <w:noProof/>
          <w:sz w:val="24"/>
          <w:lang w:val="en-GB"/>
        </w:rPr>
        <w:t xml:space="preserve">European Commission is part of the Autumn package, which includes the Annual Growth Survey launching the European Semester cycle. The Joint Employment Report provides an annual overview of key employment and social developments in Europe as well as Member </w:t>
      </w:r>
      <w:r>
        <w:rPr>
          <w:rFonts w:ascii="Times New Roman" w:eastAsia="Calibri" w:hAnsi="Times New Roman" w:cs="Times New Roman"/>
          <w:noProof/>
          <w:sz w:val="24"/>
          <w:lang w:val="en-GB"/>
        </w:rPr>
        <w:t>States' reform actions, in line with the Guidelines for the Employment Policies of the Member States</w:t>
      </w:r>
      <w:r>
        <w:rPr>
          <w:rStyle w:val="FootnoteReference"/>
          <w:rFonts w:ascii="Times New Roman" w:eastAsia="Calibri" w:hAnsi="Times New Roman" w:cs="Times New Roman"/>
          <w:noProof/>
          <w:sz w:val="24"/>
          <w:lang w:val="en-GB"/>
        </w:rPr>
        <w:footnoteReference w:id="1"/>
      </w:r>
      <w:r>
        <w:rPr>
          <w:rFonts w:ascii="Times New Roman" w:eastAsia="Calibri" w:hAnsi="Times New Roman" w:cs="Times New Roman"/>
          <w:noProof/>
          <w:sz w:val="24"/>
          <w:lang w:val="en-GB"/>
        </w:rPr>
        <w:t>. The reporting on these reforms follows the structure of the Guidelines: boosting demand for labour (Guideline 5), enhancing labour supply and improving a</w:t>
      </w:r>
      <w:r>
        <w:rPr>
          <w:rFonts w:ascii="Times New Roman" w:eastAsia="Calibri" w:hAnsi="Times New Roman" w:cs="Times New Roman"/>
          <w:noProof/>
          <w:sz w:val="24"/>
          <w:lang w:val="en-GB"/>
        </w:rPr>
        <w:t>ccess to employment, skills and competences (Guideline 6), enhancing the functioning of labour markets and the effectiveness of social dialogue (Guideline 7), and promoting equal opportunities for all, fostering social inclusion and combatting poverty (Gui</w:t>
      </w:r>
      <w:r>
        <w:rPr>
          <w:rFonts w:ascii="Times New Roman" w:eastAsia="Calibri" w:hAnsi="Times New Roman" w:cs="Times New Roman"/>
          <w:noProof/>
          <w:sz w:val="24"/>
          <w:lang w:val="en-GB"/>
        </w:rPr>
        <w:t xml:space="preserve">deline 8). </w:t>
      </w:r>
    </w:p>
    <w:p w:rsidR="00EF5220" w:rsidRDefault="00EF2564">
      <w:pPr>
        <w:spacing w:line="360" w:lineRule="auto"/>
        <w:jc w:val="both"/>
        <w:rPr>
          <w:rFonts w:ascii="Times New Roman" w:hAnsi="Times New Roman" w:cs="Times New Roman"/>
          <w:noProof/>
          <w:sz w:val="24"/>
          <w:szCs w:val="24"/>
          <w:lang w:val="en-GB"/>
        </w:rPr>
      </w:pPr>
      <w:r>
        <w:rPr>
          <w:rFonts w:ascii="Times New Roman" w:eastAsia="Calibri" w:hAnsi="Times New Roman" w:cs="Times New Roman"/>
          <w:noProof/>
          <w:sz w:val="24"/>
          <w:lang w:val="en-GB"/>
        </w:rPr>
        <w:t>In addition, the Joint Employment Report monitors Member States' performance in relation to the Social Scoreboard set up in the context of the European Pillar of Social Rights. The Pillar</w:t>
      </w:r>
      <w:r>
        <w:rPr>
          <w:rFonts w:ascii="Times New Roman" w:hAnsi="Times New Roman" w:cs="Times New Roman"/>
          <w:noProof/>
          <w:sz w:val="24"/>
          <w:szCs w:val="24"/>
          <w:lang w:val="en-GB"/>
        </w:rPr>
        <w:t xml:space="preserve"> was established as an inter-institutional Proclamation b</w:t>
      </w:r>
      <w:r>
        <w:rPr>
          <w:rFonts w:ascii="Times New Roman" w:hAnsi="Times New Roman" w:cs="Times New Roman"/>
          <w:noProof/>
          <w:sz w:val="24"/>
          <w:szCs w:val="24"/>
          <w:lang w:val="en-GB"/>
        </w:rPr>
        <w:t>y the European Parliament, the Council and the Commission on 17 November 2017. It identifies principles and rights in three areas: i) equal opportunities and access to the labour market</w:t>
      </w:r>
      <w:r>
        <w:rPr>
          <w:rFonts w:ascii="Times New Roman" w:eastAsia="Arial Unicode MS" w:hAnsi="Times New Roman" w:cs="Times New Roman"/>
          <w:noProof/>
          <w:color w:val="000000"/>
          <w:sz w:val="24"/>
          <w:szCs w:val="24"/>
          <w:bdr w:val="nil"/>
          <w:lang w:val="en-GB"/>
        </w:rPr>
        <w:t>, ii) fair working conditions, and iii) social protection and inclusion</w:t>
      </w:r>
      <w:r>
        <w:rPr>
          <w:rFonts w:ascii="Times New Roman" w:eastAsia="Arial Unicode MS" w:hAnsi="Times New Roman" w:cs="Times New Roman"/>
          <w:noProof/>
          <w:color w:val="000000"/>
          <w:sz w:val="24"/>
          <w:szCs w:val="24"/>
          <w:bdr w:val="nil"/>
          <w:lang w:val="en-GB"/>
        </w:rPr>
        <w:t>. Monitoring</w:t>
      </w:r>
      <w:r>
        <w:rPr>
          <w:rFonts w:ascii="Times New Roman" w:hAnsi="Times New Roman" w:cs="Times New Roman"/>
          <w:iCs/>
          <w:noProof/>
          <w:sz w:val="24"/>
          <w:szCs w:val="24"/>
          <w:lang w:val="en-GB"/>
        </w:rPr>
        <w:t xml:space="preserve"> of progress in these areas is underpinned by a detailed analysis of the Social Scoreboard accompanying the Pillar.</w:t>
      </w:r>
    </w:p>
    <w:p w:rsidR="00EF5220" w:rsidRDefault="00EF2564">
      <w:pPr>
        <w:spacing w:line="360"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The Joint Employment Report is structured as follows: an introductory chapter (Chapter 1) reports on main labour market and </w:t>
      </w:r>
      <w:r>
        <w:rPr>
          <w:rFonts w:ascii="Times New Roman" w:eastAsia="Calibri" w:hAnsi="Times New Roman" w:cs="Times New Roman"/>
          <w:noProof/>
          <w:sz w:val="24"/>
          <w:lang w:val="en-GB"/>
        </w:rPr>
        <w:t>social trends in the European Union, to set the scene. Chapter 2 presents the main results from the analysis of the social scoreboard associated to the European Pillar of Social Rights. Chapter 3 provides a detailed cross-country description of key indicat</w:t>
      </w:r>
      <w:r>
        <w:rPr>
          <w:rFonts w:ascii="Times New Roman" w:eastAsia="Calibri" w:hAnsi="Times New Roman" w:cs="Times New Roman"/>
          <w:noProof/>
          <w:sz w:val="24"/>
          <w:lang w:val="en-GB"/>
        </w:rPr>
        <w:t>ors (including from the social scoreboard) and policies implemented by Member States to address the Guidelines for Employment Policies.</w:t>
      </w:r>
    </w:p>
    <w:p w:rsidR="00EF5220" w:rsidRDefault="00EF2564">
      <w:pPr>
        <w:rPr>
          <w:rFonts w:ascii="Times New Roman" w:eastAsiaTheme="majorEastAsia" w:hAnsi="Times New Roman" w:cstheme="majorBidi"/>
          <w:b/>
          <w:bCs/>
          <w:noProof/>
          <w:sz w:val="24"/>
          <w:szCs w:val="28"/>
          <w:lang w:val="en-GB"/>
        </w:rPr>
      </w:pPr>
      <w:r>
        <w:rPr>
          <w:noProof/>
          <w:lang w:val="en-GB"/>
        </w:rPr>
        <w:br w:type="page"/>
      </w:r>
    </w:p>
    <w:p w:rsidR="00EF5220" w:rsidRDefault="00EF2564">
      <w:pPr>
        <w:pStyle w:val="Heading1"/>
        <w:rPr>
          <w:noProof/>
          <w:lang w:val="en-GB"/>
        </w:rPr>
      </w:pPr>
      <w:bookmarkStart w:id="2" w:name="_Toc527539774"/>
      <w:r>
        <w:rPr>
          <w:noProof/>
          <w:lang w:val="en-GB"/>
        </w:rPr>
        <w:lastRenderedPageBreak/>
        <w:t>KEY MESSAGES</w:t>
      </w:r>
      <w:bookmarkEnd w:id="2"/>
    </w:p>
    <w:p w:rsidR="00EF5220" w:rsidRDefault="00EF2564">
      <w:pPr>
        <w:spacing w:line="360" w:lineRule="auto"/>
        <w:jc w:val="both"/>
        <w:rPr>
          <w:rFonts w:ascii="Times New Roman" w:hAnsi="Times New Roman" w:cs="Times New Roman"/>
          <w:i/>
          <w:noProof/>
          <w:sz w:val="24"/>
          <w:szCs w:val="24"/>
          <w:lang w:val="en-GB"/>
        </w:rPr>
      </w:pPr>
      <w:r>
        <w:rPr>
          <w:rFonts w:ascii="Times New Roman" w:hAnsi="Times New Roman" w:cs="Times New Roman"/>
          <w:b/>
          <w:i/>
          <w:noProof/>
          <w:sz w:val="24"/>
          <w:szCs w:val="24"/>
          <w:lang w:val="en-GB"/>
        </w:rPr>
        <w:t>Europe is making progress regarding the Social Scoreboard accompanying the European Pillar of Social Righ</w:t>
      </w:r>
      <w:r>
        <w:rPr>
          <w:rFonts w:ascii="Times New Roman" w:hAnsi="Times New Roman" w:cs="Times New Roman"/>
          <w:b/>
          <w:i/>
          <w:noProof/>
          <w:sz w:val="24"/>
          <w:szCs w:val="24"/>
          <w:lang w:val="en-GB"/>
        </w:rPr>
        <w:t>ts.</w:t>
      </w:r>
      <w:r>
        <w:rPr>
          <w:rFonts w:ascii="Times New Roman" w:hAnsi="Times New Roman" w:cs="Times New Roman"/>
          <w:i/>
          <w:noProof/>
          <w:sz w:val="24"/>
          <w:szCs w:val="24"/>
          <w:lang w:val="en-GB"/>
        </w:rPr>
        <w:t xml:space="preserve"> In a context of improving labour markets and declining poverty, 13 out of the 14 headline indicators of the Social Scoreboard recorded an improvement over the last year, on average. Still, the economic recovery is not yet benefitting all citizens and c</w:t>
      </w:r>
      <w:r>
        <w:rPr>
          <w:rFonts w:ascii="Times New Roman" w:hAnsi="Times New Roman" w:cs="Times New Roman"/>
          <w:i/>
          <w:noProof/>
          <w:sz w:val="24"/>
          <w:szCs w:val="24"/>
          <w:lang w:val="en-GB"/>
        </w:rPr>
        <w:t>ountries in the same manner. Challenges with regard to specific principles of the Pillar are identified for a majority of Member States. The current economic upswing provides an opportunity for stepping up reforms aiming at improving the inclusiveness, res</w:t>
      </w:r>
      <w:r>
        <w:rPr>
          <w:rFonts w:ascii="Times New Roman" w:hAnsi="Times New Roman" w:cs="Times New Roman"/>
          <w:i/>
          <w:noProof/>
          <w:sz w:val="24"/>
          <w:szCs w:val="24"/>
          <w:lang w:val="en-GB"/>
        </w:rPr>
        <w:t>ilience and fairness of labour markets and social protection systems, thus fostering convergence towards better living and working conditions in the EU. However, there are also downside risks to the recovery, which make it urgent for Member States to seize</w:t>
      </w:r>
      <w:r>
        <w:rPr>
          <w:rFonts w:ascii="Times New Roman" w:hAnsi="Times New Roman" w:cs="Times New Roman"/>
          <w:i/>
          <w:noProof/>
          <w:sz w:val="24"/>
          <w:szCs w:val="24"/>
          <w:lang w:val="en-GB"/>
        </w:rPr>
        <w:t xml:space="preserve"> this opportunity.</w:t>
      </w:r>
    </w:p>
    <w:p w:rsidR="00EF5220" w:rsidRDefault="00EF2564">
      <w:pPr>
        <w:spacing w:line="360" w:lineRule="auto"/>
        <w:jc w:val="both"/>
        <w:rPr>
          <w:rFonts w:ascii="Times New Roman" w:hAnsi="Times New Roman" w:cs="Times New Roman"/>
          <w:b/>
          <w:i/>
          <w:iCs/>
          <w:noProof/>
          <w:sz w:val="24"/>
          <w:szCs w:val="24"/>
          <w:lang w:val="en-GB"/>
        </w:rPr>
      </w:pPr>
      <w:r>
        <w:rPr>
          <w:rFonts w:ascii="Times New Roman" w:hAnsi="Times New Roman" w:cs="Times New Roman"/>
          <w:b/>
          <w:i/>
          <w:noProof/>
          <w:sz w:val="24"/>
          <w:szCs w:val="24"/>
          <w:lang w:val="en-GB"/>
        </w:rPr>
        <w:t>Strong job creation continues, with employment reaching a record level in the EU.</w:t>
      </w:r>
      <w:r>
        <w:rPr>
          <w:rFonts w:ascii="Times New Roman" w:hAnsi="Times New Roman" w:cs="Times New Roman"/>
          <w:i/>
          <w:noProof/>
          <w:sz w:val="24"/>
          <w:szCs w:val="24"/>
          <w:lang w:val="en-GB"/>
        </w:rPr>
        <w:t xml:space="preserve"> In the second quarter of 2018, 239 million persons were in employment in the EU, 14 million more than the lowest level reached in mid-2013, at the peak of the crisis. The employment rate of people aged 20-64 rose to 73.2% in the same period: with the curr</w:t>
      </w:r>
      <w:r>
        <w:rPr>
          <w:rFonts w:ascii="Times New Roman" w:hAnsi="Times New Roman" w:cs="Times New Roman"/>
          <w:i/>
          <w:noProof/>
          <w:sz w:val="24"/>
          <w:szCs w:val="24"/>
          <w:lang w:val="en-GB"/>
        </w:rPr>
        <w:t>ent trend, the EU is well on track to reach the Europe 2020 target of a 75% employment rate in 2020. Employment growth in 2017 and the first two quarters of 2018 was spread among all main demographic groups, with the largest increases recorded by older wor</w:t>
      </w:r>
      <w:r>
        <w:rPr>
          <w:rFonts w:ascii="Times New Roman" w:hAnsi="Times New Roman" w:cs="Times New Roman"/>
          <w:i/>
          <w:noProof/>
          <w:sz w:val="24"/>
          <w:szCs w:val="24"/>
          <w:lang w:val="en-GB"/>
        </w:rPr>
        <w:t xml:space="preserve">kers (55-64) as in previous years. Yet, </w:t>
      </w:r>
      <w:r>
        <w:rPr>
          <w:rFonts w:ascii="Times New Roman" w:hAnsi="Times New Roman" w:cs="Times New Roman"/>
          <w:i/>
          <w:iCs/>
          <w:noProof/>
          <w:sz w:val="24"/>
          <w:szCs w:val="24"/>
          <w:lang w:val="en-GB"/>
        </w:rPr>
        <w:t>s</w:t>
      </w:r>
      <w:r>
        <w:rPr>
          <w:rFonts w:ascii="Times New Roman" w:hAnsi="Times New Roman" w:cs="Times New Roman"/>
          <w:i/>
          <w:noProof/>
          <w:sz w:val="24"/>
          <w:szCs w:val="24"/>
          <w:lang w:val="en-GB"/>
        </w:rPr>
        <w:t>ubstantial disparities in employment rates across the EU suggest that there is room for further improvement, notably for those Member States that are still far from attaining their national Europe 2020 targets.</w:t>
      </w:r>
    </w:p>
    <w:p w:rsidR="00EF5220" w:rsidRDefault="00EF2564">
      <w:pPr>
        <w:spacing w:line="360" w:lineRule="auto"/>
        <w:jc w:val="both"/>
        <w:rPr>
          <w:rFonts w:ascii="Times New Roman" w:hAnsi="Times New Roman" w:cs="Times New Roman"/>
          <w:i/>
          <w:iCs/>
          <w:noProof/>
          <w:sz w:val="24"/>
          <w:szCs w:val="24"/>
          <w:lang w:val="en-GB"/>
        </w:rPr>
      </w:pPr>
      <w:r>
        <w:rPr>
          <w:rFonts w:ascii="Times New Roman" w:hAnsi="Times New Roman" w:cs="Times New Roman"/>
          <w:b/>
          <w:i/>
          <w:noProof/>
          <w:sz w:val="24"/>
          <w:szCs w:val="24"/>
          <w:lang w:val="en-GB"/>
        </w:rPr>
        <w:t>Unemployment has returned to its pre-crisis level, but remains high in a number of Member States</w:t>
      </w:r>
      <w:r>
        <w:rPr>
          <w:rFonts w:ascii="Times New Roman" w:hAnsi="Times New Roman" w:cs="Times New Roman"/>
          <w:i/>
          <w:iCs/>
          <w:noProof/>
          <w:sz w:val="24"/>
          <w:szCs w:val="24"/>
          <w:lang w:val="en-GB"/>
        </w:rPr>
        <w:t>. Thanks to the steady labour market recovery, the unemployment rate kept declining in 2017, to reach 6.9% in the second quarter of 2018. It now stands at the l</w:t>
      </w:r>
      <w:r>
        <w:rPr>
          <w:rFonts w:ascii="Times New Roman" w:hAnsi="Times New Roman" w:cs="Times New Roman"/>
          <w:i/>
          <w:iCs/>
          <w:noProof/>
          <w:sz w:val="24"/>
          <w:szCs w:val="24"/>
          <w:lang w:val="en-GB"/>
        </w:rPr>
        <w:t>owest level in ten years, more than 4 pps below the 2013 peak. In the euro area, the unemployment rate at 8.3% in Q2-2018 remains one percentage point higher than the lowest level registered in 2008. Unemployment rates are still particularly high in Greece</w:t>
      </w:r>
      <w:r>
        <w:rPr>
          <w:rFonts w:ascii="Times New Roman" w:hAnsi="Times New Roman" w:cs="Times New Roman"/>
          <w:i/>
          <w:iCs/>
          <w:noProof/>
          <w:sz w:val="24"/>
          <w:szCs w:val="24"/>
          <w:lang w:val="en-GB"/>
        </w:rPr>
        <w:t xml:space="preserve">, Spain, Italy, Croatia and Cyprus. </w:t>
      </w:r>
    </w:p>
    <w:p w:rsidR="00EF5220" w:rsidRDefault="00EF2564">
      <w:pPr>
        <w:autoSpaceDE w:val="0"/>
        <w:autoSpaceDN w:val="0"/>
        <w:adjustRightInd w:val="0"/>
        <w:spacing w:line="360" w:lineRule="auto"/>
        <w:jc w:val="both"/>
        <w:rPr>
          <w:rFonts w:ascii="Times New Roman" w:hAnsi="Times New Roman" w:cs="Times New Roman"/>
          <w:i/>
          <w:iCs/>
          <w:noProof/>
          <w:sz w:val="24"/>
          <w:szCs w:val="24"/>
          <w:highlight w:val="yellow"/>
          <w:lang w:val="en-GB"/>
        </w:rPr>
      </w:pPr>
      <w:r>
        <w:rPr>
          <w:rFonts w:ascii="Times New Roman" w:hAnsi="Times New Roman"/>
          <w:b/>
          <w:i/>
          <w:noProof/>
          <w:sz w:val="24"/>
          <w:lang w:val="en-GB"/>
        </w:rPr>
        <w:t>Employment gains continue to be more prominent in terms of employed persons than of hours worked</w:t>
      </w:r>
      <w:r>
        <w:rPr>
          <w:rFonts w:ascii="Times New Roman" w:hAnsi="Times New Roman" w:cs="Times New Roman"/>
          <w:b/>
          <w:i/>
          <w:noProof/>
          <w:sz w:val="24"/>
          <w:szCs w:val="24"/>
          <w:lang w:val="en-GB"/>
        </w:rPr>
        <w:t xml:space="preserve">. </w:t>
      </w:r>
      <w:r>
        <w:rPr>
          <w:rFonts w:ascii="Times New Roman" w:hAnsi="Times New Roman" w:cs="Times New Roman"/>
          <w:i/>
          <w:noProof/>
          <w:sz w:val="24"/>
          <w:szCs w:val="24"/>
          <w:lang w:val="en-GB"/>
        </w:rPr>
        <w:t xml:space="preserve">The volume of total hours worked in the EU kept increasing in 2017 – though more slowly </w:t>
      </w:r>
      <w:r>
        <w:rPr>
          <w:rFonts w:ascii="Times New Roman" w:hAnsi="Times New Roman"/>
          <w:i/>
          <w:noProof/>
          <w:sz w:val="24"/>
          <w:lang w:val="en-GB"/>
        </w:rPr>
        <w:t>than total employment – and is no</w:t>
      </w:r>
      <w:r>
        <w:rPr>
          <w:rFonts w:ascii="Times New Roman" w:hAnsi="Times New Roman"/>
          <w:i/>
          <w:noProof/>
          <w:sz w:val="24"/>
          <w:lang w:val="en-GB"/>
        </w:rPr>
        <w:t xml:space="preserve">t yet back to the 2008 level. A high number of </w:t>
      </w:r>
      <w:r>
        <w:rPr>
          <w:rFonts w:ascii="Times New Roman" w:hAnsi="Times New Roman"/>
          <w:i/>
          <w:noProof/>
          <w:sz w:val="24"/>
          <w:lang w:val="en-GB"/>
        </w:rPr>
        <w:lastRenderedPageBreak/>
        <w:t>involuntary part-time workers (i.e. workers who are in part-time but would like to work more), still 1.3 million above 2008, also suggests that there is remaining slack in the labour market. The decreasing num</w:t>
      </w:r>
      <w:r>
        <w:rPr>
          <w:rFonts w:ascii="Times New Roman" w:hAnsi="Times New Roman"/>
          <w:i/>
          <w:noProof/>
          <w:sz w:val="24"/>
          <w:lang w:val="en-GB"/>
        </w:rPr>
        <w:t xml:space="preserve">ber of hours worked per person is nonetheless part of a structural trend that started in the early 2000s. </w:t>
      </w:r>
    </w:p>
    <w:p w:rsidR="00EF5220" w:rsidRDefault="00EF2564">
      <w:pPr>
        <w:spacing w:line="360" w:lineRule="auto"/>
        <w:jc w:val="both"/>
        <w:rPr>
          <w:rFonts w:ascii="Times New Roman" w:hAnsi="Times New Roman" w:cs="Times New Roman"/>
          <w:i/>
          <w:iCs/>
          <w:noProof/>
          <w:sz w:val="24"/>
          <w:szCs w:val="24"/>
          <w:lang w:val="en-GB"/>
        </w:rPr>
      </w:pPr>
      <w:r>
        <w:rPr>
          <w:rFonts w:ascii="Times New Roman" w:hAnsi="Times New Roman" w:cs="Times New Roman"/>
          <w:b/>
          <w:i/>
          <w:iCs/>
          <w:noProof/>
          <w:sz w:val="24"/>
          <w:szCs w:val="24"/>
          <w:lang w:val="en-GB"/>
        </w:rPr>
        <w:t>Household incomes continue rising in almost all Member States.</w:t>
      </w:r>
      <w:r>
        <w:rPr>
          <w:rFonts w:ascii="Times New Roman" w:hAnsi="Times New Roman" w:cs="Times New Roman"/>
          <w:i/>
          <w:iCs/>
          <w:noProof/>
          <w:sz w:val="24"/>
          <w:szCs w:val="24"/>
          <w:lang w:val="en-GB"/>
        </w:rPr>
        <w:t xml:space="preserve"> Supporting the process of upward convergence, real per capita disposable household inc</w:t>
      </w:r>
      <w:r>
        <w:rPr>
          <w:rFonts w:ascii="Times New Roman" w:hAnsi="Times New Roman" w:cs="Times New Roman"/>
          <w:i/>
          <w:iCs/>
          <w:noProof/>
          <w:sz w:val="24"/>
          <w:szCs w:val="24"/>
          <w:lang w:val="en-GB"/>
        </w:rPr>
        <w:t>ome grew more strongly in the Member States that most recently joined the Union. While these developments were mostly driven by favourable economic conditions, they benefitted also from reforms leading to improvements in the adequacy of social benefits, in</w:t>
      </w:r>
      <w:r>
        <w:rPr>
          <w:rFonts w:ascii="Times New Roman" w:hAnsi="Times New Roman" w:cs="Times New Roman"/>
          <w:i/>
          <w:iCs/>
          <w:noProof/>
          <w:sz w:val="24"/>
          <w:szCs w:val="24"/>
          <w:lang w:val="en-GB"/>
        </w:rPr>
        <w:t xml:space="preserve">cluding minimum income schemes. Yet, in a number of countries the real gross disposable income per capita remains significantly below the pre-crisis levels. Household incomes grew more slowly than GDP, highlighting that income gains from the recovery have </w:t>
      </w:r>
      <w:r>
        <w:rPr>
          <w:rFonts w:ascii="Times New Roman" w:hAnsi="Times New Roman" w:cs="Times New Roman"/>
          <w:i/>
          <w:iCs/>
          <w:noProof/>
          <w:sz w:val="24"/>
          <w:szCs w:val="24"/>
          <w:lang w:val="en-GB"/>
        </w:rPr>
        <w:t xml:space="preserve">reached households only to some extent – thus raising questions about the inclusiveness of recent growth. </w:t>
      </w:r>
    </w:p>
    <w:p w:rsidR="00EF5220" w:rsidRDefault="00EF2564">
      <w:pPr>
        <w:spacing w:line="360" w:lineRule="auto"/>
        <w:jc w:val="both"/>
        <w:rPr>
          <w:rFonts w:ascii="Times New Roman" w:hAnsi="Times New Roman" w:cs="Times New Roman"/>
          <w:i/>
          <w:iCs/>
          <w:noProof/>
          <w:sz w:val="24"/>
          <w:szCs w:val="24"/>
          <w:lang w:val="en-GB"/>
        </w:rPr>
      </w:pPr>
      <w:r>
        <w:rPr>
          <w:rFonts w:ascii="Times New Roman" w:hAnsi="Times New Roman" w:cs="Times New Roman"/>
          <w:b/>
          <w:i/>
          <w:iCs/>
          <w:noProof/>
          <w:sz w:val="24"/>
          <w:szCs w:val="24"/>
          <w:lang w:val="en-GB"/>
        </w:rPr>
        <w:t>On the back of robust economic and labour market recovery, the share of people</w:t>
      </w:r>
      <w:r>
        <w:rPr>
          <w:rFonts w:ascii="Times New Roman" w:hAnsi="Times New Roman" w:cs="Times New Roman"/>
          <w:i/>
          <w:iCs/>
          <w:noProof/>
          <w:sz w:val="24"/>
          <w:szCs w:val="24"/>
          <w:lang w:val="en-GB"/>
        </w:rPr>
        <w:t xml:space="preserve"> </w:t>
      </w:r>
      <w:r>
        <w:rPr>
          <w:rFonts w:ascii="Times New Roman" w:hAnsi="Times New Roman" w:cs="Times New Roman"/>
          <w:b/>
          <w:i/>
          <w:iCs/>
          <w:noProof/>
          <w:sz w:val="24"/>
          <w:szCs w:val="24"/>
          <w:lang w:val="en-GB"/>
        </w:rPr>
        <w:t>at-risk-of poverty or social exclusion decreased</w:t>
      </w:r>
      <w:r>
        <w:rPr>
          <w:rFonts w:ascii="Times New Roman" w:hAnsi="Times New Roman" w:cs="Times New Roman"/>
          <w:i/>
          <w:iCs/>
          <w:noProof/>
          <w:sz w:val="24"/>
          <w:szCs w:val="24"/>
          <w:lang w:val="en-GB"/>
        </w:rPr>
        <w:t xml:space="preserve"> </w:t>
      </w:r>
      <w:r>
        <w:rPr>
          <w:rFonts w:ascii="Times New Roman" w:hAnsi="Times New Roman" w:cs="Times New Roman"/>
          <w:b/>
          <w:i/>
          <w:iCs/>
          <w:noProof/>
          <w:sz w:val="24"/>
          <w:szCs w:val="24"/>
          <w:lang w:val="en-GB"/>
        </w:rPr>
        <w:t xml:space="preserve">markedly in 2017. </w:t>
      </w:r>
      <w:r>
        <w:rPr>
          <w:rFonts w:ascii="Times New Roman" w:hAnsi="Times New Roman" w:cs="Times New Roman"/>
          <w:i/>
          <w:iCs/>
          <w:noProof/>
          <w:sz w:val="24"/>
          <w:szCs w:val="24"/>
          <w:lang w:val="en-GB"/>
        </w:rPr>
        <w:t>Mor</w:t>
      </w:r>
      <w:r>
        <w:rPr>
          <w:rFonts w:ascii="Times New Roman" w:hAnsi="Times New Roman" w:cs="Times New Roman"/>
          <w:i/>
          <w:iCs/>
          <w:noProof/>
          <w:sz w:val="24"/>
          <w:szCs w:val="24"/>
          <w:lang w:val="en-GB"/>
        </w:rPr>
        <w:t>e than 5 million people exited from poverty or social exclusion, the largest decline since the recovery started. This change was driven mainly by decreasing numbers of people experiencing severe material deprivation and/or living in very-low work intensity</w:t>
      </w:r>
      <w:r>
        <w:rPr>
          <w:rFonts w:ascii="Times New Roman" w:hAnsi="Times New Roman" w:cs="Times New Roman"/>
          <w:i/>
          <w:iCs/>
          <w:noProof/>
          <w:sz w:val="24"/>
          <w:szCs w:val="24"/>
          <w:lang w:val="en-GB"/>
        </w:rPr>
        <w:t xml:space="preserve"> households (since their respective peaks, these indicators dropped by respectively 15 and 8 million). T</w:t>
      </w:r>
      <w:r>
        <w:rPr>
          <w:rFonts w:ascii="Times New Roman" w:hAnsi="Times New Roman" w:cs="Times New Roman"/>
          <w:i/>
          <w:noProof/>
          <w:sz w:val="24"/>
          <w:szCs w:val="24"/>
          <w:lang w:val="en-GB"/>
        </w:rPr>
        <w:t xml:space="preserve">he total number of people at risk of poverty or social exclusion, at 113 million people or 22.5% of total population in 2017, </w:t>
      </w:r>
      <w:r>
        <w:rPr>
          <w:rFonts w:ascii="Times New Roman" w:hAnsi="Times New Roman" w:cs="Times New Roman"/>
          <w:i/>
          <w:iCs/>
          <w:noProof/>
          <w:sz w:val="24"/>
          <w:szCs w:val="24"/>
          <w:lang w:val="en-GB"/>
        </w:rPr>
        <w:t>is now below pre-crisis le</w:t>
      </w:r>
      <w:r>
        <w:rPr>
          <w:rFonts w:ascii="Times New Roman" w:hAnsi="Times New Roman" w:cs="Times New Roman"/>
          <w:i/>
          <w:iCs/>
          <w:noProof/>
          <w:sz w:val="24"/>
          <w:szCs w:val="24"/>
          <w:lang w:val="en-GB"/>
        </w:rPr>
        <w:t xml:space="preserve">vels. Estimates indicate that this trend is set to continue into the next year. </w:t>
      </w:r>
      <w:r>
        <w:rPr>
          <w:rFonts w:ascii="Times New Roman" w:hAnsi="Times New Roman" w:cs="Times New Roman"/>
          <w:i/>
          <w:noProof/>
          <w:sz w:val="24"/>
          <w:szCs w:val="24"/>
          <w:lang w:val="en-GB"/>
        </w:rPr>
        <w:t>Still, there remains a long way to reach the Europe 2020 poverty and social exclusion reduction target.</w:t>
      </w:r>
      <w:r>
        <w:rPr>
          <w:rFonts w:ascii="Times New Roman" w:hAnsi="Times New Roman" w:cs="Times New Roman"/>
          <w:noProof/>
          <w:sz w:val="24"/>
          <w:szCs w:val="24"/>
          <w:lang w:val="en-GB"/>
        </w:rPr>
        <w:t xml:space="preserve"> </w:t>
      </w:r>
      <w:r>
        <w:rPr>
          <w:rFonts w:ascii="Times New Roman" w:hAnsi="Times New Roman" w:cs="Times New Roman"/>
          <w:i/>
          <w:noProof/>
          <w:sz w:val="24"/>
          <w:szCs w:val="24"/>
          <w:lang w:val="en-GB"/>
        </w:rPr>
        <w:t>The risk of poverty or social exclusion remains a challenge particularly</w:t>
      </w:r>
      <w:r>
        <w:rPr>
          <w:rFonts w:ascii="Times New Roman" w:hAnsi="Times New Roman" w:cs="Times New Roman"/>
          <w:i/>
          <w:noProof/>
          <w:sz w:val="24"/>
          <w:szCs w:val="24"/>
          <w:lang w:val="en-GB"/>
        </w:rPr>
        <w:t xml:space="preserve"> for children, people with disabilities and people with a migrant background. </w:t>
      </w:r>
    </w:p>
    <w:p w:rsidR="00EF5220" w:rsidRDefault="00EF2564">
      <w:pPr>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Real wage growth slowed down in 2017, but has picked up in 2018.</w:t>
      </w:r>
      <w:r>
        <w:rPr>
          <w:rFonts w:ascii="Times New Roman" w:hAnsi="Times New Roman" w:cs="Times New Roman"/>
          <w:bCs/>
          <w:i/>
          <w:iCs/>
          <w:noProof/>
          <w:sz w:val="24"/>
          <w:szCs w:val="24"/>
          <w:lang w:val="en-GB"/>
        </w:rPr>
        <w:t xml:space="preserve"> Overall, wage growth remains below what could be expected given the positive labour market and economic performance. </w:t>
      </w:r>
      <w:r>
        <w:rPr>
          <w:rFonts w:ascii="Times New Roman" w:hAnsi="Times New Roman"/>
          <w:i/>
          <w:iCs/>
          <w:noProof/>
          <w:sz w:val="24"/>
          <w:szCs w:val="24"/>
          <w:lang w:val="en-GB"/>
        </w:rPr>
        <w:t xml:space="preserve">The modest wage dynamics over the past years can be explained by weak productivity growth, still low inflation expectations and remaining </w:t>
      </w:r>
      <w:r>
        <w:rPr>
          <w:rFonts w:ascii="Times New Roman" w:hAnsi="Times New Roman"/>
          <w:i/>
          <w:iCs/>
          <w:noProof/>
          <w:sz w:val="24"/>
          <w:szCs w:val="24"/>
          <w:lang w:val="en-GB"/>
        </w:rPr>
        <w:t>reserves in the labour market. I</w:t>
      </w:r>
      <w:r>
        <w:rPr>
          <w:rFonts w:ascii="Times New Roman" w:hAnsi="Times New Roman" w:cs="Times New Roman"/>
          <w:bCs/>
          <w:i/>
          <w:iCs/>
          <w:noProof/>
          <w:sz w:val="24"/>
          <w:szCs w:val="24"/>
          <w:lang w:val="en-GB"/>
        </w:rPr>
        <w:t xml:space="preserve">n real terms, </w:t>
      </w:r>
      <w:r>
        <w:rPr>
          <w:rFonts w:ascii="Times New Roman" w:hAnsi="Times New Roman"/>
          <w:i/>
          <w:iCs/>
          <w:noProof/>
          <w:sz w:val="24"/>
          <w:szCs w:val="24"/>
          <w:lang w:val="en-GB"/>
        </w:rPr>
        <w:t xml:space="preserve">average </w:t>
      </w:r>
      <w:r>
        <w:rPr>
          <w:rFonts w:ascii="Times New Roman" w:hAnsi="Times New Roman" w:cs="Times New Roman"/>
          <w:bCs/>
          <w:i/>
          <w:iCs/>
          <w:noProof/>
          <w:sz w:val="24"/>
          <w:szCs w:val="24"/>
          <w:lang w:val="en-GB"/>
        </w:rPr>
        <w:t>wages still lag behind pre-crisis levels in many Member States and their growth remained,</w:t>
      </w:r>
      <w:r>
        <w:rPr>
          <w:rFonts w:ascii="Times New Roman" w:hAnsi="Times New Roman"/>
          <w:i/>
          <w:iCs/>
          <w:noProof/>
          <w:sz w:val="24"/>
          <w:szCs w:val="24"/>
          <w:lang w:val="en-GB"/>
        </w:rPr>
        <w:t xml:space="preserve"> in 2017, </w:t>
      </w:r>
      <w:r>
        <w:rPr>
          <w:rFonts w:ascii="Times New Roman" w:hAnsi="Times New Roman" w:cs="Times New Roman"/>
          <w:bCs/>
          <w:i/>
          <w:iCs/>
          <w:noProof/>
          <w:sz w:val="24"/>
          <w:szCs w:val="24"/>
          <w:lang w:val="en-GB"/>
        </w:rPr>
        <w:t>below productivity growth. This is in line with a long-term trend: in the EU, between 2000 and 2017, re</w:t>
      </w:r>
      <w:r>
        <w:rPr>
          <w:rFonts w:ascii="Times New Roman" w:hAnsi="Times New Roman" w:cs="Times New Roman"/>
          <w:bCs/>
          <w:i/>
          <w:iCs/>
          <w:noProof/>
          <w:sz w:val="24"/>
          <w:szCs w:val="24"/>
          <w:lang w:val="en-GB"/>
        </w:rPr>
        <w:t xml:space="preserve">al value added per person employed grew by 15.6%, while real compensation per employee grew by only 11.2%. Despite these </w:t>
      </w:r>
      <w:r>
        <w:rPr>
          <w:rFonts w:ascii="Times New Roman" w:hAnsi="Times New Roman" w:cs="Times New Roman"/>
          <w:bCs/>
          <w:i/>
          <w:iCs/>
          <w:noProof/>
          <w:sz w:val="24"/>
          <w:szCs w:val="24"/>
          <w:lang w:val="en-GB"/>
        </w:rPr>
        <w:lastRenderedPageBreak/>
        <w:t xml:space="preserve">developments, there is evidence that convergence in labour income levels is taking place although large differences remain between and </w:t>
      </w:r>
      <w:r>
        <w:rPr>
          <w:rFonts w:ascii="Times New Roman" w:hAnsi="Times New Roman" w:cs="Times New Roman"/>
          <w:bCs/>
          <w:i/>
          <w:iCs/>
          <w:noProof/>
          <w:sz w:val="24"/>
          <w:szCs w:val="24"/>
          <w:lang w:val="en-GB"/>
        </w:rPr>
        <w:t>within Member States.</w:t>
      </w:r>
    </w:p>
    <w:p w:rsidR="00EF5220" w:rsidRDefault="00EF2564">
      <w:pPr>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Wage setting frameworks (including minimum wages) are starting to react to the improvement in labour market conditions</w:t>
      </w:r>
      <w:r>
        <w:rPr>
          <w:rFonts w:ascii="Times New Roman" w:hAnsi="Times New Roman" w:cs="Times New Roman"/>
          <w:bCs/>
          <w:i/>
          <w:iCs/>
          <w:noProof/>
          <w:sz w:val="24"/>
          <w:szCs w:val="24"/>
          <w:lang w:val="en-GB"/>
        </w:rPr>
        <w:t>. In particular, statutory minimum wages were increased in several countries, with the involvement of social partner</w:t>
      </w:r>
      <w:r>
        <w:rPr>
          <w:rFonts w:ascii="Times New Roman" w:hAnsi="Times New Roman" w:cs="Times New Roman"/>
          <w:bCs/>
          <w:i/>
          <w:iCs/>
          <w:noProof/>
          <w:sz w:val="24"/>
          <w:szCs w:val="24"/>
          <w:lang w:val="en-GB"/>
        </w:rPr>
        <w:t xml:space="preserve">s. This development is important in view of the persisting high rates of in-work poverty in a number of Member States, </w:t>
      </w:r>
      <w:r>
        <w:rPr>
          <w:rFonts w:ascii="Times New Roman" w:hAnsi="Times New Roman" w:cs="Times New Roman"/>
          <w:i/>
          <w:noProof/>
          <w:sz w:val="24"/>
          <w:szCs w:val="24"/>
          <w:lang w:val="en-GB"/>
        </w:rPr>
        <w:t xml:space="preserve">which also require action in the areas of </w:t>
      </w:r>
      <w:r>
        <w:rPr>
          <w:rFonts w:ascii="Times New Roman" w:hAnsi="Times New Roman" w:cs="Times New Roman"/>
          <w:i/>
          <w:iCs/>
          <w:noProof/>
          <w:sz w:val="24"/>
          <w:szCs w:val="24"/>
          <w:lang w:val="en-GB"/>
        </w:rPr>
        <w:t xml:space="preserve">tax design and benefits adequacy. Against this background, it is important that the </w:t>
      </w:r>
      <w:r>
        <w:rPr>
          <w:rFonts w:ascii="Times New Roman" w:hAnsi="Times New Roman" w:cs="Times New Roman"/>
          <w:bCs/>
          <w:i/>
          <w:iCs/>
          <w:noProof/>
          <w:sz w:val="24"/>
          <w:szCs w:val="24"/>
          <w:lang w:val="en-GB"/>
        </w:rPr>
        <w:t xml:space="preserve">adjustment </w:t>
      </w:r>
      <w:r>
        <w:rPr>
          <w:rFonts w:ascii="Times New Roman" w:hAnsi="Times New Roman" w:cs="Times New Roman"/>
          <w:bCs/>
          <w:i/>
          <w:iCs/>
          <w:noProof/>
          <w:sz w:val="24"/>
          <w:szCs w:val="24"/>
          <w:lang w:val="en-GB"/>
        </w:rPr>
        <w:t>in minimum wage levels follows transparent and predictable rules, taking into account their impact on competitiveness, job creation and in-work poverty.</w:t>
      </w:r>
    </w:p>
    <w:p w:rsidR="00EF5220" w:rsidRDefault="00EF2564">
      <w:pPr>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 xml:space="preserve">In a context of sustained job creation, some groups still face difficulties in reaping the benefits of </w:t>
      </w:r>
      <w:r>
        <w:rPr>
          <w:rFonts w:ascii="Times New Roman" w:hAnsi="Times New Roman" w:cs="Times New Roman"/>
          <w:b/>
          <w:bCs/>
          <w:i/>
          <w:iCs/>
          <w:noProof/>
          <w:sz w:val="24"/>
          <w:szCs w:val="24"/>
          <w:lang w:val="en-GB"/>
        </w:rPr>
        <w:t>the recovery</w:t>
      </w:r>
      <w:r>
        <w:rPr>
          <w:rFonts w:ascii="Times New Roman" w:hAnsi="Times New Roman" w:cs="Times New Roman"/>
          <w:bCs/>
          <w:i/>
          <w:iCs/>
          <w:noProof/>
          <w:sz w:val="24"/>
          <w:szCs w:val="24"/>
          <w:lang w:val="en-GB"/>
        </w:rPr>
        <w:t>. Job growth in 2017 has been mainly driven by women, older workers and high-skilled people. On the other hand, the employment rate of low-skilled workers is still below pre-crisis levels and remains almost 30 pps lower than that of high-skille</w:t>
      </w:r>
      <w:r>
        <w:rPr>
          <w:rFonts w:ascii="Times New Roman" w:hAnsi="Times New Roman" w:cs="Times New Roman"/>
          <w:bCs/>
          <w:i/>
          <w:iCs/>
          <w:noProof/>
          <w:sz w:val="24"/>
          <w:szCs w:val="24"/>
          <w:lang w:val="en-GB"/>
        </w:rPr>
        <w:t>d workers. Though increasing, the employment rate of young people is lower than in 2008 (by 2.7 pps). On a positive note, the share of young people neither in employment, education or training at 10.9% is now back to pre-crisis levels. People with a migran</w:t>
      </w:r>
      <w:r>
        <w:rPr>
          <w:rFonts w:ascii="Times New Roman" w:hAnsi="Times New Roman" w:cs="Times New Roman"/>
          <w:bCs/>
          <w:i/>
          <w:iCs/>
          <w:noProof/>
          <w:sz w:val="24"/>
          <w:szCs w:val="24"/>
          <w:lang w:val="en-GB"/>
        </w:rPr>
        <w:t>t background face employability challenges: the employment rate gap between native and non-EU born workers stood at 10 pps in 2017 (up from 4.5 pps in 2008). This gap is especially pronounced among migrant women. Finally, people with disabilities tend to p</w:t>
      </w:r>
      <w:r>
        <w:rPr>
          <w:rFonts w:ascii="Times New Roman" w:hAnsi="Times New Roman" w:cs="Times New Roman"/>
          <w:bCs/>
          <w:i/>
          <w:iCs/>
          <w:noProof/>
          <w:sz w:val="24"/>
          <w:szCs w:val="24"/>
          <w:lang w:val="en-GB"/>
        </w:rPr>
        <w:t>articipate less in the labour market; the potential to use their talents remains largely untapped.</w:t>
      </w:r>
    </w:p>
    <w:p w:rsidR="00EF5220" w:rsidRDefault="00EF2564">
      <w:pPr>
        <w:pStyle w:val="Default"/>
        <w:spacing w:after="240" w:line="360" w:lineRule="auto"/>
        <w:jc w:val="both"/>
        <w:rPr>
          <w:bCs/>
          <w:i/>
          <w:noProof/>
          <w:lang w:val="en-GB"/>
        </w:rPr>
      </w:pPr>
      <w:r>
        <w:rPr>
          <w:b/>
          <w:bCs/>
          <w:i/>
          <w:noProof/>
          <w:lang w:val="en-GB"/>
        </w:rPr>
        <w:t xml:space="preserve">Participation of women in the labour market continues to grow at a fast pace. </w:t>
      </w:r>
      <w:r>
        <w:rPr>
          <w:bCs/>
          <w:i/>
          <w:noProof/>
          <w:lang w:val="en-GB"/>
        </w:rPr>
        <w:t>The employment rate of women stood at 66.5% in 2017, almost 5 pps higher than i</w:t>
      </w:r>
      <w:r>
        <w:rPr>
          <w:bCs/>
          <w:i/>
          <w:noProof/>
          <w:lang w:val="en-GB"/>
        </w:rPr>
        <w:t>n 2008.</w:t>
      </w:r>
      <w:r>
        <w:rPr>
          <w:b/>
          <w:bCs/>
          <w:i/>
          <w:noProof/>
          <w:lang w:val="en-GB"/>
        </w:rPr>
        <w:t xml:space="preserve"> </w:t>
      </w:r>
      <w:r>
        <w:rPr>
          <w:bCs/>
          <w:i/>
          <w:noProof/>
          <w:lang w:val="en-GB"/>
        </w:rPr>
        <w:t>Still, the employment rate gender gap remains substantial, with considerable disparities across Member States. Though women are generally better qualified than men in terms of educational attainment level, the gender pay gap is high and only gradua</w:t>
      </w:r>
      <w:r>
        <w:rPr>
          <w:bCs/>
          <w:i/>
          <w:noProof/>
          <w:lang w:val="en-GB"/>
        </w:rPr>
        <w:t>lly declining. Women are over-represented in lower-paid sectors and occupations and work more frequently in underqualified jobs compared to their skills level. The impact of parenthood and caring responsibilities remains the main driver of lower employment</w:t>
      </w:r>
      <w:r>
        <w:rPr>
          <w:bCs/>
          <w:i/>
          <w:noProof/>
          <w:lang w:val="en-GB"/>
        </w:rPr>
        <w:t xml:space="preserve"> rates, with underdeveloped services being a major impediment to stay in or return to employment. Furthermore, informal carers, the majority of whom are women, are more at risk of experiencing poverty and financial dependency, with career interruptions oft</w:t>
      </w:r>
      <w:r>
        <w:rPr>
          <w:bCs/>
          <w:i/>
          <w:noProof/>
          <w:lang w:val="en-GB"/>
        </w:rPr>
        <w:t xml:space="preserve">en translating </w:t>
      </w:r>
      <w:r>
        <w:rPr>
          <w:bCs/>
          <w:i/>
          <w:noProof/>
          <w:lang w:val="en-GB"/>
        </w:rPr>
        <w:lastRenderedPageBreak/>
        <w:t>into lower pension entitlements. A number of Member States are taking action to provide affordable and equal access to quality childcare and long-term care services, but important challenges remain. A more balanced distribution of paid famil</w:t>
      </w:r>
      <w:r>
        <w:rPr>
          <w:bCs/>
          <w:i/>
          <w:noProof/>
          <w:lang w:val="en-GB"/>
        </w:rPr>
        <w:t>y-related leaves between women and men would be beneficial in some cases.</w:t>
      </w:r>
      <w:r>
        <w:rPr>
          <w:i/>
          <w:noProof/>
          <w:lang w:val="en-GB"/>
        </w:rPr>
        <w:t xml:space="preserve"> </w:t>
      </w:r>
      <w:r>
        <w:rPr>
          <w:bCs/>
          <w:i/>
          <w:noProof/>
          <w:lang w:val="en-GB"/>
        </w:rPr>
        <w:t>A few Member States are adapting their tax and benefits systems to remove disincentives to work for second earners.</w:t>
      </w:r>
      <w:r>
        <w:rPr>
          <w:i/>
          <w:noProof/>
          <w:lang w:val="en-GB"/>
        </w:rPr>
        <w:t xml:space="preserve"> Concrete actions to tackle the gender pay gap are in place </w:t>
      </w:r>
      <w:r>
        <w:rPr>
          <w:bCs/>
          <w:i/>
          <w:noProof/>
          <w:lang w:val="en-GB"/>
        </w:rPr>
        <w:t>only in</w:t>
      </w:r>
      <w:r>
        <w:rPr>
          <w:bCs/>
          <w:i/>
          <w:noProof/>
          <w:lang w:val="en-GB"/>
        </w:rPr>
        <w:t xml:space="preserve"> a limited number of countries.</w:t>
      </w:r>
    </w:p>
    <w:p w:rsidR="00EF5220" w:rsidRDefault="00EF2564">
      <w:pPr>
        <w:pStyle w:val="Default"/>
        <w:spacing w:after="240" w:line="360" w:lineRule="auto"/>
        <w:jc w:val="both"/>
        <w:rPr>
          <w:bCs/>
          <w:i/>
          <w:noProof/>
          <w:lang w:val="en-GB"/>
        </w:rPr>
      </w:pPr>
      <w:r>
        <w:rPr>
          <w:b/>
          <w:bCs/>
          <w:i/>
          <w:noProof/>
          <w:lang w:val="en-GB"/>
        </w:rPr>
        <w:t>The employment rate of older workers increased substantially over the last decade</w:t>
      </w:r>
      <w:r>
        <w:rPr>
          <w:bCs/>
          <w:i/>
          <w:noProof/>
          <w:lang w:val="en-GB"/>
        </w:rPr>
        <w:t>. For the age group 55-64 it rose from 45.5% in 2008 to 57.1% in 2017. Older workers were relatively more shielded from the recession and their</w:t>
      </w:r>
      <w:r>
        <w:rPr>
          <w:bCs/>
          <w:i/>
          <w:noProof/>
          <w:lang w:val="en-GB"/>
        </w:rPr>
        <w:t xml:space="preserve"> employment rate kept increasing during the crisis, to then become an important driver of job recovery. The rising duration of working lives is explained by a number of factors, including increases in statutory retirement age, better access to care service</w:t>
      </w:r>
      <w:r>
        <w:rPr>
          <w:bCs/>
          <w:i/>
          <w:noProof/>
          <w:lang w:val="en-GB"/>
        </w:rPr>
        <w:t xml:space="preserve">s, availability of flexible working arrangements and active ageing strategies. Several Member States are further promoting labour market participation of older workers, including by </w:t>
      </w:r>
      <w:r>
        <w:rPr>
          <w:i/>
          <w:iCs/>
          <w:noProof/>
          <w:lang w:val="en-GB"/>
        </w:rPr>
        <w:t>supporting flexible transitions into retirement and providing financial in</w:t>
      </w:r>
      <w:r>
        <w:rPr>
          <w:i/>
          <w:iCs/>
          <w:noProof/>
          <w:lang w:val="en-GB"/>
        </w:rPr>
        <w:t xml:space="preserve">centives both for employers and employees. </w:t>
      </w:r>
    </w:p>
    <w:p w:rsidR="00EF5220" w:rsidRDefault="00EF2564">
      <w:pPr>
        <w:pStyle w:val="Default"/>
        <w:spacing w:after="240" w:line="360" w:lineRule="auto"/>
        <w:jc w:val="both"/>
        <w:rPr>
          <w:i/>
          <w:iCs/>
          <w:noProof/>
          <w:color w:val="auto"/>
          <w:spacing w:val="-2"/>
          <w:lang w:val="en-GB" w:eastAsia="en-GB"/>
        </w:rPr>
      </w:pPr>
      <w:r>
        <w:rPr>
          <w:b/>
          <w:bCs/>
          <w:i/>
          <w:iCs/>
          <w:noProof/>
          <w:lang w:val="en-GB"/>
        </w:rPr>
        <w:t xml:space="preserve">The labour market situation of young people continues to improve, but youth unemployment remains high in a number of Member States. </w:t>
      </w:r>
      <w:r>
        <w:rPr>
          <w:bCs/>
          <w:i/>
          <w:iCs/>
          <w:noProof/>
          <w:lang w:val="en-GB"/>
        </w:rPr>
        <w:t>While steadily declining and back to the 2008 level</w:t>
      </w:r>
      <w:r>
        <w:rPr>
          <w:i/>
          <w:iCs/>
          <w:noProof/>
          <w:lang w:val="en-GB"/>
        </w:rPr>
        <w:t xml:space="preserve">, the youth </w:t>
      </w:r>
      <w:r>
        <w:rPr>
          <w:bCs/>
          <w:i/>
          <w:iCs/>
          <w:noProof/>
          <w:lang w:val="en-GB"/>
        </w:rPr>
        <w:t xml:space="preserve">unemployment rate (age group 15-24) presents large differences across countries and very high rates in some of them. A still considerable part of the young people is economically inactive. Overall in the EU, almost 6 million people aged 15-24 were neither </w:t>
      </w:r>
      <w:r>
        <w:rPr>
          <w:bCs/>
          <w:i/>
          <w:iCs/>
          <w:noProof/>
          <w:lang w:val="en-GB"/>
        </w:rPr>
        <w:t xml:space="preserve">in employment, education or training (NEET) in 2017. </w:t>
      </w:r>
      <w:r>
        <w:rPr>
          <w:i/>
          <w:iCs/>
          <w:noProof/>
          <w:lang w:val="en-GB"/>
        </w:rPr>
        <w:t>If prolonged over time, detachment of young people from the labour market can have negative consequences for potential growth as well as negative effects for the individuals concerned, such as the deprec</w:t>
      </w:r>
      <w:r>
        <w:rPr>
          <w:i/>
          <w:iCs/>
          <w:noProof/>
          <w:lang w:val="en-GB"/>
        </w:rPr>
        <w:t>iation of skills and a higher risk of poverty and social exclusion later in life. Actions taken by Member States in line with t</w:t>
      </w:r>
      <w:r>
        <w:rPr>
          <w:i/>
          <w:iCs/>
          <w:noProof/>
          <w:color w:val="auto"/>
          <w:lang w:val="en-GB"/>
        </w:rPr>
        <w:t xml:space="preserve">he Council Recommendation establishing the Youth Guarantee are key drivers for improvement. </w:t>
      </w:r>
    </w:p>
    <w:p w:rsidR="00EF5220" w:rsidRDefault="00EF2564">
      <w:pPr>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Ensuring access to quality and inclu</w:t>
      </w:r>
      <w:r>
        <w:rPr>
          <w:rFonts w:ascii="Times New Roman" w:hAnsi="Times New Roman" w:cs="Times New Roman"/>
          <w:b/>
          <w:bCs/>
          <w:i/>
          <w:iCs/>
          <w:noProof/>
          <w:sz w:val="24"/>
          <w:szCs w:val="24"/>
          <w:lang w:val="en-GB"/>
        </w:rPr>
        <w:t>sive education and training</w:t>
      </w:r>
      <w:r>
        <w:rPr>
          <w:rFonts w:ascii="Times New Roman" w:hAnsi="Times New Roman"/>
          <w:b/>
          <w:bCs/>
          <w:i/>
          <w:iCs/>
          <w:noProof/>
          <w:sz w:val="24"/>
          <w:szCs w:val="24"/>
          <w:lang w:val="en-GB"/>
        </w:rPr>
        <w:t xml:space="preserve"> enables younger generations to become </w:t>
      </w:r>
      <w:r>
        <w:rPr>
          <w:rFonts w:ascii="Times New Roman" w:hAnsi="Times New Roman" w:cs="Times New Roman"/>
          <w:b/>
          <w:bCs/>
          <w:i/>
          <w:iCs/>
          <w:noProof/>
          <w:sz w:val="24"/>
          <w:szCs w:val="24"/>
          <w:lang w:val="en-GB"/>
        </w:rPr>
        <w:t xml:space="preserve">engaged and active citizens, helping them integrate into the labour market and society. </w:t>
      </w:r>
      <w:r>
        <w:rPr>
          <w:rFonts w:ascii="Times New Roman" w:hAnsi="Times New Roman" w:cs="Times New Roman"/>
          <w:bCs/>
          <w:i/>
          <w:iCs/>
          <w:noProof/>
          <w:sz w:val="24"/>
          <w:szCs w:val="24"/>
          <w:lang w:val="en-GB"/>
        </w:rPr>
        <w:t>Europe is progressing towards reaching the 2020 headline target on early school leaving rate of 10%, a</w:t>
      </w:r>
      <w:r>
        <w:rPr>
          <w:rFonts w:ascii="Times New Roman" w:hAnsi="Times New Roman" w:cs="Times New Roman"/>
          <w:bCs/>
          <w:i/>
          <w:iCs/>
          <w:noProof/>
          <w:sz w:val="24"/>
          <w:szCs w:val="24"/>
          <w:lang w:val="en-GB"/>
        </w:rPr>
        <w:t xml:space="preserve">nd has almost reached the target of 40% on tertiary education attainment. Still, large differences persist across Member States and among </w:t>
      </w:r>
      <w:r>
        <w:rPr>
          <w:rFonts w:ascii="Times New Roman" w:hAnsi="Times New Roman" w:cs="Times New Roman"/>
          <w:bCs/>
          <w:i/>
          <w:iCs/>
          <w:noProof/>
          <w:sz w:val="24"/>
          <w:szCs w:val="24"/>
          <w:lang w:val="en-GB"/>
        </w:rPr>
        <w:lastRenderedPageBreak/>
        <w:t>population groups (for instance, between men and women and between native- and non-EU born people). The high shares of</w:t>
      </w:r>
      <w:r>
        <w:rPr>
          <w:rFonts w:ascii="Times New Roman" w:hAnsi="Times New Roman" w:cs="Times New Roman"/>
          <w:bCs/>
          <w:i/>
          <w:iCs/>
          <w:noProof/>
          <w:sz w:val="24"/>
          <w:szCs w:val="24"/>
          <w:lang w:val="en-GB"/>
        </w:rPr>
        <w:t xml:space="preserve"> low achievers in basic skills, and the strong correlation of educational outcomes with socio-economic status and labour market outcomes are a matter of concern. Member States are undertaking steps to improve their education systems, notably to further red</w:t>
      </w:r>
      <w:r>
        <w:rPr>
          <w:rFonts w:ascii="Times New Roman" w:hAnsi="Times New Roman" w:cs="Times New Roman"/>
          <w:bCs/>
          <w:i/>
          <w:iCs/>
          <w:noProof/>
          <w:sz w:val="24"/>
          <w:szCs w:val="24"/>
          <w:lang w:val="en-GB"/>
        </w:rPr>
        <w:t>uce drop-out rates, foster equal access and improve educational outcomes among disadvantaged learners. More (and more efficient) investment in education and training systems is a priority in some Member States. Improving the quality of higher education and</w:t>
      </w:r>
      <w:r>
        <w:rPr>
          <w:rFonts w:ascii="Times New Roman" w:hAnsi="Times New Roman" w:cs="Times New Roman"/>
          <w:bCs/>
          <w:i/>
          <w:iCs/>
          <w:noProof/>
          <w:sz w:val="24"/>
          <w:szCs w:val="24"/>
          <w:lang w:val="en-GB"/>
        </w:rPr>
        <w:t xml:space="preserve"> its labour market relevance is also high on the agendas of Member States, especially in the context of rising tertiary education attainment rates.</w:t>
      </w:r>
    </w:p>
    <w:p w:rsidR="00EF5220" w:rsidRDefault="00EF2564">
      <w:pPr>
        <w:spacing w:line="360" w:lineRule="auto"/>
        <w:jc w:val="both"/>
        <w:rPr>
          <w:rFonts w:ascii="Times New Roman" w:hAnsi="Times New Roman" w:cs="Times New Roman"/>
          <w:i/>
          <w:noProof/>
          <w:sz w:val="24"/>
          <w:szCs w:val="24"/>
          <w:lang w:val="en-GB"/>
        </w:rPr>
      </w:pPr>
      <w:r>
        <w:rPr>
          <w:rFonts w:ascii="Times New Roman" w:hAnsi="Times New Roman" w:cs="Times New Roman"/>
          <w:b/>
          <w:i/>
          <w:noProof/>
          <w:sz w:val="24"/>
          <w:szCs w:val="24"/>
          <w:lang w:val="en-GB"/>
        </w:rPr>
        <w:t>Technological changes and related transformations in labour markets crucially require upskilling and reskill</w:t>
      </w:r>
      <w:r>
        <w:rPr>
          <w:rFonts w:ascii="Times New Roman" w:hAnsi="Times New Roman" w:cs="Times New Roman"/>
          <w:b/>
          <w:i/>
          <w:noProof/>
          <w:sz w:val="24"/>
          <w:szCs w:val="24"/>
          <w:lang w:val="en-GB"/>
        </w:rPr>
        <w:t xml:space="preserve">ing of the working age population. </w:t>
      </w:r>
      <w:r>
        <w:rPr>
          <w:rFonts w:ascii="Times New Roman" w:hAnsi="Times New Roman"/>
          <w:i/>
          <w:noProof/>
          <w:sz w:val="24"/>
          <w:lang w:val="en-GB"/>
        </w:rPr>
        <w:t>Having a labour market relevant qualification is increasingly important for workers to adapt to a rapidly changing environment.</w:t>
      </w:r>
      <w:r>
        <w:rPr>
          <w:rFonts w:ascii="Times New Roman" w:hAnsi="Times New Roman"/>
          <w:b/>
          <w:i/>
          <w:noProof/>
          <w:sz w:val="24"/>
          <w:lang w:val="en-GB"/>
        </w:rPr>
        <w:t xml:space="preserve"> </w:t>
      </w:r>
      <w:r>
        <w:rPr>
          <w:rFonts w:ascii="Times New Roman" w:hAnsi="Times New Roman" w:cs="Times New Roman"/>
          <w:i/>
          <w:noProof/>
          <w:sz w:val="24"/>
          <w:szCs w:val="24"/>
          <w:lang w:val="en-GB"/>
        </w:rPr>
        <w:t>In the EU, the ratio between low-qualified adults and the number of jobs requiring a low qual</w:t>
      </w:r>
      <w:r>
        <w:rPr>
          <w:rFonts w:ascii="Times New Roman" w:hAnsi="Times New Roman" w:cs="Times New Roman"/>
          <w:i/>
          <w:noProof/>
          <w:sz w:val="24"/>
          <w:szCs w:val="24"/>
          <w:lang w:val="en-GB"/>
        </w:rPr>
        <w:t>ification level is, on average, three to one. Yet, low skilled and older people are significantly less likely to participate in adult learning programmes than the average. Significant gaps remain in terms of digital skills: more than 40% of adults in the E</w:t>
      </w:r>
      <w:r>
        <w:rPr>
          <w:rFonts w:ascii="Times New Roman" w:hAnsi="Times New Roman" w:cs="Times New Roman"/>
          <w:i/>
          <w:noProof/>
          <w:sz w:val="24"/>
          <w:szCs w:val="24"/>
          <w:lang w:val="en-GB"/>
        </w:rPr>
        <w:t xml:space="preserve">U do not have basic digital skills, with peaks of 70% in some Member States. This implies that a significant part of the population cannot access a large variety of services, with negative impacts on inclusion and productivity. </w:t>
      </w:r>
    </w:p>
    <w:p w:rsidR="00EF5220" w:rsidRDefault="00EF2564">
      <w:pPr>
        <w:spacing w:line="360" w:lineRule="auto"/>
        <w:jc w:val="both"/>
        <w:rPr>
          <w:rFonts w:ascii="Times New Roman" w:hAnsi="Times New Roman" w:cs="Times New Roman"/>
          <w:bCs/>
          <w:i/>
          <w:iCs/>
          <w:noProof/>
          <w:sz w:val="24"/>
          <w:szCs w:val="24"/>
          <w:lang w:val="en-GB"/>
        </w:rPr>
      </w:pPr>
      <w:r>
        <w:rPr>
          <w:rFonts w:ascii="Times New Roman" w:hAnsi="Times New Roman" w:cs="Times New Roman"/>
          <w:b/>
          <w:i/>
          <w:noProof/>
          <w:sz w:val="24"/>
          <w:szCs w:val="24"/>
          <w:lang w:val="en-GB"/>
        </w:rPr>
        <w:t xml:space="preserve">Member States are adapting </w:t>
      </w:r>
      <w:r>
        <w:rPr>
          <w:rFonts w:ascii="Times New Roman" w:hAnsi="Times New Roman" w:cs="Times New Roman"/>
          <w:b/>
          <w:i/>
          <w:noProof/>
          <w:sz w:val="24"/>
          <w:szCs w:val="24"/>
          <w:lang w:val="en-GB"/>
        </w:rPr>
        <w:t>their skills development systems and are developing strategies to improve labour market relevance of training, with a view to facilitating learners’ transitions into and within the labour market.</w:t>
      </w:r>
      <w:r>
        <w:rPr>
          <w:rFonts w:ascii="Times New Roman" w:hAnsi="Times New Roman" w:cs="Times New Roman"/>
          <w:i/>
          <w:noProof/>
          <w:sz w:val="24"/>
          <w:szCs w:val="24"/>
          <w:lang w:val="en-GB"/>
        </w:rPr>
        <w:t xml:space="preserve"> This includes</w:t>
      </w:r>
      <w:r>
        <w:rPr>
          <w:rFonts w:ascii="Times New Roman" w:hAnsi="Times New Roman" w:cs="Times New Roman"/>
          <w:b/>
          <w:i/>
          <w:noProof/>
          <w:sz w:val="24"/>
          <w:szCs w:val="24"/>
          <w:lang w:val="en-GB"/>
        </w:rPr>
        <w:t xml:space="preserve"> </w:t>
      </w:r>
      <w:r>
        <w:rPr>
          <w:rFonts w:ascii="Times New Roman" w:hAnsi="Times New Roman" w:cs="Times New Roman"/>
          <w:i/>
          <w:noProof/>
          <w:sz w:val="24"/>
          <w:szCs w:val="24"/>
          <w:lang w:val="en-GB"/>
        </w:rPr>
        <w:t xml:space="preserve">making skills and qualifications easier to be </w:t>
      </w:r>
      <w:r>
        <w:rPr>
          <w:rFonts w:ascii="Times New Roman" w:hAnsi="Times New Roman" w:cs="Times New Roman"/>
          <w:i/>
          <w:noProof/>
          <w:sz w:val="24"/>
          <w:szCs w:val="24"/>
          <w:lang w:val="en-GB"/>
        </w:rPr>
        <w:t>understood and recognised throughout Europe and taking into account learning outside institutional contexts. Vocational education and training systems are being reviewed and updated, with the goal of improving their labour market relevance and promoting ac</w:t>
      </w:r>
      <w:r>
        <w:rPr>
          <w:rFonts w:ascii="Times New Roman" w:hAnsi="Times New Roman" w:cs="Times New Roman"/>
          <w:i/>
          <w:noProof/>
          <w:sz w:val="24"/>
          <w:szCs w:val="24"/>
          <w:lang w:val="en-GB"/>
        </w:rPr>
        <w:t xml:space="preserve">cess, but challenges remain in these domains. </w:t>
      </w:r>
      <w:r>
        <w:rPr>
          <w:rFonts w:ascii="Times New Roman" w:hAnsi="Times New Roman" w:cs="Times New Roman"/>
          <w:bCs/>
          <w:i/>
          <w:iCs/>
          <w:noProof/>
          <w:sz w:val="24"/>
          <w:szCs w:val="24"/>
          <w:lang w:val="en-GB"/>
        </w:rPr>
        <w:t>The</w:t>
      </w:r>
      <w:r>
        <w:rPr>
          <w:rFonts w:ascii="Times New Roman" w:hAnsi="Times New Roman" w:cs="Times New Roman"/>
          <w:i/>
          <w:noProof/>
          <w:sz w:val="24"/>
          <w:szCs w:val="24"/>
          <w:lang w:val="en-GB"/>
        </w:rPr>
        <w:t xml:space="preserve"> provision of incentives to disadvantaged groups to participate in adult learning, together with proper guidance and the provision of financial support to companies for training their staff are important pol</w:t>
      </w:r>
      <w:r>
        <w:rPr>
          <w:rFonts w:ascii="Times New Roman" w:hAnsi="Times New Roman" w:cs="Times New Roman"/>
          <w:i/>
          <w:noProof/>
          <w:sz w:val="24"/>
          <w:szCs w:val="24"/>
          <w:lang w:val="en-GB"/>
        </w:rPr>
        <w:t>icy levers to achieve better outcomes. Member States continue to increase the offer of learning and qualification opportunities to low-skilled adults, in line with the Upskilling Pathways initiative. Promoting development of digital skills occupies an impo</w:t>
      </w:r>
      <w:r>
        <w:rPr>
          <w:rFonts w:ascii="Times New Roman" w:hAnsi="Times New Roman" w:cs="Times New Roman"/>
          <w:i/>
          <w:noProof/>
          <w:sz w:val="24"/>
          <w:szCs w:val="24"/>
          <w:lang w:val="en-GB"/>
        </w:rPr>
        <w:t>rtant place among Member States’ education and skills priorities.</w:t>
      </w:r>
      <w:r>
        <w:rPr>
          <w:rFonts w:ascii="Times New Roman" w:hAnsi="Times New Roman" w:cs="Times New Roman"/>
          <w:bCs/>
          <w:i/>
          <w:iCs/>
          <w:noProof/>
          <w:sz w:val="24"/>
          <w:szCs w:val="24"/>
          <w:lang w:val="en-GB"/>
        </w:rPr>
        <w:t xml:space="preserve"> </w:t>
      </w:r>
    </w:p>
    <w:p w:rsidR="00EF5220" w:rsidRDefault="00EF2564">
      <w:pPr>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The incidence of atypical forms of work is roughly stable at EU level, but high labour market segmentation remains an issue for a number of Member States.</w:t>
      </w:r>
      <w:r>
        <w:rPr>
          <w:noProof/>
          <w:lang w:val="en-GB"/>
        </w:rPr>
        <w:t xml:space="preserve"> </w:t>
      </w:r>
      <w:r>
        <w:rPr>
          <w:rFonts w:ascii="Times New Roman" w:hAnsi="Times New Roman" w:cs="Times New Roman"/>
          <w:bCs/>
          <w:i/>
          <w:iCs/>
          <w:noProof/>
          <w:sz w:val="24"/>
          <w:szCs w:val="24"/>
          <w:lang w:val="en-GB"/>
        </w:rPr>
        <w:t xml:space="preserve">The share of total employees on a </w:t>
      </w:r>
      <w:r>
        <w:rPr>
          <w:rFonts w:ascii="Times New Roman" w:hAnsi="Times New Roman" w:cs="Times New Roman"/>
          <w:bCs/>
          <w:i/>
          <w:iCs/>
          <w:noProof/>
          <w:sz w:val="24"/>
          <w:szCs w:val="24"/>
          <w:lang w:val="en-GB"/>
        </w:rPr>
        <w:t>temporary contract did not change significantly over recent years, hovering around 14% on average. Globally, more than half of temporary employees are "involuntary", reaching 70% or more in 12 Member States. In several countries, the combination of high sh</w:t>
      </w:r>
      <w:r>
        <w:rPr>
          <w:rFonts w:ascii="Times New Roman" w:hAnsi="Times New Roman" w:cs="Times New Roman"/>
          <w:bCs/>
          <w:i/>
          <w:iCs/>
          <w:noProof/>
          <w:sz w:val="24"/>
          <w:szCs w:val="24"/>
          <w:lang w:val="en-GB"/>
        </w:rPr>
        <w:t>ares of temporary contracts and low transition rates towards permanent contracts is symptomatic of labour market duality. This is a matter of concern as a</w:t>
      </w:r>
      <w:r>
        <w:rPr>
          <w:rFonts w:ascii="Times New Roman" w:hAnsi="Times New Roman"/>
          <w:i/>
          <w:noProof/>
          <w:sz w:val="24"/>
          <w:lang w:val="en-GB"/>
        </w:rPr>
        <w:t>typical workers experience lower job quality and higher in-work poverty risks</w:t>
      </w:r>
      <w:r>
        <w:rPr>
          <w:rFonts w:ascii="Times New Roman" w:hAnsi="Times New Roman" w:cs="Times New Roman"/>
          <w:bCs/>
          <w:i/>
          <w:iCs/>
          <w:noProof/>
          <w:sz w:val="24"/>
          <w:szCs w:val="24"/>
          <w:lang w:val="en-GB"/>
        </w:rPr>
        <w:t>. In addition, around one</w:t>
      </w:r>
      <w:r>
        <w:rPr>
          <w:rFonts w:ascii="Times New Roman" w:hAnsi="Times New Roman" w:cs="Times New Roman"/>
          <w:bCs/>
          <w:i/>
          <w:iCs/>
          <w:noProof/>
          <w:sz w:val="24"/>
          <w:szCs w:val="24"/>
          <w:lang w:val="en-GB"/>
        </w:rPr>
        <w:t xml:space="preserve"> quarter of all self-employed workers in the EU can be classified as "vulnerable" or "concealed". Also, survey results seem to suggest that </w:t>
      </w:r>
      <w:r>
        <w:rPr>
          <w:rFonts w:ascii="Times New Roman" w:hAnsi="Times New Roman"/>
          <w:i/>
          <w:noProof/>
          <w:sz w:val="24"/>
          <w:lang w:val="en-GB"/>
        </w:rPr>
        <w:t>the proportion of people earning more than half of their income from platform work may now have reached around 2% (2</w:t>
      </w:r>
      <w:r>
        <w:rPr>
          <w:rFonts w:ascii="Times New Roman" w:hAnsi="Times New Roman"/>
          <w:i/>
          <w:noProof/>
          <w:sz w:val="24"/>
          <w:lang w:val="en-GB"/>
        </w:rPr>
        <w:t>017) and is expected to increase, which underlines the importance of increased policy focus on this development. Reforms in the area of employment protection legislation are taking place in some Member States, with the aim to achieve a better balance betwe</w:t>
      </w:r>
      <w:r>
        <w:rPr>
          <w:rFonts w:ascii="Times New Roman" w:hAnsi="Times New Roman"/>
          <w:i/>
          <w:noProof/>
          <w:sz w:val="24"/>
          <w:lang w:val="en-GB"/>
        </w:rPr>
        <w:t>en flexibility and security and avoid segmentation. These include, in some cases, stricter conditions for using temporary contracts, or larger scope for collective bargaining to define their framework. Regulation on new forms of work, including platform wo</w:t>
      </w:r>
      <w:r>
        <w:rPr>
          <w:rFonts w:ascii="Times New Roman" w:hAnsi="Times New Roman"/>
          <w:i/>
          <w:noProof/>
          <w:sz w:val="24"/>
          <w:lang w:val="en-GB"/>
        </w:rPr>
        <w:t>rkers and own-account workers, has been initiated in a few Member States.</w:t>
      </w:r>
    </w:p>
    <w:p w:rsidR="00EF5220" w:rsidRDefault="00EF2564">
      <w:pPr>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Unemployment benefits of adequate amount, reasonable duration, accessible to all workers and accompanied by effective activation measures are key to support jobseekers during transit</w:t>
      </w:r>
      <w:r>
        <w:rPr>
          <w:rFonts w:ascii="Times New Roman" w:hAnsi="Times New Roman" w:cs="Times New Roman"/>
          <w:b/>
          <w:bCs/>
          <w:i/>
          <w:iCs/>
          <w:noProof/>
          <w:sz w:val="24"/>
          <w:szCs w:val="24"/>
          <w:lang w:val="en-GB"/>
        </w:rPr>
        <w:t>ions.</w:t>
      </w:r>
      <w:r>
        <w:rPr>
          <w:rFonts w:ascii="Times New Roman" w:hAnsi="Times New Roman" w:cs="Times New Roman"/>
          <w:bCs/>
          <w:i/>
          <w:iCs/>
          <w:noProof/>
          <w:sz w:val="24"/>
          <w:szCs w:val="24"/>
          <w:lang w:val="en-GB"/>
        </w:rPr>
        <w:t xml:space="preserve"> The design of these systems varies to a considerable extent from one Member States to another, across all dimensions. Recent reforms in this domain have mostly focused on strengthening activation requirements for jobseekers receiving benefits, for in</w:t>
      </w:r>
      <w:r>
        <w:rPr>
          <w:rFonts w:ascii="Times New Roman" w:hAnsi="Times New Roman" w:cs="Times New Roman"/>
          <w:bCs/>
          <w:i/>
          <w:iCs/>
          <w:noProof/>
          <w:sz w:val="24"/>
          <w:szCs w:val="24"/>
          <w:lang w:val="en-GB"/>
        </w:rPr>
        <w:t>stance by reinforcing job search obligations and conditions to accept a new job. Concerns remain about the coverage of atypical workers, who often do not have full access to the system, and the absence of coverage for the self-employed – issues highlighted</w:t>
      </w:r>
      <w:r>
        <w:rPr>
          <w:rFonts w:ascii="Times New Roman" w:hAnsi="Times New Roman" w:cs="Times New Roman"/>
          <w:bCs/>
          <w:i/>
          <w:iCs/>
          <w:noProof/>
          <w:sz w:val="24"/>
          <w:szCs w:val="24"/>
          <w:lang w:val="en-GB"/>
        </w:rPr>
        <w:t xml:space="preserve"> in the Commission's proposal for a Council recommendation on access to social protection for workers and the self-employed.</w:t>
      </w:r>
    </w:p>
    <w:p w:rsidR="00EF5220" w:rsidRDefault="00EF2564">
      <w:pPr>
        <w:spacing w:line="360" w:lineRule="auto"/>
        <w:jc w:val="both"/>
        <w:rPr>
          <w:rFonts w:ascii="Times New Roman" w:hAnsi="Times New Roman" w:cs="Times New Roman"/>
          <w:bCs/>
          <w:i/>
          <w:noProof/>
          <w:sz w:val="24"/>
          <w:szCs w:val="24"/>
          <w:lang w:eastAsia="en-GB"/>
        </w:rPr>
      </w:pPr>
      <w:r>
        <w:rPr>
          <w:rFonts w:ascii="Times New Roman" w:hAnsi="Times New Roman"/>
          <w:b/>
          <w:i/>
          <w:noProof/>
          <w:sz w:val="24"/>
          <w:lang w:val="en-GB"/>
        </w:rPr>
        <w:t xml:space="preserve">Effective active labour market policies and Public Employment Services are crucial to ensure well-functioning and inclusive labour </w:t>
      </w:r>
      <w:r>
        <w:rPr>
          <w:rFonts w:ascii="Times New Roman" w:hAnsi="Times New Roman"/>
          <w:b/>
          <w:i/>
          <w:noProof/>
          <w:sz w:val="24"/>
          <w:lang w:val="en-GB"/>
        </w:rPr>
        <w:t>markets.</w:t>
      </w:r>
      <w:r>
        <w:rPr>
          <w:rFonts w:ascii="Times New Roman" w:hAnsi="Times New Roman"/>
          <w:i/>
          <w:noProof/>
          <w:sz w:val="24"/>
          <w:lang w:val="en-GB"/>
        </w:rPr>
        <w:t xml:space="preserve"> Active labour market policies improve labour market matching and increase the chances of job seekers to find a new job. Their role is especially important to foster the integration of the long-term unemployed. Public Employment Services are the ma</w:t>
      </w:r>
      <w:r>
        <w:rPr>
          <w:rFonts w:ascii="Times New Roman" w:hAnsi="Times New Roman"/>
          <w:i/>
          <w:noProof/>
          <w:sz w:val="24"/>
          <w:lang w:val="en-GB"/>
        </w:rPr>
        <w:t xml:space="preserve">in institutions in charge of supporting job search efforts of the unemployed and referring them to activation measures. Yet, participation and investment in active labour market policies differs significantly across the EU. Similarly, the effectiveness of </w:t>
      </w:r>
      <w:r>
        <w:rPr>
          <w:rFonts w:ascii="Times New Roman" w:hAnsi="Times New Roman"/>
          <w:i/>
          <w:noProof/>
          <w:sz w:val="24"/>
          <w:lang w:val="en-GB"/>
        </w:rPr>
        <w:t>Public Employment Services in providing job search support is heterogeneous across and, sometimes, within Member States. While important measures are being taken in a majority of Member States, with a focus on the provision of individualised services, seve</w:t>
      </w:r>
      <w:r>
        <w:rPr>
          <w:rFonts w:ascii="Times New Roman" w:hAnsi="Times New Roman"/>
          <w:i/>
          <w:noProof/>
          <w:sz w:val="24"/>
          <w:lang w:val="en-GB"/>
        </w:rPr>
        <w:t>ral Member States have scope to reinforce their active labour market policies systems. Member States made progress on implementing the Council recommendation on the integration of long-term unemployed, with further action needed to foster cooperation acros</w:t>
      </w:r>
      <w:r>
        <w:rPr>
          <w:rFonts w:ascii="Times New Roman" w:hAnsi="Times New Roman"/>
          <w:i/>
          <w:noProof/>
          <w:sz w:val="24"/>
          <w:lang w:val="en-GB"/>
        </w:rPr>
        <w:t xml:space="preserve">s different actors and on improving outreach towards inactive people. Public Employment Services are continuing their reform agenda, in the framework of the European PES Network. </w:t>
      </w:r>
      <w:r>
        <w:rPr>
          <w:rFonts w:ascii="Times New Roman" w:hAnsi="Times New Roman" w:cs="Times New Roman"/>
          <w:bCs/>
          <w:i/>
          <w:noProof/>
          <w:sz w:val="24"/>
          <w:szCs w:val="24"/>
          <w:lang w:eastAsia="en-GB"/>
        </w:rPr>
        <w:t xml:space="preserve">While some Member States took further measures to promote the integration </w:t>
      </w:r>
      <w:r>
        <w:rPr>
          <w:rFonts w:ascii="Times New Roman" w:hAnsi="Times New Roman" w:cs="Times New Roman"/>
          <w:bCs/>
          <w:i/>
          <w:noProof/>
          <w:sz w:val="24"/>
          <w:szCs w:val="24"/>
          <w:lang w:val="en-GB" w:eastAsia="en-GB"/>
        </w:rPr>
        <w:t xml:space="preserve">of </w:t>
      </w:r>
      <w:r>
        <w:rPr>
          <w:rFonts w:ascii="Times New Roman" w:hAnsi="Times New Roman" w:cs="Times New Roman"/>
          <w:bCs/>
          <w:i/>
          <w:noProof/>
          <w:sz w:val="24"/>
          <w:szCs w:val="24"/>
          <w:lang w:val="en-GB" w:eastAsia="en-GB"/>
        </w:rPr>
        <w:t xml:space="preserve">migrants </w:t>
      </w:r>
      <w:r>
        <w:rPr>
          <w:rFonts w:ascii="Times New Roman" w:hAnsi="Times New Roman" w:cs="Times New Roman"/>
          <w:bCs/>
          <w:i/>
          <w:noProof/>
          <w:sz w:val="24"/>
          <w:szCs w:val="24"/>
          <w:lang w:eastAsia="en-GB"/>
        </w:rPr>
        <w:t xml:space="preserve">into the labour market (with a focus in particular on refugees), systematic approaches are lacking and there is </w:t>
      </w:r>
      <w:r>
        <w:rPr>
          <w:rFonts w:ascii="Times New Roman" w:hAnsi="Times New Roman" w:cs="Times New Roman"/>
          <w:bCs/>
          <w:i/>
          <w:noProof/>
          <w:sz w:val="24"/>
          <w:szCs w:val="24"/>
          <w:lang w:val="en-GB" w:eastAsia="en-GB"/>
        </w:rPr>
        <w:t xml:space="preserve">a </w:t>
      </w:r>
      <w:r>
        <w:rPr>
          <w:rFonts w:ascii="Times New Roman" w:hAnsi="Times New Roman" w:cs="Times New Roman"/>
          <w:bCs/>
          <w:i/>
          <w:noProof/>
          <w:sz w:val="24"/>
          <w:szCs w:val="24"/>
          <w:lang w:eastAsia="en-GB"/>
        </w:rPr>
        <w:t xml:space="preserve"> need to invest more into upskilling and recognition of skill and qualifications, efficient labour market policies and support by </w:t>
      </w:r>
      <w:r>
        <w:rPr>
          <w:rFonts w:ascii="Times New Roman" w:hAnsi="Times New Roman" w:cs="Times New Roman"/>
          <w:bCs/>
          <w:i/>
          <w:noProof/>
          <w:sz w:val="24"/>
          <w:szCs w:val="24"/>
          <w:lang w:val="en-GB" w:eastAsia="en-GB"/>
        </w:rPr>
        <w:t>P</w:t>
      </w:r>
      <w:r>
        <w:rPr>
          <w:rFonts w:ascii="Times New Roman" w:hAnsi="Times New Roman" w:cs="Times New Roman"/>
          <w:bCs/>
          <w:i/>
          <w:noProof/>
          <w:sz w:val="24"/>
          <w:szCs w:val="24"/>
          <w:lang w:eastAsia="en-GB"/>
        </w:rPr>
        <w:t xml:space="preserve">ublic </w:t>
      </w:r>
      <w:r>
        <w:rPr>
          <w:rFonts w:ascii="Times New Roman" w:hAnsi="Times New Roman" w:cs="Times New Roman"/>
          <w:bCs/>
          <w:i/>
          <w:noProof/>
          <w:sz w:val="24"/>
          <w:szCs w:val="24"/>
          <w:lang w:val="en-GB" w:eastAsia="en-GB"/>
        </w:rPr>
        <w:t>E</w:t>
      </w:r>
      <w:r>
        <w:rPr>
          <w:rFonts w:ascii="Times New Roman" w:hAnsi="Times New Roman" w:cs="Times New Roman"/>
          <w:bCs/>
          <w:i/>
          <w:noProof/>
          <w:sz w:val="24"/>
          <w:szCs w:val="24"/>
          <w:lang w:eastAsia="en-GB"/>
        </w:rPr>
        <w:t xml:space="preserve">mployment </w:t>
      </w:r>
      <w:r>
        <w:rPr>
          <w:rFonts w:ascii="Times New Roman" w:hAnsi="Times New Roman" w:cs="Times New Roman"/>
          <w:bCs/>
          <w:i/>
          <w:noProof/>
          <w:sz w:val="24"/>
          <w:szCs w:val="24"/>
          <w:lang w:val="en-GB" w:eastAsia="en-GB"/>
        </w:rPr>
        <w:t>S</w:t>
      </w:r>
      <w:r>
        <w:rPr>
          <w:rFonts w:ascii="Times New Roman" w:hAnsi="Times New Roman" w:cs="Times New Roman"/>
          <w:bCs/>
          <w:i/>
          <w:noProof/>
          <w:sz w:val="24"/>
          <w:szCs w:val="24"/>
          <w:lang w:eastAsia="en-GB"/>
        </w:rPr>
        <w:t>ervices. </w:t>
      </w:r>
    </w:p>
    <w:p w:rsidR="00EF5220" w:rsidRDefault="00EF2564">
      <w:pPr>
        <w:tabs>
          <w:tab w:val="left" w:pos="4678"/>
        </w:tabs>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For the first time since the crisis income inequality in the EU decreased slightly in 2017,</w:t>
      </w:r>
      <w:r>
        <w:rPr>
          <w:rFonts w:ascii="Times New Roman" w:hAnsi="Times New Roman" w:cs="Times New Roman"/>
          <w:bCs/>
          <w:i/>
          <w:iCs/>
          <w:noProof/>
          <w:sz w:val="24"/>
          <w:szCs w:val="24"/>
          <w:lang w:val="en-GB"/>
        </w:rPr>
        <w:t xml:space="preserve"> driven by </w:t>
      </w:r>
      <w:r>
        <w:rPr>
          <w:rFonts w:ascii="Times New Roman" w:hAnsi="Times New Roman"/>
          <w:i/>
          <w:noProof/>
          <w:sz w:val="24"/>
          <w:lang w:val="en-GB"/>
        </w:rPr>
        <w:t>faster increases in the incomes of lower income households. This suggests that the recovery begins to reach the most vulnerabl</w:t>
      </w:r>
      <w:r>
        <w:rPr>
          <w:rFonts w:ascii="Times New Roman" w:hAnsi="Times New Roman"/>
          <w:i/>
          <w:noProof/>
          <w:sz w:val="24"/>
          <w:lang w:val="en-GB"/>
        </w:rPr>
        <w:t xml:space="preserve">e. </w:t>
      </w:r>
      <w:r>
        <w:rPr>
          <w:rFonts w:ascii="Times New Roman" w:hAnsi="Times New Roman" w:cs="Times New Roman"/>
          <w:bCs/>
          <w:i/>
          <w:iCs/>
          <w:noProof/>
          <w:sz w:val="24"/>
          <w:szCs w:val="24"/>
          <w:lang w:val="en-GB"/>
        </w:rPr>
        <w:t xml:space="preserve">Available estimates indicate that this positive trend will continue in a majority of Member States. Still, </w:t>
      </w:r>
      <w:r>
        <w:rPr>
          <w:rFonts w:ascii="Times New Roman" w:hAnsi="Times New Roman" w:cs="Times New Roman"/>
          <w:i/>
          <w:iCs/>
          <w:noProof/>
          <w:sz w:val="24"/>
          <w:szCs w:val="24"/>
          <w:lang w:val="en-GB"/>
        </w:rPr>
        <w:t>in 2017 the richest 20% of the population had a disposable income that was 5.1 times higher than that of the poorest 20% in the EU (from 5.2 in 20</w:t>
      </w:r>
      <w:r>
        <w:rPr>
          <w:rFonts w:ascii="Times New Roman" w:hAnsi="Times New Roman" w:cs="Times New Roman"/>
          <w:i/>
          <w:iCs/>
          <w:noProof/>
          <w:sz w:val="24"/>
          <w:szCs w:val="24"/>
          <w:lang w:val="en-GB"/>
        </w:rPr>
        <w:t>16), with large variation across Member States. I</w:t>
      </w:r>
      <w:r>
        <w:rPr>
          <w:rFonts w:ascii="Times New Roman" w:hAnsi="Times New Roman" w:cs="Times New Roman"/>
          <w:bCs/>
          <w:i/>
          <w:iCs/>
          <w:noProof/>
          <w:sz w:val="24"/>
          <w:szCs w:val="24"/>
          <w:lang w:val="en-GB"/>
        </w:rPr>
        <w:t>ncome inequality is above pre-crisis levels in some countries, often linked to unequal opportunities in access to education, training and social protection, and correlated to poor labour market outcomes. Som</w:t>
      </w:r>
      <w:r>
        <w:rPr>
          <w:rFonts w:ascii="Times New Roman" w:hAnsi="Times New Roman" w:cs="Times New Roman"/>
          <w:bCs/>
          <w:i/>
          <w:iCs/>
          <w:noProof/>
          <w:sz w:val="24"/>
          <w:szCs w:val="24"/>
          <w:lang w:val="en-GB"/>
        </w:rPr>
        <w:t xml:space="preserve">e </w:t>
      </w:r>
      <w:r>
        <w:rPr>
          <w:rFonts w:ascii="Times New Roman" w:hAnsi="Times New Roman"/>
          <w:i/>
          <w:noProof/>
          <w:sz w:val="24"/>
          <w:lang w:val="en-GB"/>
        </w:rPr>
        <w:t xml:space="preserve">Member States are undertaking inequality-reducing policies, notably in the design of minimum wage setting and tax and benefit systems. </w:t>
      </w:r>
      <w:r>
        <w:rPr>
          <w:rFonts w:ascii="Times New Roman" w:hAnsi="Times New Roman" w:cs="Times New Roman"/>
          <w:bCs/>
          <w:i/>
          <w:iCs/>
          <w:noProof/>
          <w:sz w:val="24"/>
          <w:szCs w:val="24"/>
          <w:lang w:val="en-GB"/>
        </w:rPr>
        <w:t>To break the transmission of inequalities across generations, Member States can take further action in different areas,</w:t>
      </w:r>
      <w:r>
        <w:rPr>
          <w:rFonts w:ascii="Times New Roman" w:hAnsi="Times New Roman" w:cs="Times New Roman"/>
          <w:bCs/>
          <w:i/>
          <w:iCs/>
          <w:noProof/>
          <w:sz w:val="24"/>
          <w:szCs w:val="24"/>
          <w:lang w:val="en-GB"/>
        </w:rPr>
        <w:t xml:space="preserve"> such as by fostering equal opportunities in education and training, ensuring access to quality healthcare and other services, promoting gender equality and addressing regional disparities. </w:t>
      </w:r>
    </w:p>
    <w:p w:rsidR="00EF5220" w:rsidRDefault="00EF2564">
      <w:pPr>
        <w:tabs>
          <w:tab w:val="left" w:pos="4678"/>
        </w:tabs>
        <w:spacing w:line="360" w:lineRule="auto"/>
        <w:jc w:val="both"/>
        <w:rPr>
          <w:rFonts w:ascii="Times New Roman" w:hAnsi="Times New Roman" w:cs="Times New Roman"/>
          <w:bCs/>
          <w:i/>
          <w:iCs/>
          <w:noProof/>
          <w:sz w:val="24"/>
          <w:szCs w:val="24"/>
          <w:lang w:val="en-GB"/>
        </w:rPr>
      </w:pPr>
      <w:r>
        <w:rPr>
          <w:rFonts w:ascii="Times New Roman" w:hAnsi="Times New Roman" w:cs="Times New Roman"/>
          <w:b/>
          <w:bCs/>
          <w:i/>
          <w:iCs/>
          <w:noProof/>
          <w:sz w:val="24"/>
          <w:szCs w:val="24"/>
          <w:lang w:val="en-GB"/>
        </w:rPr>
        <w:t>The measured impact of social transfers (excluding pensions) on p</w:t>
      </w:r>
      <w:r>
        <w:rPr>
          <w:rFonts w:ascii="Times New Roman" w:hAnsi="Times New Roman" w:cs="Times New Roman"/>
          <w:b/>
          <w:bCs/>
          <w:i/>
          <w:iCs/>
          <w:noProof/>
          <w:sz w:val="24"/>
          <w:szCs w:val="24"/>
          <w:lang w:val="en-GB"/>
        </w:rPr>
        <w:t xml:space="preserve">overty reduction continued to decline in 2017. </w:t>
      </w:r>
      <w:r>
        <w:rPr>
          <w:rFonts w:ascii="Times New Roman" w:hAnsi="Times New Roman"/>
          <w:bCs/>
          <w:i/>
          <w:noProof/>
          <w:sz w:val="24"/>
          <w:lang w:val="en-GB"/>
        </w:rPr>
        <w:t>This is in line with reduced automatic stabiliser effects in a phase of economic expansion,</w:t>
      </w:r>
      <w:r>
        <w:rPr>
          <w:rFonts w:ascii="Times New Roman" w:hAnsi="Times New Roman" w:cs="Times New Roman"/>
          <w:bCs/>
          <w:i/>
          <w:iCs/>
          <w:noProof/>
          <w:sz w:val="24"/>
          <w:szCs w:val="24"/>
          <w:lang w:val="en-GB"/>
        </w:rPr>
        <w:t xml:space="preserve"> though large variations remain among Member States</w:t>
      </w:r>
      <w:r>
        <w:rPr>
          <w:rFonts w:ascii="Times New Roman" w:hAnsi="Times New Roman"/>
          <w:bCs/>
          <w:i/>
          <w:noProof/>
          <w:sz w:val="24"/>
          <w:lang w:val="en-GB"/>
        </w:rPr>
        <w:t xml:space="preserve">. </w:t>
      </w:r>
      <w:r>
        <w:rPr>
          <w:rFonts w:ascii="Times New Roman" w:hAnsi="Times New Roman" w:cs="Times New Roman"/>
          <w:bCs/>
          <w:i/>
          <w:iCs/>
          <w:noProof/>
          <w:sz w:val="24"/>
          <w:szCs w:val="24"/>
          <w:lang w:val="en-GB"/>
        </w:rPr>
        <w:t>The poverty-reducing impact of social transfers fell mostly in lo</w:t>
      </w:r>
      <w:r>
        <w:rPr>
          <w:rFonts w:ascii="Times New Roman" w:hAnsi="Times New Roman" w:cs="Times New Roman"/>
          <w:bCs/>
          <w:i/>
          <w:iCs/>
          <w:noProof/>
          <w:sz w:val="24"/>
          <w:szCs w:val="24"/>
          <w:lang w:val="en-GB"/>
        </w:rPr>
        <w:t xml:space="preserve">ng-standing members of the EU, while it increased in countries that joined more recently (suggesting that convergence is taking place). The overall outcome depends on </w:t>
      </w:r>
      <w:r>
        <w:rPr>
          <w:rFonts w:ascii="Times New Roman" w:hAnsi="Times New Roman"/>
          <w:i/>
          <w:noProof/>
          <w:sz w:val="24"/>
          <w:lang w:val="en-GB"/>
        </w:rPr>
        <w:t>improved labour market conditions (and related changes in the characteristics of those at</w:t>
      </w:r>
      <w:r>
        <w:rPr>
          <w:rFonts w:ascii="Times New Roman" w:hAnsi="Times New Roman"/>
          <w:i/>
          <w:noProof/>
          <w:sz w:val="24"/>
          <w:lang w:val="en-GB"/>
        </w:rPr>
        <w:t xml:space="preserve"> risk of poverty)</w:t>
      </w:r>
      <w:r>
        <w:rPr>
          <w:rFonts w:ascii="Times New Roman" w:hAnsi="Times New Roman"/>
          <w:noProof/>
          <w:sz w:val="24"/>
          <w:lang w:val="en-GB"/>
        </w:rPr>
        <w:t xml:space="preserve"> </w:t>
      </w:r>
      <w:r>
        <w:rPr>
          <w:rFonts w:ascii="Times New Roman" w:hAnsi="Times New Roman"/>
          <w:i/>
          <w:noProof/>
          <w:sz w:val="24"/>
          <w:lang w:val="en-GB"/>
        </w:rPr>
        <w:t>as well as</w:t>
      </w:r>
      <w:r>
        <w:rPr>
          <w:rFonts w:ascii="Times New Roman" w:hAnsi="Times New Roman"/>
          <w:noProof/>
          <w:sz w:val="24"/>
          <w:lang w:val="en-GB"/>
        </w:rPr>
        <w:t xml:space="preserve"> </w:t>
      </w:r>
      <w:r>
        <w:rPr>
          <w:rFonts w:ascii="Times New Roman" w:hAnsi="Times New Roman" w:cs="Times New Roman"/>
          <w:bCs/>
          <w:i/>
          <w:iCs/>
          <w:noProof/>
          <w:sz w:val="24"/>
          <w:szCs w:val="24"/>
          <w:lang w:val="en-GB"/>
        </w:rPr>
        <w:t xml:space="preserve">changes in benefits adequacy and coverage, including the fact that benefits sometimes lag behind generally increasing incomes. </w:t>
      </w:r>
      <w:r>
        <w:rPr>
          <w:rFonts w:ascii="Times New Roman" w:hAnsi="Times New Roman"/>
          <w:i/>
          <w:noProof/>
          <w:sz w:val="24"/>
          <w:lang w:val="en-GB"/>
        </w:rPr>
        <w:t>The adequacy of minimum income benefits varies significantly among Member States, as shown by the re</w:t>
      </w:r>
      <w:r>
        <w:rPr>
          <w:rFonts w:ascii="Times New Roman" w:hAnsi="Times New Roman"/>
          <w:i/>
          <w:noProof/>
          <w:sz w:val="24"/>
          <w:lang w:val="en-GB"/>
        </w:rPr>
        <w:t xml:space="preserve">sults of the related benchmarking exercise. </w:t>
      </w:r>
    </w:p>
    <w:p w:rsidR="00EF5220" w:rsidRDefault="00EF2564">
      <w:pPr>
        <w:tabs>
          <w:tab w:val="left" w:pos="4678"/>
        </w:tabs>
        <w:spacing w:line="360" w:lineRule="auto"/>
        <w:jc w:val="both"/>
        <w:rPr>
          <w:rFonts w:ascii="Times New Roman" w:eastAsia="Calibri" w:hAnsi="Times New Roman" w:cs="Times New Roman"/>
          <w:b/>
          <w:noProof/>
          <w:color w:val="4F81BD" w:themeColor="accent1"/>
          <w:sz w:val="24"/>
          <w:lang w:val="en-GB"/>
        </w:rPr>
      </w:pPr>
      <w:r>
        <w:rPr>
          <w:rFonts w:ascii="Times New Roman" w:hAnsi="Times New Roman" w:cs="Times New Roman"/>
          <w:b/>
          <w:bCs/>
          <w:i/>
          <w:iCs/>
          <w:noProof/>
          <w:sz w:val="24"/>
          <w:szCs w:val="24"/>
          <w:lang w:val="en-GB"/>
        </w:rPr>
        <w:t xml:space="preserve">Member States continue taking measures to modernise social protection systems, strengthening </w:t>
      </w:r>
      <w:r>
        <w:rPr>
          <w:rFonts w:ascii="Times New Roman" w:hAnsi="Times New Roman"/>
          <w:b/>
          <w:bCs/>
          <w:i/>
          <w:iCs/>
          <w:noProof/>
          <w:sz w:val="24"/>
          <w:szCs w:val="24"/>
          <w:lang w:val="en-GB"/>
        </w:rPr>
        <w:t xml:space="preserve">coverage and adequacy of benefits and services. </w:t>
      </w:r>
      <w:r>
        <w:rPr>
          <w:rFonts w:ascii="Times New Roman" w:hAnsi="Times New Roman" w:cs="Times New Roman"/>
          <w:bCs/>
          <w:i/>
          <w:iCs/>
          <w:noProof/>
          <w:sz w:val="24"/>
          <w:szCs w:val="24"/>
          <w:lang w:val="en-GB"/>
        </w:rPr>
        <w:t>S</w:t>
      </w:r>
      <w:r>
        <w:rPr>
          <w:rFonts w:ascii="Times New Roman" w:hAnsi="Times New Roman"/>
          <w:bCs/>
          <w:i/>
          <w:iCs/>
          <w:noProof/>
          <w:sz w:val="24"/>
          <w:szCs w:val="24"/>
          <w:lang w:val="en-GB"/>
        </w:rPr>
        <w:t xml:space="preserve">teps are being taken to improve access to social protection, notably </w:t>
      </w:r>
      <w:r>
        <w:rPr>
          <w:rFonts w:ascii="Times New Roman" w:hAnsi="Times New Roman"/>
          <w:bCs/>
          <w:i/>
          <w:iCs/>
          <w:noProof/>
          <w:sz w:val="24"/>
          <w:szCs w:val="24"/>
          <w:lang w:val="en-GB"/>
        </w:rPr>
        <w:t>for non-standard workers and the self-employed who continue to face significant gaps. S</w:t>
      </w:r>
      <w:r>
        <w:rPr>
          <w:rFonts w:ascii="Times New Roman" w:hAnsi="Times New Roman" w:cs="Times New Roman"/>
          <w:i/>
          <w:noProof/>
          <w:sz w:val="24"/>
          <w:szCs w:val="24"/>
          <w:lang w:val="en-GB"/>
        </w:rPr>
        <w:t>ome innovations are also being introduced with regard to new forms of work.</w:t>
      </w:r>
      <w:r>
        <w:rPr>
          <w:rFonts w:ascii="Times New Roman" w:hAnsi="Times New Roman"/>
          <w:bCs/>
          <w:i/>
          <w:iCs/>
          <w:noProof/>
          <w:sz w:val="24"/>
          <w:szCs w:val="24"/>
          <w:lang w:val="en-GB"/>
        </w:rPr>
        <w:t xml:space="preserve"> </w:t>
      </w:r>
      <w:r>
        <w:rPr>
          <w:rFonts w:ascii="Times New Roman" w:hAnsi="Times New Roman"/>
          <w:i/>
          <w:noProof/>
          <w:sz w:val="24"/>
          <w:lang w:val="en-GB"/>
        </w:rPr>
        <w:t>W</w:t>
      </w:r>
      <w:r>
        <w:rPr>
          <w:rFonts w:ascii="Times New Roman" w:hAnsi="Times New Roman" w:cs="Times New Roman"/>
          <w:i/>
          <w:noProof/>
          <w:sz w:val="24"/>
          <w:szCs w:val="24"/>
          <w:lang w:val="en-GB"/>
        </w:rPr>
        <w:t xml:space="preserve">ork on improving </w:t>
      </w:r>
      <w:r>
        <w:rPr>
          <w:rFonts w:ascii="Times New Roman" w:hAnsi="Times New Roman" w:cs="Times New Roman"/>
          <w:i/>
          <w:iCs/>
          <w:noProof/>
          <w:sz w:val="24"/>
          <w:szCs w:val="24"/>
          <w:lang w:val="en-GB"/>
        </w:rPr>
        <w:t>adequacy of benefits continues, though in some cases there have been delays</w:t>
      </w:r>
      <w:r>
        <w:rPr>
          <w:rFonts w:ascii="Times New Roman" w:hAnsi="Times New Roman" w:cs="Times New Roman"/>
          <w:i/>
          <w:iCs/>
          <w:noProof/>
          <w:sz w:val="24"/>
          <w:szCs w:val="24"/>
          <w:lang w:val="en-GB"/>
        </w:rPr>
        <w:t xml:space="preserve">. </w:t>
      </w:r>
      <w:r>
        <w:rPr>
          <w:rFonts w:ascii="Times New Roman" w:hAnsi="Times New Roman"/>
          <w:bCs/>
          <w:i/>
          <w:iCs/>
          <w:noProof/>
          <w:sz w:val="24"/>
          <w:szCs w:val="24"/>
          <w:lang w:val="en-GB"/>
        </w:rPr>
        <w:t xml:space="preserve">A number of </w:t>
      </w:r>
      <w:r>
        <w:rPr>
          <w:rFonts w:ascii="Times New Roman" w:hAnsi="Times New Roman" w:cs="Times New Roman"/>
          <w:bCs/>
          <w:i/>
          <w:iCs/>
          <w:noProof/>
          <w:sz w:val="24"/>
          <w:szCs w:val="24"/>
          <w:lang w:val="en-GB"/>
        </w:rPr>
        <w:t>Member States are improving their m</w:t>
      </w:r>
      <w:r>
        <w:rPr>
          <w:rFonts w:ascii="Times New Roman" w:hAnsi="Times New Roman" w:cs="Times New Roman"/>
          <w:i/>
          <w:iCs/>
          <w:noProof/>
          <w:sz w:val="24"/>
          <w:szCs w:val="24"/>
          <w:lang w:val="en-GB"/>
        </w:rPr>
        <w:t>inimum income schemes by combining adequate levels of support with access to enabling goods and services, and with incentives to (re)integrate into the labour market, in an active inclusion approach. Some Me</w:t>
      </w:r>
      <w:r>
        <w:rPr>
          <w:rFonts w:ascii="Times New Roman" w:hAnsi="Times New Roman" w:cs="Times New Roman"/>
          <w:i/>
          <w:iCs/>
          <w:noProof/>
          <w:sz w:val="24"/>
          <w:szCs w:val="24"/>
          <w:lang w:val="en-GB"/>
        </w:rPr>
        <w:t xml:space="preserve">mber States are enhancing integrated delivery of services (such as social assistance, employment and other social services). </w:t>
      </w:r>
      <w:r>
        <w:rPr>
          <w:rFonts w:ascii="Times New Roman" w:hAnsi="Times New Roman"/>
          <w:bCs/>
          <w:i/>
          <w:iCs/>
          <w:noProof/>
          <w:sz w:val="24"/>
          <w:szCs w:val="24"/>
          <w:lang w:val="en-GB"/>
        </w:rPr>
        <w:t xml:space="preserve">In a context where </w:t>
      </w:r>
      <w:r>
        <w:rPr>
          <w:rFonts w:ascii="Times New Roman" w:hAnsi="Times New Roman"/>
          <w:i/>
          <w:noProof/>
          <w:sz w:val="24"/>
          <w:lang w:val="en-GB"/>
        </w:rPr>
        <w:t xml:space="preserve">housing-related expenditures amount to a significant share of many households’ incomes and the evolution in the </w:t>
      </w:r>
      <w:r>
        <w:rPr>
          <w:rFonts w:ascii="Times New Roman" w:hAnsi="Times New Roman"/>
          <w:i/>
          <w:noProof/>
          <w:sz w:val="24"/>
          <w:lang w:val="en-GB"/>
        </w:rPr>
        <w:t>number of homeless is not improving, some Member States have undertaken reforms to improve access to housing, either through the provision of incentives or via preventative measures.</w:t>
      </w:r>
    </w:p>
    <w:p w:rsidR="00EF5220" w:rsidRDefault="00EF2564">
      <w:pPr>
        <w:spacing w:line="360" w:lineRule="auto"/>
        <w:jc w:val="both"/>
        <w:rPr>
          <w:rFonts w:ascii="Times New Roman" w:hAnsi="Times New Roman" w:cs="Times New Roman"/>
          <w:i/>
          <w:iCs/>
          <w:noProof/>
          <w:sz w:val="24"/>
          <w:szCs w:val="24"/>
          <w:lang w:val="en-GB"/>
        </w:rPr>
      </w:pPr>
      <w:r>
        <w:rPr>
          <w:rFonts w:ascii="Times New Roman" w:hAnsi="Times New Roman" w:cs="Times New Roman"/>
          <w:b/>
          <w:i/>
          <w:iCs/>
          <w:noProof/>
          <w:sz w:val="24"/>
          <w:szCs w:val="24"/>
          <w:lang w:val="en-GB"/>
        </w:rPr>
        <w:t>Demographic change and rising life expectancy present the pension, health</w:t>
      </w:r>
      <w:r>
        <w:rPr>
          <w:rFonts w:ascii="Times New Roman" w:hAnsi="Times New Roman" w:cs="Times New Roman"/>
          <w:b/>
          <w:i/>
          <w:iCs/>
          <w:noProof/>
          <w:sz w:val="24"/>
          <w:szCs w:val="24"/>
          <w:lang w:val="en-GB"/>
        </w:rPr>
        <w:t>care and long-term care systems with a clear need to adapt.</w:t>
      </w:r>
      <w:r>
        <w:rPr>
          <w:rFonts w:ascii="Times New Roman" w:hAnsi="Times New Roman" w:cs="Times New Roman"/>
          <w:i/>
          <w:iCs/>
          <w:noProof/>
          <w:sz w:val="24"/>
          <w:szCs w:val="24"/>
          <w:lang w:val="en-GB"/>
        </w:rPr>
        <w:t xml:space="preserve"> </w:t>
      </w:r>
      <w:r>
        <w:rPr>
          <w:rFonts w:ascii="Times New Roman" w:eastAsia="Times New Roman" w:hAnsi="Times New Roman" w:cs="Times New Roman"/>
          <w:i/>
          <w:noProof/>
          <w:color w:val="000000"/>
          <w:sz w:val="24"/>
          <w:szCs w:val="24"/>
          <w:u w:color="000000"/>
          <w:bdr w:val="nil"/>
          <w:lang w:val="en-GB" w:eastAsia="en-GB"/>
        </w:rPr>
        <w:t>The demand for long-term care and healthcare is growing and the needs are changing as populations age. O</w:t>
      </w:r>
      <w:r>
        <w:rPr>
          <w:rFonts w:ascii="Times New Roman" w:eastAsia="Times New Roman" w:hAnsi="Times New Roman" w:cs="Times New Roman"/>
          <w:bCs/>
          <w:i/>
          <w:noProof/>
          <w:color w:val="000000"/>
          <w:sz w:val="24"/>
          <w:szCs w:val="24"/>
          <w:u w:color="000000"/>
          <w:bdr w:val="nil"/>
          <w:lang w:val="en-GB" w:eastAsia="en-GB"/>
        </w:rPr>
        <w:t>ver the next five decades, the number of Europeans aged 80+ is set to double</w:t>
      </w:r>
      <w:r>
        <w:rPr>
          <w:rFonts w:ascii="Times New Roman" w:eastAsia="Times New Roman" w:hAnsi="Times New Roman" w:cs="Times New Roman"/>
          <w:i/>
          <w:noProof/>
          <w:color w:val="000000"/>
          <w:sz w:val="24"/>
          <w:szCs w:val="24"/>
          <w:u w:color="000000"/>
          <w:bdr w:val="nil"/>
          <w:lang w:val="en-GB" w:eastAsia="en-GB"/>
        </w:rPr>
        <w:t xml:space="preserve">. By 2050, there will be only two persons in active age (15-64) for one person over 65 year old, compared to three today; the ratio is already on the decrease. Therefore, </w:t>
      </w:r>
      <w:r>
        <w:rPr>
          <w:rFonts w:ascii="Times New Roman" w:hAnsi="Times New Roman" w:cs="Times New Roman"/>
          <w:bCs/>
          <w:i/>
          <w:iCs/>
          <w:noProof/>
          <w:sz w:val="24"/>
          <w:szCs w:val="24"/>
          <w:lang w:val="en-GB"/>
        </w:rPr>
        <w:t>while measures to improve financial sustainability are still high on many Member Stat</w:t>
      </w:r>
      <w:r>
        <w:rPr>
          <w:rFonts w:ascii="Times New Roman" w:hAnsi="Times New Roman" w:cs="Times New Roman"/>
          <w:bCs/>
          <w:i/>
          <w:iCs/>
          <w:noProof/>
          <w:sz w:val="24"/>
          <w:szCs w:val="24"/>
          <w:lang w:val="en-GB"/>
        </w:rPr>
        <w:t>es’ agendas, ensuring</w:t>
      </w:r>
      <w:r>
        <w:rPr>
          <w:rFonts w:ascii="Times New Roman" w:hAnsi="Times New Roman" w:cs="Times New Roman"/>
          <w:i/>
          <w:iCs/>
          <w:noProof/>
          <w:sz w:val="24"/>
          <w:szCs w:val="24"/>
          <w:lang w:val="en-GB"/>
        </w:rPr>
        <w:t xml:space="preserve"> pension adequacy gains in importance.</w:t>
      </w:r>
      <w:r>
        <w:rPr>
          <w:rFonts w:ascii="Times New Roman" w:hAnsi="Times New Roman" w:cs="Times New Roman"/>
          <w:b/>
          <w:i/>
          <w:iCs/>
          <w:noProof/>
          <w:sz w:val="24"/>
          <w:szCs w:val="24"/>
          <w:lang w:val="en-GB"/>
        </w:rPr>
        <w:t xml:space="preserve"> </w:t>
      </w:r>
      <w:r>
        <w:rPr>
          <w:rFonts w:ascii="Times New Roman" w:hAnsi="Times New Roman" w:cs="Times New Roman"/>
          <w:bCs/>
          <w:i/>
          <w:iCs/>
          <w:noProof/>
          <w:sz w:val="24"/>
          <w:szCs w:val="24"/>
          <w:lang w:val="en-GB"/>
        </w:rPr>
        <w:t>The</w:t>
      </w:r>
      <w:r>
        <w:rPr>
          <w:rFonts w:ascii="Times New Roman" w:hAnsi="Times New Roman" w:cs="Times New Roman"/>
          <w:i/>
          <w:iCs/>
          <w:noProof/>
          <w:sz w:val="24"/>
          <w:szCs w:val="24"/>
          <w:lang w:val="en-GB"/>
        </w:rPr>
        <w:t xml:space="preserve"> income replacement and poverty prevention capacity of pensions varies significantly among Member States. Member States </w:t>
      </w:r>
      <w:r>
        <w:rPr>
          <w:rFonts w:ascii="Times New Roman" w:hAnsi="Times New Roman" w:cs="Times New Roman"/>
          <w:bCs/>
          <w:i/>
          <w:iCs/>
          <w:noProof/>
          <w:sz w:val="24"/>
          <w:szCs w:val="24"/>
          <w:lang w:val="en-GB"/>
        </w:rPr>
        <w:t>are increasingly taking steps to safeguard pension adequacy through minim</w:t>
      </w:r>
      <w:r>
        <w:rPr>
          <w:rFonts w:ascii="Times New Roman" w:hAnsi="Times New Roman" w:cs="Times New Roman"/>
          <w:bCs/>
          <w:i/>
          <w:iCs/>
          <w:noProof/>
          <w:sz w:val="24"/>
          <w:szCs w:val="24"/>
          <w:lang w:val="en-GB"/>
        </w:rPr>
        <w:t xml:space="preserve">um guarantees and indexation of benefits, promote flexible retirement, tailor pension accrual conditions to diverse categories of workers </w:t>
      </w:r>
      <w:r>
        <w:rPr>
          <w:rFonts w:ascii="Times New Roman" w:hAnsi="Times New Roman" w:cs="Times New Roman"/>
          <w:i/>
          <w:iCs/>
          <w:noProof/>
          <w:sz w:val="24"/>
          <w:szCs w:val="24"/>
          <w:lang w:val="en-GB"/>
        </w:rPr>
        <w:t xml:space="preserve">and enhance </w:t>
      </w:r>
      <w:r>
        <w:rPr>
          <w:rFonts w:ascii="Times New Roman" w:hAnsi="Times New Roman" w:cs="Times New Roman"/>
          <w:bCs/>
          <w:i/>
          <w:iCs/>
          <w:noProof/>
          <w:sz w:val="24"/>
          <w:szCs w:val="24"/>
          <w:lang w:val="en-GB"/>
        </w:rPr>
        <w:t>the role of supplementary pensions.</w:t>
      </w:r>
      <w:r>
        <w:rPr>
          <w:rFonts w:ascii="Times New Roman" w:hAnsi="Times New Roman" w:cs="Times New Roman"/>
          <w:bCs/>
          <w:iCs/>
          <w:noProof/>
          <w:sz w:val="24"/>
          <w:szCs w:val="24"/>
          <w:lang w:val="en-GB"/>
        </w:rPr>
        <w:t xml:space="preserve"> </w:t>
      </w:r>
    </w:p>
    <w:p w:rsidR="00EF5220" w:rsidRDefault="00EF2564">
      <w:pPr>
        <w:spacing w:line="360" w:lineRule="auto"/>
        <w:jc w:val="both"/>
        <w:rPr>
          <w:rFonts w:ascii="Times New Roman" w:hAnsi="Times New Roman" w:cs="Times New Roman"/>
          <w:i/>
          <w:noProof/>
          <w:sz w:val="24"/>
          <w:szCs w:val="24"/>
          <w:lang w:val="en-GB"/>
        </w:rPr>
      </w:pPr>
      <w:r>
        <w:rPr>
          <w:rFonts w:ascii="Times New Roman" w:hAnsi="Times New Roman" w:cs="Times New Roman"/>
          <w:b/>
          <w:bCs/>
          <w:i/>
          <w:noProof/>
          <w:sz w:val="24"/>
          <w:szCs w:val="24"/>
          <w:lang w:val="en-GB"/>
        </w:rPr>
        <w:t>Improving access to quality healthcare and long-term care, together w</w:t>
      </w:r>
      <w:r>
        <w:rPr>
          <w:rFonts w:ascii="Times New Roman" w:hAnsi="Times New Roman" w:cs="Times New Roman"/>
          <w:b/>
          <w:bCs/>
          <w:i/>
          <w:noProof/>
          <w:sz w:val="24"/>
          <w:szCs w:val="24"/>
          <w:lang w:val="en-GB"/>
        </w:rPr>
        <w:t xml:space="preserve">ith increasing their effectiveness, is a guiding principle for reforms in Member States. </w:t>
      </w:r>
      <w:r>
        <w:rPr>
          <w:rFonts w:ascii="Times New Roman" w:hAnsi="Times New Roman" w:cs="Times New Roman"/>
          <w:bCs/>
          <w:i/>
          <w:noProof/>
          <w:sz w:val="24"/>
          <w:szCs w:val="24"/>
          <w:lang w:val="en-GB"/>
        </w:rPr>
        <w:t xml:space="preserve">For some Europeans, </w:t>
      </w:r>
      <w:r>
        <w:rPr>
          <w:rFonts w:ascii="Times New Roman" w:hAnsi="Times New Roman" w:cs="Times New Roman"/>
          <w:i/>
          <w:noProof/>
          <w:sz w:val="24"/>
          <w:szCs w:val="24"/>
          <w:lang w:val="en-GB"/>
        </w:rPr>
        <w:t xml:space="preserve">costs and waiting times remain important barriers for the accessibility of healthcare. Thus, </w:t>
      </w:r>
      <w:r>
        <w:rPr>
          <w:rFonts w:ascii="Times New Roman" w:hAnsi="Times New Roman" w:cs="Times New Roman"/>
          <w:bCs/>
          <w:i/>
          <w:noProof/>
          <w:sz w:val="24"/>
          <w:szCs w:val="24"/>
          <w:lang w:val="en-GB"/>
        </w:rPr>
        <w:t xml:space="preserve">in a number of Member States </w:t>
      </w:r>
      <w:r>
        <w:rPr>
          <w:rFonts w:ascii="Times New Roman" w:hAnsi="Times New Roman" w:cs="Times New Roman"/>
          <w:i/>
          <w:noProof/>
          <w:sz w:val="24"/>
          <w:szCs w:val="24"/>
          <w:lang w:val="en-GB"/>
        </w:rPr>
        <w:t>r</w:t>
      </w:r>
      <w:r>
        <w:rPr>
          <w:rFonts w:ascii="Times New Roman" w:hAnsi="Times New Roman" w:cs="Times New Roman"/>
          <w:bCs/>
          <w:i/>
          <w:noProof/>
          <w:sz w:val="24"/>
          <w:szCs w:val="24"/>
          <w:lang w:val="en-GB"/>
        </w:rPr>
        <w:t>eforms of healthcare systems focus on improving their effectiveness by better coordination and a stronger role assigned to primary care and prevention. Measures are taken to improve training and working conditions of health workers. In the area of long-ter</w:t>
      </w:r>
      <w:r>
        <w:rPr>
          <w:rFonts w:ascii="Times New Roman" w:hAnsi="Times New Roman" w:cs="Times New Roman"/>
          <w:bCs/>
          <w:i/>
          <w:noProof/>
          <w:sz w:val="24"/>
          <w:szCs w:val="24"/>
          <w:lang w:val="en-GB"/>
        </w:rPr>
        <w:t xml:space="preserve">m care, most care is still provided by family members, given the lack of comprehensive schemes to cover the need for old age care in the majority of Member States. Current reforms intend to combine </w:t>
      </w:r>
      <w:r>
        <w:rPr>
          <w:rFonts w:ascii="Times New Roman" w:hAnsi="Times New Roman" w:cs="Times New Roman"/>
          <w:i/>
          <w:noProof/>
          <w:sz w:val="24"/>
          <w:szCs w:val="24"/>
          <w:lang w:val="en-GB"/>
        </w:rPr>
        <w:t>a system of support for informal and family carers by publ</w:t>
      </w:r>
      <w:r>
        <w:rPr>
          <w:rFonts w:ascii="Times New Roman" w:hAnsi="Times New Roman" w:cs="Times New Roman"/>
          <w:i/>
          <w:noProof/>
          <w:sz w:val="24"/>
          <w:szCs w:val="24"/>
          <w:lang w:val="en-GB"/>
        </w:rPr>
        <w:t>ic institutions and a network of community and institutional services, with attention to sustainability in the face of demographic challenges.</w:t>
      </w:r>
    </w:p>
    <w:p w:rsidR="00EF5220" w:rsidRDefault="00EF2564">
      <w:pPr>
        <w:spacing w:line="360" w:lineRule="auto"/>
        <w:jc w:val="both"/>
        <w:rPr>
          <w:rFonts w:ascii="Times New Roman" w:hAnsi="Times New Roman" w:cs="Times New Roman"/>
          <w:bCs/>
          <w:i/>
          <w:noProof/>
          <w:sz w:val="24"/>
          <w:szCs w:val="24"/>
          <w:lang w:val="en-GB"/>
        </w:rPr>
      </w:pPr>
      <w:r>
        <w:rPr>
          <w:rFonts w:ascii="Times New Roman" w:hAnsi="Times New Roman" w:cs="Times New Roman"/>
          <w:b/>
          <w:bCs/>
          <w:i/>
          <w:noProof/>
          <w:sz w:val="24"/>
          <w:szCs w:val="24"/>
          <w:lang w:val="en-GB"/>
        </w:rPr>
        <w:t>A well-functioning social dialogue is a key element of the European social market economy.</w:t>
      </w:r>
      <w:r>
        <w:rPr>
          <w:rFonts w:ascii="Times New Roman" w:hAnsi="Times New Roman" w:cs="Times New Roman"/>
          <w:bCs/>
          <w:i/>
          <w:noProof/>
          <w:sz w:val="24"/>
          <w:szCs w:val="24"/>
          <w:lang w:val="en-GB"/>
        </w:rPr>
        <w:t xml:space="preserve"> It helps strengthening</w:t>
      </w:r>
      <w:r>
        <w:rPr>
          <w:rFonts w:ascii="Times New Roman" w:hAnsi="Times New Roman" w:cs="Times New Roman"/>
          <w:bCs/>
          <w:i/>
          <w:noProof/>
          <w:sz w:val="24"/>
          <w:szCs w:val="24"/>
          <w:lang w:val="en-GB"/>
        </w:rPr>
        <w:t xml:space="preserve"> social cohesion and reducing conflicts in the society, to the mutual benefit of workers, employers and governments. The involvement of social partners in the preparation of reforms can improve their design and implementation, increase ownership among citi</w:t>
      </w:r>
      <w:r>
        <w:rPr>
          <w:rFonts w:ascii="Times New Roman" w:hAnsi="Times New Roman" w:cs="Times New Roman"/>
          <w:bCs/>
          <w:i/>
          <w:noProof/>
          <w:sz w:val="24"/>
          <w:szCs w:val="24"/>
          <w:lang w:val="en-GB"/>
        </w:rPr>
        <w:t>zens and eventually lead to better socio-economic outcomes. However, t</w:t>
      </w:r>
      <w:r>
        <w:rPr>
          <w:rFonts w:ascii="Times New Roman" w:hAnsi="Times New Roman" w:cs="Times New Roman"/>
          <w:i/>
          <w:noProof/>
          <w:sz w:val="24"/>
          <w:szCs w:val="24"/>
          <w:lang w:val="en-GB"/>
        </w:rPr>
        <w:t xml:space="preserve">he degree and impact of social partners' involvement varies considerably among Member States and is weak in several cases. While </w:t>
      </w:r>
      <w:r>
        <w:rPr>
          <w:rFonts w:ascii="Times New Roman" w:hAnsi="Times New Roman" w:cs="Times New Roman"/>
          <w:bCs/>
          <w:i/>
          <w:noProof/>
          <w:sz w:val="24"/>
          <w:szCs w:val="24"/>
          <w:lang w:val="en-GB"/>
        </w:rPr>
        <w:t>there is no one-size-fits-all model for social dialogue p</w:t>
      </w:r>
      <w:r>
        <w:rPr>
          <w:rFonts w:ascii="Times New Roman" w:hAnsi="Times New Roman" w:cs="Times New Roman"/>
          <w:bCs/>
          <w:i/>
          <w:noProof/>
          <w:sz w:val="24"/>
          <w:szCs w:val="24"/>
          <w:lang w:val="en-GB"/>
        </w:rPr>
        <w:t xml:space="preserve">ractices, in some Member States there is clear scope for improving the capacity of social partners and providing them with an adequate framework for predictable and timely consultation including in all key stages of the European semester. Similarly, using </w:t>
      </w:r>
      <w:r>
        <w:rPr>
          <w:rFonts w:ascii="Times New Roman" w:hAnsi="Times New Roman" w:cs="Times New Roman"/>
          <w:bCs/>
          <w:i/>
          <w:noProof/>
          <w:sz w:val="24"/>
          <w:szCs w:val="24"/>
          <w:lang w:val="en-GB"/>
        </w:rPr>
        <w:t>the experience of civil society organisations can play and plays an important role to ensure that reforms are designed and implemented effectively. Yet, the degree of engagement with societal stakeholders varies significantly among Member States, with insu</w:t>
      </w:r>
      <w:r>
        <w:rPr>
          <w:rFonts w:ascii="Times New Roman" w:hAnsi="Times New Roman" w:cs="Times New Roman"/>
          <w:bCs/>
          <w:i/>
          <w:noProof/>
          <w:sz w:val="24"/>
          <w:szCs w:val="24"/>
          <w:lang w:val="en-GB"/>
        </w:rPr>
        <w:t>fficient capacity to actively participate in the policy debate being an issue in some of them.</w:t>
      </w:r>
    </w:p>
    <w:p w:rsidR="00EF5220" w:rsidRDefault="00EF2564">
      <w:pPr>
        <w:rPr>
          <w:rFonts w:ascii="Times New Roman" w:eastAsiaTheme="majorEastAsia" w:hAnsi="Times New Roman" w:cstheme="majorBidi"/>
          <w:b/>
          <w:bCs/>
          <w:noProof/>
          <w:sz w:val="24"/>
          <w:szCs w:val="28"/>
          <w:lang w:val="en-GB"/>
        </w:rPr>
      </w:pPr>
      <w:r>
        <w:rPr>
          <w:noProof/>
          <w:lang w:val="en-GB"/>
        </w:rPr>
        <w:br w:type="page"/>
      </w:r>
    </w:p>
    <w:p w:rsidR="00EF5220" w:rsidRDefault="00EF2564">
      <w:pPr>
        <w:pStyle w:val="Heading1"/>
        <w:spacing w:after="200"/>
        <w:ind w:left="720" w:hanging="720"/>
        <w:rPr>
          <w:noProof/>
          <w:lang w:val="en-GB"/>
        </w:rPr>
      </w:pPr>
      <w:bookmarkStart w:id="3" w:name="_Toc527539775"/>
      <w:r>
        <w:rPr>
          <w:noProof/>
          <w:lang w:val="en-GB"/>
        </w:rPr>
        <w:t>1.</w:t>
      </w:r>
      <w:r>
        <w:rPr>
          <w:noProof/>
          <w:lang w:val="en-GB"/>
        </w:rPr>
        <w:tab/>
        <w:t>OVERVIEW OF LABOUR MARKET AND SOCIAL TRENDS AND CHALLENGES IN THE EUROPEAN UNION</w:t>
      </w:r>
      <w:bookmarkEnd w:id="3"/>
    </w:p>
    <w:p w:rsidR="00EF5220" w:rsidRDefault="00EF5220">
      <w:pPr>
        <w:autoSpaceDE w:val="0"/>
        <w:autoSpaceDN w:val="0"/>
        <w:adjustRightInd w:val="0"/>
        <w:spacing w:line="240" w:lineRule="auto"/>
        <w:ind w:left="720" w:hanging="720"/>
        <w:jc w:val="both"/>
        <w:rPr>
          <w:rFonts w:ascii="Times New Roman" w:hAnsi="Times New Roman" w:cs="Times New Roman"/>
          <w:b/>
          <w:bCs/>
          <w:noProof/>
          <w:sz w:val="24"/>
          <w:szCs w:val="24"/>
          <w:lang w:val="en-GB"/>
        </w:rPr>
      </w:pPr>
    </w:p>
    <w:p w:rsidR="00EF5220" w:rsidRDefault="00EF5220">
      <w:pPr>
        <w:autoSpaceDE w:val="0"/>
        <w:autoSpaceDN w:val="0"/>
        <w:adjustRightInd w:val="0"/>
        <w:spacing w:line="240" w:lineRule="auto"/>
        <w:jc w:val="both"/>
        <w:rPr>
          <w:rFonts w:ascii="Times New Roman" w:hAnsi="Times New Roman" w:cs="Times New Roman"/>
          <w:b/>
          <w:bCs/>
          <w:noProof/>
          <w:sz w:val="24"/>
          <w:szCs w:val="24"/>
          <w:lang w:val="en-GB"/>
        </w:rPr>
      </w:pPr>
    </w:p>
    <w:p w:rsidR="00EF5220" w:rsidRDefault="00EF2564">
      <w:pPr>
        <w:spacing w:line="360" w:lineRule="auto"/>
        <w:jc w:val="both"/>
        <w:rPr>
          <w:rFonts w:ascii="Times New Roman" w:hAnsi="Times New Roman" w:cs="Times New Roman"/>
          <w:bCs/>
          <w:noProof/>
          <w:sz w:val="24"/>
          <w:szCs w:val="24"/>
          <w:lang w:val="en-GB"/>
        </w:rPr>
      </w:pPr>
      <w:r>
        <w:rPr>
          <w:rFonts w:ascii="Times New Roman" w:hAnsi="Times New Roman"/>
          <w:noProof/>
          <w:sz w:val="24"/>
          <w:lang w:val="en-GB"/>
        </w:rPr>
        <w:t xml:space="preserve">This section presents an overview of labour market and social trends and challenges in the European Union, providing a detailed analytical account of major employment and social policy areas. </w:t>
      </w:r>
    </w:p>
    <w:p w:rsidR="00EF5220" w:rsidRDefault="00EF5220">
      <w:pPr>
        <w:contextualSpacing/>
        <w:jc w:val="both"/>
        <w:rPr>
          <w:rFonts w:ascii="Times New Roman" w:hAnsi="Times New Roman" w:cs="Times New Roman"/>
          <w:i/>
          <w:iCs/>
          <w:noProof/>
          <w:sz w:val="24"/>
          <w:szCs w:val="24"/>
          <w:lang w:val="en-GB"/>
        </w:rPr>
      </w:pPr>
    </w:p>
    <w:p w:rsidR="00EF5220" w:rsidRDefault="00EF5220">
      <w:pPr>
        <w:contextualSpacing/>
        <w:jc w:val="both"/>
        <w:rPr>
          <w:rFonts w:ascii="Times New Roman" w:hAnsi="Times New Roman" w:cs="Times New Roman"/>
          <w:i/>
          <w:iCs/>
          <w:noProof/>
          <w:sz w:val="24"/>
          <w:szCs w:val="24"/>
          <w:lang w:val="en-GB"/>
        </w:rPr>
      </w:pPr>
    </w:p>
    <w:p w:rsidR="00EF5220" w:rsidRDefault="00EF2564">
      <w:pPr>
        <w:pStyle w:val="Heading3"/>
        <w:spacing w:after="200"/>
        <w:rPr>
          <w:noProof/>
          <w:lang w:val="en-GB"/>
        </w:rPr>
      </w:pPr>
      <w:bookmarkStart w:id="4" w:name="_Toc527539776"/>
      <w:r>
        <w:rPr>
          <w:noProof/>
          <w:lang w:val="en-GB"/>
        </w:rPr>
        <w:t>1.1</w:t>
      </w:r>
      <w:r>
        <w:rPr>
          <w:noProof/>
          <w:lang w:val="en-GB"/>
        </w:rPr>
        <w:tab/>
        <w:t>Labour market trends</w:t>
      </w:r>
      <w:bookmarkEnd w:id="4"/>
    </w:p>
    <w:p w:rsidR="00EF5220" w:rsidRDefault="00EF5220">
      <w:pPr>
        <w:contextualSpacing/>
        <w:jc w:val="both"/>
        <w:rPr>
          <w:rFonts w:ascii="Times New Roman" w:hAnsi="Times New Roman" w:cs="Times New Roman"/>
          <w:i/>
          <w:iCs/>
          <w:noProof/>
          <w:sz w:val="24"/>
          <w:szCs w:val="24"/>
          <w:lang w:val="en-GB"/>
        </w:rPr>
      </w:pP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Labour market conditions continue to improve, with employment reaching a record level in the EU. </w:t>
      </w:r>
      <w:r>
        <w:rPr>
          <w:rFonts w:ascii="Times New Roman" w:hAnsi="Times New Roman"/>
          <w:noProof/>
          <w:sz w:val="24"/>
          <w:lang w:val="en-GB"/>
        </w:rPr>
        <w:t>On the back of strong economic growth (2.4%), the number of people in employment in the EU increased by 1.6% in 2017, the largest annual increase rate since th</w:t>
      </w:r>
      <w:r>
        <w:rPr>
          <w:rFonts w:ascii="Times New Roman" w:hAnsi="Times New Roman"/>
          <w:noProof/>
          <w:sz w:val="24"/>
          <w:lang w:val="en-GB"/>
        </w:rPr>
        <w:t>e start of the recovery. Total employment kept increasing in the first two quarters of 2018, to reach 238.9 million</w:t>
      </w:r>
      <w:r>
        <w:rPr>
          <w:rStyle w:val="FootnoteReference"/>
          <w:rFonts w:ascii="Times New Roman" w:hAnsi="Times New Roman"/>
          <w:noProof/>
          <w:sz w:val="24"/>
          <w:lang w:val="en-GB"/>
        </w:rPr>
        <w:footnoteReference w:id="2"/>
      </w:r>
      <w:r>
        <w:rPr>
          <w:rFonts w:ascii="Times New Roman" w:hAnsi="Times New Roman"/>
          <w:noProof/>
          <w:sz w:val="24"/>
          <w:lang w:val="en-GB"/>
        </w:rPr>
        <w:t xml:space="preserve"> – about 3.2 million jobs more than one year ago, and the highest level ever reached in the EU. Since employment started recovering in mid-2</w:t>
      </w:r>
      <w:r>
        <w:rPr>
          <w:rFonts w:ascii="Times New Roman" w:hAnsi="Times New Roman"/>
          <w:noProof/>
          <w:sz w:val="24"/>
          <w:lang w:val="en-GB"/>
        </w:rPr>
        <w:t xml:space="preserve">013, more than 14 million additional jobs were created.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The employment rate (of people aged 20-64) is on a steady rise, getting closer to the Europe 2020 target. </w:t>
      </w:r>
      <w:r>
        <w:rPr>
          <w:rFonts w:ascii="Times New Roman" w:hAnsi="Times New Roman"/>
          <w:noProof/>
          <w:sz w:val="24"/>
          <w:lang w:val="en-GB"/>
        </w:rPr>
        <w:t>It increased slightly faster than in 2016, by 1.1 percentage point to 72.2% in 2017 and conti</w:t>
      </w:r>
      <w:r>
        <w:rPr>
          <w:rFonts w:ascii="Times New Roman" w:hAnsi="Times New Roman"/>
          <w:noProof/>
          <w:sz w:val="24"/>
          <w:lang w:val="en-GB"/>
        </w:rPr>
        <w:t>nued rising in the first two quarters of 2018, up to 73.2% (</w:t>
      </w:r>
      <w:r>
        <w:rPr>
          <w:rFonts w:ascii="Times New Roman" w:hAnsi="Times New Roman" w:cs="Times New Roman"/>
          <w:noProof/>
          <w:sz w:val="24"/>
          <w:szCs w:val="24"/>
          <w:lang w:val="en-GB"/>
        </w:rPr>
        <w:t>Figure 1</w:t>
      </w:r>
      <w:r>
        <w:rPr>
          <w:rFonts w:ascii="Times New Roman" w:hAnsi="Times New Roman"/>
          <w:noProof/>
          <w:sz w:val="24"/>
          <w:lang w:val="en-GB"/>
        </w:rPr>
        <w:t>). If the positive trend continues at the current pace, the EU would be well placed to reach its Europe 2020 target of a 75% employment rate. The situation continues to improve also in the</w:t>
      </w:r>
      <w:r>
        <w:rPr>
          <w:rFonts w:ascii="Times New Roman" w:hAnsi="Times New Roman"/>
          <w:noProof/>
          <w:sz w:val="24"/>
          <w:lang w:val="en-GB"/>
        </w:rPr>
        <w:t xml:space="preserve"> euro area, where the employment rate reached its highest level at 71.9% in Q2-2018. These positive developments are supported by a continuing upward trend in labour market participation. In Q2-2018, the activity rate (15-64) achieved a record high at 73.8</w:t>
      </w:r>
      <w:r>
        <w:rPr>
          <w:rFonts w:ascii="Times New Roman" w:hAnsi="Times New Roman"/>
          <w:noProof/>
          <w:sz w:val="24"/>
          <w:lang w:val="en-GB"/>
        </w:rPr>
        <w:t xml:space="preserve">% (73.5% in the euro area). The activity rate in the EU has been increasing at a constant pace, even during the crisis, closing the gap with the United States. In 2017, older workers and women continued to drive the increase in labour force participation.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The unemployment rate is now back to its pre-crisis level. </w:t>
      </w:r>
      <w:r>
        <w:rPr>
          <w:rFonts w:ascii="Times New Roman" w:hAnsi="Times New Roman"/>
          <w:noProof/>
          <w:sz w:val="24"/>
          <w:lang w:val="en-GB"/>
        </w:rPr>
        <w:t>Thanks to the steady job creation trend, the unemployment rate kept falling, down to 6.9% in Q2-2018 – a level not recorded in the EU since Q2-2008 and more than 4 pps below the 2013 peak. The imp</w:t>
      </w:r>
      <w:r>
        <w:rPr>
          <w:rFonts w:ascii="Times New Roman" w:hAnsi="Times New Roman"/>
          <w:noProof/>
          <w:sz w:val="24"/>
          <w:lang w:val="en-GB"/>
        </w:rPr>
        <w:t>rovement is less substantial in the euro area, where the unemployment rate, at 8.3% in Q2-2018, remains one percentage point higher than the lowest level recorded in 2008. These positive trends are associated with a continuing decrease in the long-term une</w:t>
      </w:r>
      <w:r>
        <w:rPr>
          <w:rFonts w:ascii="Times New Roman" w:hAnsi="Times New Roman"/>
          <w:noProof/>
          <w:sz w:val="24"/>
          <w:lang w:val="en-GB"/>
        </w:rPr>
        <w:t>mployment rate (i.e. share of the unemployed for at least one year within the active population), which dropped in the EU by 0.5 pps year-on-year to 3% in Q2-2018 (3.9% in the euro area). Though unemployment (including long-term) decreased across all Membe</w:t>
      </w:r>
      <w:r>
        <w:rPr>
          <w:rFonts w:ascii="Times New Roman" w:hAnsi="Times New Roman"/>
          <w:noProof/>
          <w:sz w:val="24"/>
          <w:lang w:val="en-GB"/>
        </w:rPr>
        <w:t xml:space="preserve">r States over the last year, a significant dispersion of unemployment rates persists (as shown in Section 3.1.1), with some countries still far from their pre-crisis minimum levels.  </w:t>
      </w:r>
    </w:p>
    <w:p w:rsidR="00EF5220" w:rsidRDefault="00EF2564">
      <w:pPr>
        <w:pStyle w:val="caption2"/>
        <w:keepNext/>
        <w:rPr>
          <w:rFonts w:ascii="Times New Roman" w:hAnsi="Times New Roman" w:cs="Times New Roman"/>
          <w:noProof/>
          <w:color w:val="auto"/>
          <w:sz w:val="24"/>
          <w:szCs w:val="24"/>
          <w:lang w:val="en-GB"/>
        </w:rPr>
      </w:pPr>
      <w:bookmarkStart w:id="5" w:name="_Ref527641009"/>
      <w:r>
        <w:rPr>
          <w:rFonts w:ascii="Times New Roman" w:hAnsi="Times New Roman" w:cs="Times New Roman"/>
          <w:noProof/>
          <w:color w:val="auto"/>
          <w:sz w:val="24"/>
          <w:szCs w:val="24"/>
          <w:lang w:val="en-GB"/>
        </w:rPr>
        <w:t xml:space="preserve">Figure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1</w:t>
      </w:r>
      <w:r>
        <w:rPr>
          <w:rFonts w:ascii="Times New Roman" w:hAnsi="Times New Roman" w:cs="Times New Roman"/>
          <w:noProof/>
          <w:color w:val="auto"/>
          <w:sz w:val="24"/>
          <w:szCs w:val="24"/>
          <w:lang w:val="en-GB"/>
        </w:rPr>
        <w:fldChar w:fldCharType="end"/>
      </w:r>
      <w:bookmarkEnd w:id="5"/>
      <w:r>
        <w:rPr>
          <w:rFonts w:ascii="Times New Roman" w:hAnsi="Times New Roman" w:cs="Times New Roman"/>
          <w:noProof/>
          <w:color w:val="auto"/>
          <w:sz w:val="24"/>
          <w:szCs w:val="24"/>
          <w:lang w:val="en-GB"/>
        </w:rPr>
        <w:t xml:space="preserve">: Employment and unemployment rates in </w:t>
      </w:r>
      <w:r>
        <w:rPr>
          <w:rFonts w:ascii="Times New Roman" w:hAnsi="Times New Roman" w:cs="Times New Roman"/>
          <w:noProof/>
          <w:color w:val="auto"/>
          <w:sz w:val="24"/>
          <w:szCs w:val="24"/>
          <w:lang w:val="en-GB"/>
        </w:rPr>
        <w:t>the EU and euro area</w:t>
      </w:r>
    </w:p>
    <w:p w:rsidR="00EF5220" w:rsidRDefault="00EF2564">
      <w:pPr>
        <w:rPr>
          <w:noProof/>
          <w:lang w:val="en-GB"/>
        </w:rPr>
      </w:pPr>
      <w:r>
        <w:rPr>
          <w:noProof/>
          <w:lang w:val="en-GB" w:eastAsia="en-GB" w:bidi="ar-SA"/>
        </w:rPr>
        <w:drawing>
          <wp:inline distT="0" distB="0" distL="0" distR="0">
            <wp:extent cx="5247861" cy="3314074"/>
            <wp:effectExtent l="0" t="0" r="0" b="63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263778" cy="3324126"/>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LFS. Note: seasonally adjusted figures for Q2-2018.</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Youth unemployment also continues to decrease quickly, </w:t>
      </w:r>
      <w:r>
        <w:rPr>
          <w:rFonts w:ascii="Times New Roman" w:hAnsi="Times New Roman"/>
          <w:noProof/>
          <w:sz w:val="24"/>
          <w:lang w:val="en-GB"/>
        </w:rPr>
        <w:t>dropping by 1.8 pps year-on-year to 15.2% in Q2-2018 (16.9% in the euro area). This level corresponds to the minimum reached just before the crisis (Q2-2008) and is now almost 9 pps below the 2013 peak. Still, youth unemployment remains high in some Member</w:t>
      </w:r>
      <w:r>
        <w:rPr>
          <w:rFonts w:ascii="Times New Roman" w:hAnsi="Times New Roman"/>
          <w:noProof/>
          <w:sz w:val="24"/>
          <w:lang w:val="en-GB"/>
        </w:rPr>
        <w:t xml:space="preserve"> States, with rates above 30% in Spain, Italy and Greece (see Section 3.2.1). Continuing improvements are recorded in terms of people aged 15-24 who are neither in employment, nor in education or training (NEET), whose rate declined by 0.6 pps to 10.9% in </w:t>
      </w:r>
      <w:r>
        <w:rPr>
          <w:rFonts w:ascii="Times New Roman" w:hAnsi="Times New Roman"/>
          <w:noProof/>
          <w:sz w:val="24"/>
          <w:lang w:val="en-GB"/>
        </w:rPr>
        <w:t xml:space="preserve">2017, a similar level as in 2008.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The decrease in youth unemployment is mirrored by a parallel increase in the educational attainment of youth:</w:t>
      </w:r>
      <w:r>
        <w:rPr>
          <w:rFonts w:ascii="Times New Roman" w:hAnsi="Times New Roman"/>
          <w:noProof/>
          <w:sz w:val="24"/>
          <w:lang w:val="en-GB"/>
        </w:rPr>
        <w:t xml:space="preserve"> the rate of early leavers from education and training (aged 18-24), which has been steadily declining over the </w:t>
      </w:r>
      <w:r>
        <w:rPr>
          <w:rFonts w:ascii="Times New Roman" w:hAnsi="Times New Roman"/>
          <w:noProof/>
          <w:sz w:val="24"/>
          <w:lang w:val="en-GB"/>
        </w:rPr>
        <w:t>last decade, with the latest decrease (by 0.1 pps) reached 10.6% in 2017. This is very close to the Europe 2020 target of 10%,  though there is room for further reduction</w:t>
      </w:r>
      <w:r>
        <w:rPr>
          <w:rStyle w:val="FootnoteReference"/>
          <w:rFonts w:ascii="Times New Roman" w:hAnsi="Times New Roman"/>
          <w:noProof/>
          <w:sz w:val="24"/>
          <w:lang w:val="en-GB"/>
        </w:rPr>
        <w:footnoteReference w:id="3"/>
      </w:r>
      <w:r>
        <w:rPr>
          <w:rFonts w:ascii="Times New Roman" w:hAnsi="Times New Roman"/>
          <w:noProof/>
          <w:sz w:val="24"/>
          <w:lang w:val="en-GB"/>
        </w:rPr>
        <w:t>. Tertiary educational attainment for those aged 30 to 34 continued increasing steadi</w:t>
      </w:r>
      <w:r>
        <w:rPr>
          <w:rFonts w:ascii="Times New Roman" w:hAnsi="Times New Roman"/>
          <w:noProof/>
          <w:sz w:val="24"/>
          <w:lang w:val="en-GB"/>
        </w:rPr>
        <w:t>ly, reaching 39.9% in 2017 – almost reaching the Europe 2020 target of 40%.</w:t>
      </w:r>
    </w:p>
    <w:p w:rsidR="00EF5220" w:rsidRDefault="00EF2564">
      <w:pPr>
        <w:spacing w:line="360" w:lineRule="auto"/>
        <w:jc w:val="both"/>
        <w:rPr>
          <w:rFonts w:ascii="Times New Roman" w:hAnsi="Times New Roman" w:cs="Times New Roman"/>
          <w:iCs/>
          <w:noProof/>
          <w:sz w:val="24"/>
          <w:szCs w:val="24"/>
          <w:highlight w:val="yellow"/>
          <w:lang w:val="en-GB"/>
        </w:rPr>
      </w:pPr>
      <w:r>
        <w:rPr>
          <w:rFonts w:ascii="Times New Roman" w:hAnsi="Times New Roman"/>
          <w:b/>
          <w:noProof/>
          <w:sz w:val="24"/>
          <w:lang w:val="en-GB"/>
        </w:rPr>
        <w:t xml:space="preserve">The recovery continues to be more prominent in terms of employed persons than of hours worked. </w:t>
      </w:r>
      <w:r>
        <w:rPr>
          <w:rFonts w:ascii="Times New Roman" w:hAnsi="Times New Roman"/>
          <w:noProof/>
          <w:sz w:val="24"/>
          <w:lang w:val="en-GB"/>
        </w:rPr>
        <w:t xml:space="preserve">The volume of total hours worked in the EU increased by 1.2% in 2017, continuing the </w:t>
      </w:r>
      <w:r>
        <w:rPr>
          <w:rFonts w:ascii="Times New Roman" w:hAnsi="Times New Roman"/>
          <w:noProof/>
          <w:sz w:val="24"/>
          <w:lang w:val="en-GB"/>
        </w:rPr>
        <w:t>positive trend started in 2015. Nonetheless, this increase remains below that of total employment (which rose by 1.6%, see above), and implies that the number of hours worked per capita decreased. Total hours worked are not yet back to their 2008 peak leve</w:t>
      </w:r>
      <w:r>
        <w:rPr>
          <w:rFonts w:ascii="Times New Roman" w:hAnsi="Times New Roman"/>
          <w:noProof/>
          <w:sz w:val="24"/>
          <w:lang w:val="en-GB"/>
        </w:rPr>
        <w:t xml:space="preserve">l. This evidence points to remaining slack in the labour market, as also signalled by other indicators. In 2017, there were almost 9 million involuntary part-time workers in the EU (i.e. workers who are in part-time but would like to work more), declining </w:t>
      </w:r>
      <w:r>
        <w:rPr>
          <w:rFonts w:ascii="Times New Roman" w:hAnsi="Times New Roman"/>
          <w:noProof/>
          <w:sz w:val="24"/>
          <w:lang w:val="en-GB"/>
        </w:rPr>
        <w:t>from a peak of 10.3 million in 2013, but still 1.3 million above the level of 2008. In a longer-term perspective, the moderate dynamics of working hours is part of a structural shift, linked to a growing incidence of part-time work over the last 15 years a</w:t>
      </w:r>
      <w:r>
        <w:rPr>
          <w:rFonts w:ascii="Times New Roman" w:hAnsi="Times New Roman"/>
          <w:noProof/>
          <w:sz w:val="24"/>
          <w:lang w:val="en-GB"/>
        </w:rPr>
        <w:t>nd changing preferences of workers as concerns working time arrangements. As a result, the number of hours worked per person is on a gradually declining trend since 2000</w:t>
      </w:r>
      <w:r>
        <w:rPr>
          <w:rStyle w:val="FootnoteReference"/>
          <w:rFonts w:ascii="Times New Roman" w:hAnsi="Times New Roman"/>
          <w:noProof/>
          <w:sz w:val="24"/>
          <w:lang w:val="en-GB"/>
        </w:rPr>
        <w:footnoteReference w:id="4"/>
      </w:r>
      <w:r>
        <w:rPr>
          <w:rFonts w:ascii="Times New Roman" w:hAnsi="Times New Roman"/>
          <w:noProof/>
          <w:sz w:val="24"/>
          <w:lang w:val="en-GB"/>
        </w:rPr>
        <w:t xml:space="preserve">.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Employment gains were spread among all the main demographic groups in 2017.</w:t>
      </w:r>
      <w:r>
        <w:rPr>
          <w:rFonts w:ascii="Times New Roman" w:hAnsi="Times New Roman"/>
          <w:noProof/>
          <w:sz w:val="24"/>
          <w:lang w:val="en-GB"/>
        </w:rPr>
        <w:t xml:space="preserve"> As in p</w:t>
      </w:r>
      <w:r>
        <w:rPr>
          <w:rFonts w:ascii="Times New Roman" w:hAnsi="Times New Roman"/>
          <w:noProof/>
          <w:sz w:val="24"/>
          <w:lang w:val="en-GB"/>
        </w:rPr>
        <w:t xml:space="preserve">revious years, older workers (55-64) recorded the largest increase (Figure </w:t>
      </w:r>
      <w:r>
        <w:rPr>
          <w:rFonts w:ascii="Times New Roman" w:hAnsi="Times New Roman"/>
          <w:noProof/>
          <w:sz w:val="24"/>
          <w:szCs w:val="24"/>
          <w:lang w:val="en-GB"/>
        </w:rPr>
        <w:t>2</w:t>
      </w:r>
      <w:r>
        <w:rPr>
          <w:rFonts w:ascii="Times New Roman" w:hAnsi="Times New Roman"/>
          <w:noProof/>
          <w:sz w:val="24"/>
          <w:lang w:val="en-GB"/>
        </w:rPr>
        <w:t>): the number of employed persons in this group rose by 4.3% in 2017, pushing the employment rate up to 57.1%, the highest ever (almost 12 pps higher than in 2008). The number of y</w:t>
      </w:r>
      <w:r>
        <w:rPr>
          <w:rFonts w:ascii="Times New Roman" w:hAnsi="Times New Roman"/>
          <w:noProof/>
          <w:sz w:val="24"/>
          <w:lang w:val="en-GB"/>
        </w:rPr>
        <w:t>oung people (15-24) in employment increased slightly faster than in 2016 (1.6% vs. 1.3%). Yet, the youth employment rate has not fully recovered from the crisis, as at 34.7% in 2017 it remains 2.7 pps below the 2008 level. Nevertheless, in view of a stable</w:t>
      </w:r>
      <w:r>
        <w:rPr>
          <w:rFonts w:ascii="Times New Roman" w:hAnsi="Times New Roman"/>
          <w:noProof/>
          <w:sz w:val="24"/>
          <w:lang w:val="en-GB"/>
        </w:rPr>
        <w:t xml:space="preserve"> activity rate (at 41.7% in 2017 vs. 41.6% in 2016) the employment gains translated into a continuing decrease in unemployment for this age group. Employment increased slightly faster among women than among men in 2017 (1.5% vs. 1.3%). Yet the employment g</w:t>
      </w:r>
      <w:r>
        <w:rPr>
          <w:rFonts w:ascii="Times New Roman" w:hAnsi="Times New Roman"/>
          <w:noProof/>
          <w:sz w:val="24"/>
          <w:lang w:val="en-GB"/>
        </w:rPr>
        <w:t xml:space="preserve">ender gap remains almost unchanged at 11.5 pps, 0.1 pps below 2016 (though significantly lower than the pre-crisis value of 15 pps in 2008). Although increasing by 1.7 pps at 63% in 2017, the employment rate of non-EU born people aged 20-64 remains 10 pps </w:t>
      </w:r>
      <w:r>
        <w:rPr>
          <w:rFonts w:ascii="Times New Roman" w:hAnsi="Times New Roman"/>
          <w:noProof/>
          <w:sz w:val="24"/>
          <w:lang w:val="en-GB"/>
        </w:rPr>
        <w:t>lower than that of native-born. The gap is higher for women (around 14 pps).</w:t>
      </w:r>
    </w:p>
    <w:p w:rsidR="00EF5220" w:rsidRDefault="00EF2564">
      <w:pPr>
        <w:pStyle w:val="caption1"/>
        <w:keepNext/>
        <w:spacing w:line="240" w:lineRule="auto"/>
        <w:rPr>
          <w:rFonts w:ascii="Times New Roman" w:hAnsi="Times New Roman"/>
          <w:noProof/>
          <w:sz w:val="24"/>
          <w:szCs w:val="24"/>
          <w:lang w:val="en-GB"/>
        </w:rPr>
      </w:pPr>
      <w:bookmarkStart w:id="6" w:name="_Ref527640992"/>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2</w:t>
      </w:r>
      <w:r>
        <w:rPr>
          <w:rFonts w:ascii="Times New Roman" w:hAnsi="Times New Roman"/>
          <w:noProof/>
          <w:sz w:val="24"/>
          <w:szCs w:val="24"/>
          <w:lang w:val="en-GB"/>
        </w:rPr>
        <w:fldChar w:fldCharType="end"/>
      </w:r>
      <w:bookmarkEnd w:id="6"/>
      <w:r>
        <w:rPr>
          <w:rFonts w:ascii="Times New Roman" w:hAnsi="Times New Roman"/>
          <w:noProof/>
          <w:sz w:val="24"/>
          <w:lang w:val="en-GB"/>
        </w:rPr>
        <w:t>: Employment rates and employment growth across different groups in the EU</w:t>
      </w:r>
    </w:p>
    <w:p w:rsidR="00EF5220" w:rsidRDefault="00EF2564">
      <w:pPr>
        <w:spacing w:line="360" w:lineRule="auto"/>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GB" w:eastAsia="en-GB" w:bidi="ar-SA"/>
        </w:rPr>
        <w:drawing>
          <wp:inline distT="0" distB="0" distL="0" distR="0">
            <wp:extent cx="4798771" cy="3724793"/>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00684" cy="3726278"/>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LFS.</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The recovery keeps increasing the number of </w:t>
      </w:r>
      <w:r>
        <w:rPr>
          <w:rFonts w:ascii="Times New Roman" w:hAnsi="Times New Roman"/>
          <w:b/>
          <w:noProof/>
          <w:sz w:val="24"/>
          <w:lang w:val="en-GB"/>
        </w:rPr>
        <w:t>high skilled workers in the economy.</w:t>
      </w:r>
      <w:r>
        <w:rPr>
          <w:rFonts w:ascii="Times New Roman" w:hAnsi="Times New Roman"/>
          <w:noProof/>
          <w:sz w:val="24"/>
          <w:lang w:val="en-GB"/>
        </w:rPr>
        <w:t xml:space="preserve"> The number of people with higher education in employment increased by 2.9% in 2017 (age group 25-64), while a moderate increase of 0.8% was recorded among medium-skilled workers (i.e. those with upper secondary educatio</w:t>
      </w:r>
      <w:r>
        <w:rPr>
          <w:rFonts w:ascii="Times New Roman" w:hAnsi="Times New Roman"/>
          <w:noProof/>
          <w:sz w:val="24"/>
          <w:lang w:val="en-GB"/>
        </w:rPr>
        <w:t>n). On the contrary, the number of low-skilled workers (i.e. with lower secondary education or below) dropped by 0.4%. Since the overall population of low-skilled workers aged 25-64 is on the decline (by 2.7% compared to 2016) – as part of a trend reflecti</w:t>
      </w:r>
      <w:r>
        <w:rPr>
          <w:rFonts w:ascii="Times New Roman" w:hAnsi="Times New Roman"/>
          <w:noProof/>
          <w:sz w:val="24"/>
          <w:lang w:val="en-GB"/>
        </w:rPr>
        <w:t>ng population ageing and higher educational attainment among younger generations – this group's employment rate actually increased from 54.3% in 2016 to 55.6% in 2017. The gap between employment rates of low- and high-skilled workers slightly decreased fro</w:t>
      </w:r>
      <w:r>
        <w:rPr>
          <w:rFonts w:ascii="Times New Roman" w:hAnsi="Times New Roman"/>
          <w:noProof/>
          <w:sz w:val="24"/>
          <w:lang w:val="en-GB"/>
        </w:rPr>
        <w:t>m 30.5 pps in 2016 to 29.7 pps in 2017, but remains very high and indicative of the room for action to increase the employability of people with low education level. Detailed trends by Member States are provided in the following sections of the report.</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Tem</w:t>
      </w:r>
      <w:r>
        <w:rPr>
          <w:rFonts w:ascii="Times New Roman" w:hAnsi="Times New Roman"/>
          <w:b/>
          <w:noProof/>
          <w:sz w:val="24"/>
          <w:lang w:val="en-GB"/>
        </w:rPr>
        <w:t xml:space="preserve">porary employment, as a proportion of total employment, remained almost stable in 2017, while part-time employment decreased marginally. </w:t>
      </w:r>
      <w:r>
        <w:rPr>
          <w:rFonts w:ascii="Times New Roman" w:hAnsi="Times New Roman"/>
          <w:noProof/>
          <w:sz w:val="24"/>
          <w:lang w:val="en-GB"/>
        </w:rPr>
        <w:t>Following a similar trend as in recent years, the recovery is fostering job creation in both permanent and temporary co</w:t>
      </w:r>
      <w:r>
        <w:rPr>
          <w:rFonts w:ascii="Times New Roman" w:hAnsi="Times New Roman"/>
          <w:noProof/>
          <w:sz w:val="24"/>
          <w:lang w:val="en-GB"/>
        </w:rPr>
        <w:t>ntracts, which rose respectively by around 2.7 million and 0.8 million in 2017 (corresponding to percentage increases by 1.7% and 2.9%). Nonetheless, as a proportion of total employment, the share of temporary employees remained almost stable, slightly inc</w:t>
      </w:r>
      <w:r>
        <w:rPr>
          <w:rFonts w:ascii="Times New Roman" w:hAnsi="Times New Roman"/>
          <w:noProof/>
          <w:sz w:val="24"/>
          <w:lang w:val="en-GB"/>
        </w:rPr>
        <w:t xml:space="preserve">reasing by 0.1 pps to 14.3% (age group 15-64). For a second year in a row, the proportion of part-time workers (age group 15-64) decreased marginally (by 0.1% to 19.4% in 2017), remaining almost 2 pps above the 2008 level. On the upside, as also mentioned </w:t>
      </w:r>
      <w:r>
        <w:rPr>
          <w:rFonts w:ascii="Times New Roman" w:hAnsi="Times New Roman"/>
          <w:noProof/>
          <w:sz w:val="24"/>
          <w:lang w:val="en-GB"/>
        </w:rPr>
        <w:t>above, the share of involuntary part-time workers is decreasing significantly (from 21.1% in 2016 to 19.8% in 2017) though remaining substantial. Self-employment (15-64) over total employment continued a slow decline, down to 13.7% in 2017 (from 14.0% in 2</w:t>
      </w:r>
      <w:r>
        <w:rPr>
          <w:rFonts w:ascii="Times New Roman" w:hAnsi="Times New Roman"/>
          <w:noProof/>
          <w:sz w:val="24"/>
          <w:lang w:val="en-GB"/>
        </w:rPr>
        <w:t>016 and 14.4% in 2013).</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In terms of sectoral developments, employment continued to shift towards services. </w:t>
      </w:r>
      <w:r>
        <w:rPr>
          <w:rFonts w:ascii="Times New Roman" w:hAnsi="Times New Roman"/>
          <w:noProof/>
          <w:sz w:val="24"/>
          <w:lang w:val="en-GB"/>
        </w:rPr>
        <w:t>In line with the trend of recent years, the largest number of jobs was created in services</w:t>
      </w:r>
      <w:r>
        <w:rPr>
          <w:rStyle w:val="FootnoteReference"/>
          <w:rFonts w:ascii="Times New Roman" w:hAnsi="Times New Roman"/>
          <w:noProof/>
          <w:sz w:val="24"/>
          <w:lang w:val="en-GB"/>
        </w:rPr>
        <w:footnoteReference w:id="5"/>
      </w:r>
      <w:r>
        <w:rPr>
          <w:rFonts w:ascii="Times New Roman" w:hAnsi="Times New Roman"/>
          <w:noProof/>
          <w:sz w:val="24"/>
          <w:lang w:val="en-GB"/>
        </w:rPr>
        <w:t xml:space="preserve"> (2.8 million additional persons in employment in 2017, or</w:t>
      </w:r>
      <w:r>
        <w:rPr>
          <w:rFonts w:ascii="Times New Roman" w:hAnsi="Times New Roman"/>
          <w:noProof/>
          <w:sz w:val="24"/>
          <w:lang w:val="en-GB"/>
        </w:rPr>
        <w:t xml:space="preserve"> +1.6% compared to 2016; based on national accounts). From 2008 to 2017, the share of employment in services in the EU increased continuously from 70.1% to 73.9%. With an increase by 2%, construction recorded the largest increase in employment since the re</w:t>
      </w:r>
      <w:r>
        <w:rPr>
          <w:rFonts w:ascii="Times New Roman" w:hAnsi="Times New Roman"/>
          <w:noProof/>
          <w:sz w:val="24"/>
          <w:lang w:val="en-GB"/>
        </w:rPr>
        <w:t>cession, consolidating the recovery started in 2015; however, the number of employed persons is still almost 15% lower than in 2008. Industry also showed a solid expansion (by 1.5%, the highest rate since 2007). Finally, after a long series of declines, em</w:t>
      </w:r>
      <w:r>
        <w:rPr>
          <w:rFonts w:ascii="Times New Roman" w:hAnsi="Times New Roman"/>
          <w:noProof/>
          <w:sz w:val="24"/>
          <w:lang w:val="en-GB"/>
        </w:rPr>
        <w:t>ployment in agriculture slightly increased by 0.3% in 2017.</w:t>
      </w:r>
    </w:p>
    <w:p w:rsidR="00EF5220" w:rsidRDefault="00EF2564">
      <w:pPr>
        <w:pStyle w:val="Heading3"/>
        <w:spacing w:after="200"/>
        <w:rPr>
          <w:noProof/>
          <w:lang w:val="en-GB"/>
        </w:rPr>
      </w:pPr>
      <w:bookmarkStart w:id="7" w:name="_Toc527539777"/>
      <w:r>
        <w:rPr>
          <w:noProof/>
          <w:lang w:val="en-GB"/>
        </w:rPr>
        <w:t>1.2</w:t>
      </w:r>
      <w:r>
        <w:rPr>
          <w:noProof/>
          <w:lang w:val="en-GB"/>
        </w:rPr>
        <w:tab/>
        <w:t>Social trends</w:t>
      </w:r>
      <w:bookmarkEnd w:id="7"/>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The number of persons at risk of poverty or social exclusion (AROPE</w:t>
      </w:r>
      <w:bookmarkStart w:id="8" w:name="_Ref527558084"/>
      <w:r>
        <w:rPr>
          <w:rFonts w:ascii="Times New Roman" w:hAnsi="Times New Roman"/>
          <w:b/>
          <w:noProof/>
          <w:sz w:val="24"/>
          <w:vertAlign w:val="superscript"/>
          <w:lang w:val="en-GB"/>
        </w:rPr>
        <w:footnoteReference w:id="6"/>
      </w:r>
      <w:bookmarkEnd w:id="8"/>
      <w:r>
        <w:rPr>
          <w:rFonts w:ascii="Times New Roman" w:hAnsi="Times New Roman"/>
          <w:b/>
          <w:noProof/>
          <w:sz w:val="24"/>
          <w:lang w:val="en-GB"/>
        </w:rPr>
        <w:t>)</w:t>
      </w:r>
      <w:bookmarkStart w:id="9" w:name="_Ref529538880"/>
      <w:r>
        <w:rPr>
          <w:rFonts w:ascii="Times New Roman" w:hAnsi="Times New Roman"/>
          <w:b/>
          <w:noProof/>
          <w:sz w:val="24"/>
          <w:vertAlign w:val="superscript"/>
          <w:lang w:val="en-GB"/>
        </w:rPr>
        <w:footnoteReference w:id="7"/>
      </w:r>
      <w:bookmarkEnd w:id="9"/>
      <w:r>
        <w:rPr>
          <w:rFonts w:ascii="Times New Roman" w:hAnsi="Times New Roman"/>
          <w:b/>
          <w:noProof/>
          <w:sz w:val="24"/>
          <w:lang w:val="en-GB"/>
        </w:rPr>
        <w:t xml:space="preserve"> has substantially declined in 2017 and is now below pre-crisis levels. </w:t>
      </w:r>
      <w:r>
        <w:rPr>
          <w:rFonts w:ascii="Times New Roman" w:hAnsi="Times New Roman"/>
          <w:noProof/>
          <w:sz w:val="24"/>
          <w:lang w:val="en-GB"/>
        </w:rPr>
        <w:t>The declining trend in this indicator continued for a fifth consecutive year in 2017, falling to 113 million persons (or 22.5% of the total population) in line with the recovery in employment and the increase in disposable income. As a result, in 2017 ther</w:t>
      </w:r>
      <w:r>
        <w:rPr>
          <w:rFonts w:ascii="Times New Roman" w:hAnsi="Times New Roman"/>
          <w:noProof/>
          <w:sz w:val="24"/>
          <w:lang w:val="en-GB"/>
        </w:rPr>
        <w:t>e were 5 million fewer persons at risk of poverty or social exclusion in the EU than before the crisis (in 2008), while the decline from the peak in 2012 amounts to nearly 11 million. However, given the setback of the crisis, the Europe 2020 headline targe</w:t>
      </w:r>
      <w:r>
        <w:rPr>
          <w:rFonts w:ascii="Times New Roman" w:hAnsi="Times New Roman"/>
          <w:noProof/>
          <w:sz w:val="24"/>
          <w:lang w:val="en-GB"/>
        </w:rPr>
        <w:t xml:space="preserve">t (20 million fewer people at risk of poverty or social exclusion compared to 2008) remains far from reach. The current overall decline in the indicator is driven by all its three sub-components, though to a different extent (see below and </w:t>
      </w:r>
      <w:r>
        <w:rPr>
          <w:rFonts w:ascii="Times New Roman" w:hAnsi="Times New Roman" w:cs="Times New Roman"/>
          <w:noProof/>
          <w:sz w:val="24"/>
          <w:szCs w:val="24"/>
          <w:lang w:val="en-GB"/>
        </w:rPr>
        <w:t>Figure 3</w:t>
      </w:r>
      <w:r>
        <w:rPr>
          <w:rFonts w:ascii="Times New Roman" w:hAnsi="Times New Roman"/>
          <w:noProof/>
          <w:sz w:val="24"/>
          <w:lang w:val="en-GB"/>
        </w:rPr>
        <w:t>).</w:t>
      </w:r>
    </w:p>
    <w:p w:rsidR="00EF5220" w:rsidRDefault="00EF2564">
      <w:pPr>
        <w:pStyle w:val="caption2"/>
        <w:keepNext/>
        <w:rPr>
          <w:rFonts w:ascii="Times New Roman" w:hAnsi="Times New Roman" w:cs="Times New Roman"/>
          <w:noProof/>
          <w:color w:val="auto"/>
          <w:sz w:val="24"/>
          <w:szCs w:val="24"/>
          <w:lang w:val="en-GB"/>
        </w:rPr>
      </w:pPr>
      <w:bookmarkStart w:id="10" w:name="_Ref527558157"/>
      <w:r>
        <w:rPr>
          <w:rFonts w:ascii="Times New Roman" w:hAnsi="Times New Roman" w:cs="Times New Roman"/>
          <w:noProof/>
          <w:color w:val="auto"/>
          <w:sz w:val="24"/>
          <w:szCs w:val="24"/>
          <w:lang w:val="en-GB"/>
        </w:rPr>
        <w:t>Figur</w:t>
      </w:r>
      <w:r>
        <w:rPr>
          <w:rFonts w:ascii="Times New Roman" w:hAnsi="Times New Roman" w:cs="Times New Roman"/>
          <w:noProof/>
          <w:color w:val="auto"/>
          <w:sz w:val="24"/>
          <w:szCs w:val="24"/>
          <w:lang w:val="en-GB"/>
        </w:rPr>
        <w:t xml:space="preserve">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3</w:t>
      </w:r>
      <w:r>
        <w:rPr>
          <w:rFonts w:ascii="Times New Roman" w:hAnsi="Times New Roman" w:cs="Times New Roman"/>
          <w:noProof/>
          <w:color w:val="auto"/>
          <w:sz w:val="24"/>
          <w:szCs w:val="24"/>
          <w:lang w:val="en-GB"/>
        </w:rPr>
        <w:fldChar w:fldCharType="end"/>
      </w:r>
      <w:bookmarkEnd w:id="10"/>
      <w:r>
        <w:rPr>
          <w:rFonts w:ascii="Times New Roman" w:hAnsi="Times New Roman" w:cs="Times New Roman"/>
          <w:noProof/>
          <w:color w:val="auto"/>
          <w:sz w:val="24"/>
          <w:szCs w:val="24"/>
          <w:lang w:val="en-GB"/>
        </w:rPr>
        <w:t>: Percentage of population at-risk-of-poverty or social exclusion (AROPE) and subcomponents (2005-2017).</w:t>
      </w:r>
    </w:p>
    <w:p w:rsidR="00EF5220" w:rsidRDefault="00EF2564">
      <w:pPr>
        <w:spacing w:line="360" w:lineRule="auto"/>
        <w:jc w:val="both"/>
        <w:rPr>
          <w:rFonts w:ascii="Times New Roman" w:hAnsi="Times New Roman"/>
          <w:b/>
          <w:noProof/>
          <w:sz w:val="24"/>
          <w:lang w:val="en-GB"/>
        </w:rPr>
      </w:pPr>
      <w:r>
        <w:rPr>
          <w:rFonts w:ascii="Times New Roman" w:hAnsi="Times New Roman"/>
          <w:b/>
          <w:noProof/>
          <w:sz w:val="24"/>
          <w:lang w:val="en-GB" w:eastAsia="en-GB" w:bidi="ar-SA"/>
        </w:rPr>
        <w:drawing>
          <wp:inline distT="0" distB="0" distL="0" distR="0">
            <wp:extent cx="4858247" cy="2475540"/>
            <wp:effectExtent l="0" t="0" r="0"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858695" cy="2475768"/>
                    </a:xfrm>
                    <a:prstGeom prst="rect">
                      <a:avLst/>
                    </a:prstGeom>
                    <a:noFill/>
                  </pic:spPr>
                </pic:pic>
              </a:graphicData>
            </a:graphic>
          </wp:inline>
        </w:drawing>
      </w:r>
    </w:p>
    <w:p w:rsidR="00EF5220" w:rsidRDefault="00EF2564">
      <w:pPr>
        <w:spacing w:line="360" w:lineRule="auto"/>
        <w:jc w:val="both"/>
        <w:rPr>
          <w:rFonts w:ascii="Times New Roman" w:hAnsi="Times New Roman"/>
          <w:noProof/>
          <w:sz w:val="20"/>
          <w:szCs w:val="20"/>
          <w:lang w:val="en-GB"/>
        </w:rPr>
      </w:pPr>
      <w:r>
        <w:rPr>
          <w:rFonts w:ascii="Times New Roman" w:hAnsi="Times New Roman"/>
          <w:noProof/>
          <w:sz w:val="20"/>
          <w:szCs w:val="20"/>
          <w:lang w:val="en-GB"/>
        </w:rPr>
        <w:t xml:space="preserve">Source: Eurostat, SILC. Note: the legend is explained in footnote </w:t>
      </w:r>
      <w:r>
        <w:rPr>
          <w:rFonts w:ascii="Times New Roman" w:hAnsi="Times New Roman"/>
          <w:noProof/>
          <w:sz w:val="20"/>
          <w:szCs w:val="20"/>
          <w:lang w:val="en-GB"/>
        </w:rPr>
        <w:fldChar w:fldCharType="begin"/>
      </w:r>
      <w:r>
        <w:rPr>
          <w:rFonts w:ascii="Times New Roman" w:hAnsi="Times New Roman"/>
          <w:noProof/>
          <w:sz w:val="20"/>
          <w:szCs w:val="20"/>
          <w:lang w:val="en-GB"/>
        </w:rPr>
        <w:instrText xml:space="preserve"> NOTEREF _Ref527558084 \h </w:instrText>
      </w:r>
      <w:r>
        <w:rPr>
          <w:rFonts w:ascii="Times New Roman" w:hAnsi="Times New Roman"/>
          <w:noProof/>
          <w:sz w:val="20"/>
          <w:szCs w:val="20"/>
          <w:lang w:val="en-GB"/>
        </w:rPr>
      </w:r>
      <w:r>
        <w:rPr>
          <w:rFonts w:ascii="Times New Roman" w:hAnsi="Times New Roman"/>
          <w:noProof/>
          <w:sz w:val="20"/>
          <w:szCs w:val="20"/>
          <w:lang w:val="en-GB"/>
        </w:rPr>
        <w:fldChar w:fldCharType="separate"/>
      </w:r>
      <w:r>
        <w:rPr>
          <w:rFonts w:ascii="Times New Roman" w:hAnsi="Times New Roman"/>
          <w:noProof/>
          <w:sz w:val="20"/>
          <w:szCs w:val="20"/>
          <w:lang w:val="en-GB"/>
        </w:rPr>
        <w:t>6</w:t>
      </w:r>
      <w:r>
        <w:rPr>
          <w:rFonts w:ascii="Times New Roman" w:hAnsi="Times New Roman"/>
          <w:noProof/>
          <w:sz w:val="20"/>
          <w:szCs w:val="20"/>
          <w:lang w:val="en-GB"/>
        </w:rPr>
        <w:fldChar w:fldCharType="end"/>
      </w:r>
      <w:r>
        <w:rPr>
          <w:rFonts w:ascii="Times New Roman" w:hAnsi="Times New Roman"/>
          <w:noProof/>
          <w:sz w:val="20"/>
          <w:szCs w:val="20"/>
          <w:lang w:val="en-GB"/>
        </w:rPr>
        <w:t>.</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A sharp fall in the number of persons suffering from severe material deprivation (SMD) brings the figures to its lowest level in recent history, reflecting rising standards of living. </w:t>
      </w:r>
      <w:r>
        <w:rPr>
          <w:rFonts w:ascii="Times New Roman" w:hAnsi="Times New Roman"/>
          <w:noProof/>
          <w:sz w:val="24"/>
          <w:lang w:val="en-GB"/>
        </w:rPr>
        <w:t xml:space="preserve">Over 3 million people were </w:t>
      </w:r>
      <w:r>
        <w:rPr>
          <w:rFonts w:ascii="Times New Roman" w:hAnsi="Times New Roman"/>
          <w:noProof/>
          <w:sz w:val="24"/>
          <w:lang w:val="en-GB"/>
        </w:rPr>
        <w:t>relieved of severe material deprivation in the year to 2017, bringing the overall number of persons affected down to 34.8 million or 6.9% of the EU population (0.6 pps less than in 2017 and below 2008). This decline represents a significant improvement for</w:t>
      </w:r>
      <w:r>
        <w:rPr>
          <w:rFonts w:ascii="Times New Roman" w:hAnsi="Times New Roman"/>
          <w:noProof/>
          <w:sz w:val="24"/>
          <w:lang w:val="en-GB"/>
        </w:rPr>
        <w:t xml:space="preserve"> a fifth year in a row, reflecting an improving material situation of households. In spite of these positive developments, a large variation between Member States persists (see section 3.4).</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The record increase in employment rates has contributed to reduci</w:t>
      </w:r>
      <w:r>
        <w:rPr>
          <w:rFonts w:ascii="Times New Roman" w:hAnsi="Times New Roman"/>
          <w:b/>
          <w:noProof/>
          <w:sz w:val="24"/>
          <w:lang w:val="en-GB"/>
        </w:rPr>
        <w:t xml:space="preserve">ng the number of persons living in quasi-jobless households </w:t>
      </w:r>
      <w:r>
        <w:rPr>
          <w:rFonts w:ascii="Times New Roman" w:hAnsi="Times New Roman"/>
          <w:noProof/>
          <w:sz w:val="24"/>
          <w:lang w:val="en-GB"/>
        </w:rPr>
        <w:t xml:space="preserve">by 3.7 million in 2017. As a share of the population aged 0-59, this corresponds to a decrease from 10.5% in 2016 to 9.3% in 2017 – below 10% for the first time since 2009. Yet, both the rate and </w:t>
      </w:r>
      <w:r>
        <w:rPr>
          <w:rFonts w:ascii="Times New Roman" w:hAnsi="Times New Roman"/>
          <w:noProof/>
          <w:sz w:val="24"/>
          <w:lang w:val="en-GB"/>
        </w:rPr>
        <w:t xml:space="preserve">the number of people affected remain above pre-crisis levels.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The percentage of the population at risk of poverty has shown its first decline since the crisis. </w:t>
      </w:r>
      <w:r>
        <w:rPr>
          <w:rFonts w:ascii="Times New Roman" w:hAnsi="Times New Roman"/>
          <w:noProof/>
          <w:sz w:val="24"/>
          <w:lang w:val="en-GB"/>
        </w:rPr>
        <w:t>Following an increase in the number of people at risk of poverty until 2014, this indicator had</w:t>
      </w:r>
      <w:r>
        <w:rPr>
          <w:rFonts w:ascii="Times New Roman" w:hAnsi="Times New Roman"/>
          <w:noProof/>
          <w:sz w:val="24"/>
          <w:lang w:val="en-GB"/>
        </w:rPr>
        <w:t xml:space="preserve"> stabilised in the following two years. In 2017 the rate fell by 0.4 pps to 16.9%, or nearly 2 million people – marking the first year after the crisis in which the incomes of poor households have risen faster than median incomes. The latest data from Euro</w:t>
      </w:r>
      <w:r>
        <w:rPr>
          <w:rFonts w:ascii="Times New Roman" w:hAnsi="Times New Roman"/>
          <w:noProof/>
          <w:sz w:val="24"/>
          <w:lang w:val="en-GB"/>
        </w:rPr>
        <w:t>stat flash estimates</w:t>
      </w:r>
      <w:r>
        <w:rPr>
          <w:rStyle w:val="FootnoteReference"/>
          <w:rFonts w:ascii="Times New Roman" w:hAnsi="Times New Roman"/>
          <w:noProof/>
          <w:sz w:val="24"/>
          <w:lang w:val="en-GB"/>
        </w:rPr>
        <w:footnoteReference w:id="8"/>
      </w:r>
      <w:r>
        <w:rPr>
          <w:rFonts w:ascii="Times New Roman" w:hAnsi="Times New Roman"/>
          <w:noProof/>
          <w:sz w:val="24"/>
          <w:lang w:val="en-GB"/>
        </w:rPr>
        <w:t xml:space="preserve"> suggest that this decline in poverty rates is set to continue. However, the at risk-of-poverty rate for persons living in households with very low work intensity has increased for a fourth consecutive year, and is now at a record-high</w:t>
      </w:r>
      <w:r>
        <w:rPr>
          <w:rFonts w:ascii="Times New Roman" w:hAnsi="Times New Roman"/>
          <w:noProof/>
          <w:sz w:val="24"/>
          <w:lang w:val="en-GB"/>
        </w:rPr>
        <w:t xml:space="preserve"> 62.3%. This points to persistent gaps in the adequacy of social benefits in several countries and has been identified as a trend to watch by the Social Protection Committee</w:t>
      </w:r>
      <w:r>
        <w:rPr>
          <w:rFonts w:ascii="Times New Roman" w:hAnsi="Times New Roman"/>
          <w:noProof/>
          <w:sz w:val="24"/>
          <w:vertAlign w:val="superscript"/>
          <w:lang w:val="en-GB"/>
        </w:rPr>
        <w:footnoteReference w:id="9"/>
      </w:r>
      <w:r>
        <w:rPr>
          <w:rFonts w:ascii="Times New Roman" w:hAnsi="Times New Roman"/>
          <w:noProof/>
          <w:sz w:val="24"/>
          <w:lang w:val="en-GB"/>
        </w:rPr>
        <w:t>.</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In spite of the overall decline in the share of people at risk of poverty, in-wo</w:t>
      </w:r>
      <w:r>
        <w:rPr>
          <w:rFonts w:ascii="Times New Roman" w:hAnsi="Times New Roman"/>
          <w:b/>
          <w:noProof/>
          <w:sz w:val="24"/>
          <w:lang w:val="en-GB"/>
        </w:rPr>
        <w:t xml:space="preserve">rk poverty remains high. </w:t>
      </w:r>
      <w:r>
        <w:rPr>
          <w:rFonts w:ascii="Times New Roman" w:hAnsi="Times New Roman"/>
          <w:noProof/>
          <w:sz w:val="24"/>
          <w:lang w:val="en-GB"/>
        </w:rPr>
        <w:t>In 2017, 9.6% of the working population had household income below 60% of the national median, a figure that was unchanged from 2016, and which remains well above the 2008 figure of 8.5%. The increases to date have affected both pa</w:t>
      </w:r>
      <w:r>
        <w:rPr>
          <w:rFonts w:ascii="Times New Roman" w:hAnsi="Times New Roman"/>
          <w:noProof/>
          <w:sz w:val="24"/>
          <w:lang w:val="en-GB"/>
        </w:rPr>
        <w:t>rt-time and full-time workers, although the former remain at substantially higher risk of poverty (15.8% as against 8.0%). The trend has affected in particular younger workers (aged under 30 years) who face a higher and increasing risk vis-à-vis workers ag</w:t>
      </w:r>
      <w:r>
        <w:rPr>
          <w:rFonts w:ascii="Times New Roman" w:hAnsi="Times New Roman"/>
          <w:noProof/>
          <w:sz w:val="24"/>
          <w:lang w:val="en-GB"/>
        </w:rPr>
        <w:t>ed 30 years and over.</w:t>
      </w:r>
      <w:r>
        <w:rPr>
          <w:rFonts w:ascii="Times New Roman" w:hAnsi="Times New Roman"/>
          <w:b/>
          <w:noProof/>
          <w:sz w:val="24"/>
          <w:lang w:val="en-GB"/>
        </w:rPr>
        <w:t xml:space="preserve"> </w:t>
      </w:r>
      <w:r>
        <w:rPr>
          <w:rFonts w:ascii="Times New Roman" w:hAnsi="Times New Roman"/>
          <w:noProof/>
          <w:sz w:val="24"/>
          <w:lang w:val="en-GB"/>
        </w:rPr>
        <w:t>In-work poverty has been identified as a trend to watch by the Social Protection Committee both from a short- and  long-term perspective</w:t>
      </w:r>
      <w:r>
        <w:rPr>
          <w:rFonts w:ascii="Times New Roman" w:hAnsi="Times New Roman"/>
          <w:noProof/>
          <w:sz w:val="24"/>
          <w:vertAlign w:val="superscript"/>
          <w:lang w:val="en-GB"/>
        </w:rPr>
        <w:footnoteReference w:id="10"/>
      </w:r>
      <w:r>
        <w:rPr>
          <w:rFonts w:ascii="Times New Roman" w:hAnsi="Times New Roman"/>
          <w:noProof/>
          <w:sz w:val="24"/>
          <w:lang w:val="en-GB"/>
        </w:rPr>
        <w:t xml:space="preserve">.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Poverty figures for the most vulnerable people indicate modest improvements, reversing previou</w:t>
      </w:r>
      <w:r>
        <w:rPr>
          <w:rFonts w:ascii="Times New Roman" w:hAnsi="Times New Roman"/>
          <w:b/>
          <w:noProof/>
          <w:sz w:val="24"/>
          <w:lang w:val="en-GB"/>
        </w:rPr>
        <w:t xml:space="preserve">s trends. </w:t>
      </w:r>
      <w:r>
        <w:rPr>
          <w:rFonts w:ascii="Times New Roman" w:hAnsi="Times New Roman"/>
          <w:noProof/>
          <w:sz w:val="24"/>
          <w:lang w:val="en-GB"/>
        </w:rPr>
        <w:t>The poverty gap, which measures how far away from the poverty line those at risk of poverty are, fell in 2017. It decreased modestly from 25% to 24.7%, yet remaining well ahead of pre-crisis levels. This suggests that the relative income position</w:t>
      </w:r>
      <w:r>
        <w:rPr>
          <w:rFonts w:ascii="Times New Roman" w:hAnsi="Times New Roman"/>
          <w:noProof/>
          <w:sz w:val="24"/>
          <w:lang w:val="en-GB"/>
        </w:rPr>
        <w:t xml:space="preserve"> of the most vulnerable is slightly improving. For the unemployed, the poverty risk declined for the first time since the crisis, yet at 48% it remains near record-high levels.</w:t>
      </w:r>
    </w:p>
    <w:p w:rsidR="00EF5220" w:rsidRDefault="00EF2564">
      <w:pPr>
        <w:spacing w:line="360" w:lineRule="auto"/>
        <w:jc w:val="both"/>
        <w:rPr>
          <w:rFonts w:ascii="Times New Roman" w:hAnsi="Times New Roman"/>
          <w:b/>
          <w:noProof/>
          <w:sz w:val="24"/>
          <w:lang w:val="en-GB"/>
        </w:rPr>
      </w:pPr>
      <w:r>
        <w:rPr>
          <w:rFonts w:ascii="Times New Roman" w:hAnsi="Times New Roman"/>
          <w:b/>
          <w:noProof/>
          <w:sz w:val="24"/>
          <w:lang w:val="en-GB"/>
        </w:rPr>
        <w:t>Despite overall improvements, the risk of poverty or social exclusion facing ch</w:t>
      </w:r>
      <w:r>
        <w:rPr>
          <w:rFonts w:ascii="Times New Roman" w:hAnsi="Times New Roman"/>
          <w:b/>
          <w:noProof/>
          <w:sz w:val="24"/>
          <w:lang w:val="en-GB"/>
        </w:rPr>
        <w:t xml:space="preserve">ildren remains high. </w:t>
      </w:r>
      <w:r>
        <w:rPr>
          <w:rFonts w:ascii="Times New Roman" w:hAnsi="Times New Roman"/>
          <w:noProof/>
          <w:sz w:val="24"/>
          <w:lang w:val="en-GB"/>
        </w:rPr>
        <w:t>The AROPE rate for children (aged 0-17) continues to decline, falling from 26.4% to 24.5% in 2017, well below the pre-crisis level. However, 62.9% of the children of low-skilled parents remain at risk of poverty or social exclusion, ag</w:t>
      </w:r>
      <w:r>
        <w:rPr>
          <w:rFonts w:ascii="Times New Roman" w:hAnsi="Times New Roman"/>
          <w:noProof/>
          <w:sz w:val="24"/>
          <w:lang w:val="en-GB"/>
        </w:rPr>
        <w:t>ainst only 9% for the children of high-skilled parents. For the children of non-EU born people, the proportion of those at risk of poverty or social exclusion has been rising throughout the post-crisis period, reaching 34.5% in 2017, more than twice the ra</w:t>
      </w:r>
      <w:r>
        <w:rPr>
          <w:rFonts w:ascii="Times New Roman" w:hAnsi="Times New Roman"/>
          <w:noProof/>
          <w:sz w:val="24"/>
          <w:lang w:val="en-GB"/>
        </w:rPr>
        <w:t>te facing the children of native-born parents. A key driver of child poverty is the growth in the number of single parent households, whose share has increased from 4.4% of the EU population in 2011 to 4.8% in 2016 (but fell to 4.3% in 2017). The at-risk-o</w:t>
      </w:r>
      <w:r>
        <w:rPr>
          <w:rFonts w:ascii="Times New Roman" w:hAnsi="Times New Roman"/>
          <w:noProof/>
          <w:sz w:val="24"/>
          <w:lang w:val="en-GB"/>
        </w:rPr>
        <w:t xml:space="preserve">f-poverty rate for children from single parent households is twice the average for children overall, a gap that continues to widen.  </w:t>
      </w:r>
      <w:r>
        <w:rPr>
          <w:rFonts w:ascii="Times New Roman" w:hAnsi="Times New Roman"/>
          <w:b/>
          <w:noProof/>
          <w:sz w:val="24"/>
          <w:lang w:val="en-GB"/>
        </w:rPr>
        <w:t xml:space="preserve">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Household incomes continue to grow, but at a slower rate than the economy as a whole. </w:t>
      </w:r>
      <w:r>
        <w:rPr>
          <w:rFonts w:ascii="Times New Roman" w:hAnsi="Times New Roman"/>
          <w:noProof/>
          <w:sz w:val="24"/>
          <w:lang w:val="en-GB"/>
        </w:rPr>
        <w:t xml:space="preserve">While the gross disposable income </w:t>
      </w:r>
      <w:r>
        <w:rPr>
          <w:rFonts w:ascii="Times New Roman" w:hAnsi="Times New Roman"/>
          <w:noProof/>
          <w:sz w:val="24"/>
          <w:lang w:val="en-GB"/>
        </w:rPr>
        <w:t>of households (GDHI) rose for a fourth year in a row to 2017, and is now well ahead of the 2008 level, the annual increase still lags behind GDP growth (GDHI grew under 1% for the year to 2017, while real GDP per capita rose by 2.2% in the same period). Th</w:t>
      </w:r>
      <w:r>
        <w:rPr>
          <w:rFonts w:ascii="Times New Roman" w:hAnsi="Times New Roman"/>
          <w:noProof/>
          <w:sz w:val="24"/>
          <w:lang w:val="en-GB"/>
        </w:rPr>
        <w:t>is highlights that households' income gains are lagging behind overall income growth in the economy. As shown in Section 3.4, gross disposable household income per capita, in real terms, remains below pre-crisis levels in a number of Member States.</w:t>
      </w:r>
    </w:p>
    <w:p w:rsidR="00EF5220" w:rsidRDefault="00EF2564">
      <w:pPr>
        <w:spacing w:line="360" w:lineRule="auto"/>
        <w:jc w:val="both"/>
        <w:rPr>
          <w:rFonts w:ascii="Times New Roman" w:hAnsi="Times New Roman" w:cs="Times New Roman"/>
          <w:iCs/>
          <w:noProof/>
          <w:sz w:val="24"/>
          <w:szCs w:val="24"/>
          <w:highlight w:val="yellow"/>
          <w:lang w:val="en-GB"/>
        </w:rPr>
      </w:pPr>
      <w:r>
        <w:rPr>
          <w:rFonts w:ascii="Times New Roman" w:hAnsi="Times New Roman"/>
          <w:b/>
          <w:noProof/>
          <w:sz w:val="24"/>
          <w:lang w:val="en-GB"/>
        </w:rPr>
        <w:t xml:space="preserve">Increases in income inequality in post-crisis years have begun to reverse in 2017, though not compensating yet for past increases. </w:t>
      </w:r>
      <w:r>
        <w:rPr>
          <w:rFonts w:ascii="Times New Roman" w:hAnsi="Times New Roman"/>
          <w:noProof/>
          <w:sz w:val="24"/>
          <w:lang w:val="en-GB"/>
        </w:rPr>
        <w:t xml:space="preserve">On average, the richest 20% of households in Member States have an income that exceeds that of the poorest 20% of households </w:t>
      </w:r>
      <w:r>
        <w:rPr>
          <w:rFonts w:ascii="Times New Roman" w:hAnsi="Times New Roman"/>
          <w:noProof/>
          <w:sz w:val="24"/>
          <w:lang w:val="en-GB"/>
        </w:rPr>
        <w:t xml:space="preserve">by over five times. The S80/S20 ratio rose from 5.0 to 5.2 between 2008 and 2016, also driven by poor labour market conditions and stagnating incomes, especially in the lowest part of the distribution. In 2017, this ratio has begun to decline, back to 5.1 </w:t>
      </w:r>
      <w:r>
        <w:rPr>
          <w:rFonts w:ascii="Times New Roman" w:hAnsi="Times New Roman"/>
          <w:noProof/>
          <w:sz w:val="24"/>
          <w:lang w:val="en-GB"/>
        </w:rPr>
        <w:t>on average in the EU. The latest Eurostat flash estimates suggest the decline is set to continue.</w:t>
      </w:r>
    </w:p>
    <w:p w:rsidR="00EF5220" w:rsidRDefault="00EF2564">
      <w:pPr>
        <w:spacing w:line="360" w:lineRule="auto"/>
        <w:jc w:val="both"/>
        <w:rPr>
          <w:rFonts w:ascii="Times New Roman" w:hAnsi="Times New Roman"/>
          <w:noProof/>
          <w:sz w:val="24"/>
          <w:lang w:val="en-GB"/>
        </w:rPr>
      </w:pPr>
      <w:r>
        <w:rPr>
          <w:rFonts w:ascii="Times New Roman" w:hAnsi="Times New Roman"/>
          <w:noProof/>
          <w:sz w:val="24"/>
          <w:lang w:val="en-GB"/>
        </w:rPr>
        <w:t xml:space="preserve"> </w:t>
      </w:r>
    </w:p>
    <w:p w:rsidR="00EF5220" w:rsidRDefault="00EF2564">
      <w:pPr>
        <w:rPr>
          <w:noProof/>
          <w:lang w:val="en-GB"/>
        </w:rPr>
      </w:pPr>
      <w:r>
        <w:rPr>
          <w:noProof/>
          <w:lang w:val="en-GB"/>
        </w:rPr>
        <w:br w:type="page"/>
      </w:r>
    </w:p>
    <w:p w:rsidR="00EF5220" w:rsidRDefault="00EF2564">
      <w:pPr>
        <w:pStyle w:val="Heading1"/>
        <w:rPr>
          <w:noProof/>
          <w:lang w:val="en-GB"/>
        </w:rPr>
      </w:pPr>
      <w:bookmarkStart w:id="11" w:name="_Toc527539778"/>
      <w:r>
        <w:rPr>
          <w:noProof/>
          <w:lang w:val="en-GB"/>
        </w:rPr>
        <w:t>2.</w:t>
      </w:r>
      <w:r>
        <w:rPr>
          <w:noProof/>
          <w:lang w:val="en-GB"/>
        </w:rPr>
        <w:tab/>
        <w:t>SNAPSHOTS FROM THE SOCIAL SCOREBOARD</w:t>
      </w:r>
      <w:bookmarkEnd w:id="11"/>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noProof/>
          <w:sz w:val="24"/>
          <w:lang w:val="en-GB"/>
        </w:rPr>
        <w:t>The European Pillar of Social Rights, established as an inter-institutional Proclamation by the European Parliamen</w:t>
      </w:r>
      <w:r>
        <w:rPr>
          <w:rFonts w:ascii="Times New Roman" w:hAnsi="Times New Roman"/>
          <w:noProof/>
          <w:sz w:val="24"/>
          <w:lang w:val="en-GB"/>
        </w:rPr>
        <w:t>t, the Council and the Commission on 17 November 2017, sets out a number of key principles and rights to support fair and well-functioning labour markets and welfare systems. It is designed as a compass for a renewed process of convergence among Member Sta</w:t>
      </w:r>
      <w:r>
        <w:rPr>
          <w:rFonts w:ascii="Times New Roman" w:hAnsi="Times New Roman"/>
          <w:noProof/>
          <w:sz w:val="24"/>
          <w:lang w:val="en-GB"/>
        </w:rPr>
        <w:t>tes towards better socio-economic conditions.</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The European Pillar of Social Rights is accompanied by a social scoreboard to monitor performances and track trends across Member States</w:t>
      </w:r>
      <w:r>
        <w:rPr>
          <w:rStyle w:val="FootnoteReference"/>
          <w:rFonts w:ascii="Times New Roman" w:hAnsi="Times New Roman"/>
          <w:noProof/>
          <w:sz w:val="24"/>
          <w:lang w:val="en-GB"/>
        </w:rPr>
        <w:footnoteReference w:id="11"/>
      </w:r>
      <w:r>
        <w:rPr>
          <w:rFonts w:ascii="Times New Roman" w:hAnsi="Times New Roman"/>
          <w:noProof/>
          <w:sz w:val="24"/>
          <w:lang w:val="en-GB"/>
        </w:rPr>
        <w:t>. The scoreboard provides a number of indicators (headline and secondary)</w:t>
      </w:r>
      <w:r>
        <w:rPr>
          <w:rFonts w:ascii="Times New Roman" w:hAnsi="Times New Roman"/>
          <w:noProof/>
          <w:sz w:val="24"/>
          <w:lang w:val="en-GB"/>
        </w:rPr>
        <w:t xml:space="preserve"> to screen the employment and social performance of Member States on selected indicators along three broad dimensions, identified in the context of the Pillar: (i) equal opportunities and access to the labour market, (ii) dynamic labour markets and fair wo</w:t>
      </w:r>
      <w:r>
        <w:rPr>
          <w:rFonts w:ascii="Times New Roman" w:hAnsi="Times New Roman"/>
          <w:noProof/>
          <w:sz w:val="24"/>
          <w:lang w:val="en-GB"/>
        </w:rPr>
        <w:t>rking conditions, and (iii) public support / social protection and inclusion. Since the 2018 edition, the Joint Employment Report integrates the social scoreboard, whose results (as concerns headline indicators) are summarised in this Chapter. The analysis</w:t>
      </w:r>
      <w:r>
        <w:rPr>
          <w:rFonts w:ascii="Times New Roman" w:hAnsi="Times New Roman"/>
          <w:noProof/>
          <w:sz w:val="24"/>
          <w:lang w:val="en-GB"/>
        </w:rPr>
        <w:t xml:space="preserve"> is placed in the broader reform context presented in Chapter 3.</w:t>
      </w:r>
    </w:p>
    <w:p w:rsidR="00EF5220" w:rsidRDefault="00EF5220">
      <w:pPr>
        <w:autoSpaceDE w:val="0"/>
        <w:autoSpaceDN w:val="0"/>
        <w:adjustRightInd w:val="0"/>
        <w:spacing w:line="360" w:lineRule="auto"/>
        <w:ind w:left="720" w:hanging="720"/>
        <w:jc w:val="both"/>
        <w:rPr>
          <w:rFonts w:ascii="Times New Roman" w:hAnsi="Times New Roman" w:cs="Times New Roman"/>
          <w:bCs/>
          <w:noProof/>
          <w:sz w:val="24"/>
          <w:szCs w:val="24"/>
          <w:lang w:val="en-GB"/>
        </w:rPr>
      </w:pPr>
    </w:p>
    <w:p w:rsidR="00EF5220" w:rsidRDefault="00EF2564">
      <w:pPr>
        <w:pStyle w:val="Heading3"/>
        <w:rPr>
          <w:noProof/>
          <w:lang w:val="en-GB"/>
        </w:rPr>
      </w:pPr>
      <w:bookmarkStart w:id="12" w:name="_Toc527539779"/>
      <w:r>
        <w:rPr>
          <w:noProof/>
          <w:lang w:val="en-GB"/>
        </w:rPr>
        <w:t>2.1</w:t>
      </w:r>
      <w:r>
        <w:rPr>
          <w:noProof/>
          <w:lang w:val="en-GB"/>
        </w:rPr>
        <w:tab/>
        <w:t>The scoreboard explained</w:t>
      </w:r>
      <w:bookmarkEnd w:id="12"/>
      <w:r>
        <w:rPr>
          <w:noProof/>
          <w:lang w:val="en-GB"/>
        </w:rPr>
        <w:tab/>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The social scoreboard is a central tool for monitoring performance in the employment and social domains, and convergence towards better living and working </w:t>
      </w:r>
      <w:r>
        <w:rPr>
          <w:rFonts w:ascii="Times New Roman" w:hAnsi="Times New Roman"/>
          <w:b/>
          <w:noProof/>
          <w:sz w:val="24"/>
          <w:lang w:val="en-GB"/>
        </w:rPr>
        <w:t>conditions</w:t>
      </w:r>
      <w:r>
        <w:rPr>
          <w:rFonts w:ascii="Times New Roman" w:hAnsi="Times New Roman"/>
          <w:noProof/>
          <w:sz w:val="24"/>
          <w:lang w:val="en-GB"/>
        </w:rPr>
        <w:t xml:space="preserve">. In particular, it helps monitoring </w:t>
      </w:r>
      <w:r>
        <w:rPr>
          <w:rFonts w:ascii="Times New Roman" w:hAnsi="Times New Roman"/>
          <w:noProof/>
          <w:sz w:val="24"/>
        </w:rPr>
        <w:t xml:space="preserve">the </w:t>
      </w:r>
      <w:r>
        <w:rPr>
          <w:rFonts w:ascii="Times New Roman" w:hAnsi="Times New Roman"/>
          <w:noProof/>
          <w:sz w:val="24"/>
          <w:lang w:val="en-GB"/>
        </w:rPr>
        <w:t>situation</w:t>
      </w:r>
      <w:r>
        <w:rPr>
          <w:rFonts w:ascii="Times New Roman" w:hAnsi="Times New Roman"/>
          <w:noProof/>
          <w:sz w:val="24"/>
        </w:rPr>
        <w:t xml:space="preserve"> of Member States </w:t>
      </w:r>
      <w:r>
        <w:rPr>
          <w:rFonts w:ascii="Times New Roman" w:hAnsi="Times New Roman"/>
          <w:noProof/>
          <w:sz w:val="24"/>
          <w:lang w:val="en-GB"/>
        </w:rPr>
        <w:t>on</w:t>
      </w:r>
      <w:r>
        <w:rPr>
          <w:rFonts w:ascii="Times New Roman" w:hAnsi="Times New Roman"/>
          <w:noProof/>
          <w:sz w:val="24"/>
        </w:rPr>
        <w:t xml:space="preserve"> measurable dimensions of the Pillar</w:t>
      </w:r>
      <w:r>
        <w:rPr>
          <w:rFonts w:ascii="Times New Roman" w:hAnsi="Times New Roman"/>
          <w:noProof/>
          <w:sz w:val="24"/>
          <w:lang w:val="en-GB"/>
        </w:rPr>
        <w:t>, complementing the existing monitoring tools, in particular the Employment Performance Monitor and the Social Protection Performance Monito</w:t>
      </w:r>
      <w:r>
        <w:rPr>
          <w:rFonts w:ascii="Times New Roman" w:hAnsi="Times New Roman"/>
          <w:noProof/>
          <w:sz w:val="24"/>
          <w:lang w:val="en-GB"/>
        </w:rPr>
        <w:t>r</w:t>
      </w:r>
      <w:r>
        <w:rPr>
          <w:rStyle w:val="FootnoteReference"/>
          <w:rFonts w:ascii="Times New Roman" w:hAnsi="Times New Roman"/>
          <w:noProof/>
          <w:sz w:val="24"/>
          <w:lang w:val="en-GB"/>
        </w:rPr>
        <w:footnoteReference w:id="12"/>
      </w:r>
      <w:r>
        <w:rPr>
          <w:rFonts w:ascii="Times New Roman" w:hAnsi="Times New Roman"/>
          <w:noProof/>
          <w:sz w:val="24"/>
          <w:lang w:val="en-GB"/>
        </w:rPr>
        <w:t>. It notably includes 14 headline indicators that assess employment and social trends at large</w:t>
      </w:r>
      <w:r>
        <w:rPr>
          <w:rStyle w:val="FootnoteReference"/>
          <w:rFonts w:ascii="Times New Roman" w:hAnsi="Times New Roman"/>
          <w:noProof/>
          <w:sz w:val="24"/>
          <w:lang w:val="en-GB"/>
        </w:rPr>
        <w:footnoteReference w:id="13"/>
      </w:r>
      <w:r>
        <w:rPr>
          <w:rFonts w:ascii="Times New Roman" w:hAnsi="Times New Roman"/>
          <w:noProof/>
          <w:sz w:val="24"/>
          <w:lang w:val="en-GB"/>
        </w:rPr>
        <w:t>:</w:t>
      </w:r>
    </w:p>
    <w:p w:rsidR="00EF5220" w:rsidRDefault="00EF2564">
      <w:pPr>
        <w:pStyle w:val="ListParagraph"/>
        <w:numPr>
          <w:ilvl w:val="0"/>
          <w:numId w:val="1"/>
        </w:numPr>
        <w:spacing w:line="360" w:lineRule="auto"/>
        <w:jc w:val="both"/>
        <w:rPr>
          <w:rFonts w:ascii="Times New Roman" w:hAnsi="Times New Roman" w:cs="Times New Roman"/>
          <w:i/>
          <w:iCs/>
          <w:noProof/>
          <w:sz w:val="24"/>
          <w:szCs w:val="24"/>
          <w:lang w:val="en-GB"/>
        </w:rPr>
      </w:pPr>
      <w:r>
        <w:rPr>
          <w:rFonts w:ascii="Times New Roman" w:hAnsi="Times New Roman"/>
          <w:i/>
          <w:noProof/>
          <w:sz w:val="24"/>
          <w:lang w:val="en-GB"/>
        </w:rPr>
        <w:t>Equal opportunities and access to the labour market:</w:t>
      </w:r>
    </w:p>
    <w:p w:rsidR="00EF5220" w:rsidRDefault="00EF2564">
      <w:pPr>
        <w:pStyle w:val="ListParagraph"/>
        <w:numPr>
          <w:ilvl w:val="1"/>
          <w:numId w:val="3"/>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Share of early leavers from education and training, age 18-24</w:t>
      </w:r>
    </w:p>
    <w:p w:rsidR="00EF5220" w:rsidRDefault="00EF2564">
      <w:pPr>
        <w:pStyle w:val="ListParagraph"/>
        <w:numPr>
          <w:ilvl w:val="1"/>
          <w:numId w:val="3"/>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Gender gap in employment rate, age 20-64</w:t>
      </w:r>
    </w:p>
    <w:p w:rsidR="00EF5220" w:rsidRDefault="00EF2564">
      <w:pPr>
        <w:pStyle w:val="ListParagraph"/>
        <w:numPr>
          <w:ilvl w:val="1"/>
          <w:numId w:val="3"/>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Income inequality measured as quintile share ratio - S80/S20</w:t>
      </w:r>
    </w:p>
    <w:p w:rsidR="00EF5220" w:rsidRDefault="00EF2564">
      <w:pPr>
        <w:pStyle w:val="ListParagraph"/>
        <w:numPr>
          <w:ilvl w:val="1"/>
          <w:numId w:val="3"/>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At-risk-of-poverty or social exclusion rate (AROPE)</w:t>
      </w:r>
    </w:p>
    <w:p w:rsidR="00EF5220" w:rsidRDefault="00EF2564">
      <w:pPr>
        <w:pStyle w:val="ListParagraph"/>
        <w:numPr>
          <w:ilvl w:val="1"/>
          <w:numId w:val="3"/>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Young people neither in employment nor in education or training (NEET rate), age 15-24</w:t>
      </w:r>
    </w:p>
    <w:p w:rsidR="00EF5220" w:rsidRDefault="00EF2564">
      <w:pPr>
        <w:pStyle w:val="ListParagraph"/>
        <w:numPr>
          <w:ilvl w:val="0"/>
          <w:numId w:val="1"/>
        </w:numPr>
        <w:spacing w:before="240" w:after="0" w:line="360" w:lineRule="auto"/>
        <w:contextualSpacing w:val="0"/>
        <w:jc w:val="both"/>
        <w:rPr>
          <w:rFonts w:ascii="Times New Roman" w:hAnsi="Times New Roman" w:cs="Times New Roman"/>
          <w:i/>
          <w:iCs/>
          <w:noProof/>
          <w:sz w:val="24"/>
          <w:szCs w:val="24"/>
          <w:lang w:val="en-GB"/>
        </w:rPr>
      </w:pPr>
      <w:r>
        <w:rPr>
          <w:rFonts w:ascii="Times New Roman" w:hAnsi="Times New Roman"/>
          <w:i/>
          <w:noProof/>
          <w:sz w:val="24"/>
          <w:lang w:val="en-GB"/>
        </w:rPr>
        <w:t>Dynamic labour markets and fair working conditions:</w:t>
      </w:r>
    </w:p>
    <w:p w:rsidR="00EF5220" w:rsidRDefault="00EF2564">
      <w:pPr>
        <w:pStyle w:val="ListParagraph"/>
        <w:numPr>
          <w:ilvl w:val="1"/>
          <w:numId w:val="4"/>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Empl</w:t>
      </w:r>
      <w:r>
        <w:rPr>
          <w:rFonts w:ascii="Times New Roman" w:hAnsi="Times New Roman"/>
          <w:noProof/>
          <w:sz w:val="24"/>
          <w:lang w:val="en-GB"/>
        </w:rPr>
        <w:t>oyment rate, age 20-64</w:t>
      </w:r>
    </w:p>
    <w:p w:rsidR="00EF5220" w:rsidRDefault="00EF2564">
      <w:pPr>
        <w:pStyle w:val="ListParagraph"/>
        <w:numPr>
          <w:ilvl w:val="1"/>
          <w:numId w:val="4"/>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Unemployment rate, age 15-74</w:t>
      </w:r>
    </w:p>
    <w:p w:rsidR="00EF5220" w:rsidRDefault="00EF2564">
      <w:pPr>
        <w:pStyle w:val="ListParagraph"/>
        <w:numPr>
          <w:ilvl w:val="1"/>
          <w:numId w:val="4"/>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Long-term unemployment rate, age 15-74</w:t>
      </w:r>
    </w:p>
    <w:p w:rsidR="00EF5220" w:rsidRDefault="00EF2564">
      <w:pPr>
        <w:pStyle w:val="ListParagraph"/>
        <w:numPr>
          <w:ilvl w:val="1"/>
          <w:numId w:val="4"/>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Gross disposable income of households in real terms, per capita</w:t>
      </w:r>
      <w:r>
        <w:rPr>
          <w:rStyle w:val="FootnoteReference"/>
          <w:rFonts w:ascii="Times New Roman" w:hAnsi="Times New Roman"/>
          <w:noProof/>
          <w:sz w:val="24"/>
          <w:lang w:val="en-GB"/>
        </w:rPr>
        <w:footnoteReference w:id="14"/>
      </w:r>
    </w:p>
    <w:p w:rsidR="00EF5220" w:rsidRDefault="00EF2564">
      <w:pPr>
        <w:pStyle w:val="ListParagraph"/>
        <w:numPr>
          <w:ilvl w:val="1"/>
          <w:numId w:val="4"/>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Net earnings of a full-time single worker without children earning an average wage</w:t>
      </w:r>
      <w:r>
        <w:rPr>
          <w:rStyle w:val="FootnoteReference"/>
          <w:rFonts w:ascii="Times New Roman" w:hAnsi="Times New Roman"/>
          <w:noProof/>
          <w:sz w:val="24"/>
          <w:lang w:val="en-GB"/>
        </w:rPr>
        <w:footnoteReference w:id="15"/>
      </w:r>
    </w:p>
    <w:p w:rsidR="00EF5220" w:rsidRDefault="00EF2564">
      <w:pPr>
        <w:pStyle w:val="ListParagraph"/>
        <w:numPr>
          <w:ilvl w:val="0"/>
          <w:numId w:val="2"/>
        </w:numPr>
        <w:spacing w:before="240" w:after="0" w:line="360" w:lineRule="auto"/>
        <w:contextualSpacing w:val="0"/>
        <w:jc w:val="both"/>
        <w:rPr>
          <w:rFonts w:ascii="Times New Roman" w:hAnsi="Times New Roman" w:cs="Times New Roman"/>
          <w:i/>
          <w:iCs/>
          <w:noProof/>
          <w:sz w:val="24"/>
          <w:szCs w:val="24"/>
          <w:lang w:val="en-GB"/>
        </w:rPr>
      </w:pPr>
      <w:r>
        <w:rPr>
          <w:rFonts w:ascii="Times New Roman" w:hAnsi="Times New Roman"/>
          <w:i/>
          <w:noProof/>
          <w:sz w:val="24"/>
          <w:lang w:val="en-GB"/>
        </w:rPr>
        <w:t>Public support /</w:t>
      </w:r>
      <w:r>
        <w:rPr>
          <w:rFonts w:ascii="Times New Roman" w:hAnsi="Times New Roman"/>
          <w:i/>
          <w:noProof/>
          <w:sz w:val="24"/>
          <w:lang w:val="en-GB"/>
        </w:rPr>
        <w:t xml:space="preserve"> Social protection and inclusion:</w:t>
      </w:r>
    </w:p>
    <w:p w:rsidR="00EF5220" w:rsidRDefault="00EF2564">
      <w:pPr>
        <w:pStyle w:val="ListParagraph"/>
        <w:numPr>
          <w:ilvl w:val="0"/>
          <w:numId w:val="5"/>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Impact of social transfers (other than pensions) on poverty reduction</w:t>
      </w:r>
      <w:r>
        <w:rPr>
          <w:rStyle w:val="FootnoteReference"/>
          <w:rFonts w:ascii="Times New Roman" w:hAnsi="Times New Roman"/>
          <w:noProof/>
          <w:sz w:val="24"/>
          <w:lang w:val="en-GB"/>
        </w:rPr>
        <w:footnoteReference w:id="16"/>
      </w:r>
    </w:p>
    <w:p w:rsidR="00EF5220" w:rsidRDefault="00EF2564">
      <w:pPr>
        <w:pStyle w:val="ListParagraph"/>
        <w:numPr>
          <w:ilvl w:val="0"/>
          <w:numId w:val="5"/>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Children aged less than 3 years in formal childcare</w:t>
      </w:r>
    </w:p>
    <w:p w:rsidR="00EF5220" w:rsidRDefault="00EF2564">
      <w:pPr>
        <w:pStyle w:val="ListParagraph"/>
        <w:numPr>
          <w:ilvl w:val="0"/>
          <w:numId w:val="5"/>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Self-reported unmet need for medical care</w:t>
      </w:r>
    </w:p>
    <w:p w:rsidR="00EF5220" w:rsidRDefault="00EF2564">
      <w:pPr>
        <w:pStyle w:val="ListParagraph"/>
        <w:numPr>
          <w:ilvl w:val="0"/>
          <w:numId w:val="5"/>
        </w:num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 xml:space="preserve">Share of population with basic overall digital skills or </w:t>
      </w:r>
      <w:r>
        <w:rPr>
          <w:rFonts w:ascii="Times New Roman" w:hAnsi="Times New Roman"/>
          <w:noProof/>
          <w:sz w:val="24"/>
          <w:lang w:val="en-GB"/>
        </w:rPr>
        <w:t>above.</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hAnsi="Times New Roman"/>
          <w:b/>
          <w:noProof/>
          <w:sz w:val="24"/>
          <w:lang w:val="en-GB"/>
        </w:rPr>
        <w:t>Headline indicators are analysed using a common methodology agreed by the Employment Committee and the Social Protection Committee</w:t>
      </w:r>
      <w:r>
        <w:rPr>
          <w:rFonts w:ascii="Times New Roman" w:hAnsi="Times New Roman"/>
          <w:noProof/>
          <w:sz w:val="24"/>
          <w:lang w:val="en-GB"/>
        </w:rPr>
        <w:t xml:space="preserve"> (see Annex 3 for details). This methodology</w:t>
      </w:r>
      <w:r>
        <w:rPr>
          <w:rFonts w:ascii="Times New Roman" w:hAnsi="Times New Roman"/>
          <w:b/>
          <w:noProof/>
          <w:sz w:val="24"/>
          <w:lang w:val="en-GB"/>
        </w:rPr>
        <w:t xml:space="preserve"> </w:t>
      </w:r>
      <w:r>
        <w:rPr>
          <w:rFonts w:ascii="Times New Roman" w:hAnsi="Times New Roman"/>
          <w:noProof/>
          <w:sz w:val="24"/>
          <w:lang w:val="en-GB"/>
        </w:rPr>
        <w:t>evaluates the situation and developments in Member States by looking at le</w:t>
      </w:r>
      <w:r>
        <w:rPr>
          <w:rFonts w:ascii="Times New Roman" w:hAnsi="Times New Roman"/>
          <w:noProof/>
          <w:sz w:val="24"/>
          <w:lang w:val="en-GB"/>
        </w:rPr>
        <w:t>vels and yearly changes</w:t>
      </w:r>
      <w:r>
        <w:rPr>
          <w:rStyle w:val="FootnoteReference"/>
          <w:rFonts w:ascii="Times New Roman" w:hAnsi="Times New Roman"/>
          <w:noProof/>
          <w:sz w:val="24"/>
          <w:lang w:val="en-GB"/>
        </w:rPr>
        <w:footnoteReference w:id="17"/>
      </w:r>
      <w:r>
        <w:rPr>
          <w:rFonts w:ascii="Times New Roman" w:hAnsi="Times New Roman"/>
          <w:noProof/>
          <w:sz w:val="24"/>
          <w:lang w:val="en-GB"/>
        </w:rPr>
        <w:t xml:space="preserve"> of each of the headline indicators included in the social scoreboard.</w:t>
      </w:r>
      <w:r>
        <w:rPr>
          <w:rFonts w:ascii="Times New Roman" w:hAnsi="Times New Roman"/>
          <w:b/>
          <w:noProof/>
          <w:sz w:val="24"/>
          <w:lang w:val="en-GB"/>
        </w:rPr>
        <w:t xml:space="preserve"> </w:t>
      </w:r>
      <w:r>
        <w:rPr>
          <w:rFonts w:ascii="Times New Roman" w:hAnsi="Times New Roman"/>
          <w:noProof/>
          <w:sz w:val="24"/>
          <w:lang w:val="en-GB"/>
        </w:rPr>
        <w:t>Levels and changes are classified according to their distance from the respective (unweighted) EU averages. Member States' performances on levels and changes are</w:t>
      </w:r>
      <w:r>
        <w:rPr>
          <w:rFonts w:ascii="Times New Roman" w:hAnsi="Times New Roman"/>
          <w:noProof/>
          <w:sz w:val="24"/>
          <w:lang w:val="en-GB"/>
        </w:rPr>
        <w:t xml:space="preserve"> then combined (by using a predefined matrix) so that each Member State is assigned to one out of seven categories ("best performers", "better than average", "good but to monitor", "on average/neutral", "weak but improving", "to watch" and "critical situat</w:t>
      </w:r>
      <w:r>
        <w:rPr>
          <w:rFonts w:ascii="Times New Roman" w:hAnsi="Times New Roman"/>
          <w:noProof/>
          <w:sz w:val="24"/>
          <w:lang w:val="en-GB"/>
        </w:rPr>
        <w:t xml:space="preserve">ions"). On this basis, Table 1 provides a summary of the readings of the scoreboard according to the latest figures available for each indicator. </w:t>
      </w:r>
    </w:p>
    <w:p w:rsidR="00EF5220" w:rsidRDefault="00EF2564">
      <w:pPr>
        <w:autoSpaceDE w:val="0"/>
        <w:autoSpaceDN w:val="0"/>
        <w:adjustRightInd w:val="0"/>
        <w:spacing w:line="360" w:lineRule="auto"/>
        <w:jc w:val="both"/>
        <w:rPr>
          <w:rFonts w:ascii="Times New Roman" w:hAnsi="Times New Roman"/>
          <w:noProof/>
          <w:sz w:val="24"/>
          <w:lang w:val="en-GB"/>
        </w:rPr>
      </w:pPr>
      <w:r>
        <w:rPr>
          <w:rFonts w:ascii="Times New Roman" w:hAnsi="Times New Roman"/>
          <w:b/>
          <w:noProof/>
          <w:sz w:val="24"/>
          <w:lang w:val="en-GB"/>
        </w:rPr>
        <w:t>A careful and non-mechanical reading of the table is warranted.</w:t>
      </w:r>
      <w:r>
        <w:rPr>
          <w:rFonts w:ascii="Times New Roman" w:hAnsi="Times New Roman"/>
          <w:noProof/>
          <w:sz w:val="24"/>
          <w:lang w:val="en-GB"/>
        </w:rPr>
        <w:t xml:space="preserve"> For this purpose, a detailed analysis of the fourteen indicators, including longer-term trends and additional indicators, when relevant, is presented in Chapter 3. In addition, the forthcoming country reports will provide an in-depth analysis of all "crit</w:t>
      </w:r>
      <w:r>
        <w:rPr>
          <w:rFonts w:ascii="Times New Roman" w:hAnsi="Times New Roman"/>
          <w:noProof/>
          <w:sz w:val="24"/>
          <w:lang w:val="en-GB"/>
        </w:rPr>
        <w:t>ical situations" and additional socio-economic and policy background to better qualify country-specific challenges in the context of the European Semester. Together with further analysis included in the Employment Performance Monitor and the Social Protect</w:t>
      </w:r>
      <w:r>
        <w:rPr>
          <w:rFonts w:ascii="Times New Roman" w:hAnsi="Times New Roman"/>
          <w:noProof/>
          <w:sz w:val="24"/>
          <w:lang w:val="en-GB"/>
        </w:rPr>
        <w:t>ion Performance Monitor, this will provide an analytical basis for the subsequent Commission proposals for Country Specific Recommendations where appropriate.</w:t>
      </w:r>
    </w:p>
    <w:p w:rsidR="00EF5220" w:rsidRDefault="00EF5220">
      <w:pPr>
        <w:autoSpaceDE w:val="0"/>
        <w:autoSpaceDN w:val="0"/>
        <w:adjustRightInd w:val="0"/>
        <w:spacing w:line="360" w:lineRule="auto"/>
        <w:jc w:val="both"/>
        <w:rPr>
          <w:rFonts w:ascii="Times New Roman" w:eastAsia="MS Mincho" w:hAnsi="Times New Roman" w:cs="Times New Roman"/>
          <w:noProof/>
          <w:sz w:val="24"/>
          <w:szCs w:val="24"/>
          <w:lang w:val="en-GB"/>
        </w:rPr>
      </w:pPr>
    </w:p>
    <w:p w:rsidR="00EF5220" w:rsidRDefault="00EF2564">
      <w:pPr>
        <w:pStyle w:val="Heading3"/>
        <w:rPr>
          <w:b/>
          <w:noProof/>
          <w:color w:val="4F81BD" w:themeColor="accent1"/>
          <w:sz w:val="26"/>
          <w:szCs w:val="26"/>
          <w:lang w:val="en-GB"/>
        </w:rPr>
      </w:pPr>
      <w:bookmarkStart w:id="13" w:name="_Toc527539780"/>
      <w:r>
        <w:rPr>
          <w:noProof/>
          <w:lang w:val="en-GB"/>
        </w:rPr>
        <w:t>2.2</w:t>
      </w:r>
      <w:r>
        <w:rPr>
          <w:noProof/>
          <w:lang w:val="en-GB"/>
        </w:rPr>
        <w:tab/>
        <w:t>Evidence from the social scoreboard</w:t>
      </w:r>
      <w:bookmarkEnd w:id="13"/>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b/>
          <w:noProof/>
          <w:sz w:val="24"/>
          <w:szCs w:val="24"/>
          <w:lang w:val="en-GB"/>
        </w:rPr>
        <w:t>The analysis of the Scoreboard points to a continuing re</w:t>
      </w:r>
      <w:r>
        <w:rPr>
          <w:rFonts w:ascii="Times New Roman" w:eastAsia="MS Mincho" w:hAnsi="Times New Roman" w:cs="Times New Roman"/>
          <w:b/>
          <w:noProof/>
          <w:sz w:val="24"/>
          <w:szCs w:val="24"/>
          <w:lang w:val="en-GB"/>
        </w:rPr>
        <w:t>covery in the labour market and social situation for the EU as a whole</w:t>
      </w:r>
      <w:r>
        <w:rPr>
          <w:rStyle w:val="FootnoteReference"/>
          <w:rFonts w:ascii="Times New Roman" w:eastAsia="MS Mincho" w:hAnsi="Times New Roman" w:cs="Times New Roman"/>
          <w:b/>
          <w:noProof/>
          <w:sz w:val="24"/>
          <w:szCs w:val="24"/>
          <w:lang w:val="en-GB"/>
        </w:rPr>
        <w:footnoteReference w:id="18"/>
      </w:r>
      <w:r>
        <w:rPr>
          <w:rFonts w:ascii="Times New Roman" w:eastAsia="MS Mincho" w:hAnsi="Times New Roman" w:cs="Times New Roman"/>
          <w:b/>
          <w:noProof/>
          <w:sz w:val="24"/>
          <w:szCs w:val="24"/>
          <w:lang w:val="en-GB"/>
        </w:rPr>
        <w:t xml:space="preserve">. </w:t>
      </w:r>
      <w:r>
        <w:rPr>
          <w:rFonts w:ascii="Times New Roman" w:eastAsia="MS Mincho" w:hAnsi="Times New Roman" w:cs="Times New Roman"/>
          <w:noProof/>
          <w:sz w:val="24"/>
          <w:szCs w:val="24"/>
          <w:lang w:val="en-GB"/>
        </w:rPr>
        <w:t>On average for the EU</w:t>
      </w:r>
      <w:r>
        <w:rPr>
          <w:rStyle w:val="FootnoteReference"/>
          <w:rFonts w:ascii="Times New Roman" w:eastAsia="MS Mincho" w:hAnsi="Times New Roman" w:cs="Times New Roman"/>
          <w:noProof/>
          <w:sz w:val="24"/>
          <w:szCs w:val="24"/>
          <w:lang w:val="en-GB"/>
        </w:rPr>
        <w:footnoteReference w:id="19"/>
      </w:r>
      <w:r>
        <w:rPr>
          <w:rFonts w:ascii="Times New Roman" w:eastAsia="MS Mincho" w:hAnsi="Times New Roman" w:cs="Times New Roman"/>
          <w:noProof/>
          <w:sz w:val="24"/>
          <w:szCs w:val="24"/>
          <w:lang w:val="en-GB"/>
        </w:rPr>
        <w:t>, 13 out of 14 headline indicators recorded an improvement over the last available year (i.e. 2017 or 2016 depending on data availability), with only one (impact</w:t>
      </w:r>
      <w:r>
        <w:rPr>
          <w:rFonts w:ascii="Times New Roman" w:eastAsia="MS Mincho" w:hAnsi="Times New Roman" w:cs="Times New Roman"/>
          <w:noProof/>
          <w:sz w:val="24"/>
          <w:szCs w:val="24"/>
          <w:lang w:val="en-GB"/>
        </w:rPr>
        <w:t xml:space="preserve"> of social transfers on poverty reduction) slightly deteriorating, though in line with a reduced impact of automatic stabilisers in a phase of economic expansion. The most significant progress was recorded in (overall and long-term) unemployment rates, whi</w:t>
      </w:r>
      <w:r>
        <w:rPr>
          <w:rFonts w:ascii="Times New Roman" w:eastAsia="MS Mincho" w:hAnsi="Times New Roman" w:cs="Times New Roman"/>
          <w:noProof/>
          <w:sz w:val="24"/>
          <w:szCs w:val="24"/>
          <w:lang w:val="en-GB"/>
        </w:rPr>
        <w:t>ch decreased in all Member States in 2017, with only one "critical situation" highlighted. Developments in the employment rate and the at-risk-of-poverty or social exclusion rate were also positive across the board, as the large majority of Member States r</w:t>
      </w:r>
      <w:r>
        <w:rPr>
          <w:rFonts w:ascii="Times New Roman" w:eastAsia="MS Mincho" w:hAnsi="Times New Roman" w:cs="Times New Roman"/>
          <w:noProof/>
          <w:sz w:val="24"/>
          <w:szCs w:val="24"/>
          <w:lang w:val="en-GB"/>
        </w:rPr>
        <w:t>ecorded an improvement compared to the previous year.</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b/>
          <w:noProof/>
          <w:sz w:val="24"/>
          <w:szCs w:val="24"/>
          <w:lang w:val="en-GB"/>
        </w:rPr>
        <w:t xml:space="preserve">Most Member States face challenges on at least one headline indicator, but the overall count has reduced compared to last year. </w:t>
      </w:r>
      <w:r>
        <w:rPr>
          <w:rFonts w:ascii="Times New Roman" w:eastAsia="MS Mincho" w:hAnsi="Times New Roman" w:cs="Times New Roman"/>
          <w:noProof/>
          <w:sz w:val="24"/>
          <w:szCs w:val="24"/>
          <w:lang w:val="en-GB"/>
        </w:rPr>
        <w:t>Considering the three more problematic classifications altogether, i.e. "c</w:t>
      </w:r>
      <w:r>
        <w:rPr>
          <w:rFonts w:ascii="Times New Roman" w:eastAsia="MS Mincho" w:hAnsi="Times New Roman" w:cs="Times New Roman"/>
          <w:noProof/>
          <w:sz w:val="24"/>
          <w:szCs w:val="24"/>
          <w:lang w:val="en-GB"/>
        </w:rPr>
        <w:t xml:space="preserve">ritical situation", "to watch" and "weak but improving", most Member States are flagged at least once – with the exception of Germany, Finland, France, the Netherlands and Sweden. Considering "critical situations" only (i.e. indicators whose level is much </w:t>
      </w:r>
      <w:r>
        <w:rPr>
          <w:rFonts w:ascii="Times New Roman" w:eastAsia="MS Mincho" w:hAnsi="Times New Roman" w:cs="Times New Roman"/>
          <w:noProof/>
          <w:sz w:val="24"/>
          <w:szCs w:val="24"/>
          <w:lang w:val="en-GB"/>
        </w:rPr>
        <w:t>worse than average, and either not improving sufficiently fast or deteriorating further), the number of flagged Member States decreased from 14 in the 2018 Joint Employment Report (with a smaller set of indicators) to 13 in the current exercise (Estonia, M</w:t>
      </w:r>
      <w:r>
        <w:rPr>
          <w:rFonts w:ascii="Times New Roman" w:eastAsia="MS Mincho" w:hAnsi="Times New Roman" w:cs="Times New Roman"/>
          <w:noProof/>
          <w:sz w:val="24"/>
          <w:szCs w:val="24"/>
          <w:lang w:val="en-GB"/>
        </w:rPr>
        <w:t xml:space="preserve">alta and Portugal have left this group, while Hungary and Latvia have joined it). The count of challenges points to an improvement across the board. Across the 14 domains assessed, overall 117 "critical situation", "to watch" or "weak but improving" cases </w:t>
      </w:r>
      <w:r>
        <w:rPr>
          <w:rFonts w:ascii="Times New Roman" w:eastAsia="MS Mincho" w:hAnsi="Times New Roman" w:cs="Times New Roman"/>
          <w:noProof/>
          <w:sz w:val="24"/>
          <w:szCs w:val="24"/>
          <w:lang w:val="en-GB"/>
        </w:rPr>
        <w:t>are identified, i.e. about 31% of the total number of assessments (compared to 33% in the 2018 JER); of these, 39 are "critical situations", corresponding to 10% of all assessments (compared to 13% in the 2018 JER)</w:t>
      </w:r>
      <w:r>
        <w:rPr>
          <w:rStyle w:val="FootnoteReference"/>
          <w:rFonts w:ascii="Times New Roman" w:eastAsia="MS Mincho" w:hAnsi="Times New Roman" w:cs="Times New Roman"/>
          <w:noProof/>
          <w:sz w:val="24"/>
          <w:szCs w:val="24"/>
          <w:lang w:val="en-GB"/>
        </w:rPr>
        <w:footnoteReference w:id="20"/>
      </w:r>
      <w:r>
        <w:rPr>
          <w:rFonts w:ascii="Times New Roman" w:eastAsia="MS Mincho" w:hAnsi="Times New Roman" w:cs="Times New Roman"/>
          <w:noProof/>
          <w:sz w:val="24"/>
          <w:szCs w:val="24"/>
          <w:lang w:val="en-GB"/>
        </w:rPr>
        <w:t xml:space="preserve">. </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 xml:space="preserve">Looking at the three broad dimensions </w:t>
      </w:r>
      <w:r>
        <w:rPr>
          <w:rFonts w:ascii="Times New Roman" w:eastAsia="MS Mincho" w:hAnsi="Times New Roman" w:cs="Times New Roman"/>
          <w:noProof/>
          <w:sz w:val="24"/>
          <w:szCs w:val="24"/>
          <w:lang w:val="en-GB"/>
        </w:rPr>
        <w:t xml:space="preserve">covered by the scoreboard, similarly to the 2018 Joint Employment Report, problematic flags appear more frequently in the area of </w:t>
      </w:r>
      <w:r>
        <w:rPr>
          <w:rFonts w:ascii="Times New Roman" w:eastAsia="MS Mincho" w:hAnsi="Times New Roman" w:cs="Times New Roman"/>
          <w:b/>
          <w:noProof/>
          <w:sz w:val="24"/>
          <w:szCs w:val="24"/>
          <w:lang w:val="en-GB"/>
        </w:rPr>
        <w:t>"public support/social protection and inclusion"</w:t>
      </w:r>
      <w:r>
        <w:rPr>
          <w:rFonts w:ascii="Times New Roman" w:eastAsia="MS Mincho" w:hAnsi="Times New Roman" w:cs="Times New Roman"/>
          <w:noProof/>
          <w:sz w:val="24"/>
          <w:szCs w:val="24"/>
          <w:lang w:val="en-GB"/>
        </w:rPr>
        <w:t>, with an average of 9.3 cases (of which 3.5 "critical situations") per indica</w:t>
      </w:r>
      <w:r>
        <w:rPr>
          <w:rFonts w:ascii="Times New Roman" w:eastAsia="MS Mincho" w:hAnsi="Times New Roman" w:cs="Times New Roman"/>
          <w:noProof/>
          <w:sz w:val="24"/>
          <w:szCs w:val="24"/>
          <w:lang w:val="en-GB"/>
        </w:rPr>
        <w:t xml:space="preserve">tor. The </w:t>
      </w:r>
      <w:r>
        <w:rPr>
          <w:rFonts w:ascii="Times New Roman" w:eastAsia="MS Mincho" w:hAnsi="Times New Roman" w:cs="Times New Roman"/>
          <w:b/>
          <w:noProof/>
          <w:sz w:val="24"/>
          <w:szCs w:val="24"/>
          <w:lang w:val="en-GB"/>
        </w:rPr>
        <w:t>impact of social transfers on poverty reduction</w:t>
      </w:r>
      <w:r>
        <w:rPr>
          <w:rFonts w:ascii="Times New Roman" w:eastAsia="MS Mincho" w:hAnsi="Times New Roman" w:cs="Times New Roman"/>
          <w:noProof/>
          <w:sz w:val="24"/>
          <w:szCs w:val="24"/>
          <w:lang w:val="en-GB"/>
        </w:rPr>
        <w:t xml:space="preserve"> appears as the most challenging indicator, with flags for 11 Member States (of which 5 in the bottom category). </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 xml:space="preserve">The dimensions of </w:t>
      </w:r>
      <w:r>
        <w:rPr>
          <w:rFonts w:ascii="Times New Roman" w:eastAsia="MS Mincho" w:hAnsi="Times New Roman" w:cs="Times New Roman"/>
          <w:b/>
          <w:noProof/>
          <w:sz w:val="24"/>
          <w:szCs w:val="24"/>
          <w:lang w:val="en-GB"/>
        </w:rPr>
        <w:t>"equal opportunities and access to the labour market"</w:t>
      </w:r>
      <w:r>
        <w:rPr>
          <w:rFonts w:ascii="Times New Roman" w:eastAsia="MS Mincho" w:hAnsi="Times New Roman" w:cs="Times New Roman"/>
          <w:noProof/>
          <w:sz w:val="24"/>
          <w:szCs w:val="24"/>
          <w:lang w:val="en-GB"/>
        </w:rPr>
        <w:t xml:space="preserve"> and "</w:t>
      </w:r>
      <w:r>
        <w:rPr>
          <w:rFonts w:ascii="Times New Roman" w:eastAsia="MS Mincho" w:hAnsi="Times New Roman" w:cs="Times New Roman"/>
          <w:b/>
          <w:noProof/>
          <w:sz w:val="24"/>
          <w:szCs w:val="24"/>
          <w:lang w:val="en-GB"/>
        </w:rPr>
        <w:t>dynamic l</w:t>
      </w:r>
      <w:r>
        <w:rPr>
          <w:rFonts w:ascii="Times New Roman" w:eastAsia="MS Mincho" w:hAnsi="Times New Roman" w:cs="Times New Roman"/>
          <w:b/>
          <w:noProof/>
          <w:sz w:val="24"/>
          <w:szCs w:val="24"/>
          <w:lang w:val="en-GB"/>
        </w:rPr>
        <w:t>abour markets and fair working conditions"</w:t>
      </w:r>
      <w:r>
        <w:rPr>
          <w:rFonts w:ascii="Times New Roman" w:eastAsia="MS Mincho" w:hAnsi="Times New Roman" w:cs="Times New Roman"/>
          <w:noProof/>
          <w:sz w:val="24"/>
          <w:szCs w:val="24"/>
          <w:lang w:val="en-GB"/>
        </w:rPr>
        <w:t xml:space="preserve"> follow, with an average of 8.6 and 7.4 flagged cases per indicator respectively (3.2 and 1.8 "critical situations" each). In the first domain, the most flagged indicator is </w:t>
      </w:r>
      <w:r>
        <w:rPr>
          <w:rFonts w:ascii="Times New Roman" w:eastAsia="MS Mincho" w:hAnsi="Times New Roman" w:cs="Times New Roman"/>
          <w:b/>
          <w:noProof/>
          <w:sz w:val="24"/>
          <w:szCs w:val="24"/>
          <w:lang w:val="en-GB"/>
        </w:rPr>
        <w:t>early leavers from education and trainin</w:t>
      </w:r>
      <w:r>
        <w:rPr>
          <w:rFonts w:ascii="Times New Roman" w:eastAsia="MS Mincho" w:hAnsi="Times New Roman" w:cs="Times New Roman"/>
          <w:b/>
          <w:noProof/>
          <w:sz w:val="24"/>
          <w:szCs w:val="24"/>
          <w:lang w:val="en-GB"/>
        </w:rPr>
        <w:t>g</w:t>
      </w:r>
      <w:r>
        <w:rPr>
          <w:rFonts w:ascii="Times New Roman" w:eastAsia="MS Mincho" w:hAnsi="Times New Roman" w:cs="Times New Roman"/>
          <w:noProof/>
          <w:sz w:val="24"/>
          <w:szCs w:val="24"/>
          <w:lang w:val="en-GB"/>
        </w:rPr>
        <w:t xml:space="preserve"> (10 times). In the latter, </w:t>
      </w:r>
      <w:r>
        <w:rPr>
          <w:rFonts w:ascii="Times New Roman" w:eastAsia="MS Mincho" w:hAnsi="Times New Roman" w:cs="Times New Roman"/>
          <w:b/>
          <w:noProof/>
          <w:sz w:val="24"/>
          <w:szCs w:val="24"/>
          <w:lang w:val="en-GB"/>
        </w:rPr>
        <w:t>net earnings of a full-time single worker</w:t>
      </w:r>
      <w:r>
        <w:rPr>
          <w:rFonts w:ascii="Times New Roman" w:eastAsia="MS Mincho" w:hAnsi="Times New Roman" w:cs="Times New Roman"/>
          <w:noProof/>
          <w:sz w:val="24"/>
          <w:szCs w:val="24"/>
          <w:lang w:val="en-GB"/>
        </w:rPr>
        <w:t xml:space="preserve"> </w:t>
      </w:r>
      <w:r>
        <w:rPr>
          <w:rFonts w:ascii="Times New Roman" w:eastAsia="MS Mincho" w:hAnsi="Times New Roman" w:cs="Times New Roman"/>
          <w:b/>
          <w:noProof/>
          <w:sz w:val="24"/>
          <w:szCs w:val="24"/>
          <w:lang w:val="en-GB"/>
        </w:rPr>
        <w:t>without children</w:t>
      </w:r>
      <w:r>
        <w:rPr>
          <w:rFonts w:ascii="Times New Roman" w:eastAsia="MS Mincho" w:hAnsi="Times New Roman" w:cs="Times New Roman"/>
          <w:noProof/>
          <w:sz w:val="24"/>
          <w:szCs w:val="24"/>
          <w:lang w:val="en-GB"/>
        </w:rPr>
        <w:t xml:space="preserve"> </w:t>
      </w:r>
      <w:r>
        <w:rPr>
          <w:rFonts w:ascii="Times New Roman" w:eastAsia="MS Mincho" w:hAnsi="Times New Roman" w:cs="Times New Roman"/>
          <w:b/>
          <w:noProof/>
          <w:sz w:val="24"/>
          <w:szCs w:val="24"/>
          <w:lang w:val="en-GB"/>
        </w:rPr>
        <w:t>earning an average wage</w:t>
      </w:r>
      <w:r>
        <w:rPr>
          <w:rFonts w:ascii="Times New Roman" w:eastAsia="MS Mincho" w:hAnsi="Times New Roman" w:cs="Times New Roman"/>
          <w:noProof/>
          <w:sz w:val="24"/>
          <w:szCs w:val="24"/>
          <w:lang w:val="en-GB"/>
        </w:rPr>
        <w:t xml:space="preserve"> appears as the indicator with most numerous challenges (12 flags). </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b/>
          <w:noProof/>
          <w:sz w:val="24"/>
          <w:szCs w:val="24"/>
          <w:lang w:val="en-GB"/>
        </w:rPr>
        <w:t>As for the last year, the situation of Member States and the severity of the</w:t>
      </w:r>
      <w:r>
        <w:rPr>
          <w:rFonts w:ascii="Times New Roman" w:eastAsia="MS Mincho" w:hAnsi="Times New Roman" w:cs="Times New Roman"/>
          <w:b/>
          <w:noProof/>
          <w:sz w:val="24"/>
          <w:szCs w:val="24"/>
          <w:lang w:val="en-GB"/>
        </w:rPr>
        <w:t xml:space="preserve"> respective challenges vary widely.</w:t>
      </w:r>
      <w:r>
        <w:rPr>
          <w:rFonts w:ascii="Times New Roman" w:eastAsia="MS Mincho" w:hAnsi="Times New Roman" w:cs="Times New Roman"/>
          <w:noProof/>
          <w:sz w:val="24"/>
          <w:szCs w:val="24"/>
          <w:lang w:val="en-GB"/>
        </w:rPr>
        <w:t xml:space="preserve"> Greece, Romania and Italy still present "critical", "to watch", or "weak but improving" assessments on ten or more indicators – of which "critical situations" flagged respectively for 7, 4 and 6 indicators (see Table 1).</w:t>
      </w:r>
      <w:r>
        <w:rPr>
          <w:rFonts w:ascii="Times New Roman" w:eastAsia="MS Mincho" w:hAnsi="Times New Roman" w:cs="Times New Roman"/>
          <w:noProof/>
          <w:sz w:val="24"/>
          <w:szCs w:val="24"/>
          <w:lang w:val="en-GB"/>
        </w:rPr>
        <w:t xml:space="preserve"> For these countries, challenges are spread uniformly across the three domains (still, "better than average" performances are flagged once for Greece and Italy, respectively on the early school leavers rate and self-reported unmet needs for medical care, a</w:t>
      </w:r>
      <w:r>
        <w:rPr>
          <w:rFonts w:ascii="Times New Roman" w:eastAsia="MS Mincho" w:hAnsi="Times New Roman" w:cs="Times New Roman"/>
          <w:noProof/>
          <w:sz w:val="24"/>
          <w:szCs w:val="24"/>
          <w:lang w:val="en-GB"/>
        </w:rPr>
        <w:t>nd twice for Romania, on the unemployment rate and the growth of gross disposable household income per capita). In terms of overall count, Croatia and Spain (9 challenges each), Bulgaria (8 challenges), Cyprus, Latvia and Portugal (6 challenges each) follo</w:t>
      </w:r>
      <w:r>
        <w:rPr>
          <w:rFonts w:ascii="Times New Roman" w:eastAsia="MS Mincho" w:hAnsi="Times New Roman" w:cs="Times New Roman"/>
          <w:noProof/>
          <w:sz w:val="24"/>
          <w:szCs w:val="24"/>
          <w:lang w:val="en-GB"/>
        </w:rPr>
        <w:t xml:space="preserve">w. By contrast, Netherlands is a "best performer" or "better than average" on 11 headline indicators, followed by Czech Republic and Sweden (10 indicators each), Austria, Germany and Slovenia (8 indicators each). </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 xml:space="preserve">When looking at </w:t>
      </w:r>
      <w:r>
        <w:rPr>
          <w:rFonts w:ascii="Times New Roman" w:eastAsia="MS Mincho" w:hAnsi="Times New Roman" w:cs="Times New Roman"/>
          <w:b/>
          <w:noProof/>
          <w:sz w:val="24"/>
          <w:szCs w:val="24"/>
          <w:lang w:val="en-GB"/>
        </w:rPr>
        <w:t>equal opportunities and ac</w:t>
      </w:r>
      <w:r>
        <w:rPr>
          <w:rFonts w:ascii="Times New Roman" w:eastAsia="MS Mincho" w:hAnsi="Times New Roman" w:cs="Times New Roman"/>
          <w:b/>
          <w:noProof/>
          <w:sz w:val="24"/>
          <w:szCs w:val="24"/>
          <w:lang w:val="en-GB"/>
        </w:rPr>
        <w:t xml:space="preserve">cess to the labour market, </w:t>
      </w:r>
      <w:r>
        <w:rPr>
          <w:rFonts w:ascii="Times New Roman" w:eastAsia="MS Mincho" w:hAnsi="Times New Roman" w:cs="Times New Roman"/>
          <w:noProof/>
          <w:sz w:val="24"/>
          <w:szCs w:val="24"/>
          <w:lang w:val="en-GB"/>
        </w:rPr>
        <w:t>the largest improvements were recorded, on average, in terms of at-risk-of-poverty or social exclusion and NEET rates, while progress has been more muted as concerns early school leaving, gender employment gap and income inequali</w:t>
      </w:r>
      <w:r>
        <w:rPr>
          <w:rFonts w:ascii="Times New Roman" w:eastAsia="MS Mincho" w:hAnsi="Times New Roman" w:cs="Times New Roman"/>
          <w:noProof/>
          <w:sz w:val="24"/>
          <w:szCs w:val="24"/>
          <w:lang w:val="en-GB"/>
        </w:rPr>
        <w:t>ty (however, the latter indicator shows the first decrease in the post-crisis period). When looking by indicator:</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Spain, Italy and Romania face a "critical situation" when it comes to early leavers from education and training, compared to Croatia, Ireland,</w:t>
      </w:r>
      <w:r>
        <w:rPr>
          <w:rFonts w:ascii="Times New Roman" w:eastAsia="MS Mincho" w:hAnsi="Times New Roman" w:cs="Times New Roman"/>
          <w:noProof/>
          <w:sz w:val="24"/>
          <w:szCs w:val="24"/>
          <w:lang w:val="en-GB"/>
        </w:rPr>
        <w:t xml:space="preserve"> Poland and Slovenia as the "best performers";</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Greece, Italy, and Romania score critical on the gender employment gap, compared to Finland, Lithuania and Sweden as "best performers";</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Bulgaria, Spain, Latvia and Lithuania face a "critical situation" in term</w:t>
      </w:r>
      <w:r>
        <w:rPr>
          <w:rFonts w:ascii="Times New Roman" w:eastAsia="MS Mincho" w:hAnsi="Times New Roman" w:cs="Times New Roman"/>
          <w:noProof/>
          <w:sz w:val="24"/>
          <w:szCs w:val="24"/>
          <w:lang w:val="en-GB"/>
        </w:rPr>
        <w:t xml:space="preserve">s of income inequality compared to the best performance of the Czech Republic, Finland, Slovenia and Slovakia; </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The situation as concerns the at-risk-of-poverty or social exclusion rate is critical in Bulgaria and Greece, compared to the Czech Republic and</w:t>
      </w:r>
      <w:r>
        <w:rPr>
          <w:rFonts w:ascii="Times New Roman" w:eastAsia="MS Mincho" w:hAnsi="Times New Roman" w:cs="Times New Roman"/>
          <w:noProof/>
          <w:sz w:val="24"/>
          <w:szCs w:val="24"/>
          <w:lang w:val="en-GB"/>
        </w:rPr>
        <w:t xml:space="preserve"> Finland as "best performers"; </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Cyprus, Croatia, Greece and Italy face a "critical situation" when looking at NEETs while Austria, Czech Republic, Germany, the Netherlands, Slovenia and Sweden perform the best.</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 xml:space="preserve">Turning to </w:t>
      </w:r>
      <w:r>
        <w:rPr>
          <w:rFonts w:ascii="Times New Roman" w:eastAsia="MS Mincho" w:hAnsi="Times New Roman" w:cs="Times New Roman"/>
          <w:b/>
          <w:noProof/>
          <w:sz w:val="24"/>
          <w:szCs w:val="24"/>
          <w:lang w:val="en-GB"/>
        </w:rPr>
        <w:t>dynamic labour markets and fair wo</w:t>
      </w:r>
      <w:r>
        <w:rPr>
          <w:rFonts w:ascii="Times New Roman" w:eastAsia="MS Mincho" w:hAnsi="Times New Roman" w:cs="Times New Roman"/>
          <w:b/>
          <w:noProof/>
          <w:sz w:val="24"/>
          <w:szCs w:val="24"/>
          <w:lang w:val="en-GB"/>
        </w:rPr>
        <w:t>rking conditions in the EU,</w:t>
      </w:r>
      <w:r>
        <w:rPr>
          <w:rFonts w:ascii="Times New Roman" w:eastAsia="MS Mincho" w:hAnsi="Times New Roman" w:cs="Times New Roman"/>
          <w:noProof/>
          <w:sz w:val="24"/>
          <w:szCs w:val="24"/>
          <w:lang w:val="en-GB"/>
        </w:rPr>
        <w:t xml:space="preserve"> on average the situation improved over the last year across all indicators, notably employment and unemployment rates (both overall and long-term), gross disposable household income (GDHI) per capita and net earnings of a full-t</w:t>
      </w:r>
      <w:r>
        <w:rPr>
          <w:rFonts w:ascii="Times New Roman" w:eastAsia="MS Mincho" w:hAnsi="Times New Roman" w:cs="Times New Roman"/>
          <w:noProof/>
          <w:sz w:val="24"/>
          <w:szCs w:val="24"/>
          <w:lang w:val="en-GB"/>
        </w:rPr>
        <w:t>ime single worker without children earning an average wage. When looking by indicator:</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Croatia, Greece, Italy and Spain face a "critical situation" when it comes to their employment rate, compared to the Czech Republic, Estonia, Germany, the Netherlands, S</w:t>
      </w:r>
      <w:r>
        <w:rPr>
          <w:rFonts w:ascii="Times New Roman" w:eastAsia="MS Mincho" w:hAnsi="Times New Roman" w:cs="Times New Roman"/>
          <w:noProof/>
          <w:sz w:val="24"/>
          <w:szCs w:val="24"/>
          <w:lang w:val="en-GB"/>
        </w:rPr>
        <w:t>weden and the UK as the "best performers";</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No country scores critical on the unemployment rate (Cyprus, Croatia, Greece and Spain are marked "weak but improving", while Italy is "to watch"); on the other hand, the Czech Republic scores as "best performer";</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 xml:space="preserve">Italy scores critical on the long-term unemployment rate (no "best performers" identified through the methodology, while 14 countries are "better than average") </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The growth in per capita GDHI is seen as a "critical situation" in Greece and Cyprus, compare</w:t>
      </w:r>
      <w:r>
        <w:rPr>
          <w:rFonts w:ascii="Times New Roman" w:eastAsia="MS Mincho" w:hAnsi="Times New Roman" w:cs="Times New Roman"/>
          <w:noProof/>
          <w:sz w:val="24"/>
          <w:szCs w:val="24"/>
          <w:lang w:val="en-GB"/>
        </w:rPr>
        <w:t xml:space="preserve">d to Bulgaria and Poland as "best performers"; </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The situation on net earnings of a full-time single worker without children earning an average wage is assessed as critical for Hungary and Slovakia, while Austria, Germany, Luxembourg, the Netherlands and th</w:t>
      </w:r>
      <w:r>
        <w:rPr>
          <w:rFonts w:ascii="Times New Roman" w:eastAsia="MS Mincho" w:hAnsi="Times New Roman" w:cs="Times New Roman"/>
          <w:noProof/>
          <w:sz w:val="24"/>
          <w:szCs w:val="24"/>
          <w:lang w:val="en-GB"/>
        </w:rPr>
        <w:t>e United Kingdom are the "best performers".</w:t>
      </w:r>
    </w:p>
    <w:p w:rsidR="00EF5220" w:rsidRDefault="00EF2564">
      <w:p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 xml:space="preserve">As regards </w:t>
      </w:r>
      <w:r>
        <w:rPr>
          <w:rFonts w:ascii="Times New Roman" w:eastAsia="MS Mincho" w:hAnsi="Times New Roman" w:cs="Times New Roman"/>
          <w:b/>
          <w:noProof/>
          <w:sz w:val="24"/>
          <w:szCs w:val="24"/>
          <w:lang w:val="en-GB"/>
        </w:rPr>
        <w:t>public support and social protection and inclusion,</w:t>
      </w:r>
      <w:r>
        <w:rPr>
          <w:rFonts w:ascii="Times New Roman" w:eastAsia="MS Mincho" w:hAnsi="Times New Roman" w:cs="Times New Roman"/>
          <w:noProof/>
          <w:sz w:val="24"/>
          <w:szCs w:val="24"/>
          <w:lang w:val="en-GB"/>
        </w:rPr>
        <w:t xml:space="preserve"> the situation has improved over the last year in terms of childcare availability, self-reported unmet need for medical care and digital skills but it worsened in terms of the impact of social transfers on poverty reduction, as mentioned above. When lookin</w:t>
      </w:r>
      <w:r>
        <w:rPr>
          <w:rFonts w:ascii="Times New Roman" w:eastAsia="MS Mincho" w:hAnsi="Times New Roman" w:cs="Times New Roman"/>
          <w:noProof/>
          <w:sz w:val="24"/>
          <w:szCs w:val="24"/>
          <w:lang w:val="en-GB"/>
        </w:rPr>
        <w:t>g by indicator:</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 xml:space="preserve">Bulgaria, Greece, Italy, Latvia and Romania face a "critical situation" when it comes to the ability of their social transfers to reduce the risk of poverty. This compares to Denmark, Finland, Hungary and Sweden as the "best performers"; </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B</w:t>
      </w:r>
      <w:r>
        <w:rPr>
          <w:rFonts w:ascii="Times New Roman" w:eastAsia="MS Mincho" w:hAnsi="Times New Roman" w:cs="Times New Roman"/>
          <w:noProof/>
          <w:sz w:val="24"/>
          <w:szCs w:val="24"/>
          <w:lang w:val="en-GB"/>
        </w:rPr>
        <w:t>ulgaria, the Czech Republic, Greece, Poland and Slovakia score critical on the participation of children aged less than 3 to formal childcare, compared to France, Luxembourg, the Netherlands and Portugal as "best performers";</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Latvia faces a "critical situa</w:t>
      </w:r>
      <w:r>
        <w:rPr>
          <w:rFonts w:ascii="Times New Roman" w:eastAsia="MS Mincho" w:hAnsi="Times New Roman" w:cs="Times New Roman"/>
          <w:noProof/>
          <w:sz w:val="24"/>
          <w:szCs w:val="24"/>
          <w:lang w:val="en-GB"/>
        </w:rPr>
        <w:t>tion" in terms of self-reported unmet need for medical care (no "best performers" identified through the methodology, while 12 countries are "better than average");</w:t>
      </w:r>
    </w:p>
    <w:p w:rsidR="00EF5220" w:rsidRDefault="00EF2564">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en-GB"/>
        </w:rPr>
      </w:pPr>
      <w:r>
        <w:rPr>
          <w:rFonts w:ascii="Times New Roman" w:eastAsia="MS Mincho" w:hAnsi="Times New Roman" w:cs="Times New Roman"/>
          <w:noProof/>
          <w:sz w:val="24"/>
          <w:szCs w:val="24"/>
          <w:lang w:val="en-GB"/>
        </w:rPr>
        <w:t>Bulgaria, Croatia and Romania face a "critical situation" when looking at levels of digital</w:t>
      </w:r>
      <w:r>
        <w:rPr>
          <w:rFonts w:ascii="Times New Roman" w:eastAsia="MS Mincho" w:hAnsi="Times New Roman" w:cs="Times New Roman"/>
          <w:noProof/>
          <w:sz w:val="24"/>
          <w:szCs w:val="24"/>
          <w:lang w:val="en-GB"/>
        </w:rPr>
        <w:t xml:space="preserve"> skills, while Finland, Luxembourg, the Netherlands and Sweden perform the best.</w:t>
      </w:r>
    </w:p>
    <w:p w:rsidR="00EF5220" w:rsidRDefault="00EF5220">
      <w:pPr>
        <w:autoSpaceDE w:val="0"/>
        <w:autoSpaceDN w:val="0"/>
        <w:adjustRightInd w:val="0"/>
        <w:spacing w:line="240" w:lineRule="auto"/>
        <w:jc w:val="both"/>
        <w:rPr>
          <w:rFonts w:ascii="Times New Roman" w:eastAsia="MS Mincho" w:hAnsi="Times New Roman" w:cs="Times New Roman"/>
          <w:noProof/>
          <w:sz w:val="24"/>
          <w:szCs w:val="24"/>
          <w:lang w:val="en-GB"/>
        </w:rPr>
      </w:pPr>
    </w:p>
    <w:p w:rsidR="00EF5220" w:rsidRDefault="00EF5220">
      <w:pPr>
        <w:autoSpaceDE w:val="0"/>
        <w:autoSpaceDN w:val="0"/>
        <w:adjustRightInd w:val="0"/>
        <w:spacing w:line="240" w:lineRule="auto"/>
        <w:jc w:val="both"/>
        <w:rPr>
          <w:rFonts w:ascii="Times New Roman" w:eastAsia="MS Mincho" w:hAnsi="Times New Roman" w:cs="Times New Roman"/>
          <w:noProof/>
          <w:sz w:val="24"/>
          <w:szCs w:val="24"/>
          <w:lang w:val="en-GB"/>
        </w:rPr>
      </w:pPr>
    </w:p>
    <w:p w:rsidR="00EF5220" w:rsidRDefault="00EF5220">
      <w:pPr>
        <w:autoSpaceDE w:val="0"/>
        <w:autoSpaceDN w:val="0"/>
        <w:adjustRightInd w:val="0"/>
        <w:spacing w:line="240" w:lineRule="auto"/>
        <w:jc w:val="both"/>
        <w:rPr>
          <w:rFonts w:ascii="Times New Roman" w:eastAsia="MS Mincho" w:hAnsi="Times New Roman" w:cs="Times New Roman"/>
          <w:noProof/>
          <w:sz w:val="24"/>
          <w:szCs w:val="24"/>
          <w:lang w:val="en-GB"/>
        </w:rPr>
        <w:sectPr w:rsidR="00EF522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20"/>
          <w:docGrid w:linePitch="360"/>
        </w:sectPr>
      </w:pPr>
    </w:p>
    <w:p w:rsidR="00EF5220" w:rsidRDefault="00EF2564">
      <w:pPr>
        <w:autoSpaceDE w:val="0"/>
        <w:autoSpaceDN w:val="0"/>
        <w:adjustRightInd w:val="0"/>
        <w:spacing w:line="240" w:lineRule="auto"/>
        <w:jc w:val="both"/>
        <w:rPr>
          <w:rFonts w:ascii="Times New Roman" w:hAnsi="Times New Roman" w:cs="Times New Roman"/>
          <w:b/>
          <w:bCs/>
          <w:noProof/>
          <w:sz w:val="24"/>
          <w:szCs w:val="24"/>
          <w:lang w:val="en-GB"/>
        </w:rPr>
      </w:pPr>
      <w:r>
        <w:rPr>
          <w:rFonts w:ascii="Times New Roman" w:hAnsi="Times New Roman"/>
          <w:b/>
          <w:noProof/>
          <w:sz w:val="24"/>
          <w:lang w:val="en-GB"/>
        </w:rPr>
        <w:t xml:space="preserve">Table </w:t>
      </w:r>
      <w:r>
        <w:rPr>
          <w:rFonts w:ascii="Times New Roman" w:hAnsi="Times New Roman" w:cs="Times New Roman"/>
          <w:b/>
          <w:bCs/>
          <w:noProof/>
          <w:sz w:val="24"/>
          <w:szCs w:val="24"/>
          <w:lang w:val="en-GB"/>
        </w:rPr>
        <w:fldChar w:fldCharType="begin"/>
      </w:r>
      <w:r>
        <w:rPr>
          <w:rFonts w:ascii="Times New Roman" w:hAnsi="Times New Roman" w:cs="Times New Roman"/>
          <w:b/>
          <w:bCs/>
          <w:noProof/>
          <w:sz w:val="24"/>
          <w:szCs w:val="24"/>
          <w:lang w:val="en-GB"/>
        </w:rPr>
        <w:instrText xml:space="preserve"> SEQ Table \* ARABIC </w:instrText>
      </w:r>
      <w:r>
        <w:rPr>
          <w:rFonts w:ascii="Times New Roman" w:hAnsi="Times New Roman" w:cs="Times New Roman"/>
          <w:b/>
          <w:bCs/>
          <w:noProof/>
          <w:sz w:val="24"/>
          <w:szCs w:val="24"/>
          <w:lang w:val="en-GB"/>
        </w:rPr>
        <w:fldChar w:fldCharType="separate"/>
      </w:r>
      <w:r>
        <w:rPr>
          <w:rFonts w:ascii="Times New Roman" w:hAnsi="Times New Roman" w:cs="Times New Roman"/>
          <w:b/>
          <w:bCs/>
          <w:noProof/>
          <w:sz w:val="24"/>
          <w:szCs w:val="24"/>
          <w:lang w:val="en-GB"/>
        </w:rPr>
        <w:t>1</w:t>
      </w:r>
      <w:r>
        <w:rPr>
          <w:rFonts w:ascii="Times New Roman" w:hAnsi="Times New Roman" w:cs="Times New Roman"/>
          <w:b/>
          <w:bCs/>
          <w:noProof/>
          <w:sz w:val="24"/>
          <w:szCs w:val="24"/>
          <w:lang w:val="en-GB"/>
        </w:rPr>
        <w:fldChar w:fldCharType="end"/>
      </w:r>
      <w:r>
        <w:rPr>
          <w:rFonts w:ascii="Times New Roman" w:hAnsi="Times New Roman"/>
          <w:b/>
          <w:noProof/>
          <w:sz w:val="24"/>
          <w:lang w:val="en-GB"/>
        </w:rPr>
        <w:t>.</w:t>
      </w:r>
      <w:r>
        <w:rPr>
          <w:rFonts w:ascii="Times New Roman" w:hAnsi="Times New Roman"/>
          <w:noProof/>
          <w:sz w:val="24"/>
          <w:lang w:val="en-GB"/>
        </w:rPr>
        <w:t xml:space="preserve"> </w:t>
      </w:r>
      <w:r>
        <w:rPr>
          <w:rFonts w:ascii="Times New Roman" w:hAnsi="Times New Roman"/>
          <w:b/>
          <w:noProof/>
          <w:sz w:val="24"/>
          <w:lang w:val="en-GB"/>
        </w:rPr>
        <w:t xml:space="preserve">Summary of headline indicators of the Social Scoreboard </w:t>
      </w:r>
    </w:p>
    <w:p w:rsidR="00EF5220" w:rsidRDefault="00EF2564">
      <w:pPr>
        <w:autoSpaceDE w:val="0"/>
        <w:autoSpaceDN w:val="0"/>
        <w:adjustRightInd w:val="0"/>
        <w:spacing w:after="0" w:line="240" w:lineRule="auto"/>
        <w:jc w:val="both"/>
        <w:rPr>
          <w:rFonts w:ascii="Times New Roman" w:hAnsi="Times New Roman" w:cs="Times New Roman"/>
          <w:b/>
          <w:bCs/>
          <w:noProof/>
          <w:sz w:val="24"/>
          <w:szCs w:val="24"/>
          <w:lang w:val="en-GB"/>
        </w:rPr>
      </w:pPr>
      <w:r>
        <w:rPr>
          <w:noProof/>
          <w:lang w:val="en-GB" w:eastAsia="en-GB" w:bidi="ar-SA"/>
        </w:rPr>
        <w:drawing>
          <wp:inline distT="0" distB="0" distL="0" distR="0">
            <wp:extent cx="8973723" cy="3050438"/>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8975891" cy="3051175"/>
                    </a:xfrm>
                    <a:prstGeom prst="rect">
                      <a:avLst/>
                    </a:prstGeom>
                    <a:noFill/>
                    <a:ln>
                      <a:noFill/>
                    </a:ln>
                  </pic:spPr>
                </pic:pic>
              </a:graphicData>
            </a:graphic>
          </wp:inline>
        </w:drawing>
      </w:r>
    </w:p>
    <w:p w:rsidR="00EF5220" w:rsidRDefault="00EF5220">
      <w:pPr>
        <w:autoSpaceDE w:val="0"/>
        <w:autoSpaceDN w:val="0"/>
        <w:adjustRightInd w:val="0"/>
        <w:spacing w:after="0" w:line="240" w:lineRule="auto"/>
        <w:jc w:val="both"/>
        <w:rPr>
          <w:rFonts w:ascii="Times New Roman" w:hAnsi="Times New Roman" w:cs="Times New Roman"/>
          <w:b/>
          <w:bCs/>
          <w:noProof/>
          <w:sz w:val="24"/>
          <w:szCs w:val="24"/>
          <w:lang w:val="en-GB"/>
        </w:rPr>
      </w:pPr>
    </w:p>
    <w:p w:rsidR="00EF5220" w:rsidRDefault="00EF2564">
      <w:pPr>
        <w:spacing w:after="240" w:line="24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Note: On 26 October </w:t>
      </w:r>
      <w:r>
        <w:rPr>
          <w:rFonts w:ascii="Times New Roman" w:hAnsi="Times New Roman"/>
          <w:noProof/>
          <w:sz w:val="20"/>
          <w:lang w:val="en-GB"/>
        </w:rPr>
        <w:t>2018: income quintile ratio, AROPE, impact of social transfers on poverty reduction and self-reported need for medical care not available for IE and UK; GDHI per capita growth not available for HR and MT; net earnings of a full-time single worker without c</w:t>
      </w:r>
      <w:r>
        <w:rPr>
          <w:rFonts w:ascii="Times New Roman" w:hAnsi="Times New Roman"/>
          <w:noProof/>
          <w:sz w:val="20"/>
          <w:lang w:val="en-GB"/>
        </w:rPr>
        <w:t>hildren earning the average wage not available for CY; individuals' level of digital skills not available for IT. Breaks in series and other statistical flags are reported in Annexes 1 and 2.</w:t>
      </w:r>
    </w:p>
    <w:p w:rsidR="00EF5220" w:rsidRDefault="00EF5220">
      <w:pPr>
        <w:rPr>
          <w:noProof/>
          <w:lang w:val="en-GB"/>
        </w:rPr>
        <w:sectPr w:rsidR="00EF5220">
          <w:headerReference w:type="even" r:id="rId25"/>
          <w:headerReference w:type="default" r:id="rId26"/>
          <w:footerReference w:type="even" r:id="rId27"/>
          <w:footerReference w:type="default" r:id="rId28"/>
          <w:headerReference w:type="first" r:id="rId29"/>
          <w:footerReference w:type="first" r:id="rId30"/>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88"/>
      </w:tblGrid>
      <w:tr w:rsidR="00EF5220">
        <w:tc>
          <w:tcPr>
            <w:tcW w:w="9288" w:type="dxa"/>
          </w:tcPr>
          <w:p w:rsidR="00EF5220" w:rsidRDefault="00EF2564">
            <w:pPr>
              <w:spacing w:after="120"/>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Box 1. Benchmarking - state of play </w:t>
            </w:r>
          </w:p>
          <w:p w:rsidR="00EF5220" w:rsidRDefault="00EF2564">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importance of benchmarking as a tool to support structural reforms and foster upward convergence in the employment and social fields was recognised by the Five Presidents' Report of June 2015</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and further underlined</w:t>
            </w:r>
            <w:r>
              <w:rPr>
                <w:rFonts w:ascii="Times New Roman" w:hAnsi="Times New Roman" w:cs="Times New Roman"/>
                <w:noProof/>
                <w:sz w:val="24"/>
                <w:szCs w:val="24"/>
              </w:rPr>
              <w:t xml:space="preserve"> in the Reflection Paper on EMU deepening of May 2017</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The Communication of 26 April 2017 establishing a European Pillar of Social Rights</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identified benchmarking as a key vehicle to support the implementation of the Pillar within the European Semester. S</w:t>
            </w:r>
            <w:r>
              <w:rPr>
                <w:rFonts w:ascii="Times New Roman" w:hAnsi="Times New Roman" w:cs="Times New Roman"/>
                <w:noProof/>
                <w:sz w:val="24"/>
                <w:szCs w:val="24"/>
              </w:rPr>
              <w:t xml:space="preserve">ince then, benchmarking exercises have been developed and discussed with Member States in several areas. </w:t>
            </w:r>
          </w:p>
          <w:p w:rsidR="00EF5220" w:rsidRDefault="00EF2564">
            <w:pPr>
              <w:spacing w:after="120"/>
              <w:jc w:val="both"/>
              <w:rPr>
                <w:rFonts w:ascii="Times New Roman" w:hAnsi="Times New Roman" w:cs="Times New Roman"/>
                <w:noProof/>
                <w:sz w:val="24"/>
                <w:szCs w:val="24"/>
              </w:rPr>
            </w:pPr>
            <w:r>
              <w:rPr>
                <w:rFonts w:ascii="Times New Roman" w:hAnsi="Times New Roman" w:cs="Times New Roman"/>
                <w:noProof/>
                <w:sz w:val="24"/>
                <w:szCs w:val="24"/>
              </w:rPr>
              <w:t>In particular, the Employment Committee (EMCO) and the Social Protection Committee (SPC) have agreed on a common approach in three steps: (1) identifi</w:t>
            </w:r>
            <w:r>
              <w:rPr>
                <w:rFonts w:ascii="Times New Roman" w:hAnsi="Times New Roman" w:cs="Times New Roman"/>
                <w:noProof/>
                <w:sz w:val="24"/>
                <w:szCs w:val="24"/>
              </w:rPr>
              <w:t>cation of key challenges and a set of high level outcome indicators</w:t>
            </w:r>
            <w:r>
              <w:rPr>
                <w:rFonts w:ascii="Times New Roman" w:eastAsia="Arial" w:hAnsi="Times New Roman" w:cs="Times New Roman"/>
                <w:noProof/>
                <w:sz w:val="24"/>
                <w:szCs w:val="24"/>
              </w:rPr>
              <w:t xml:space="preserve"> </w:t>
            </w:r>
            <w:r>
              <w:rPr>
                <w:rFonts w:ascii="Times New Roman" w:hAnsi="Times New Roman" w:cs="Times New Roman"/>
                <w:noProof/>
                <w:sz w:val="24"/>
                <w:szCs w:val="24"/>
              </w:rPr>
              <w:t xml:space="preserve">relevant for the policy area under consideration; (2) </w:t>
            </w:r>
            <w:r>
              <w:rPr>
                <w:rFonts w:ascii="Times New Roman" w:eastAsia="Arial" w:hAnsi="Times New Roman" w:cs="Times New Roman"/>
                <w:noProof/>
                <w:sz w:val="24"/>
                <w:szCs w:val="24"/>
              </w:rPr>
              <w:t xml:space="preserve">performance indicators which allow for </w:t>
            </w:r>
            <w:r>
              <w:rPr>
                <w:rFonts w:ascii="Times New Roman" w:hAnsi="Times New Roman" w:cs="Times New Roman"/>
                <w:noProof/>
                <w:sz w:val="24"/>
                <w:szCs w:val="24"/>
              </w:rPr>
              <w:t>benchmarking the performance; (3) the identification of policy levers, which are accompanied by</w:t>
            </w:r>
            <w:r>
              <w:rPr>
                <w:rFonts w:ascii="Times New Roman" w:hAnsi="Times New Roman" w:cs="Times New Roman"/>
                <w:noProof/>
                <w:sz w:val="24"/>
                <w:szCs w:val="24"/>
              </w:rPr>
              <w:t xml:space="preserve"> general principles for policy guidance and, </w:t>
            </w:r>
            <w:r>
              <w:rPr>
                <w:rFonts w:ascii="Times New Roman" w:eastAsia="Arial" w:hAnsi="Times New Roman" w:cs="Times New Roman"/>
                <w:noProof/>
                <w:sz w:val="24"/>
                <w:szCs w:val="24"/>
              </w:rPr>
              <w:t>when available,</w:t>
            </w:r>
            <w:r>
              <w:rPr>
                <w:rFonts w:ascii="Times New Roman" w:hAnsi="Times New Roman" w:cs="Times New Roman"/>
                <w:noProof/>
                <w:sz w:val="24"/>
                <w:szCs w:val="24"/>
              </w:rPr>
              <w:t xml:space="preserve"> by specific indicators. At this stage, reference values for policy levers are not set, as the aim is to allow for comparisons across Member States. </w:t>
            </w:r>
          </w:p>
          <w:p w:rsidR="00EF5220" w:rsidRDefault="00EF2564">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benchmarking framework on unemployment ben</w:t>
            </w:r>
            <w:r>
              <w:rPr>
                <w:rFonts w:ascii="Times New Roman" w:hAnsi="Times New Roman" w:cs="Times New Roman"/>
                <w:noProof/>
                <w:sz w:val="24"/>
                <w:szCs w:val="24"/>
              </w:rPr>
              <w:t>efits and active labour market policies was used for the first time in the 2018 European Semester. In this context, a comparative analysis of specific design features and performance of unemployment benefit systems, notably as concerns eligibility and adeq</w:t>
            </w:r>
            <w:r>
              <w:rPr>
                <w:rFonts w:ascii="Times New Roman" w:hAnsi="Times New Roman" w:cs="Times New Roman"/>
                <w:noProof/>
                <w:sz w:val="24"/>
                <w:szCs w:val="24"/>
              </w:rPr>
              <w:t>uacy aspects, was included in the 2018 Joint Employment Report and Country Reports. Following the endorsement by the Employment Committee (EMCO), elements of the framework related to the activation component of unemployment benefit schemes (e.g. availabili</w:t>
            </w:r>
            <w:r>
              <w:rPr>
                <w:rFonts w:ascii="Times New Roman" w:hAnsi="Times New Roman" w:cs="Times New Roman"/>
                <w:noProof/>
                <w:sz w:val="24"/>
                <w:szCs w:val="24"/>
              </w:rPr>
              <w:t xml:space="preserve">ty-to-work conditions attached to receiving unemployment benefits) and to labour market services in support of job seekers are now integrated in the European Semester 2019 and are presented in this report. </w:t>
            </w:r>
          </w:p>
          <w:p w:rsidR="00EF5220" w:rsidRDefault="00EF2564">
            <w:pPr>
              <w:spacing w:after="120"/>
              <w:jc w:val="both"/>
              <w:rPr>
                <w:rFonts w:eastAsia="Arial"/>
                <w:noProof/>
                <w:szCs w:val="24"/>
              </w:rPr>
            </w:pPr>
            <w:r>
              <w:rPr>
                <w:rFonts w:ascii="Times New Roman" w:hAnsi="Times New Roman" w:cs="Times New Roman"/>
                <w:noProof/>
                <w:sz w:val="24"/>
                <w:szCs w:val="24"/>
              </w:rPr>
              <w:t>Upon endorsement by the Social Protection Committ</w:t>
            </w:r>
            <w:r>
              <w:rPr>
                <w:rFonts w:ascii="Times New Roman" w:hAnsi="Times New Roman" w:cs="Times New Roman"/>
                <w:noProof/>
                <w:sz w:val="24"/>
                <w:szCs w:val="24"/>
              </w:rPr>
              <w:t>ee (SPC), the European Semester 2019 also sees a full integration of the benchmarking framework on minimum income benefits, covering adequacy, coverage and activation components of minimum income schemes, including as concerns their relation with in-kind s</w:t>
            </w:r>
            <w:r>
              <w:rPr>
                <w:rFonts w:ascii="Times New Roman" w:hAnsi="Times New Roman" w:cs="Times New Roman"/>
                <w:noProof/>
                <w:sz w:val="24"/>
                <w:szCs w:val="24"/>
              </w:rPr>
              <w:t>ervices (healthcare, education and housing). Finally, this Semester cycle benefits, for the first time, from the results of the benchmarking framework on adult skills and learning, which was agreed with the Employment Committee in October 2018. Work is cur</w:t>
            </w:r>
            <w:r>
              <w:rPr>
                <w:rFonts w:ascii="Times New Roman" w:hAnsi="Times New Roman" w:cs="Times New Roman"/>
                <w:noProof/>
                <w:sz w:val="24"/>
                <w:szCs w:val="24"/>
              </w:rPr>
              <w:t>rently ongoing within relevant Committees on possible additional benchmarking frameworks</w:t>
            </w:r>
            <w:r>
              <w:rPr>
                <w:rFonts w:ascii="Times New Roman" w:hAnsi="Times New Roman"/>
                <w:noProof/>
                <w:sz w:val="24"/>
                <w:szCs w:val="24"/>
              </w:rPr>
              <w:t>, such as on pension adequacy, to be utilised in future Semester cycles.</w:t>
            </w:r>
          </w:p>
        </w:tc>
      </w:tr>
    </w:tbl>
    <w:p w:rsidR="00EF5220" w:rsidRDefault="00EF5220">
      <w:pPr>
        <w:rPr>
          <w:rFonts w:cs="Times New Roman"/>
          <w:b/>
          <w:i/>
          <w:noProof/>
          <w:lang w:val="en-GB"/>
        </w:rPr>
      </w:pPr>
    </w:p>
    <w:p w:rsidR="00EF5220" w:rsidRDefault="00EF2564">
      <w:pPr>
        <w:rPr>
          <w:rFonts w:ascii="Times New Roman" w:eastAsiaTheme="majorEastAsia" w:hAnsi="Times New Roman" w:cstheme="majorBidi"/>
          <w:b/>
          <w:bCs/>
          <w:noProof/>
          <w:sz w:val="24"/>
          <w:szCs w:val="28"/>
          <w:lang w:val="en-GB"/>
        </w:rPr>
      </w:pPr>
      <w:bookmarkStart w:id="14" w:name="_Toc527539781"/>
      <w:r>
        <w:rPr>
          <w:noProof/>
          <w:lang w:val="en-GB"/>
        </w:rPr>
        <w:br w:type="page"/>
      </w:r>
    </w:p>
    <w:p w:rsidR="00EF5220" w:rsidRDefault="00EF2564">
      <w:pPr>
        <w:pStyle w:val="Heading1"/>
        <w:ind w:left="720" w:hanging="720"/>
        <w:rPr>
          <w:noProof/>
          <w:lang w:val="en-GB"/>
        </w:rPr>
      </w:pPr>
      <w:r>
        <w:rPr>
          <w:noProof/>
          <w:lang w:val="en-GB"/>
        </w:rPr>
        <w:t xml:space="preserve">3. </w:t>
      </w:r>
      <w:r>
        <w:rPr>
          <w:noProof/>
          <w:lang w:val="en-GB"/>
        </w:rPr>
        <w:tab/>
        <w:t>EMPLOYMENT AND SOCIAL REFORMS – MEMBER STATES PERFORMANCE AND ACTION</w:t>
      </w:r>
      <w:bookmarkEnd w:id="14"/>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noProof/>
          <w:sz w:val="24"/>
          <w:lang w:val="en-GB"/>
        </w:rPr>
        <w:t xml:space="preserve">This section </w:t>
      </w:r>
      <w:r>
        <w:rPr>
          <w:rFonts w:ascii="Times New Roman" w:hAnsi="Times New Roman"/>
          <w:noProof/>
          <w:sz w:val="24"/>
          <w:lang w:val="en-GB"/>
        </w:rPr>
        <w:t>presents an overview of recent key employment and social indicators and measures taken by the Member States in priority areas identified by the EU employment guidelines</w:t>
      </w:r>
      <w:r>
        <w:rPr>
          <w:rStyle w:val="FootnoteReference"/>
          <w:rFonts w:ascii="Times New Roman" w:hAnsi="Times New Roman"/>
          <w:noProof/>
          <w:sz w:val="24"/>
          <w:lang w:val="en-GB"/>
        </w:rPr>
        <w:footnoteReference w:id="24"/>
      </w:r>
      <w:r>
        <w:rPr>
          <w:rFonts w:ascii="Times New Roman" w:hAnsi="Times New Roman"/>
          <w:noProof/>
          <w:sz w:val="24"/>
          <w:lang w:val="en-GB"/>
        </w:rPr>
        <w:t>, as adopted by the Council in 2018. For each guideline, recent developments on a selec</w:t>
      </w:r>
      <w:r>
        <w:rPr>
          <w:rFonts w:ascii="Times New Roman" w:hAnsi="Times New Roman"/>
          <w:noProof/>
          <w:sz w:val="24"/>
          <w:lang w:val="en-GB"/>
        </w:rPr>
        <w:t>tion of key indicators are presented, as well as policy measures taken by Member States. As concerns the latter, the section draws on Member States’ National Reform Programmes 2018 and European Commission sources</w:t>
      </w:r>
      <w:r>
        <w:rPr>
          <w:rStyle w:val="FootnoteReference"/>
          <w:rFonts w:ascii="Times New Roman" w:hAnsi="Times New Roman"/>
          <w:noProof/>
          <w:sz w:val="24"/>
          <w:lang w:val="en-GB"/>
        </w:rPr>
        <w:footnoteReference w:id="25"/>
      </w:r>
      <w:r>
        <w:rPr>
          <w:rFonts w:ascii="Times New Roman" w:hAnsi="Times New Roman"/>
          <w:noProof/>
          <w:sz w:val="24"/>
          <w:lang w:val="en-GB"/>
        </w:rPr>
        <w:t>. If not specified otherwise, only policy m</w:t>
      </w:r>
      <w:r>
        <w:rPr>
          <w:rFonts w:ascii="Times New Roman" w:hAnsi="Times New Roman"/>
          <w:noProof/>
          <w:sz w:val="24"/>
          <w:lang w:val="en-GB"/>
        </w:rPr>
        <w:t>easures implemented after June 2017 are presented in the report. An in-depth analysis of recent labour market developments can be found in the Labour Market and Wage Developments 2018 report</w:t>
      </w:r>
      <w:r>
        <w:rPr>
          <w:rStyle w:val="FootnoteReference"/>
          <w:rFonts w:ascii="Times New Roman" w:hAnsi="Times New Roman"/>
          <w:noProof/>
          <w:sz w:val="24"/>
          <w:lang w:val="en-GB"/>
        </w:rPr>
        <w:footnoteReference w:id="26"/>
      </w:r>
      <w:r>
        <w:rPr>
          <w:rFonts w:ascii="Times New Roman" w:hAnsi="Times New Roman"/>
          <w:noProof/>
          <w:sz w:val="24"/>
          <w:lang w:val="en-GB"/>
        </w:rPr>
        <w:t xml:space="preserve"> and the Employment and Social Developments in Europe Review 2018</w:t>
      </w:r>
      <w:r>
        <w:rPr>
          <w:rFonts w:ascii="Times New Roman" w:hAnsi="Times New Roman"/>
          <w:noProof/>
          <w:sz w:val="24"/>
          <w:lang w:val="en-GB"/>
        </w:rPr>
        <w:t>.</w:t>
      </w:r>
      <w:r>
        <w:rPr>
          <w:rStyle w:val="FootnoteReference"/>
          <w:rFonts w:ascii="Times New Roman" w:hAnsi="Times New Roman"/>
          <w:noProof/>
          <w:sz w:val="24"/>
          <w:lang w:val="en-GB"/>
        </w:rPr>
        <w:footnoteReference w:id="27"/>
      </w:r>
      <w:r>
        <w:rPr>
          <w:rFonts w:ascii="Times New Roman" w:hAnsi="Times New Roman"/>
          <w:noProof/>
          <w:sz w:val="24"/>
          <w:lang w:val="en-GB"/>
        </w:rPr>
        <w:t xml:space="preserve"> </w:t>
      </w:r>
    </w:p>
    <w:p w:rsidR="00EF5220" w:rsidRDefault="00EF5220">
      <w:pPr>
        <w:spacing w:line="360" w:lineRule="auto"/>
        <w:jc w:val="both"/>
        <w:rPr>
          <w:rFonts w:ascii="Times New Roman" w:hAnsi="Times New Roman" w:cs="Times New Roman"/>
          <w:noProof/>
          <w:sz w:val="24"/>
          <w:szCs w:val="24"/>
          <w:lang w:val="en-GB"/>
        </w:rPr>
      </w:pPr>
    </w:p>
    <w:p w:rsidR="00EF5220" w:rsidRDefault="00EF2564">
      <w:pPr>
        <w:pStyle w:val="Heading3"/>
        <w:rPr>
          <w:b/>
          <w:i w:val="0"/>
          <w:noProof/>
          <w:lang w:val="en-GB"/>
        </w:rPr>
      </w:pPr>
      <w:bookmarkStart w:id="15" w:name="_Toc527539782"/>
      <w:r>
        <w:rPr>
          <w:b/>
          <w:i w:val="0"/>
          <w:noProof/>
          <w:lang w:val="en-GB"/>
        </w:rPr>
        <w:t xml:space="preserve">3.1 </w:t>
      </w:r>
      <w:r>
        <w:rPr>
          <w:noProof/>
          <w:lang w:val="en-GB"/>
        </w:rPr>
        <w:tab/>
      </w:r>
      <w:r>
        <w:rPr>
          <w:b/>
          <w:i w:val="0"/>
          <w:noProof/>
          <w:lang w:val="en-GB"/>
        </w:rPr>
        <w:t>Guideline 5: Boosting demand for labour</w:t>
      </w:r>
      <w:bookmarkEnd w:id="15"/>
      <w:r>
        <w:rPr>
          <w:b/>
          <w:i w:val="0"/>
          <w:noProof/>
          <w:lang w:val="en-GB"/>
        </w:rPr>
        <w:t xml:space="preserv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noProof/>
          <w:sz w:val="24"/>
          <w:lang w:val="en-GB"/>
        </w:rPr>
        <w:t>This section looks at the implementation of the employment guideline no. 5, which recommends Member States to create conditions promoting labour demand and job creation. It first presents an overview of un</w:t>
      </w:r>
      <w:r>
        <w:rPr>
          <w:rFonts w:ascii="Times New Roman" w:hAnsi="Times New Roman"/>
          <w:noProof/>
          <w:sz w:val="24"/>
          <w:lang w:val="en-GB"/>
        </w:rPr>
        <w:t>employment and employment rates by Member State, complementing the analysis at EU level made in Chapter 1, to highlight the relevance of the job creation challenge across countries. It then looks at self-employment dynamics, as a proxy for entrepreneurship</w:t>
      </w:r>
      <w:r>
        <w:rPr>
          <w:rFonts w:ascii="Times New Roman" w:hAnsi="Times New Roman"/>
          <w:noProof/>
          <w:sz w:val="24"/>
          <w:lang w:val="en-GB"/>
        </w:rPr>
        <w:t xml:space="preserve"> and as a source of employment growth per se (aspects of self-employment related to new forms of work are discussed in Chapter 3.3). Finally, it investigates wage and tax wedge developments as key macroeconomic determinants of hiring decisions. Section 3.1</w:t>
      </w:r>
      <w:r>
        <w:rPr>
          <w:rFonts w:ascii="Times New Roman" w:hAnsi="Times New Roman"/>
          <w:noProof/>
          <w:sz w:val="24"/>
          <w:lang w:val="en-GB"/>
        </w:rPr>
        <w:t xml:space="preserve">.2 reports on policy measures implemented by Member States in these areas to promote labour demand, including hiring subsidies. </w:t>
      </w:r>
    </w:p>
    <w:p w:rsidR="00EF5220" w:rsidRDefault="00EF2564">
      <w:pPr>
        <w:pStyle w:val="Heading3"/>
        <w:rPr>
          <w:noProof/>
          <w:lang w:val="en-GB"/>
        </w:rPr>
      </w:pPr>
      <w:bookmarkStart w:id="16" w:name="_Toc527539783"/>
      <w:r>
        <w:rPr>
          <w:noProof/>
          <w:lang w:val="en-GB"/>
        </w:rPr>
        <w:t>3.1.1</w:t>
      </w:r>
      <w:r>
        <w:rPr>
          <w:noProof/>
          <w:lang w:val="en-GB"/>
        </w:rPr>
        <w:tab/>
        <w:t>Key indicators</w:t>
      </w:r>
      <w:bookmarkEnd w:id="16"/>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The decline in unemployment accelerated in 2017. </w:t>
      </w:r>
      <w:r>
        <w:rPr>
          <w:rFonts w:ascii="Times New Roman" w:hAnsi="Times New Roman"/>
          <w:noProof/>
          <w:sz w:val="24"/>
          <w:lang w:val="en-GB"/>
        </w:rPr>
        <w:t>For the first time after the crisis, the unemployment rat</w:t>
      </w:r>
      <w:r>
        <w:rPr>
          <w:rFonts w:ascii="Times New Roman" w:hAnsi="Times New Roman"/>
          <w:noProof/>
          <w:sz w:val="24"/>
          <w:lang w:val="en-GB"/>
        </w:rPr>
        <w:t>e decreased in all EU Member States. A quicker-than-average drop occurred notably in some Member States suffering from very high unemployment rates – Greece, Spain, Croatia, Portugal, all experiencing a reduction by 2 pps or more – pointing to a clear conv</w:t>
      </w:r>
      <w:r>
        <w:rPr>
          <w:rFonts w:ascii="Times New Roman" w:hAnsi="Times New Roman"/>
          <w:noProof/>
          <w:sz w:val="24"/>
          <w:lang w:val="en-GB"/>
        </w:rPr>
        <w:t>ergence trend</w:t>
      </w:r>
      <w:r>
        <w:rPr>
          <w:rStyle w:val="FootnoteReference"/>
          <w:rFonts w:ascii="Times New Roman" w:hAnsi="Times New Roman"/>
          <w:noProof/>
          <w:sz w:val="24"/>
          <w:lang w:val="en-GB"/>
        </w:rPr>
        <w:footnoteReference w:id="28"/>
      </w:r>
      <w:r>
        <w:rPr>
          <w:rFonts w:ascii="Times New Roman" w:hAnsi="Times New Roman"/>
          <w:noProof/>
          <w:sz w:val="24"/>
          <w:lang w:val="en-GB"/>
        </w:rPr>
        <w:t xml:space="preserve"> towards lower unemployment levels. Nonetheless, a strong decrease occurred also in some low-unemployment countries – by more than 1 pp in the Czech Republic, the Netherlands, and Poland. As evident from Figure </w:t>
      </w:r>
      <w:r>
        <w:rPr>
          <w:rFonts w:ascii="Times New Roman" w:hAnsi="Times New Roman"/>
          <w:noProof/>
          <w:sz w:val="24"/>
          <w:szCs w:val="24"/>
          <w:lang w:val="en-GB"/>
        </w:rPr>
        <w:t>4</w:t>
      </w:r>
      <w:r>
        <w:rPr>
          <w:rFonts w:ascii="Times New Roman" w:hAnsi="Times New Roman"/>
          <w:noProof/>
          <w:sz w:val="24"/>
          <w:lang w:val="en-GB"/>
        </w:rPr>
        <w:t xml:space="preserve"> (which looks jointly at level</w:t>
      </w:r>
      <w:r>
        <w:rPr>
          <w:rFonts w:ascii="Times New Roman" w:hAnsi="Times New Roman"/>
          <w:noProof/>
          <w:sz w:val="24"/>
          <w:lang w:val="en-GB"/>
        </w:rPr>
        <w:t>s and changes according to the agreed methodology for assessing headline indicators of the social scoreboard</w:t>
      </w:r>
      <w:r>
        <w:rPr>
          <w:rStyle w:val="FootnoteReference"/>
          <w:rFonts w:ascii="Times New Roman" w:hAnsi="Times New Roman"/>
          <w:noProof/>
          <w:sz w:val="24"/>
          <w:lang w:val="en-GB"/>
        </w:rPr>
        <w:footnoteReference w:id="29"/>
      </w:r>
      <w:r>
        <w:rPr>
          <w:rFonts w:ascii="Times New Roman" w:hAnsi="Times New Roman"/>
          <w:noProof/>
          <w:sz w:val="24"/>
          <w:lang w:val="en-GB"/>
        </w:rPr>
        <w:t xml:space="preserve">), the dispersion of unemployment rates remained substantial in 2017, with values ranging from around 3% in the Czech Republic to 21.5% in Greece. </w:t>
      </w:r>
      <w:r>
        <w:rPr>
          <w:rFonts w:ascii="Times New Roman" w:hAnsi="Times New Roman"/>
          <w:noProof/>
          <w:sz w:val="24"/>
          <w:lang w:val="en-GB"/>
        </w:rPr>
        <w:t xml:space="preserve">The unemployment rate also remains high in Italy, with only limited improvements compared to 2016. In spite of the steady decrease since 2013, in many Member States the unemployment rate remains much higher than in 2008 (Figure </w:t>
      </w:r>
      <w:r>
        <w:rPr>
          <w:rFonts w:ascii="Times New Roman" w:hAnsi="Times New Roman"/>
          <w:noProof/>
          <w:sz w:val="24"/>
          <w:szCs w:val="24"/>
          <w:lang w:val="en-GB"/>
        </w:rPr>
        <w:t>5</w:t>
      </w:r>
      <w:r>
        <w:rPr>
          <w:rFonts w:ascii="Times New Roman" w:hAnsi="Times New Roman"/>
          <w:noProof/>
          <w:sz w:val="24"/>
          <w:lang w:val="en-GB"/>
        </w:rPr>
        <w:t xml:space="preserve">) – especially in Croatia, </w:t>
      </w:r>
      <w:r>
        <w:rPr>
          <w:rFonts w:ascii="Times New Roman" w:hAnsi="Times New Roman"/>
          <w:noProof/>
          <w:sz w:val="24"/>
          <w:lang w:val="en-GB"/>
        </w:rPr>
        <w:t>Greece, Cyprus, Italy and Spain. On the contrary, in Germany, Hungary and Poland the unemployment rate in 2017 was more than 2 pps lower than before the crisis.</w:t>
      </w:r>
    </w:p>
    <w:p w:rsidR="00EF5220" w:rsidRDefault="00EF2564">
      <w:pPr>
        <w:pStyle w:val="caption1"/>
        <w:keepNext/>
        <w:spacing w:line="240" w:lineRule="auto"/>
        <w:rPr>
          <w:rFonts w:ascii="Times New Roman" w:hAnsi="Times New Roman"/>
          <w:noProof/>
          <w:sz w:val="24"/>
          <w:szCs w:val="24"/>
          <w:highlight w:val="yellow"/>
          <w:lang w:val="en-GB"/>
        </w:rPr>
      </w:pPr>
      <w:bookmarkStart w:id="17" w:name="_Ref528664534"/>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4</w:t>
      </w:r>
      <w:r>
        <w:rPr>
          <w:rFonts w:ascii="Times New Roman" w:hAnsi="Times New Roman"/>
          <w:noProof/>
          <w:sz w:val="24"/>
          <w:szCs w:val="24"/>
          <w:lang w:val="en-GB"/>
        </w:rPr>
        <w:fldChar w:fldCharType="end"/>
      </w:r>
      <w:bookmarkEnd w:id="17"/>
      <w:r>
        <w:rPr>
          <w:rFonts w:ascii="Times New Roman" w:hAnsi="Times New Roman"/>
          <w:noProof/>
          <w:sz w:val="24"/>
          <w:lang w:val="en-GB"/>
        </w:rPr>
        <w:t xml:space="preserve">: Unemployment rate (15-74) and yearly change (Social Scoreboard headline indicator)  </w:t>
      </w:r>
    </w:p>
    <w:p w:rsidR="00EF5220" w:rsidRDefault="00EF2564">
      <w:pPr>
        <w:keepNext/>
        <w:spacing w:line="240" w:lineRule="auto"/>
        <w:rPr>
          <w:rFonts w:ascii="Times New Roman" w:hAnsi="Times New Roman" w:cs="Times New Roman"/>
          <w:b/>
          <w:iCs/>
          <w:noProof/>
          <w:sz w:val="24"/>
          <w:szCs w:val="24"/>
          <w:highlight w:val="yellow"/>
          <w:lang w:val="en-GB"/>
        </w:rPr>
      </w:pPr>
      <w:r>
        <w:rPr>
          <w:rFonts w:ascii="Times New Roman" w:hAnsi="Times New Roman" w:cs="Times New Roman"/>
          <w:b/>
          <w:iCs/>
          <w:noProof/>
          <w:sz w:val="24"/>
          <w:szCs w:val="24"/>
          <w:lang w:val="en-GB" w:eastAsia="en-GB" w:bidi="ar-SA"/>
        </w:rPr>
        <w:drawing>
          <wp:inline distT="0" distB="0" distL="0" distR="0">
            <wp:extent cx="5176300" cy="4120427"/>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173739" cy="4118388"/>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LFS. Period: 2017 levels and yearly changes with respect to 2016. Note: Axes are centred on the unweighted EU average. The legend is presented in the</w:t>
      </w:r>
      <w:r>
        <w:rPr>
          <w:rFonts w:ascii="Times New Roman" w:hAnsi="Times New Roman"/>
          <w:noProof/>
          <w:sz w:val="20"/>
          <w:lang w:val="en-GB"/>
        </w:rPr>
        <w:t xml:space="preserve"> Annex. </w:t>
      </w:r>
    </w:p>
    <w:p w:rsidR="00EF5220" w:rsidRDefault="00EF5220">
      <w:pPr>
        <w:pStyle w:val="caption1"/>
        <w:keepNext/>
        <w:spacing w:line="240" w:lineRule="auto"/>
        <w:rPr>
          <w:rFonts w:ascii="Times New Roman" w:eastAsiaTheme="minorHAnsi" w:hAnsi="Times New Roman"/>
          <w:bCs w:val="0"/>
          <w:iCs/>
          <w:noProof/>
          <w:sz w:val="24"/>
          <w:szCs w:val="24"/>
          <w:lang w:val="en-GB"/>
        </w:rPr>
      </w:pPr>
    </w:p>
    <w:p w:rsidR="00EF5220" w:rsidRDefault="00EF2564">
      <w:pPr>
        <w:pStyle w:val="caption1"/>
        <w:keepNext/>
        <w:spacing w:line="240" w:lineRule="auto"/>
        <w:rPr>
          <w:rFonts w:ascii="Times New Roman" w:hAnsi="Times New Roman"/>
          <w:noProof/>
          <w:sz w:val="24"/>
          <w:szCs w:val="24"/>
          <w:highlight w:val="yellow"/>
          <w:lang w:val="en-GB"/>
        </w:rPr>
      </w:pPr>
      <w:bookmarkStart w:id="18" w:name="_Ref528664545"/>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5</w:t>
      </w:r>
      <w:r>
        <w:rPr>
          <w:rFonts w:ascii="Times New Roman" w:hAnsi="Times New Roman"/>
          <w:noProof/>
          <w:sz w:val="24"/>
          <w:szCs w:val="24"/>
          <w:lang w:val="en-GB"/>
        </w:rPr>
        <w:fldChar w:fldCharType="end"/>
      </w:r>
      <w:bookmarkEnd w:id="18"/>
      <w:r>
        <w:rPr>
          <w:rFonts w:ascii="Times New Roman" w:hAnsi="Times New Roman"/>
          <w:noProof/>
          <w:sz w:val="24"/>
          <w:lang w:val="en-GB"/>
        </w:rPr>
        <w:t>: Unemployment rate (15-74), multiannual comparison</w:t>
      </w:r>
    </w:p>
    <w:p w:rsidR="00EF5220" w:rsidRDefault="00EF2564">
      <w:pPr>
        <w:spacing w:after="0" w:line="360" w:lineRule="auto"/>
        <w:jc w:val="both"/>
        <w:rPr>
          <w:rFonts w:ascii="Times New Roman" w:hAnsi="Times New Roman" w:cs="Times New Roman"/>
          <w:b/>
          <w:iCs/>
          <w:noProof/>
          <w:sz w:val="24"/>
          <w:szCs w:val="24"/>
          <w:highlight w:val="yellow"/>
          <w:lang w:val="en-GB"/>
        </w:rPr>
      </w:pPr>
      <w:r>
        <w:rPr>
          <w:rFonts w:ascii="Times New Roman" w:hAnsi="Times New Roman" w:cs="Times New Roman"/>
          <w:b/>
          <w:iCs/>
          <w:noProof/>
          <w:sz w:val="24"/>
          <w:szCs w:val="24"/>
          <w:lang w:val="en-GB" w:eastAsia="en-GB" w:bidi="ar-SA"/>
        </w:rPr>
        <w:drawing>
          <wp:inline distT="0" distB="0" distL="0" distR="0">
            <wp:extent cx="5743575" cy="266963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52289" cy="2673684"/>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LFS.</w:t>
      </w:r>
    </w:p>
    <w:p w:rsidR="00EF5220" w:rsidRDefault="00EF5220">
      <w:pPr>
        <w:spacing w:line="360" w:lineRule="auto"/>
        <w:jc w:val="both"/>
        <w:rPr>
          <w:rFonts w:ascii="Times New Roman" w:hAnsi="Times New Roman" w:cs="Times New Roman"/>
          <w:b/>
          <w:iCs/>
          <w:noProof/>
          <w:sz w:val="24"/>
          <w:szCs w:val="24"/>
          <w:highlight w:val="yellow"/>
          <w:lang w:val="en-GB"/>
        </w:rPr>
      </w:pPr>
    </w:p>
    <w:p w:rsidR="00EF5220" w:rsidRDefault="00EF2564">
      <w:pPr>
        <w:spacing w:line="360" w:lineRule="auto"/>
        <w:jc w:val="both"/>
        <w:rPr>
          <w:rFonts w:ascii="Times New Roman" w:hAnsi="Times New Roman" w:cs="Times New Roman"/>
          <w:iCs/>
          <w:noProof/>
          <w:sz w:val="24"/>
          <w:szCs w:val="24"/>
          <w:highlight w:val="yellow"/>
          <w:lang w:val="en-GB"/>
        </w:rPr>
      </w:pPr>
      <w:r>
        <w:rPr>
          <w:rFonts w:ascii="Times New Roman" w:hAnsi="Times New Roman"/>
          <w:b/>
          <w:noProof/>
          <w:sz w:val="24"/>
          <w:lang w:val="en-GB"/>
        </w:rPr>
        <w:t xml:space="preserve">While employment rates registered strong increases, significant disparities remain. </w:t>
      </w:r>
      <w:r>
        <w:rPr>
          <w:rFonts w:ascii="Times New Roman" w:hAnsi="Times New Roman"/>
          <w:noProof/>
          <w:sz w:val="24"/>
          <w:lang w:val="en-GB"/>
        </w:rPr>
        <w:t xml:space="preserve">All Member States recorded increases, with the </w:t>
      </w:r>
      <w:r>
        <w:rPr>
          <w:rFonts w:ascii="Times New Roman" w:hAnsi="Times New Roman"/>
          <w:noProof/>
          <w:sz w:val="24"/>
          <w:lang w:val="en-GB"/>
        </w:rPr>
        <w:t>exception of Denmark</w:t>
      </w:r>
      <w:r>
        <w:rPr>
          <w:rStyle w:val="FootnoteReference"/>
          <w:rFonts w:ascii="Times New Roman" w:hAnsi="Times New Roman"/>
          <w:noProof/>
          <w:sz w:val="24"/>
          <w:lang w:val="en-GB"/>
        </w:rPr>
        <w:footnoteReference w:id="30"/>
      </w:r>
      <w:r>
        <w:rPr>
          <w:rFonts w:ascii="Times New Roman" w:hAnsi="Times New Roman"/>
          <w:noProof/>
          <w:sz w:val="24"/>
          <w:lang w:val="en-GB"/>
        </w:rPr>
        <w:t xml:space="preserve"> (a 0.5 pp decrease, though from a very high level). As shown in Figure </w:t>
      </w:r>
      <w:r>
        <w:rPr>
          <w:rFonts w:ascii="Times New Roman" w:hAnsi="Times New Roman"/>
          <w:noProof/>
          <w:sz w:val="24"/>
          <w:szCs w:val="24"/>
          <w:lang w:val="en-GB"/>
        </w:rPr>
        <w:t>6</w:t>
      </w:r>
      <w:r>
        <w:rPr>
          <w:rFonts w:ascii="Times New Roman" w:hAnsi="Times New Roman"/>
          <w:noProof/>
          <w:sz w:val="24"/>
          <w:lang w:val="en-GB"/>
        </w:rPr>
        <w:t>, employment rates are only partially converging: Member States characterised by lower employment rates tend to experience a somewhat faster growth than average –</w:t>
      </w:r>
      <w:r>
        <w:rPr>
          <w:rFonts w:ascii="Times New Roman" w:hAnsi="Times New Roman"/>
          <w:noProof/>
          <w:sz w:val="24"/>
          <w:lang w:val="en-GB"/>
        </w:rPr>
        <w:t xml:space="preserve"> but the situation remains scattered. Employment rates (age group 20-64) diverge widely, ranging from 57.8% in Greece to 81.8% in Sweden in 2017. At the lower end, the employment rate remains much below the EU average in some of the countries most hardly h</w:t>
      </w:r>
      <w:r>
        <w:rPr>
          <w:rFonts w:ascii="Times New Roman" w:hAnsi="Times New Roman"/>
          <w:noProof/>
          <w:sz w:val="24"/>
          <w:lang w:val="en-GB"/>
        </w:rPr>
        <w:t>it by the crisis, namely Greece, Croatia, Italy and Spain (flagged as "critical situations"). Nine countries are already above the 75% target, while the six best performers (Sweden, Germany, Estonia, the Czech Republic, the United Kingdom and the Netherlan</w:t>
      </w:r>
      <w:r>
        <w:rPr>
          <w:rFonts w:ascii="Times New Roman" w:hAnsi="Times New Roman"/>
          <w:noProof/>
          <w:sz w:val="24"/>
          <w:lang w:val="en-GB"/>
        </w:rPr>
        <w:t xml:space="preserve">ds are all close to or above 78%).  </w:t>
      </w:r>
    </w:p>
    <w:p w:rsidR="00EF5220" w:rsidRDefault="00EF5220">
      <w:pPr>
        <w:spacing w:line="240" w:lineRule="auto"/>
        <w:jc w:val="both"/>
        <w:rPr>
          <w:rFonts w:ascii="Times New Roman" w:hAnsi="Times New Roman" w:cs="Times New Roman"/>
          <w:b/>
          <w:noProof/>
          <w:sz w:val="24"/>
          <w:szCs w:val="24"/>
          <w:highlight w:val="yellow"/>
          <w:lang w:val="en-GB"/>
        </w:rPr>
      </w:pPr>
    </w:p>
    <w:p w:rsidR="00EF5220" w:rsidRDefault="00EF2564">
      <w:pPr>
        <w:pStyle w:val="caption1"/>
        <w:keepNext/>
        <w:spacing w:line="240" w:lineRule="auto"/>
        <w:rPr>
          <w:rFonts w:ascii="Times New Roman" w:hAnsi="Times New Roman"/>
          <w:noProof/>
          <w:sz w:val="24"/>
          <w:szCs w:val="24"/>
          <w:highlight w:val="yellow"/>
          <w:lang w:val="en-GB"/>
        </w:rPr>
      </w:pPr>
      <w:bookmarkStart w:id="19" w:name="_Ref528664559"/>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6</w:t>
      </w:r>
      <w:r>
        <w:rPr>
          <w:rFonts w:ascii="Times New Roman" w:hAnsi="Times New Roman"/>
          <w:noProof/>
          <w:sz w:val="24"/>
          <w:szCs w:val="24"/>
          <w:lang w:val="en-GB"/>
        </w:rPr>
        <w:fldChar w:fldCharType="end"/>
      </w:r>
      <w:bookmarkEnd w:id="19"/>
      <w:r>
        <w:rPr>
          <w:rFonts w:ascii="Times New Roman" w:hAnsi="Times New Roman"/>
          <w:noProof/>
          <w:sz w:val="24"/>
          <w:lang w:val="en-GB"/>
        </w:rPr>
        <w:t xml:space="preserve">: Employment rate (20-64) and yearly change (Social Scoreboard headline indicator) </w:t>
      </w:r>
    </w:p>
    <w:p w:rsidR="00EF5220" w:rsidRDefault="00EF2564">
      <w:pPr>
        <w:keepNext/>
        <w:spacing w:line="240" w:lineRule="auto"/>
        <w:rPr>
          <w:rFonts w:ascii="Times New Roman" w:hAnsi="Times New Roman" w:cs="Times New Roman"/>
          <w:b/>
          <w:iCs/>
          <w:noProof/>
          <w:sz w:val="24"/>
          <w:szCs w:val="24"/>
          <w:highlight w:val="yellow"/>
          <w:lang w:val="en-GB"/>
        </w:rPr>
      </w:pPr>
      <w:r>
        <w:rPr>
          <w:rFonts w:ascii="Times New Roman" w:hAnsi="Times New Roman" w:cs="Times New Roman"/>
          <w:b/>
          <w:iCs/>
          <w:noProof/>
          <w:sz w:val="24"/>
          <w:szCs w:val="24"/>
          <w:lang w:val="en-GB" w:eastAsia="en-GB" w:bidi="ar-SA"/>
        </w:rPr>
        <w:drawing>
          <wp:inline distT="0" distB="0" distL="0" distR="0">
            <wp:extent cx="5041127" cy="4053021"/>
            <wp:effectExtent l="0" t="0" r="762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39993" cy="4052109"/>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Eurostat, LFS. Period: 2017 levels and yearly changes with respect to 2016. Note: Axes are </w:t>
      </w:r>
      <w:r>
        <w:rPr>
          <w:rFonts w:ascii="Times New Roman" w:hAnsi="Times New Roman"/>
          <w:noProof/>
          <w:sz w:val="20"/>
          <w:lang w:val="en-GB"/>
        </w:rPr>
        <w:t xml:space="preserve">centred on the unweighted EU average. The legend is presented in the Annex. </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Average employment rates in the EU have been constantly rising since 2013 and are now well above the pre-crisis peak.  </w:t>
      </w:r>
      <w:r>
        <w:rPr>
          <w:rFonts w:ascii="Times New Roman" w:hAnsi="Times New Roman"/>
          <w:noProof/>
          <w:sz w:val="24"/>
          <w:lang w:val="en-GB"/>
        </w:rPr>
        <w:t>Hungary and Malta, who had the lowest employment rates in the EU in in 2008, have experienced the highest long run increases (+11.8 pps and +13.8 pps respectively in 2017) and are now slightly above the EU average. However, disparities are still high. In p</w:t>
      </w:r>
      <w:r>
        <w:rPr>
          <w:rFonts w:ascii="Times New Roman" w:hAnsi="Times New Roman"/>
          <w:noProof/>
          <w:sz w:val="24"/>
          <w:lang w:val="en-GB"/>
        </w:rPr>
        <w:t xml:space="preserve">articular, similarly as for unemployment rates, employment rates remain below 2008 levels in those countries most affected by the crisis, such as Greece, Italy, Croatia, Spain, Cyprus and Ireland (Figure </w:t>
      </w:r>
      <w:r>
        <w:rPr>
          <w:rFonts w:ascii="Times New Roman" w:hAnsi="Times New Roman"/>
          <w:noProof/>
          <w:sz w:val="24"/>
          <w:szCs w:val="24"/>
          <w:lang w:val="en-GB"/>
        </w:rPr>
        <w:t>7</w:t>
      </w:r>
      <w:r>
        <w:rPr>
          <w:rFonts w:ascii="Times New Roman" w:hAnsi="Times New Roman"/>
          <w:noProof/>
          <w:sz w:val="24"/>
          <w:lang w:val="en-GB"/>
        </w:rPr>
        <w:t xml:space="preserve">). </w:t>
      </w:r>
    </w:p>
    <w:p w:rsidR="00EF5220" w:rsidRDefault="00EF5220">
      <w:pPr>
        <w:spacing w:line="360" w:lineRule="auto"/>
        <w:contextualSpacing/>
        <w:jc w:val="both"/>
        <w:rPr>
          <w:rFonts w:ascii="Times New Roman" w:hAnsi="Times New Roman" w:cs="Times New Roman"/>
          <w:iCs/>
          <w:noProof/>
          <w:sz w:val="24"/>
          <w:szCs w:val="24"/>
          <w:highlight w:val="yellow"/>
          <w:lang w:val="en-GB"/>
        </w:rPr>
      </w:pPr>
    </w:p>
    <w:p w:rsidR="00EF5220" w:rsidRDefault="00EF2564">
      <w:pPr>
        <w:pStyle w:val="caption1"/>
        <w:keepNext/>
        <w:spacing w:line="240" w:lineRule="auto"/>
        <w:rPr>
          <w:rFonts w:ascii="Times New Roman" w:hAnsi="Times New Roman"/>
          <w:noProof/>
          <w:sz w:val="24"/>
          <w:szCs w:val="24"/>
          <w:lang w:val="en-GB"/>
        </w:rPr>
      </w:pPr>
      <w:bookmarkStart w:id="20" w:name="_Ref528664570"/>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7</w:t>
      </w:r>
      <w:r>
        <w:rPr>
          <w:rFonts w:ascii="Times New Roman" w:hAnsi="Times New Roman"/>
          <w:noProof/>
          <w:sz w:val="24"/>
          <w:szCs w:val="24"/>
          <w:lang w:val="en-GB"/>
        </w:rPr>
        <w:fldChar w:fldCharType="end"/>
      </w:r>
      <w:bookmarkEnd w:id="20"/>
      <w:r>
        <w:rPr>
          <w:rFonts w:ascii="Times New Roman" w:hAnsi="Times New Roman"/>
          <w:noProof/>
          <w:sz w:val="24"/>
          <w:lang w:val="en-GB"/>
        </w:rPr>
        <w:t xml:space="preserve">: Employment </w:t>
      </w:r>
      <w:r>
        <w:rPr>
          <w:rFonts w:ascii="Times New Roman" w:hAnsi="Times New Roman"/>
          <w:noProof/>
          <w:sz w:val="24"/>
          <w:lang w:val="en-GB"/>
        </w:rPr>
        <w:t>rate (20-64), multiannual comparison</w:t>
      </w:r>
    </w:p>
    <w:p w:rsidR="00EF5220" w:rsidRDefault="00EF2564">
      <w:pPr>
        <w:keepNext/>
        <w:spacing w:after="0" w:line="240" w:lineRule="auto"/>
        <w:jc w:val="center"/>
        <w:rPr>
          <w:rFonts w:ascii="Times New Roman" w:hAnsi="Times New Roman" w:cs="Times New Roman"/>
          <w:b/>
          <w:iCs/>
          <w:noProof/>
          <w:sz w:val="24"/>
          <w:szCs w:val="24"/>
          <w:lang w:val="en-GB"/>
        </w:rPr>
      </w:pPr>
      <w:r>
        <w:rPr>
          <w:rFonts w:ascii="Times New Roman" w:hAnsi="Times New Roman" w:cs="Times New Roman"/>
          <w:b/>
          <w:iCs/>
          <w:noProof/>
          <w:sz w:val="24"/>
          <w:szCs w:val="24"/>
          <w:lang w:val="en-GB" w:eastAsia="en-GB" w:bidi="ar-SA"/>
        </w:rPr>
        <w:drawing>
          <wp:inline distT="0" distB="0" distL="0" distR="0">
            <wp:extent cx="5493864" cy="25336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494846" cy="2534103"/>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LFS.</w:t>
      </w:r>
    </w:p>
    <w:p w:rsidR="00EF5220" w:rsidRDefault="00EF5220">
      <w:pPr>
        <w:spacing w:line="360" w:lineRule="auto"/>
        <w:jc w:val="both"/>
        <w:rPr>
          <w:rFonts w:ascii="Times New Roman" w:hAnsi="Times New Roman"/>
          <w:b/>
          <w:noProof/>
          <w:sz w:val="24"/>
          <w:szCs w:val="24"/>
          <w:highlight w:val="yellow"/>
          <w:lang w:val="en-GB"/>
        </w:rPr>
      </w:pPr>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 xml:space="preserve">The sustained job growth did not affect the long-term declining trend in self-employment. </w:t>
      </w:r>
      <w:r>
        <w:rPr>
          <w:rFonts w:ascii="Times New Roman" w:hAnsi="Times New Roman"/>
          <w:noProof/>
          <w:sz w:val="24"/>
          <w:lang w:val="en-GB"/>
        </w:rPr>
        <w:t>In absolute numbers, self-employment fell by 0.5% in 2017 (after a slight increase in 2016</w:t>
      </w:r>
      <w:r>
        <w:rPr>
          <w:rStyle w:val="FootnoteReference"/>
          <w:rFonts w:ascii="Times New Roman" w:hAnsi="Times New Roman"/>
          <w:noProof/>
          <w:sz w:val="24"/>
          <w:lang w:val="en-GB"/>
        </w:rPr>
        <w:footnoteReference w:id="31"/>
      </w:r>
      <w:r>
        <w:rPr>
          <w:rFonts w:ascii="Times New Roman" w:hAnsi="Times New Roman"/>
          <w:noProof/>
          <w:sz w:val="24"/>
          <w:lang w:val="en-GB"/>
        </w:rPr>
        <w:t xml:space="preserve">). It </w:t>
      </w:r>
      <w:r>
        <w:rPr>
          <w:rFonts w:ascii="Times New Roman" w:hAnsi="Times New Roman"/>
          <w:noProof/>
          <w:sz w:val="24"/>
          <w:lang w:val="en-GB"/>
        </w:rPr>
        <w:t>continued to decline also in relative terms, representing 13.7% of total employment in 2017 (down from 14.0% in 2016 and 14.4% in 2013). The share of self-employed men over the total men employed, at 17.2%, remains much higher than for women (9.7%). Trends</w:t>
      </w:r>
      <w:r>
        <w:rPr>
          <w:rFonts w:ascii="Times New Roman" w:hAnsi="Times New Roman"/>
          <w:noProof/>
          <w:sz w:val="24"/>
          <w:lang w:val="en-GB"/>
        </w:rPr>
        <w:t xml:space="preserve"> in self-employment are less negative if the primary sector and manufacturing are excluded. In particular, self-employment has steadily increased over the last ten years in most of the sectors related to services.</w:t>
      </w:r>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Overall figures are the result of divergin</w:t>
      </w:r>
      <w:r>
        <w:rPr>
          <w:rFonts w:ascii="Times New Roman" w:hAnsi="Times New Roman"/>
          <w:b/>
          <w:noProof/>
          <w:sz w:val="24"/>
          <w:lang w:val="en-GB"/>
        </w:rPr>
        <w:t>g developments across Member States, sectors and sub-groups.</w:t>
      </w:r>
      <w:r>
        <w:rPr>
          <w:rFonts w:ascii="Times New Roman" w:hAnsi="Times New Roman"/>
          <w:noProof/>
          <w:sz w:val="24"/>
          <w:lang w:val="en-GB"/>
        </w:rPr>
        <w:t xml:space="preserve"> However the trends in self-employed do not seem linked to performance in employment at Member State or sectoral level. In terms of age and education groups, developments reflect to a large extent</w:t>
      </w:r>
      <w:r>
        <w:rPr>
          <w:rFonts w:ascii="Times New Roman" w:hAnsi="Times New Roman"/>
          <w:noProof/>
          <w:sz w:val="24"/>
          <w:lang w:val="en-GB"/>
        </w:rPr>
        <w:t xml:space="preserve"> the changing composition of the workforce: self-employment kept falling for people aged 15-49 while it increased markedly for people aged 50-64 and 65 and over (+1.2% and +4.0%, respectively). The level of education is also an important factor, as in 2017</w:t>
      </w:r>
      <w:r>
        <w:rPr>
          <w:rFonts w:ascii="Times New Roman" w:hAnsi="Times New Roman"/>
          <w:noProof/>
          <w:sz w:val="24"/>
          <w:lang w:val="en-GB"/>
        </w:rPr>
        <w:t xml:space="preserve"> the number of self-employed decreased by 3.2% for people with up to lower secondary education and increased by 1% for people with tertiary education. Finally, an increase in the number of self-employed born outside the EU is recorded. Aspects related to s</w:t>
      </w:r>
      <w:r>
        <w:rPr>
          <w:rFonts w:ascii="Times New Roman" w:hAnsi="Times New Roman"/>
          <w:noProof/>
          <w:sz w:val="24"/>
          <w:lang w:val="en-GB"/>
        </w:rPr>
        <w:t>elf-employment as an atypical form of work are discussed in detail in Chapter 3.3.</w:t>
      </w:r>
    </w:p>
    <w:p w:rsidR="00EF5220" w:rsidRDefault="00EF2564">
      <w:pPr>
        <w:spacing w:line="360" w:lineRule="auto"/>
        <w:jc w:val="both"/>
        <w:rPr>
          <w:rFonts w:ascii="Times New Roman" w:hAnsi="Times New Roman" w:cs="Times New Roman"/>
          <w:noProof/>
          <w:sz w:val="24"/>
          <w:szCs w:val="24"/>
          <w:highlight w:val="lightGray"/>
          <w:lang w:val="en-GB"/>
        </w:rPr>
      </w:pPr>
      <w:r>
        <w:rPr>
          <w:rFonts w:ascii="Times New Roman" w:hAnsi="Times New Roman"/>
          <w:b/>
          <w:noProof/>
          <w:sz w:val="24"/>
          <w:lang w:val="en-GB"/>
        </w:rPr>
        <w:t>Wage growth remains moderate in most Member States.</w:t>
      </w:r>
      <w:r>
        <w:rPr>
          <w:rFonts w:ascii="Times New Roman" w:hAnsi="Times New Roman"/>
          <w:noProof/>
          <w:sz w:val="24"/>
          <w:lang w:val="en-GB"/>
        </w:rPr>
        <w:t xml:space="preserve"> Nominal wage growth in the EU has remained subdued during the recovery, but started picking up in 2017, with compensation per employee increasing by 2.1%. Differences across countries are considerable, with wages growing generally faster in Member States </w:t>
      </w:r>
      <w:r>
        <w:rPr>
          <w:rFonts w:ascii="Times New Roman" w:hAnsi="Times New Roman"/>
          <w:noProof/>
          <w:sz w:val="24"/>
          <w:lang w:val="en-GB"/>
        </w:rPr>
        <w:t>with lower levels and in those that are not members of the euro area. The increase in nominal compensation per employee was the highest in Romania (16.0%), Lithuania (9.1%), Hungary (7.9%), Latvia (7.9%) and Bulgaria (7.5%), pointing to wage convergence be</w:t>
      </w:r>
      <w:r>
        <w:rPr>
          <w:rFonts w:ascii="Times New Roman" w:hAnsi="Times New Roman"/>
          <w:noProof/>
          <w:sz w:val="24"/>
          <w:lang w:val="en-GB"/>
        </w:rPr>
        <w:t>tween Eastern and Western Europe. At the low end, nominal wages declined in Finland (-1.1%) and Croatia (-1.1%) and remained flat in Spain, Italy and Greece.</w:t>
      </w:r>
      <w:r>
        <w:rPr>
          <w:rFonts w:ascii="Times New Roman" w:hAnsi="Times New Roman"/>
          <w:noProof/>
          <w:sz w:val="24"/>
          <w:highlight w:val="lightGray"/>
          <w:lang w:val="en-GB"/>
        </w:rPr>
        <w:t xml:space="preserv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In real terms, wage growth slowed down in 2017 compared to 2016. </w:t>
      </w:r>
      <w:r>
        <w:rPr>
          <w:rFonts w:ascii="Times New Roman" w:hAnsi="Times New Roman"/>
          <w:noProof/>
          <w:sz w:val="24"/>
          <w:lang w:val="en-GB"/>
        </w:rPr>
        <w:t>In the EU, real consumption wage</w:t>
      </w:r>
      <w:r>
        <w:rPr>
          <w:rFonts w:ascii="Times New Roman" w:hAnsi="Times New Roman"/>
          <w:noProof/>
          <w:sz w:val="24"/>
          <w:lang w:val="en-GB"/>
        </w:rPr>
        <w:t>s (i.e. wages adjusted for the change in consumer prices) grew by 0.5% in 2017, down from 1.2% in 2016. In the euro area, real wages almost stagnated (+0.2%). A decline was recorded in eight countries: Spain, Italy, Greece, Croatia, Portugal, the Netherlan</w:t>
      </w:r>
      <w:r>
        <w:rPr>
          <w:rFonts w:ascii="Times New Roman" w:hAnsi="Times New Roman"/>
          <w:noProof/>
          <w:sz w:val="24"/>
          <w:lang w:val="en-GB"/>
        </w:rPr>
        <w:t>ds, Austria and Finland. The slowdown compared to 2016 was partly due to the increase in consumer prices, which was not matched by the rise in compensations. However, even when looking at real production wages (adjusted for the GDP deflator), the picture i</w:t>
      </w:r>
      <w:r>
        <w:rPr>
          <w:rFonts w:ascii="Times New Roman" w:hAnsi="Times New Roman"/>
          <w:noProof/>
          <w:sz w:val="24"/>
          <w:lang w:val="en-GB"/>
        </w:rPr>
        <w:t xml:space="preserve">s almost unchanged, with real wage growth increasing only slightly in the EU in 2017 (by 0.7%) and a decline registered in ten countries (Figure </w:t>
      </w:r>
      <w:r>
        <w:rPr>
          <w:rFonts w:ascii="Times New Roman" w:hAnsi="Times New Roman"/>
          <w:noProof/>
          <w:sz w:val="24"/>
          <w:szCs w:val="24"/>
          <w:lang w:val="en-GB"/>
        </w:rPr>
        <w:t>8</w:t>
      </w:r>
      <w:r>
        <w:rPr>
          <w:rFonts w:ascii="Times New Roman" w:hAnsi="Times New Roman"/>
          <w:noProof/>
          <w:sz w:val="24"/>
          <w:lang w:val="en-GB"/>
        </w:rPr>
        <w:t>).</w:t>
      </w:r>
    </w:p>
    <w:p w:rsidR="00EF5220" w:rsidRDefault="00EF2564">
      <w:pPr>
        <w:pStyle w:val="caption1"/>
        <w:keepNext/>
        <w:spacing w:line="240" w:lineRule="auto"/>
        <w:rPr>
          <w:rFonts w:ascii="Times New Roman" w:hAnsi="Times New Roman"/>
          <w:noProof/>
          <w:sz w:val="24"/>
          <w:szCs w:val="24"/>
          <w:lang w:val="en-GB"/>
        </w:rPr>
      </w:pPr>
      <w:bookmarkStart w:id="21" w:name="_Ref527648255"/>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8</w:t>
      </w:r>
      <w:r>
        <w:rPr>
          <w:rFonts w:ascii="Times New Roman" w:hAnsi="Times New Roman"/>
          <w:noProof/>
          <w:sz w:val="24"/>
          <w:szCs w:val="24"/>
          <w:lang w:val="en-GB"/>
        </w:rPr>
        <w:fldChar w:fldCharType="end"/>
      </w:r>
      <w:bookmarkEnd w:id="21"/>
      <w:r>
        <w:rPr>
          <w:rFonts w:ascii="Times New Roman" w:hAnsi="Times New Roman"/>
          <w:noProof/>
          <w:sz w:val="24"/>
          <w:lang w:val="en-GB"/>
        </w:rPr>
        <w:t>: Real compensation per employee, HICP and GDP deflator, 2017 annual % cha</w:t>
      </w:r>
      <w:r>
        <w:rPr>
          <w:rFonts w:ascii="Times New Roman" w:hAnsi="Times New Roman"/>
          <w:noProof/>
          <w:sz w:val="24"/>
          <w:lang w:val="en-GB"/>
        </w:rPr>
        <w:t>nge</w:t>
      </w:r>
      <w:r>
        <w:rPr>
          <w:rFonts w:ascii="Times New Roman" w:hAnsi="Times New Roman"/>
          <w:b w:val="0"/>
          <w:noProof/>
          <w:sz w:val="24"/>
          <w:lang w:val="en-GB"/>
        </w:rPr>
        <w:t xml:space="preserve"> </w:t>
      </w:r>
    </w:p>
    <w:p w:rsidR="00EF5220" w:rsidRDefault="00EF2564">
      <w:pPr>
        <w:spacing w:after="0"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826332" cy="4219575"/>
            <wp:effectExtent l="0" t="0" r="317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832027" cy="4223700"/>
                    </a:xfrm>
                    <a:prstGeom prst="rect">
                      <a:avLst/>
                    </a:prstGeom>
                    <a:noFill/>
                  </pic:spPr>
                </pic:pic>
              </a:graphicData>
            </a:graphic>
          </wp:inline>
        </w:drawing>
      </w:r>
    </w:p>
    <w:p w:rsidR="00EF5220" w:rsidRDefault="00EF2564">
      <w:pPr>
        <w:spacing w:line="240" w:lineRule="auto"/>
        <w:jc w:val="both"/>
        <w:rPr>
          <w:rFonts w:ascii="Times New Roman" w:eastAsia="Calibri" w:hAnsi="Times New Roman" w:cs="Times New Roman"/>
          <w:bCs/>
          <w:noProof/>
          <w:sz w:val="20"/>
          <w:szCs w:val="20"/>
          <w:lang w:val="en-GB"/>
        </w:rPr>
      </w:pPr>
      <w:r>
        <w:rPr>
          <w:rFonts w:ascii="Times New Roman" w:hAnsi="Times New Roman"/>
          <w:noProof/>
          <w:sz w:val="20"/>
          <w:lang w:val="en-GB"/>
        </w:rPr>
        <w:t>Source: European Commission, AMECO database.</w:t>
      </w:r>
    </w:p>
    <w:p w:rsidR="00EF5220" w:rsidRDefault="00EF5220">
      <w:pPr>
        <w:spacing w:line="360" w:lineRule="auto"/>
        <w:jc w:val="both"/>
        <w:rPr>
          <w:rFonts w:ascii="Times New Roman" w:hAnsi="Times New Roman" w:cs="Times New Roman"/>
          <w:b/>
          <w:noProof/>
          <w:sz w:val="24"/>
          <w:szCs w:val="24"/>
          <w:highlight w:val="lightGray"/>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In 2017, real wage growth stood below productivity growth in most Member States. </w:t>
      </w:r>
      <w:r>
        <w:rPr>
          <w:rFonts w:ascii="Times New Roman" w:hAnsi="Times New Roman"/>
          <w:noProof/>
          <w:sz w:val="24"/>
          <w:lang w:val="en-GB"/>
        </w:rPr>
        <w:t xml:space="preserve">This trend is also confirmed over a three-year period (Figure </w:t>
      </w:r>
      <w:r>
        <w:rPr>
          <w:rFonts w:ascii="Times New Roman" w:hAnsi="Times New Roman"/>
          <w:noProof/>
          <w:sz w:val="24"/>
          <w:szCs w:val="24"/>
          <w:lang w:val="en-GB"/>
        </w:rPr>
        <w:t>9</w:t>
      </w:r>
      <w:r>
        <w:rPr>
          <w:rFonts w:ascii="Times New Roman" w:hAnsi="Times New Roman"/>
          <w:noProof/>
          <w:sz w:val="24"/>
          <w:lang w:val="en-GB"/>
        </w:rPr>
        <w:t xml:space="preserve">) and in a longer-term perspective (Figure </w:t>
      </w:r>
      <w:r>
        <w:rPr>
          <w:rFonts w:ascii="Times New Roman" w:hAnsi="Times New Roman"/>
          <w:noProof/>
          <w:sz w:val="24"/>
          <w:szCs w:val="24"/>
          <w:lang w:val="en-GB"/>
        </w:rPr>
        <w:t>10</w:t>
      </w:r>
      <w:r>
        <w:rPr>
          <w:rFonts w:ascii="Times New Roman" w:hAnsi="Times New Roman"/>
          <w:noProof/>
          <w:sz w:val="24"/>
          <w:lang w:val="en-GB"/>
        </w:rPr>
        <w:t>). In nine countries (Belgium, Cyprus, Croatia, Finland, Greece, Italy, the Netherlands, Portugal and Spain), real wage growth was negative over the period 2015-2017. Also over the longer term (2000-2017), real wage developments have been trailing behind p</w:t>
      </w:r>
      <w:r>
        <w:rPr>
          <w:rFonts w:ascii="Times New Roman" w:hAnsi="Times New Roman"/>
          <w:noProof/>
          <w:sz w:val="24"/>
          <w:lang w:val="en-GB"/>
        </w:rPr>
        <w:t xml:space="preserve">roductivity on average. In Portugal and Italy, wages are still below 2000 levels in real terms. The recent trend is opposite for most of the central and eastern Member States, where, over the last three years, real wage growth (deflated with GDP deflator) </w:t>
      </w:r>
      <w:r>
        <w:rPr>
          <w:rFonts w:ascii="Times New Roman" w:hAnsi="Times New Roman"/>
          <w:noProof/>
          <w:sz w:val="24"/>
          <w:lang w:val="en-GB"/>
        </w:rPr>
        <w:t xml:space="preserve">exceeded productivity growth, partially as a result of the catching-up process towards higher income countries. In 2017, the largest excess growth of real wages over productivity growth was observed in the Baltic Member States, Bulgaria, and Slovakia. </w:t>
      </w:r>
    </w:p>
    <w:p w:rsidR="00EF5220" w:rsidRDefault="00EF2564">
      <w:pPr>
        <w:pStyle w:val="caption1"/>
        <w:keepNext/>
        <w:spacing w:line="240" w:lineRule="auto"/>
        <w:rPr>
          <w:rFonts w:ascii="Times New Roman" w:hAnsi="Times New Roman"/>
          <w:noProof/>
          <w:sz w:val="24"/>
          <w:szCs w:val="24"/>
          <w:lang w:val="en-GB"/>
        </w:rPr>
      </w:pPr>
      <w:bookmarkStart w:id="22" w:name="_Ref528664594"/>
      <w:r>
        <w:rPr>
          <w:rFonts w:ascii="Times New Roman" w:hAnsi="Times New Roman"/>
          <w:noProof/>
          <w:sz w:val="24"/>
          <w:lang w:val="en-GB"/>
        </w:rPr>
        <w:t>Fig</w:t>
      </w:r>
      <w:r>
        <w:rPr>
          <w:rFonts w:ascii="Times New Roman" w:hAnsi="Times New Roman"/>
          <w:noProof/>
          <w:sz w:val="24"/>
          <w:lang w:val="en-GB"/>
        </w:rPr>
        <w:t xml:space="preserve">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9</w:t>
      </w:r>
      <w:r>
        <w:rPr>
          <w:rFonts w:ascii="Times New Roman" w:hAnsi="Times New Roman"/>
          <w:noProof/>
          <w:sz w:val="24"/>
          <w:szCs w:val="24"/>
          <w:lang w:val="en-GB"/>
        </w:rPr>
        <w:fldChar w:fldCharType="end"/>
      </w:r>
      <w:bookmarkEnd w:id="22"/>
      <w:r>
        <w:rPr>
          <w:rFonts w:ascii="Times New Roman" w:hAnsi="Times New Roman"/>
          <w:noProof/>
          <w:sz w:val="24"/>
          <w:lang w:val="en-GB"/>
        </w:rPr>
        <w:t>: Real compensation per employee and productivity, average growth rates 2015-2016-2017</w:t>
      </w:r>
      <w:r>
        <w:rPr>
          <w:rFonts w:ascii="Times New Roman" w:hAnsi="Times New Roman"/>
          <w:b w:val="0"/>
          <w:noProof/>
          <w:sz w:val="24"/>
          <w:lang w:val="en-GB"/>
        </w:rPr>
        <w:t xml:space="preserve"> </w:t>
      </w:r>
    </w:p>
    <w:p w:rsidR="00EF5220" w:rsidRDefault="00EF2564">
      <w:pPr>
        <w:spacing w:after="0"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3061253" cy="2864326"/>
            <wp:effectExtent l="0" t="0" r="635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059673" cy="2862847"/>
                    </a:xfrm>
                    <a:prstGeom prst="rect">
                      <a:avLst/>
                    </a:prstGeom>
                    <a:noFill/>
                  </pic:spPr>
                </pic:pic>
              </a:graphicData>
            </a:graphic>
          </wp:inline>
        </w:drawing>
      </w:r>
    </w:p>
    <w:p w:rsidR="00EF5220" w:rsidRDefault="00EF2564">
      <w:pPr>
        <w:jc w:val="both"/>
        <w:rPr>
          <w:rFonts w:ascii="Times New Roman" w:eastAsia="Calibri" w:hAnsi="Times New Roman" w:cs="Times New Roman"/>
          <w:bCs/>
          <w:noProof/>
          <w:sz w:val="20"/>
          <w:szCs w:val="20"/>
          <w:lang w:val="en-GB"/>
        </w:rPr>
      </w:pPr>
      <w:r>
        <w:rPr>
          <w:rFonts w:ascii="Times New Roman" w:hAnsi="Times New Roman"/>
          <w:b/>
          <w:i/>
          <w:noProof/>
          <w:sz w:val="20"/>
          <w:lang w:val="en-GB"/>
        </w:rPr>
        <w:t>Source:</w:t>
      </w:r>
      <w:r>
        <w:rPr>
          <w:rFonts w:ascii="Times New Roman" w:hAnsi="Times New Roman"/>
          <w:noProof/>
          <w:sz w:val="20"/>
          <w:lang w:val="en-GB"/>
        </w:rPr>
        <w:t xml:space="preserve"> Eurostat, National Accounts (own calculations, from Labour Market and Wage Developments in Europe, annual review 2018).</w:t>
      </w:r>
    </w:p>
    <w:p w:rsidR="00EF5220" w:rsidRDefault="00EF5220">
      <w:pPr>
        <w:spacing w:line="240" w:lineRule="auto"/>
        <w:jc w:val="both"/>
        <w:rPr>
          <w:rFonts w:ascii="Times New Roman" w:hAnsi="Times New Roman" w:cs="Times New Roman"/>
          <w:b/>
          <w:noProof/>
          <w:sz w:val="24"/>
          <w:szCs w:val="24"/>
          <w:lang w:val="en-GB"/>
        </w:rPr>
      </w:pPr>
    </w:p>
    <w:p w:rsidR="00EF5220" w:rsidRDefault="00EF2564">
      <w:pPr>
        <w:spacing w:line="240" w:lineRule="auto"/>
        <w:jc w:val="both"/>
        <w:rPr>
          <w:rFonts w:ascii="Times New Roman" w:hAnsi="Times New Roman"/>
          <w:b/>
          <w:noProof/>
          <w:sz w:val="24"/>
          <w:lang w:val="en-GB"/>
        </w:rPr>
      </w:pPr>
      <w:bookmarkStart w:id="23" w:name="_Ref528664600"/>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10</w:t>
      </w:r>
      <w:r>
        <w:rPr>
          <w:rFonts w:ascii="Times New Roman" w:hAnsi="Times New Roman"/>
          <w:b/>
          <w:noProof/>
          <w:sz w:val="24"/>
          <w:szCs w:val="24"/>
          <w:lang w:val="en-GB"/>
        </w:rPr>
        <w:fldChar w:fldCharType="end"/>
      </w:r>
      <w:bookmarkEnd w:id="23"/>
      <w:r>
        <w:rPr>
          <w:rFonts w:ascii="Times New Roman" w:hAnsi="Times New Roman"/>
          <w:b/>
          <w:noProof/>
          <w:sz w:val="24"/>
          <w:lang w:val="en-GB"/>
        </w:rPr>
        <w:t>: Wage and productivity developments, 2000-2017 average % changes</w:t>
      </w:r>
    </w:p>
    <w:p w:rsidR="00EF5220" w:rsidRDefault="00EF2564">
      <w:pPr>
        <w:spacing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231959" cy="3789114"/>
            <wp:effectExtent l="0" t="0" r="6985" b="190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257730" cy="3807778"/>
                    </a:xfrm>
                    <a:prstGeom prst="rect">
                      <a:avLst/>
                    </a:prstGeom>
                    <a:noFill/>
                  </pic:spPr>
                </pic:pic>
              </a:graphicData>
            </a:graphic>
          </wp:inline>
        </w:drawing>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National Accounts (own calculations).</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Wage growth remains below what could be expected on the basis of current unemployment levels.</w:t>
      </w:r>
      <w:r>
        <w:rPr>
          <w:rFonts w:ascii="Times New Roman" w:hAnsi="Times New Roman"/>
          <w:noProof/>
          <w:sz w:val="24"/>
          <w:lang w:val="en-GB"/>
        </w:rPr>
        <w:t xml:space="preserve"> In the reco</w:t>
      </w:r>
      <w:r>
        <w:rPr>
          <w:rFonts w:ascii="Times New Roman" w:hAnsi="Times New Roman"/>
          <w:noProof/>
          <w:sz w:val="24"/>
          <w:lang w:val="en-GB"/>
        </w:rPr>
        <w:t xml:space="preserve">very, wage growth has been moderate overall, and has not appeared to react to the fall in unemployment rate as in previous economic cycles. This phenomenon has been called the apparent "flattening" of the wage Phillips curve, i.e. the relationship between </w:t>
      </w:r>
      <w:r>
        <w:rPr>
          <w:rFonts w:ascii="Times New Roman" w:hAnsi="Times New Roman"/>
          <w:noProof/>
          <w:sz w:val="24"/>
          <w:lang w:val="en-GB"/>
        </w:rPr>
        <w:t xml:space="preserve">wage growth and unemployment. As shown for the euro area in Figure </w:t>
      </w:r>
      <w:r>
        <w:rPr>
          <w:rFonts w:ascii="Times New Roman" w:hAnsi="Times New Roman"/>
          <w:noProof/>
          <w:sz w:val="24"/>
          <w:szCs w:val="24"/>
          <w:lang w:val="en-GB"/>
        </w:rPr>
        <w:t>11</w:t>
      </w:r>
      <w:r>
        <w:rPr>
          <w:rFonts w:ascii="Times New Roman" w:hAnsi="Times New Roman"/>
          <w:b/>
          <w:noProof/>
          <w:sz w:val="24"/>
          <w:lang w:val="en-GB"/>
        </w:rPr>
        <w:t xml:space="preserve">, </w:t>
      </w:r>
      <w:r>
        <w:rPr>
          <w:rFonts w:ascii="Times New Roman" w:hAnsi="Times New Roman"/>
          <w:noProof/>
          <w:sz w:val="24"/>
          <w:lang w:val="en-GB"/>
        </w:rPr>
        <w:t>it suggests that wages have become less responsive to the overall unemployment rate in the economy.</w:t>
      </w:r>
    </w:p>
    <w:p w:rsidR="00EF5220" w:rsidRDefault="00EF2564">
      <w:pPr>
        <w:keepNext/>
        <w:spacing w:line="240" w:lineRule="auto"/>
        <w:jc w:val="both"/>
        <w:rPr>
          <w:rFonts w:ascii="Times New Roman" w:hAnsi="Times New Roman" w:cs="Times New Roman"/>
          <w:b/>
          <w:noProof/>
          <w:sz w:val="24"/>
          <w:szCs w:val="24"/>
          <w:lang w:val="en-GB"/>
        </w:rPr>
      </w:pPr>
      <w:bookmarkStart w:id="24" w:name="_Ref527648288"/>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11</w:t>
      </w:r>
      <w:r>
        <w:rPr>
          <w:rFonts w:ascii="Times New Roman" w:hAnsi="Times New Roman"/>
          <w:b/>
          <w:noProof/>
          <w:sz w:val="24"/>
          <w:szCs w:val="24"/>
          <w:lang w:val="en-GB"/>
        </w:rPr>
        <w:fldChar w:fldCharType="end"/>
      </w:r>
      <w:bookmarkEnd w:id="24"/>
      <w:r>
        <w:rPr>
          <w:rFonts w:ascii="Times New Roman" w:hAnsi="Times New Roman"/>
          <w:b/>
          <w:noProof/>
          <w:sz w:val="24"/>
          <w:lang w:val="en-GB"/>
        </w:rPr>
        <w:t xml:space="preserve">: Phillips curve for the euro area: growth rate of compensation per employee, 2000-2017 </w:t>
      </w:r>
    </w:p>
    <w:p w:rsidR="00EF5220" w:rsidRDefault="00EF2564">
      <w:pPr>
        <w:keepNext/>
        <w:spacing w:line="240" w:lineRule="auto"/>
        <w:rPr>
          <w:rFonts w:ascii="Times New Roman" w:hAnsi="Times New Roman" w:cs="Times New Roman"/>
          <w:b/>
          <w:iCs/>
          <w:noProof/>
          <w:sz w:val="24"/>
          <w:szCs w:val="24"/>
          <w:lang w:val="en-GB"/>
        </w:rPr>
      </w:pPr>
      <w:r>
        <w:rPr>
          <w:rFonts w:ascii="Times New Roman" w:hAnsi="Times New Roman" w:cs="Times New Roman"/>
          <w:b/>
          <w:iCs/>
          <w:noProof/>
          <w:sz w:val="24"/>
          <w:szCs w:val="24"/>
          <w:lang w:val="en-GB" w:eastAsia="en-GB" w:bidi="ar-SA"/>
        </w:rPr>
        <w:drawing>
          <wp:inline distT="0" distB="0" distL="0" distR="0">
            <wp:extent cx="3776870" cy="26511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830438" cy="2688797"/>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DG ECFIN AMECO database and Eurostat, LFS (own calculations, from Labour Market and Wage Developments in Europe, annual review 2018)</w:t>
      </w:r>
    </w:p>
    <w:p w:rsidR="00EF5220" w:rsidRDefault="00EF5220">
      <w:pPr>
        <w:spacing w:line="360" w:lineRule="auto"/>
        <w:jc w:val="both"/>
        <w:rPr>
          <w:rFonts w:ascii="Times New Roman" w:hAnsi="Times New Roman" w:cs="Times New Roman"/>
          <w:b/>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Moderate nominal wage g</w:t>
      </w:r>
      <w:r>
        <w:rPr>
          <w:rFonts w:ascii="Times New Roman" w:hAnsi="Times New Roman"/>
          <w:b/>
          <w:noProof/>
          <w:sz w:val="24"/>
          <w:lang w:val="en-GB"/>
        </w:rPr>
        <w:t>rowth during the recovery can be explained by low inflation, low productivity growth, the effect of some labour market reforms and remaining reserves in the labour market.</w:t>
      </w:r>
      <w:r>
        <w:rPr>
          <w:rFonts w:ascii="Times New Roman" w:hAnsi="Times New Roman"/>
          <w:noProof/>
          <w:sz w:val="24"/>
          <w:lang w:val="en-GB"/>
        </w:rPr>
        <w:t xml:space="preserve"> A significant part of the moderation in nominal wages can be explained by low inflat</w:t>
      </w:r>
      <w:r>
        <w:rPr>
          <w:rFonts w:ascii="Times New Roman" w:hAnsi="Times New Roman"/>
          <w:noProof/>
          <w:sz w:val="24"/>
          <w:lang w:val="en-GB"/>
        </w:rPr>
        <w:t>ion (1.5% on average during the recovery, between 2010 and 2017, compared to 2.2% in 2000-2007). Meanwhile, real productivity growth increased somewhat (0.7% on average over 2010-2017 as compared to 0.4% pre-crisis) but was coupled with a significantly hig</w:t>
      </w:r>
      <w:r>
        <w:rPr>
          <w:rFonts w:ascii="Times New Roman" w:hAnsi="Times New Roman"/>
          <w:noProof/>
          <w:sz w:val="24"/>
          <w:lang w:val="en-GB"/>
        </w:rPr>
        <w:t>her unemployment rate (11.7% in the post-crisis period as compared to 8.7% pre-crisis). Overall, recent estimations suggest that inflation, productivity and labour market reserves explain much of the recent wage moderation (IMF 2017</w:t>
      </w:r>
      <w:r>
        <w:rPr>
          <w:rStyle w:val="FootnoteReference"/>
          <w:rFonts w:ascii="Times New Roman" w:hAnsi="Times New Roman"/>
          <w:noProof/>
          <w:sz w:val="24"/>
          <w:lang w:val="en-GB"/>
        </w:rPr>
        <w:footnoteReference w:id="32"/>
      </w:r>
      <w:r>
        <w:rPr>
          <w:rFonts w:ascii="Times New Roman" w:hAnsi="Times New Roman"/>
          <w:noProof/>
          <w:sz w:val="24"/>
          <w:lang w:val="en-GB"/>
        </w:rPr>
        <w:t>; European Commission 2</w:t>
      </w:r>
      <w:r>
        <w:rPr>
          <w:rFonts w:ascii="Times New Roman" w:hAnsi="Times New Roman"/>
          <w:noProof/>
          <w:sz w:val="24"/>
          <w:lang w:val="en-GB"/>
        </w:rPr>
        <w:t>018</w:t>
      </w:r>
      <w:r>
        <w:rPr>
          <w:rStyle w:val="FootnoteReference"/>
          <w:rFonts w:ascii="Times New Roman" w:hAnsi="Times New Roman"/>
          <w:noProof/>
          <w:sz w:val="24"/>
          <w:lang w:val="en-GB"/>
        </w:rPr>
        <w:footnoteReference w:id="33"/>
      </w:r>
      <w:r>
        <w:rPr>
          <w:rFonts w:ascii="Times New Roman" w:hAnsi="Times New Roman"/>
          <w:noProof/>
          <w:sz w:val="24"/>
          <w:lang w:val="en-GB"/>
        </w:rPr>
        <w:t>). Latent labour market reserves, notably an increased share of underemployed part-time workers, may contribute to wage moderation in some Member States with low unemployment rate.</w:t>
      </w:r>
    </w:p>
    <w:p w:rsidR="00EF5220" w:rsidRDefault="00EF2564">
      <w:pPr>
        <w:spacing w:line="360" w:lineRule="auto"/>
        <w:jc w:val="both"/>
        <w:rPr>
          <w:rFonts w:ascii="Times New Roman" w:hAnsi="Times New Roman" w:cs="Times New Roman"/>
          <w:b/>
          <w:noProof/>
          <w:sz w:val="24"/>
          <w:szCs w:val="24"/>
          <w:lang w:val="en-GB"/>
        </w:rPr>
      </w:pPr>
      <w:r>
        <w:rPr>
          <w:rFonts w:ascii="Times New Roman" w:hAnsi="Times New Roman"/>
          <w:b/>
          <w:noProof/>
          <w:sz w:val="24"/>
          <w:lang w:val="en-GB"/>
        </w:rPr>
        <w:t xml:space="preserve">Net earnings are converging in Europe, with fast growth in Central and </w:t>
      </w:r>
      <w:r>
        <w:rPr>
          <w:rFonts w:ascii="Times New Roman" w:hAnsi="Times New Roman"/>
          <w:b/>
          <w:noProof/>
          <w:sz w:val="24"/>
          <w:lang w:val="en-GB"/>
        </w:rPr>
        <w:t>Eastern Europe and slow growth in Western and Southern Europe, especially in those countries most affected by the crisis.</w:t>
      </w:r>
      <w:r>
        <w:rPr>
          <w:rFonts w:ascii="Times New Roman" w:hAnsi="Times New Roman"/>
          <w:noProof/>
          <w:sz w:val="24"/>
          <w:lang w:val="en-GB"/>
        </w:rPr>
        <w:t xml:space="preserve"> Convergence in labour income levels is key to ensure that anyone in the EU achieves a decent standard of living, as advocated by the E</w:t>
      </w:r>
      <w:r>
        <w:rPr>
          <w:rFonts w:ascii="Times New Roman" w:hAnsi="Times New Roman"/>
          <w:noProof/>
          <w:sz w:val="24"/>
          <w:lang w:val="en-GB"/>
        </w:rPr>
        <w:t xml:space="preserve">uropean Pillar of Social Rights. Evidence shows that this convergence process is taking place, albeit at a slow pace, as large discrepancies still remain across Member States. Taking as a reference a single earner without children earning the average wage </w:t>
      </w:r>
      <w:r>
        <w:rPr>
          <w:rFonts w:ascii="Times New Roman" w:hAnsi="Times New Roman"/>
          <w:noProof/>
          <w:sz w:val="24"/>
          <w:lang w:val="en-GB"/>
        </w:rPr>
        <w:t>level, over a three-year period (2013-2016) net earnings</w:t>
      </w:r>
      <w:r>
        <w:rPr>
          <w:rStyle w:val="FootnoteReference"/>
          <w:rFonts w:ascii="Times New Roman" w:hAnsi="Times New Roman"/>
          <w:noProof/>
          <w:sz w:val="24"/>
          <w:lang w:val="en-GB"/>
        </w:rPr>
        <w:footnoteReference w:id="34"/>
      </w:r>
      <w:r>
        <w:rPr>
          <w:rFonts w:ascii="Times New Roman" w:hAnsi="Times New Roman"/>
          <w:noProof/>
          <w:sz w:val="24"/>
          <w:lang w:val="en-GB"/>
        </w:rPr>
        <w:t xml:space="preserve"> increased the most in some countries characterised by the lowest levels. For this reason, Bulgaria, Romania, Latvia, Lithuania and Estonia are classified as “weak but improving”. Slovakia and Hungar</w:t>
      </w:r>
      <w:r>
        <w:rPr>
          <w:rFonts w:ascii="Times New Roman" w:hAnsi="Times New Roman"/>
          <w:noProof/>
          <w:sz w:val="24"/>
          <w:lang w:val="en-GB"/>
        </w:rPr>
        <w:t>y, while having also experienced higher than average increases, are marked as "critical situations" in view of slower progress. At the other end of the spectrum, growth in net earnings was moderate (ranging from 0.7% to 2.1%) in all the "best performers" (</w:t>
      </w:r>
      <w:r>
        <w:rPr>
          <w:rFonts w:ascii="Times New Roman" w:hAnsi="Times New Roman"/>
          <w:noProof/>
          <w:sz w:val="24"/>
          <w:lang w:val="en-GB"/>
        </w:rPr>
        <w:t>Luxembourg, the United Kingdom, the Netherlands, Germany and Austria). Net earnings decreased or did not grow in Portugal, Greece and Belgium.</w:t>
      </w:r>
    </w:p>
    <w:p w:rsidR="00EF5220" w:rsidRDefault="00EF2564">
      <w:pPr>
        <w:pStyle w:val="caption1"/>
        <w:keepNext/>
        <w:spacing w:line="240" w:lineRule="auto"/>
        <w:rPr>
          <w:rFonts w:ascii="Times New Roman" w:hAnsi="Times New Roman"/>
          <w:noProof/>
          <w:sz w:val="24"/>
          <w:szCs w:val="24"/>
          <w:highlight w:val="yellow"/>
          <w:lang w:val="en-GB"/>
        </w:rPr>
      </w:pPr>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12</w:t>
      </w:r>
      <w:r>
        <w:rPr>
          <w:rFonts w:ascii="Times New Roman" w:hAnsi="Times New Roman"/>
          <w:noProof/>
          <w:sz w:val="24"/>
          <w:szCs w:val="24"/>
          <w:lang w:val="en-GB"/>
        </w:rPr>
        <w:fldChar w:fldCharType="end"/>
      </w:r>
      <w:r>
        <w:rPr>
          <w:rFonts w:ascii="Times New Roman" w:hAnsi="Times New Roman"/>
          <w:noProof/>
          <w:sz w:val="24"/>
          <w:lang w:val="en-GB"/>
        </w:rPr>
        <w:t xml:space="preserve">: Net earnings and yearly change – average over three years (Social Scoreboard headline indicator) </w:t>
      </w:r>
    </w:p>
    <w:p w:rsidR="00EF5220" w:rsidRDefault="00EF2564">
      <w:pPr>
        <w:spacing w:after="0"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827944" cy="4572000"/>
            <wp:effectExtent l="0" t="0" r="190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828514" cy="4572447"/>
                    </a:xfrm>
                    <a:prstGeom prst="rect">
                      <a:avLst/>
                    </a:prstGeom>
                    <a:noFill/>
                  </pic:spPr>
                </pic:pic>
              </a:graphicData>
            </a:graphic>
          </wp:inline>
        </w:drawing>
      </w:r>
    </w:p>
    <w:p w:rsidR="00EF5220" w:rsidRDefault="00EF2564">
      <w:pPr>
        <w:spacing w:line="240" w:lineRule="auto"/>
        <w:jc w:val="both"/>
        <w:rPr>
          <w:rFonts w:ascii="Times New Roman" w:hAnsi="Times New Roman"/>
          <w:noProof/>
          <w:sz w:val="20"/>
          <w:lang w:val="en-IE"/>
        </w:rPr>
      </w:pPr>
      <w:r>
        <w:rPr>
          <w:rFonts w:ascii="Times New Roman" w:hAnsi="Times New Roman"/>
          <w:noProof/>
          <w:sz w:val="20"/>
          <w:lang w:val="en-GB"/>
        </w:rPr>
        <w:t xml:space="preserve">Source: OECD (own calculations). Period: 2016 levels (3-year average) and average yearly changes 2013-2016. Note: Axes are centred on the unweighted EU </w:t>
      </w:r>
      <w:r>
        <w:rPr>
          <w:rFonts w:ascii="Times New Roman" w:hAnsi="Times New Roman"/>
          <w:noProof/>
          <w:sz w:val="20"/>
          <w:lang w:val="en-GB"/>
        </w:rPr>
        <w:t xml:space="preserve">average. The legend is presented in the Annex. Member States marked with an asterisk are those where nominal unit labour cost (NULC) exceeded the threshold set by the Macroeconomic Imbalances Procedure (MIP). The MIP scoreboard indicator is the percentage </w:t>
      </w:r>
      <w:r>
        <w:rPr>
          <w:rFonts w:ascii="Times New Roman" w:hAnsi="Times New Roman"/>
          <w:noProof/>
          <w:sz w:val="20"/>
          <w:lang w:val="en-GB"/>
        </w:rPr>
        <w:t>change over three years of NULC. The threshold is 9% for the euro area countries and 12% for the non-euro area countries.</w:t>
      </w:r>
      <w:r>
        <w:rPr>
          <w:rFonts w:ascii="Times New Roman" w:hAnsi="Times New Roman"/>
          <w:noProof/>
          <w:sz w:val="20"/>
          <w:lang w:val="en-IE"/>
        </w:rPr>
        <w:t xml:space="preserve"> Data not available for Cyprus.</w:t>
      </w:r>
    </w:p>
    <w:p w:rsidR="00EF5220" w:rsidRDefault="00EF5220">
      <w:pPr>
        <w:spacing w:line="240" w:lineRule="auto"/>
        <w:jc w:val="both"/>
        <w:rPr>
          <w:rFonts w:ascii="Times New Roman" w:hAnsi="Times New Roman" w:cs="Times New Roman"/>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In-work poverty remains well above pre-crisis levels and is only slowly declining</w:t>
      </w:r>
      <w:r>
        <w:rPr>
          <w:rFonts w:ascii="Times New Roman" w:hAnsi="Times New Roman"/>
          <w:noProof/>
          <w:sz w:val="24"/>
          <w:lang w:val="en-GB"/>
        </w:rPr>
        <w:t>. The share of person</w:t>
      </w:r>
      <w:r>
        <w:rPr>
          <w:rFonts w:ascii="Times New Roman" w:hAnsi="Times New Roman"/>
          <w:noProof/>
          <w:sz w:val="24"/>
          <w:lang w:val="en-GB"/>
        </w:rPr>
        <w:t xml:space="preserve">s who, while being at work, have an equivalised disposable income below the risk-of-poverty threshold rose from 8.6% in 2008, to 9.0% in 2013 and to 9.6% in 2017. The highest level was recorded in Romania (17.4%), followed by Luxembourg, Spain, Greece and </w:t>
      </w:r>
      <w:r>
        <w:rPr>
          <w:rFonts w:ascii="Times New Roman" w:hAnsi="Times New Roman"/>
          <w:noProof/>
          <w:sz w:val="24"/>
          <w:lang w:val="en-GB"/>
        </w:rPr>
        <w:t xml:space="preserve">Italy – all above 12%. At the other end of the spectrum, the in-work poverty rate is below 5% in Finland, the Czech Republic and Ireland. In-work poverty kept increasing in several Member States in 2017, including (by more than 0.5 pps) in Hungary, Italy, </w:t>
      </w:r>
      <w:r>
        <w:rPr>
          <w:rFonts w:ascii="Times New Roman" w:hAnsi="Times New Roman"/>
          <w:noProof/>
          <w:sz w:val="24"/>
          <w:lang w:val="en-GB"/>
        </w:rPr>
        <w:t xml:space="preserve">Latvia, Slovenia, Belgium and the Netherlands (see also Chapter 3.4). </w:t>
      </w:r>
    </w:p>
    <w:p w:rsidR="00EF5220" w:rsidRDefault="00EF2564">
      <w:pPr>
        <w:pStyle w:val="caption1"/>
        <w:keepNext/>
        <w:spacing w:line="240" w:lineRule="auto"/>
        <w:rPr>
          <w:rFonts w:ascii="Times New Roman" w:hAnsi="Times New Roman"/>
          <w:noProof/>
          <w:sz w:val="24"/>
          <w:szCs w:val="24"/>
          <w:highlight w:val="yellow"/>
          <w:lang w:val="en-GB"/>
        </w:rPr>
      </w:pPr>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13</w:t>
      </w:r>
      <w:r>
        <w:rPr>
          <w:rFonts w:ascii="Times New Roman" w:hAnsi="Times New Roman"/>
          <w:noProof/>
          <w:sz w:val="24"/>
          <w:szCs w:val="24"/>
          <w:lang w:val="en-GB"/>
        </w:rPr>
        <w:fldChar w:fldCharType="end"/>
      </w:r>
      <w:r>
        <w:rPr>
          <w:rFonts w:ascii="Times New Roman" w:hAnsi="Times New Roman"/>
          <w:noProof/>
          <w:sz w:val="24"/>
          <w:lang w:val="en-GB"/>
        </w:rPr>
        <w:t xml:space="preserve">: In-work at-risk-of-poverty rate, multiannual comparison </w:t>
      </w:r>
    </w:p>
    <w:p w:rsidR="00EF5220" w:rsidRDefault="00EF2564">
      <w:pPr>
        <w:spacing w:after="0"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743575" cy="26696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54664" cy="2674787"/>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Eurostat. Note: for HR, 2010 instead of 2008 data. For IE and UK, 2016 instead of </w:t>
      </w:r>
      <w:r>
        <w:rPr>
          <w:rFonts w:ascii="Times New Roman" w:hAnsi="Times New Roman"/>
          <w:noProof/>
          <w:sz w:val="20"/>
          <w:lang w:val="en-GB"/>
        </w:rPr>
        <w:t>2017 data.</w:t>
      </w:r>
    </w:p>
    <w:p w:rsidR="00EF5220" w:rsidRDefault="00EF5220">
      <w:pPr>
        <w:spacing w:line="360" w:lineRule="auto"/>
        <w:jc w:val="both"/>
        <w:rPr>
          <w:rFonts w:ascii="Times New Roman" w:hAnsi="Times New Roman" w:cs="Times New Roman"/>
          <w:b/>
          <w:noProof/>
          <w:sz w:val="24"/>
          <w:szCs w:val="24"/>
          <w:lang w:val="en-GB"/>
        </w:rPr>
      </w:pPr>
    </w:p>
    <w:p w:rsidR="00EF5220" w:rsidRDefault="00EF2564">
      <w:pPr>
        <w:spacing w:line="360" w:lineRule="auto"/>
        <w:jc w:val="both"/>
        <w:rPr>
          <w:rFonts w:ascii="Times New Roman" w:hAnsi="Times New Roman" w:cs="Times New Roman"/>
          <w:b/>
          <w:noProof/>
          <w:sz w:val="24"/>
          <w:szCs w:val="24"/>
          <w:lang w:val="en-GB"/>
        </w:rPr>
      </w:pPr>
      <w:r>
        <w:rPr>
          <w:rFonts w:ascii="Times New Roman" w:hAnsi="Times New Roman"/>
          <w:b/>
          <w:noProof/>
          <w:sz w:val="24"/>
          <w:lang w:val="en-GB"/>
        </w:rPr>
        <w:t xml:space="preserve">Wage dispersion seems broadly stable in Europe. </w:t>
      </w:r>
      <w:r>
        <w:rPr>
          <w:rFonts w:ascii="Times New Roman" w:hAnsi="Times New Roman"/>
          <w:noProof/>
          <w:sz w:val="24"/>
          <w:lang w:val="en-GB"/>
        </w:rPr>
        <w:t xml:space="preserve">Wage growth, especially at the bottom of the wage scale, plays an important role in reducing income inequalities and in-work poverty. Dispersion of gross earnings, measured as the ratio between </w:t>
      </w:r>
      <w:r>
        <w:rPr>
          <w:rFonts w:ascii="Times New Roman" w:hAnsi="Times New Roman"/>
          <w:noProof/>
          <w:sz w:val="24"/>
          <w:lang w:val="en-GB"/>
        </w:rPr>
        <w:t>the fifth and first decile (D5/D1), ranged in 2016 from 1.43 in Finland to 1.90 in the Czech Republic. Wage setting institutions can have an impact on wage dispersion. In particular, stronger collective bargaining tends to be associated with a lower earnin</w:t>
      </w:r>
      <w:r>
        <w:rPr>
          <w:rFonts w:ascii="Times New Roman" w:hAnsi="Times New Roman"/>
          <w:noProof/>
          <w:sz w:val="24"/>
          <w:lang w:val="en-GB"/>
        </w:rPr>
        <w:t>gs inequality (European Commission, 2018</w:t>
      </w:r>
      <w:r>
        <w:rPr>
          <w:rStyle w:val="FootnoteReference"/>
          <w:rFonts w:ascii="Times New Roman" w:hAnsi="Times New Roman"/>
          <w:noProof/>
          <w:sz w:val="24"/>
          <w:lang w:val="en-GB"/>
        </w:rPr>
        <w:footnoteReference w:id="35"/>
      </w:r>
      <w:r>
        <w:rPr>
          <w:rFonts w:ascii="Times New Roman" w:hAnsi="Times New Roman"/>
          <w:noProof/>
          <w:sz w:val="24"/>
          <w:lang w:val="en-GB"/>
        </w:rPr>
        <w:t xml:space="preserve">). Collective bargaining coverage varies widely across Europe, reflecting different national traditions and institutions. In 2015, the percentage of employees with the right to bargain ranged from 98% in Austria to </w:t>
      </w:r>
      <w:r>
        <w:rPr>
          <w:rFonts w:ascii="Times New Roman" w:hAnsi="Times New Roman"/>
          <w:noProof/>
          <w:sz w:val="24"/>
          <w:lang w:val="en-GB"/>
        </w:rPr>
        <w:t>7.1% in Lithuania.</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In most Member States, statutory minimum wages set a lower bound to the wage distribution</w:t>
      </w:r>
      <w:r>
        <w:rPr>
          <w:rFonts w:ascii="Times New Roman" w:hAnsi="Times New Roman"/>
          <w:noProof/>
          <w:sz w:val="24"/>
          <w:lang w:val="en-GB"/>
        </w:rPr>
        <w:t>. Minimum wages may increase labour market participation of certain groups and support aggregate demand by increasing the income of low-wage earning</w:t>
      </w:r>
      <w:r>
        <w:rPr>
          <w:rFonts w:ascii="Times New Roman" w:hAnsi="Times New Roman"/>
          <w:noProof/>
          <w:sz w:val="24"/>
          <w:lang w:val="en-GB"/>
        </w:rPr>
        <w:t xml:space="preserve"> families, which have a higher propensity to consume. At the same time, minimum wages increase the cost of hiring low-wage workers, thereby potentially harming the employment opportunities of groups typically earning low wages (e.g. young and low-skilled w</w:t>
      </w:r>
      <w:r>
        <w:rPr>
          <w:rFonts w:ascii="Times New Roman" w:hAnsi="Times New Roman"/>
          <w:noProof/>
          <w:sz w:val="24"/>
          <w:lang w:val="en-GB"/>
        </w:rPr>
        <w:t>orkers), depending on the structure of the economy and the macroeconomic situation. Statutory minimum wages set at a national level exist in most Member States, with the exception of Austria, Cyprus, Denmark, Finland, Italy and Sweden. For international co</w:t>
      </w:r>
      <w:r>
        <w:rPr>
          <w:rFonts w:ascii="Times New Roman" w:hAnsi="Times New Roman"/>
          <w:noProof/>
          <w:sz w:val="24"/>
          <w:lang w:val="en-GB"/>
        </w:rPr>
        <w:t>mparison, the absolute level of the minimum wage is not a very useful measure because it does not take into account cross-country differences in labour productivity and prices. It is therefore more useful to look at the minimum wage relative to a country's</w:t>
      </w:r>
      <w:r>
        <w:rPr>
          <w:rFonts w:ascii="Times New Roman" w:hAnsi="Times New Roman"/>
          <w:noProof/>
          <w:sz w:val="24"/>
          <w:lang w:val="en-GB"/>
        </w:rPr>
        <w:t xml:space="preserve"> average or median wage. Figure </w:t>
      </w:r>
      <w:r>
        <w:rPr>
          <w:rFonts w:ascii="Times New Roman" w:hAnsi="Times New Roman"/>
          <w:noProof/>
          <w:sz w:val="24"/>
          <w:szCs w:val="24"/>
          <w:lang w:val="en-GB"/>
        </w:rPr>
        <w:t>14</w:t>
      </w:r>
      <w:r>
        <w:rPr>
          <w:rFonts w:ascii="Times New Roman" w:hAnsi="Times New Roman"/>
          <w:noProof/>
          <w:sz w:val="24"/>
          <w:lang w:val="en-GB"/>
        </w:rPr>
        <w:t xml:space="preserve"> shows the minimum wage as a percentage of the median wage in EU Member States, as calculated by the OECD. The highest minimum wages, as a ratio to the median, are found in France, Slovenia, Portugal, Romania, and Luxembur</w:t>
      </w:r>
      <w:r>
        <w:rPr>
          <w:rFonts w:ascii="Times New Roman" w:hAnsi="Times New Roman"/>
          <w:noProof/>
          <w:sz w:val="24"/>
          <w:lang w:val="en-GB"/>
        </w:rPr>
        <w:t>g. The lowest levels are observed in the Spain, Czech Republic, Estonia, the Netherlands, and Ireland. As the potential impact on both employment and living conditions is higher when a large share of the workforce is covered by the minimum wage, this indic</w:t>
      </w:r>
      <w:r>
        <w:rPr>
          <w:rFonts w:ascii="Times New Roman" w:hAnsi="Times New Roman"/>
          <w:noProof/>
          <w:sz w:val="24"/>
          <w:lang w:val="en-GB"/>
        </w:rPr>
        <w:t>ator should also be taken into account in the discussion of policy options at national level. Targeted measures to reduce in-work poverty, such as in-work benefits, should also be considered.</w:t>
      </w:r>
    </w:p>
    <w:p w:rsidR="00EF5220" w:rsidRDefault="00EF5220">
      <w:pPr>
        <w:rPr>
          <w:rFonts w:ascii="Times New Roman" w:hAnsi="Times New Roman"/>
          <w:b/>
          <w:noProof/>
          <w:sz w:val="24"/>
          <w:szCs w:val="24"/>
          <w:lang w:val="en-GB"/>
        </w:rPr>
      </w:pPr>
    </w:p>
    <w:p w:rsidR="00EF5220" w:rsidRDefault="00EF2564">
      <w:pPr>
        <w:keepNext/>
        <w:rPr>
          <w:noProof/>
          <w:sz w:val="24"/>
          <w:szCs w:val="24"/>
          <w:lang w:val="en-GB"/>
        </w:rPr>
      </w:pPr>
      <w:bookmarkStart w:id="25" w:name="_Ref528664646"/>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14</w:t>
      </w:r>
      <w:r>
        <w:rPr>
          <w:rFonts w:ascii="Times New Roman" w:hAnsi="Times New Roman"/>
          <w:b/>
          <w:noProof/>
          <w:sz w:val="24"/>
          <w:szCs w:val="24"/>
          <w:lang w:val="en-GB"/>
        </w:rPr>
        <w:fldChar w:fldCharType="end"/>
      </w:r>
      <w:bookmarkEnd w:id="25"/>
      <w:r>
        <w:rPr>
          <w:rFonts w:ascii="Times New Roman" w:hAnsi="Times New Roman"/>
          <w:b/>
          <w:noProof/>
          <w:sz w:val="24"/>
          <w:lang w:val="en-GB"/>
        </w:rPr>
        <w:t>: Minimum wages as proportion</w:t>
      </w:r>
      <w:r>
        <w:rPr>
          <w:rFonts w:ascii="Times New Roman" w:hAnsi="Times New Roman"/>
          <w:b/>
          <w:noProof/>
          <w:sz w:val="24"/>
          <w:lang w:val="en-GB"/>
        </w:rPr>
        <w:t xml:space="preserve"> of the median and average earnings of full-time workers (2017)</w:t>
      </w:r>
    </w:p>
    <w:p w:rsidR="00EF5220" w:rsidRDefault="00EF2564">
      <w:pPr>
        <w:spacing w:after="0" w:line="360" w:lineRule="auto"/>
        <w:jc w:val="center"/>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4667691" cy="28285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668788" cy="2829174"/>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4"/>
          <w:szCs w:val="24"/>
          <w:highlight w:val="yellow"/>
          <w:lang w:val="en-GB"/>
        </w:rPr>
      </w:pPr>
      <w:r>
        <w:rPr>
          <w:rFonts w:ascii="Times New Roman" w:hAnsi="Times New Roman"/>
          <w:noProof/>
          <w:sz w:val="20"/>
          <w:lang w:val="en-GB"/>
        </w:rPr>
        <w:t>Source: OECD. Notes: AT, CY, DK, FI, IT and SE do not have a statutory national minimum wage. For BG, HR and MT no information is provided by the OECD. Eurostat data indicates that, in 2017, the monthly minimum wage as a proportion of the mean value of mon</w:t>
      </w:r>
      <w:r>
        <w:rPr>
          <w:rFonts w:ascii="Times New Roman" w:hAnsi="Times New Roman"/>
          <w:noProof/>
          <w:sz w:val="20"/>
          <w:lang w:val="en-GB"/>
        </w:rPr>
        <w:t xml:space="preserve">thly wages was 47.8% in BG, 40.6% in HR and 43.6% in MT (Industry, Construction and Services; not comparable to OECD figures).  </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The tax burden on labour in Europe has gradually decreased in recent years, but significant differences remain across Member S</w:t>
      </w:r>
      <w:r>
        <w:rPr>
          <w:rFonts w:ascii="Times New Roman" w:hAnsi="Times New Roman"/>
          <w:b/>
          <w:noProof/>
          <w:sz w:val="24"/>
          <w:lang w:val="en-GB"/>
        </w:rPr>
        <w:t xml:space="preserve">tates. </w:t>
      </w:r>
      <w:r>
        <w:rPr>
          <w:rFonts w:ascii="Times New Roman" w:hAnsi="Times New Roman"/>
          <w:noProof/>
          <w:sz w:val="24"/>
          <w:lang w:val="en-GB"/>
        </w:rPr>
        <w:t>In 2017, the tax wedge for a single worker earning the average wage ranged from less than 30% in Ireland and Malta to around 50% in Belgium, Germany, Hungary, Italy, France and Austria. For lower income workers (defined as those earning 67% of the a</w:t>
      </w:r>
      <w:r>
        <w:rPr>
          <w:rFonts w:ascii="Times New Roman" w:hAnsi="Times New Roman"/>
          <w:noProof/>
          <w:sz w:val="24"/>
          <w:lang w:val="en-GB"/>
        </w:rPr>
        <w:t xml:space="preserve">verage wage), the tax wedge ranged from around 20% in Malta and Ireland to more than 45% in Belgium, Hungary and Germany. Different country patterns emerge with respect to the progressivity of tax rates and the redistributive effect of the tax system (see </w:t>
      </w:r>
      <w:r>
        <w:rPr>
          <w:rFonts w:ascii="Times New Roman" w:hAnsi="Times New Roman"/>
          <w:noProof/>
          <w:sz w:val="24"/>
          <w:lang w:val="en-GB"/>
        </w:rPr>
        <w:t>section 3.4). In 2017, the most significant reductions in the tax wedge for single workers earning the average wage occurred in Hungary (-2.1 pps), Luxembourg (-1.8 pps) and Finland (-1.2 pps), while the largest increase was in Bulgaria (+0.6 pps). Between</w:t>
      </w:r>
      <w:r>
        <w:rPr>
          <w:rFonts w:ascii="Times New Roman" w:hAnsi="Times New Roman"/>
          <w:noProof/>
          <w:sz w:val="24"/>
          <w:lang w:val="en-GB"/>
        </w:rPr>
        <w:t xml:space="preserve"> 2013 and 2017 the non-weighted average tax wedge decreased by 0.5 pps in the EU (and by 0.8 pps for low-income workers, with important reductions in Italy, Hungary, France, Belgium, Romania and the Netherlands). Over the same period, there has been some c</w:t>
      </w:r>
      <w:r>
        <w:rPr>
          <w:rFonts w:ascii="Times New Roman" w:hAnsi="Times New Roman"/>
          <w:noProof/>
          <w:sz w:val="24"/>
          <w:lang w:val="en-GB"/>
        </w:rPr>
        <w:t>onvergence in the level of the tax wedge, with the difference between the highest and lowest tax wedge at average wage level decreasing by 2.1 pps, and by 2.9 pps for lower income workers. This is principally due to large reductions in some of the countrie</w:t>
      </w:r>
      <w:r>
        <w:rPr>
          <w:rFonts w:ascii="Times New Roman" w:hAnsi="Times New Roman"/>
          <w:noProof/>
          <w:sz w:val="24"/>
          <w:lang w:val="en-GB"/>
        </w:rPr>
        <w:t>s experiencing the highest rates (Belgium, Austria, Hungary, as well as Italy and France, but limited to lower income workers). Large reductions in the tax wedge were also seen in Romania and the Netherlands. Increases in the tax wedge over the same period</w:t>
      </w:r>
      <w:r>
        <w:rPr>
          <w:rFonts w:ascii="Times New Roman" w:hAnsi="Times New Roman"/>
          <w:noProof/>
          <w:sz w:val="24"/>
          <w:lang w:val="en-GB"/>
        </w:rPr>
        <w:t xml:space="preserve"> were less pronounced, but affected particularly lower income workers in the Czech Republic, Slovenia and Portugal</w:t>
      </w:r>
      <w:r>
        <w:rPr>
          <w:rStyle w:val="FootnoteReference"/>
          <w:rFonts w:ascii="Times New Roman" w:hAnsi="Times New Roman"/>
          <w:noProof/>
          <w:sz w:val="24"/>
          <w:lang w:val="en-GB"/>
        </w:rPr>
        <w:footnoteReference w:id="36"/>
      </w:r>
      <w:r>
        <w:rPr>
          <w:rFonts w:ascii="Times New Roman" w:hAnsi="Times New Roman"/>
          <w:noProof/>
          <w:sz w:val="24"/>
          <w:lang w:val="en-GB"/>
        </w:rPr>
        <w:t xml:space="preserve">. </w:t>
      </w:r>
    </w:p>
    <w:p w:rsidR="00EF5220" w:rsidRDefault="00EF2564">
      <w:pPr>
        <w:pStyle w:val="caption1"/>
        <w:keepNext/>
        <w:spacing w:line="240" w:lineRule="auto"/>
        <w:rPr>
          <w:rFonts w:ascii="Times New Roman" w:hAnsi="Times New Roman"/>
          <w:noProof/>
          <w:sz w:val="24"/>
          <w:szCs w:val="24"/>
          <w:lang w:val="en-GB"/>
        </w:rPr>
      </w:pPr>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15</w:t>
      </w:r>
      <w:r>
        <w:rPr>
          <w:rFonts w:ascii="Times New Roman" w:hAnsi="Times New Roman"/>
          <w:noProof/>
          <w:sz w:val="24"/>
          <w:szCs w:val="24"/>
          <w:lang w:val="en-GB"/>
        </w:rPr>
        <w:fldChar w:fldCharType="end"/>
      </w:r>
      <w:r>
        <w:rPr>
          <w:rFonts w:ascii="Times New Roman" w:hAnsi="Times New Roman"/>
          <w:noProof/>
          <w:sz w:val="24"/>
          <w:lang w:val="en-GB"/>
        </w:rPr>
        <w:t>: Tax wedge on labour, level in 2017 and change 2013/2017</w:t>
      </w:r>
    </w:p>
    <w:p w:rsidR="00EF5220" w:rsidRDefault="00EF2564">
      <w:pPr>
        <w:pStyle w:val="caption1"/>
        <w:keepNext/>
        <w:spacing w:line="240" w:lineRule="auto"/>
        <w:rPr>
          <w:rFonts w:ascii="Times New Roman" w:hAnsi="Times New Roman"/>
          <w:noProof/>
          <w:sz w:val="24"/>
          <w:szCs w:val="24"/>
          <w:lang w:val="en-GB"/>
        </w:rPr>
      </w:pPr>
      <w:r>
        <w:rPr>
          <w:rFonts w:ascii="Times New Roman" w:hAnsi="Times New Roman"/>
          <w:noProof/>
          <w:sz w:val="24"/>
          <w:szCs w:val="24"/>
          <w:lang w:val="en-GB" w:eastAsia="en-GB" w:bidi="ar-SA"/>
        </w:rPr>
        <w:drawing>
          <wp:inline distT="0" distB="0" distL="0" distR="0">
            <wp:extent cx="5752034" cy="3241963"/>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t="3779" b="2091"/>
                    <a:stretch/>
                  </pic:blipFill>
                  <pic:spPr bwMode="auto">
                    <a:xfrm>
                      <a:off x="0" y="0"/>
                      <a:ext cx="5772931" cy="3253741"/>
                    </a:xfrm>
                    <a:prstGeom prst="rect">
                      <a:avLst/>
                    </a:prstGeom>
                    <a:noFill/>
                    <a:ln>
                      <a:noFill/>
                    </a:ln>
                    <a:extLst>
                      <a:ext uri="{53640926-AAD7-44D8-BBD7-CCE9431645EC}">
                        <a14:shadowObscured xmlns:a14="http://schemas.microsoft.com/office/drawing/2010/main"/>
                      </a:ext>
                    </a:extLst>
                  </pic:spPr>
                </pic:pic>
              </a:graphicData>
            </a:graphic>
          </wp:inline>
        </w:drawing>
      </w:r>
    </w:p>
    <w:p w:rsidR="00EF5220" w:rsidRDefault="00EF2564">
      <w:pPr>
        <w:pStyle w:val="caption1"/>
        <w:keepNext/>
        <w:spacing w:line="240" w:lineRule="auto"/>
        <w:rPr>
          <w:rFonts w:ascii="Times New Roman" w:hAnsi="Times New Roman"/>
          <w:noProof/>
          <w:sz w:val="24"/>
          <w:szCs w:val="24"/>
          <w:lang w:val="en-GB"/>
        </w:rPr>
      </w:pPr>
      <w:r>
        <w:rPr>
          <w:rFonts w:ascii="Times New Roman" w:hAnsi="Times New Roman"/>
          <w:noProof/>
          <w:sz w:val="24"/>
          <w:szCs w:val="24"/>
          <w:lang w:val="en-GB" w:eastAsia="en-GB" w:bidi="ar-SA"/>
        </w:rPr>
        <w:drawing>
          <wp:inline distT="0" distB="0" distL="0" distR="0">
            <wp:extent cx="5734825" cy="241900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33099" cy="2418276"/>
                    </a:xfrm>
                    <a:prstGeom prst="rect">
                      <a:avLst/>
                    </a:prstGeom>
                    <a:noFill/>
                  </pic:spPr>
                </pic:pic>
              </a:graphicData>
            </a:graphic>
          </wp:inline>
        </w:drawing>
      </w:r>
    </w:p>
    <w:p w:rsidR="00EF5220" w:rsidRDefault="00EF2564">
      <w:pPr>
        <w:spacing w:line="240" w:lineRule="auto"/>
        <w:jc w:val="both"/>
        <w:rPr>
          <w:rFonts w:ascii="Times New Roman" w:hAnsi="Times New Roman"/>
          <w:noProof/>
          <w:sz w:val="20"/>
          <w:lang w:val="en-GB"/>
        </w:rPr>
      </w:pPr>
      <w:r>
        <w:rPr>
          <w:rFonts w:ascii="Times New Roman" w:hAnsi="Times New Roman"/>
          <w:noProof/>
          <w:sz w:val="20"/>
          <w:lang w:val="en-GB"/>
        </w:rPr>
        <w:t>Source: Tax and benefits database, Europea</w:t>
      </w:r>
      <w:r>
        <w:rPr>
          <w:rFonts w:ascii="Times New Roman" w:hAnsi="Times New Roman"/>
          <w:noProof/>
          <w:sz w:val="20"/>
          <w:lang w:val="en-GB"/>
        </w:rPr>
        <w:t>n Commission/OECD. Note: data are for single earner households (no children). No recent data available for Cyprus. Data updated on 11 April 2018.</w:t>
      </w:r>
    </w:p>
    <w:p w:rsidR="00EF5220" w:rsidRDefault="00EF5220">
      <w:pPr>
        <w:spacing w:line="240" w:lineRule="auto"/>
        <w:jc w:val="both"/>
        <w:rPr>
          <w:rFonts w:ascii="Times New Roman" w:hAnsi="Times New Roman" w:cs="Times New Roman"/>
          <w:noProof/>
          <w:sz w:val="20"/>
          <w:szCs w:val="20"/>
          <w:lang w:val="en-GB"/>
        </w:rPr>
      </w:pPr>
    </w:p>
    <w:p w:rsidR="00EF5220" w:rsidRDefault="00EF2564">
      <w:pPr>
        <w:pStyle w:val="Heading3"/>
        <w:rPr>
          <w:noProof/>
          <w:lang w:val="en-GB"/>
        </w:rPr>
      </w:pPr>
      <w:bookmarkStart w:id="26" w:name="_Toc527539784"/>
      <w:r>
        <w:rPr>
          <w:noProof/>
          <w:lang w:val="en-GB"/>
        </w:rPr>
        <w:t>3.1.2</w:t>
      </w:r>
      <w:r>
        <w:rPr>
          <w:noProof/>
          <w:lang w:val="en-GB"/>
        </w:rPr>
        <w:tab/>
        <w:t>Policy response</w:t>
      </w:r>
      <w:bookmarkEnd w:id="26"/>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 xml:space="preserve">Several Member States resorted to employment subsidies for job creation, although some scaling down is occurring as labour market conditions improve. </w:t>
      </w:r>
      <w:r>
        <w:rPr>
          <w:rFonts w:ascii="Times New Roman" w:hAnsi="Times New Roman"/>
          <w:noProof/>
          <w:sz w:val="24"/>
          <w:lang w:val="en-GB"/>
        </w:rPr>
        <w:t>Most measures in this area target specific groups facing labour market integration problems (e.g. youth, o</w:t>
      </w:r>
      <w:r>
        <w:rPr>
          <w:rFonts w:ascii="Times New Roman" w:hAnsi="Times New Roman"/>
          <w:noProof/>
          <w:sz w:val="24"/>
          <w:lang w:val="en-GB"/>
        </w:rPr>
        <w:t>lder people, long-term unemployed, migrants, etc.) and consist of financial incentives to employers for hiring targeted workers.</w:t>
      </w:r>
      <w:r>
        <w:rPr>
          <w:rFonts w:ascii="Times New Roman" w:hAnsi="Times New Roman"/>
          <w:b/>
          <w:noProof/>
          <w:sz w:val="24"/>
          <w:lang w:val="en-GB"/>
        </w:rPr>
        <w:t xml:space="preserve"> </w:t>
      </w:r>
      <w:r>
        <w:rPr>
          <w:rFonts w:ascii="Times New Roman" w:hAnsi="Times New Roman"/>
          <w:noProof/>
          <w:sz w:val="24"/>
          <w:lang w:val="en-GB"/>
        </w:rPr>
        <w:t>Targeted hiring subsidies were introduced or confirmed by several Member States (more details to be found in section 3.2). A fe</w:t>
      </w:r>
      <w:r>
        <w:rPr>
          <w:rFonts w:ascii="Times New Roman" w:hAnsi="Times New Roman"/>
          <w:noProof/>
          <w:sz w:val="24"/>
          <w:lang w:val="en-GB"/>
        </w:rPr>
        <w:t>w countries also adopted hiring subsidies for a wider public, i.e. without or with looser eligibility conditions, usually with the aim of promoting open-ended employment. In Greece, additional cycles of public works were launched in 2017 in 51 municipaliti</w:t>
      </w:r>
      <w:r>
        <w:rPr>
          <w:rFonts w:ascii="Times New Roman" w:hAnsi="Times New Roman"/>
          <w:noProof/>
          <w:sz w:val="24"/>
          <w:lang w:val="en-GB"/>
        </w:rPr>
        <w:t>es and new programmes are under preparation; furthermore, a new programme of public works in forest fire protection was launched in May 2018. In October 2017, Greece also adopted a programme subsidising wages of workers under contracts for provision of ind</w:t>
      </w:r>
      <w:r>
        <w:rPr>
          <w:rFonts w:ascii="Times New Roman" w:hAnsi="Times New Roman"/>
          <w:noProof/>
          <w:sz w:val="24"/>
          <w:lang w:val="en-GB"/>
        </w:rPr>
        <w:t>ependent services in case they are hired as employees.</w:t>
      </w:r>
      <w:r>
        <w:rPr>
          <w:noProof/>
          <w:lang w:val="en-GB"/>
        </w:rPr>
        <w:t xml:space="preserve"> </w:t>
      </w:r>
      <w:r>
        <w:rPr>
          <w:rFonts w:ascii="Times New Roman" w:hAnsi="Times New Roman"/>
          <w:noProof/>
          <w:sz w:val="24"/>
          <w:lang w:val="en-GB"/>
        </w:rPr>
        <w:t>Finally, a programme of subsidies to businesses for the employment of 15,000 unemployed people aged 30-49 was recently launched. In France, subsidised contracts declined further in 2018 from 310,000 to</w:t>
      </w:r>
      <w:r>
        <w:rPr>
          <w:rFonts w:ascii="Times New Roman" w:hAnsi="Times New Roman"/>
          <w:noProof/>
          <w:sz w:val="24"/>
          <w:lang w:val="en-GB"/>
        </w:rPr>
        <w:t xml:space="preserve"> 200,000 and are now limited to the most vulnerable people in the non-profit sector, including young people and the long-term unemployed. As of 2018, existing schemes of subsidised contracts were reviewed and renamed </w:t>
      </w:r>
      <w:r>
        <w:rPr>
          <w:rFonts w:ascii="Times New Roman" w:hAnsi="Times New Roman"/>
          <w:i/>
          <w:noProof/>
          <w:sz w:val="24"/>
          <w:lang w:val="en-GB"/>
        </w:rPr>
        <w:t>Parcours Emploi Compétence</w:t>
      </w:r>
      <w:r>
        <w:rPr>
          <w:rFonts w:ascii="Times New Roman" w:hAnsi="Times New Roman"/>
          <w:noProof/>
          <w:sz w:val="24"/>
          <w:lang w:val="en-GB"/>
        </w:rPr>
        <w:t xml:space="preserve">, increasing </w:t>
      </w:r>
      <w:r>
        <w:rPr>
          <w:rFonts w:ascii="Times New Roman" w:hAnsi="Times New Roman"/>
          <w:noProof/>
          <w:sz w:val="24"/>
          <w:lang w:val="en-GB"/>
        </w:rPr>
        <w:t xml:space="preserve">their counselling and training dimension. In this context, a targeted hiring premium called </w:t>
      </w:r>
      <w:r>
        <w:rPr>
          <w:rFonts w:ascii="Times New Roman" w:hAnsi="Times New Roman"/>
          <w:i/>
          <w:noProof/>
          <w:sz w:val="24"/>
          <w:lang w:val="en-GB"/>
        </w:rPr>
        <w:t xml:space="preserve">Emplois francs </w:t>
      </w:r>
      <w:r>
        <w:rPr>
          <w:rFonts w:ascii="Times New Roman" w:hAnsi="Times New Roman"/>
          <w:noProof/>
          <w:sz w:val="24"/>
          <w:lang w:val="en-GB"/>
        </w:rPr>
        <w:t>for hiring jobseekers from most deprived urban areas (</w:t>
      </w:r>
      <w:r>
        <w:rPr>
          <w:rFonts w:ascii="Times New Roman" w:hAnsi="Times New Roman"/>
          <w:i/>
          <w:noProof/>
          <w:sz w:val="24"/>
          <w:lang w:val="en-GB"/>
        </w:rPr>
        <w:t>Quartiers politique de la ville)</w:t>
      </w:r>
      <w:r>
        <w:rPr>
          <w:rFonts w:ascii="Times New Roman" w:hAnsi="Times New Roman"/>
          <w:noProof/>
          <w:sz w:val="24"/>
          <w:lang w:val="en-GB"/>
        </w:rPr>
        <w:t xml:space="preserve"> is being tested since April 2018 in ten areas, with no other c</w:t>
      </w:r>
      <w:r>
        <w:rPr>
          <w:rFonts w:ascii="Times New Roman" w:hAnsi="Times New Roman"/>
          <w:noProof/>
          <w:sz w:val="24"/>
          <w:lang w:val="en-GB"/>
        </w:rPr>
        <w:t>ondition than being a jobseeker resident in the area. Moreover, in the context of the new Poverty Plan, additional measures for labour market integration of people with social and employment difficulties (</w:t>
      </w:r>
      <w:r>
        <w:rPr>
          <w:rFonts w:ascii="Times New Roman" w:hAnsi="Times New Roman"/>
          <w:i/>
          <w:noProof/>
          <w:sz w:val="24"/>
          <w:lang w:val="en-GB"/>
        </w:rPr>
        <w:t>Insertion par l’activité économique</w:t>
      </w:r>
      <w:r>
        <w:rPr>
          <w:rFonts w:ascii="Times New Roman" w:hAnsi="Times New Roman"/>
          <w:noProof/>
          <w:sz w:val="24"/>
          <w:lang w:val="en-GB"/>
        </w:rPr>
        <w:t>) have been deci</w:t>
      </w:r>
      <w:r>
        <w:rPr>
          <w:rFonts w:ascii="Times New Roman" w:hAnsi="Times New Roman"/>
          <w:noProof/>
          <w:sz w:val="24"/>
          <w:lang w:val="en-GB"/>
        </w:rPr>
        <w:t>ded. Italy introduced a structural reduction of contributions for employers hiring young people or long-term unemployed in Southern regions on a permanent basis or under apprenticeships. Portugal put in place a set of financial incentives to permanent hiri</w:t>
      </w:r>
      <w:r>
        <w:rPr>
          <w:rFonts w:ascii="Times New Roman" w:hAnsi="Times New Roman"/>
          <w:noProof/>
          <w:sz w:val="24"/>
          <w:lang w:val="en-GB"/>
        </w:rPr>
        <w:t>ng, in the form of partial exemptions of social security contributions for certain vulnerable groups (young people, long-term unemployed, older people). In Hungary, the ESF contributes to enhancing the employment potential of social enterprises through inc</w:t>
      </w:r>
      <w:r>
        <w:rPr>
          <w:rFonts w:ascii="Times New Roman" w:hAnsi="Times New Roman"/>
          <w:noProof/>
          <w:sz w:val="24"/>
          <w:lang w:val="en-GB"/>
        </w:rPr>
        <w:t>entives and subsidies for job creation.</w:t>
      </w:r>
      <w:r>
        <w:rPr>
          <w:noProof/>
          <w:lang w:val="en-GB"/>
        </w:rPr>
        <w:t xml:space="preserve"> </w:t>
      </w:r>
    </w:p>
    <w:p w:rsidR="00EF5220" w:rsidRDefault="00EF2564">
      <w:pPr>
        <w:spacing w:line="360" w:lineRule="auto"/>
        <w:jc w:val="both"/>
        <w:rPr>
          <w:rFonts w:ascii="Times New Roman" w:hAnsi="Times New Roman" w:cs="Times New Roman"/>
          <w:noProof/>
          <w:sz w:val="24"/>
          <w:szCs w:val="24"/>
          <w:highlight w:val="yellow"/>
          <w:lang w:val="en-GB"/>
        </w:rPr>
      </w:pPr>
      <w:r>
        <w:rPr>
          <w:rFonts w:ascii="Times New Roman" w:hAnsi="Times New Roman"/>
          <w:b/>
          <w:noProof/>
          <w:sz w:val="24"/>
          <w:lang w:val="en-GB"/>
        </w:rPr>
        <w:t xml:space="preserve">Some Member States are taking action to promote entrepreneurship and start-ups. </w:t>
      </w:r>
      <w:r>
        <w:rPr>
          <w:rFonts w:ascii="Times New Roman" w:hAnsi="Times New Roman"/>
          <w:noProof/>
          <w:sz w:val="24"/>
          <w:lang w:val="en-GB"/>
        </w:rPr>
        <w:t>In Greece, subsidies are granted for a first-time hiring of employees by young self-employed or enterprises run by young people. In Lat</w:t>
      </w:r>
      <w:r>
        <w:rPr>
          <w:rFonts w:ascii="Times New Roman" w:hAnsi="Times New Roman"/>
          <w:noProof/>
          <w:sz w:val="24"/>
          <w:lang w:val="en-GB"/>
        </w:rPr>
        <w:t>via, a new law sets the main principles and working arrangements of social enterprises. Support to approximately 200 social enterprises will be provided. Moreover, the turnover threshold for payers of the microenterprise tax has been reduced from EUR 100,0</w:t>
      </w:r>
      <w:r>
        <w:rPr>
          <w:rFonts w:ascii="Times New Roman" w:hAnsi="Times New Roman"/>
          <w:noProof/>
          <w:sz w:val="24"/>
          <w:lang w:val="en-GB"/>
        </w:rPr>
        <w:t>00 to EUR 40,000, keeping a single rate of 15% of which 80% is diverted towards state insurance mandatory contributions. In Hungary, since autumn 2017, a loan facility (that can be combined with several other grant instruments) is available to support indi</w:t>
      </w:r>
      <w:r>
        <w:rPr>
          <w:rFonts w:ascii="Times New Roman" w:hAnsi="Times New Roman"/>
          <w:noProof/>
          <w:sz w:val="24"/>
          <w:lang w:val="en-GB"/>
        </w:rPr>
        <w:t>viduals to become entrepreneurs or to social enterprises to promote the expansion of their market activities. In Poland, the government has adopted a draft law to reduce social security contributions for small business owners, so-called small ZUS contribut</w:t>
      </w:r>
      <w:r>
        <w:rPr>
          <w:rFonts w:ascii="Times New Roman" w:hAnsi="Times New Roman"/>
          <w:noProof/>
          <w:sz w:val="24"/>
          <w:lang w:val="en-GB"/>
        </w:rPr>
        <w:t>ions. In Slovakia, new legislation has been adopted on the conditions for the public support to social economy and social enterprises. In Finland, as of 2018, it is possible to receive the unemployment benefit in the form of a grant for starting-up a new b</w:t>
      </w:r>
      <w:r>
        <w:rPr>
          <w:rFonts w:ascii="Times New Roman" w:hAnsi="Times New Roman"/>
          <w:noProof/>
          <w:sz w:val="24"/>
          <w:lang w:val="en-GB"/>
        </w:rPr>
        <w:t>usiness and while working as a part-time entrepreneur. Moreover, discussions are ongoing on how to make easier for the unemployed to set up companies. Steps have also been taken in many Member States to make sure that self-employed enjoy adequate social ri</w:t>
      </w:r>
      <w:r>
        <w:rPr>
          <w:rFonts w:ascii="Times New Roman" w:hAnsi="Times New Roman"/>
          <w:noProof/>
          <w:sz w:val="24"/>
          <w:lang w:val="en-GB"/>
        </w:rPr>
        <w:t>ghts (see section 3.3 on labour market segmentation).</w:t>
      </w:r>
    </w:p>
    <w:p w:rsidR="00EF5220" w:rsidRDefault="00EF2564">
      <w:pPr>
        <w:spacing w:after="120" w:line="360" w:lineRule="auto"/>
        <w:jc w:val="both"/>
        <w:rPr>
          <w:rFonts w:ascii="Times New Roman" w:hAnsi="Times New Roman" w:cs="Times New Roman"/>
          <w:noProof/>
          <w:sz w:val="24"/>
          <w:szCs w:val="24"/>
          <w:lang w:val="en-GB"/>
        </w:rPr>
      </w:pPr>
      <w:r>
        <w:rPr>
          <w:rFonts w:ascii="Times New Roman" w:hAnsi="Times New Roman"/>
          <w:b/>
          <w:noProof/>
          <w:sz w:val="24"/>
          <w:lang w:val="en-GB"/>
        </w:rPr>
        <w:t>Some Member States reduced labour costs by decreasing the tax wedge, often targeting the lowest incomes</w:t>
      </w:r>
      <w:r>
        <w:rPr>
          <w:rFonts w:ascii="Times New Roman" w:hAnsi="Times New Roman"/>
          <w:noProof/>
          <w:sz w:val="24"/>
          <w:lang w:val="en-GB"/>
        </w:rPr>
        <w:t xml:space="preserve">. The tax wedge was tackled mainly for low-income earners, through reforms focused on personal </w:t>
      </w:r>
      <w:r>
        <w:rPr>
          <w:rFonts w:ascii="Times New Roman" w:hAnsi="Times New Roman"/>
          <w:noProof/>
          <w:sz w:val="24"/>
          <w:lang w:val="en-GB"/>
        </w:rPr>
        <w:t>income taxation, often by increasing tax allowances (i.e. the tax-free amount of income) or introducing progressivity in the overall system. For instance, a major reform was adopted in Lithuania, amending the Law on Personal Income Tax (PIT), introducing p</w:t>
      </w:r>
      <w:r>
        <w:rPr>
          <w:rFonts w:ascii="Times New Roman" w:hAnsi="Times New Roman"/>
          <w:noProof/>
          <w:sz w:val="24"/>
          <w:lang w:val="en-GB"/>
        </w:rPr>
        <w:t>rogressivity instead of the previous flat rate and increasing the tax-exempt amount of income. Similarly, in Latvia a major tax reform includes the replacement of a flat 23% personal income tax rate with a progressive system. Non-taxable allowances were al</w:t>
      </w:r>
      <w:r>
        <w:rPr>
          <w:rFonts w:ascii="Times New Roman" w:hAnsi="Times New Roman"/>
          <w:noProof/>
          <w:sz w:val="24"/>
          <w:lang w:val="en-GB"/>
        </w:rPr>
        <w:t xml:space="preserve">so increased. Estonia also introduced non-taxable allowances. The Netherlands announced a PIT reform to be implemented over the course of 2019 and 2020. This includes a reduction in the number of tax brackets from four to two, alongside an increase in the </w:t>
      </w:r>
      <w:r>
        <w:rPr>
          <w:rFonts w:ascii="Times New Roman" w:hAnsi="Times New Roman"/>
          <w:noProof/>
          <w:sz w:val="24"/>
          <w:lang w:val="en-GB"/>
        </w:rPr>
        <w:t>general tax credit and the earned income tax credit. The reform is expected to reduce the overall tax burden on labour, in particular at middle to higher income levels. In Romania, the flat PIT rate was reduced from 16% to 10% from 2018, alongside major ch</w:t>
      </w:r>
      <w:r>
        <w:rPr>
          <w:rFonts w:ascii="Times New Roman" w:hAnsi="Times New Roman"/>
          <w:noProof/>
          <w:sz w:val="24"/>
          <w:lang w:val="en-GB"/>
        </w:rPr>
        <w:t>anges to the design of social security contributions. Portugal introduced PIT reforms intended to reduce the tax burden on low to middle income earners; including an increase in the number of tax brackets. Other Member States introduced reforms with a narr</w:t>
      </w:r>
      <w:r>
        <w:rPr>
          <w:rFonts w:ascii="Times New Roman" w:hAnsi="Times New Roman"/>
          <w:noProof/>
          <w:sz w:val="24"/>
          <w:lang w:val="en-GB"/>
        </w:rPr>
        <w:t>ower scope. For instance, in Malta, an income tax rebate on employment income between EUR 40 and EUR 68 for people earning less than EUR 60,000 per year was adopted. The United Kingdom increased the personal allowance to £11,850 (about EUR 13,400) per year</w:t>
      </w:r>
      <w:r>
        <w:rPr>
          <w:rFonts w:ascii="Times New Roman" w:hAnsi="Times New Roman"/>
          <w:noProof/>
          <w:sz w:val="24"/>
          <w:lang w:val="en-GB"/>
        </w:rPr>
        <w:t xml:space="preserve"> and the threshold for the higher rate from £45,000 (about EUR 50,850) to £46,350 (about EUR 52,400). In Denmark, the 2018 tax agreement strengthens the incentive to work full-time, in particular targeting unemployed and part time workers. In Cyprus,</w:t>
      </w:r>
      <w:r>
        <w:rPr>
          <w:noProof/>
          <w:lang w:val="en-GB"/>
        </w:rPr>
        <w:t xml:space="preserve"> </w:t>
      </w:r>
      <w:r>
        <w:rPr>
          <w:rFonts w:ascii="Times New Roman" w:hAnsi="Times New Roman"/>
          <w:noProof/>
          <w:sz w:val="24"/>
          <w:lang w:val="en-GB"/>
        </w:rPr>
        <w:t>The C</w:t>
      </w:r>
      <w:r>
        <w:rPr>
          <w:rFonts w:ascii="Times New Roman" w:hAnsi="Times New Roman"/>
          <w:noProof/>
          <w:sz w:val="24"/>
          <w:lang w:val="en-GB"/>
        </w:rPr>
        <w:t xml:space="preserve">hild Benefit Law was modified to increase the eligible income threshold by EUR 5,000 for every additional child after the first two. </w:t>
      </w:r>
    </w:p>
    <w:p w:rsidR="00EF5220" w:rsidRDefault="00EF2564">
      <w:pPr>
        <w:spacing w:after="120" w:line="360" w:lineRule="auto"/>
        <w:jc w:val="both"/>
        <w:rPr>
          <w:rFonts w:ascii="Times New Roman" w:hAnsi="Times New Roman" w:cs="Times New Roman"/>
          <w:noProof/>
          <w:sz w:val="24"/>
          <w:szCs w:val="24"/>
          <w:lang w:val="en-GB"/>
        </w:rPr>
      </w:pPr>
      <w:r>
        <w:rPr>
          <w:rFonts w:ascii="Times New Roman" w:hAnsi="Times New Roman"/>
          <w:b/>
          <w:noProof/>
          <w:sz w:val="24"/>
          <w:lang w:val="en-GB"/>
        </w:rPr>
        <w:t>Some Member States also intervened on the tax wedge through reduction in social security contributions</w:t>
      </w:r>
      <w:r>
        <w:rPr>
          <w:rFonts w:ascii="Times New Roman" w:hAnsi="Times New Roman"/>
          <w:noProof/>
          <w:sz w:val="24"/>
          <w:lang w:val="en-GB"/>
        </w:rPr>
        <w:t>. In France, the tra</w:t>
      </w:r>
      <w:r>
        <w:rPr>
          <w:rFonts w:ascii="Times New Roman" w:hAnsi="Times New Roman"/>
          <w:noProof/>
          <w:sz w:val="24"/>
          <w:lang w:val="en-GB"/>
        </w:rPr>
        <w:t>nsformation of the tax credit for employment and competitiveness into a direct reduction of social security contributions on wages up to 2.5 times the minimum wage is to be implemented in 2019 (complemented by strengthened reduction for lower wages, postpo</w:t>
      </w:r>
      <w:r>
        <w:rPr>
          <w:rFonts w:ascii="Times New Roman" w:hAnsi="Times New Roman"/>
          <w:noProof/>
          <w:sz w:val="24"/>
          <w:lang w:val="en-GB"/>
        </w:rPr>
        <w:t>ned to October 2019). In Croatia, the base on which the employer contribution for social security is calculated was cut by 50 % for those workers that have been employed for a period of more than 12 months on the minimum wage. Belgium adopted a reduction o</w:t>
      </w:r>
      <w:r>
        <w:rPr>
          <w:rFonts w:ascii="Times New Roman" w:hAnsi="Times New Roman"/>
          <w:noProof/>
          <w:sz w:val="24"/>
          <w:lang w:val="en-GB"/>
        </w:rPr>
        <w:t>f social security contribution for some types of shift work in the construction sector.</w:t>
      </w:r>
      <w:r>
        <w:rPr>
          <w:noProof/>
          <w:lang w:val="en-GB"/>
        </w:rPr>
        <w:t xml:space="preserve"> </w:t>
      </w:r>
      <w:r>
        <w:rPr>
          <w:rFonts w:ascii="Times New Roman" w:hAnsi="Times New Roman"/>
          <w:noProof/>
          <w:sz w:val="24"/>
          <w:lang w:val="en-GB"/>
        </w:rPr>
        <w:t xml:space="preserve">More generally, the profit participation scheme in the private sector has been replaced by a new premium (an amount or a percentage of the salary), which cannot exceed </w:t>
      </w:r>
      <w:r>
        <w:rPr>
          <w:rFonts w:ascii="Times New Roman" w:hAnsi="Times New Roman"/>
          <w:noProof/>
          <w:sz w:val="24"/>
          <w:lang w:val="en-GB"/>
        </w:rPr>
        <w:t xml:space="preserve">30% of the total gross salary. The employer is exempt from social contributions on these premiums, while the employee should pay a solidarity contribution of 13.07%.  </w:t>
      </w:r>
    </w:p>
    <w:p w:rsidR="00EF5220" w:rsidRDefault="00EF2564">
      <w:pPr>
        <w:spacing w:after="120" w:line="360" w:lineRule="auto"/>
        <w:jc w:val="both"/>
        <w:rPr>
          <w:rFonts w:ascii="Times New Roman" w:hAnsi="Times New Roman"/>
          <w:noProof/>
          <w:sz w:val="24"/>
          <w:lang w:val="en-GB"/>
        </w:rPr>
      </w:pPr>
      <w:r>
        <w:rPr>
          <w:rFonts w:ascii="Times New Roman" w:hAnsi="Times New Roman"/>
          <w:b/>
          <w:noProof/>
          <w:sz w:val="24"/>
          <w:lang w:val="en-GB"/>
        </w:rPr>
        <w:t>Wage setting frameworks have been the object of major reforms over the past years</w:t>
      </w:r>
      <w:r>
        <w:rPr>
          <w:rFonts w:ascii="Times New Roman" w:hAnsi="Times New Roman"/>
          <w:noProof/>
          <w:sz w:val="24"/>
          <w:lang w:val="en-GB"/>
        </w:rPr>
        <w:t>. In Gr</w:t>
      </w:r>
      <w:r>
        <w:rPr>
          <w:rFonts w:ascii="Times New Roman" w:hAnsi="Times New Roman"/>
          <w:noProof/>
          <w:sz w:val="24"/>
          <w:lang w:val="en-GB"/>
        </w:rPr>
        <w:t>eece, after the exit from the ESM Programme in August 2018, two collective bargaining principles, suspended in 2011, are reintroduced: the possibility to administratively extend sectoral agreements to non-signatory parties and the favourability principle (</w:t>
      </w:r>
      <w:r>
        <w:rPr>
          <w:rFonts w:ascii="Times New Roman" w:hAnsi="Times New Roman"/>
          <w:noProof/>
          <w:sz w:val="24"/>
          <w:lang w:val="en-GB"/>
        </w:rPr>
        <w:t>in case of conflicting collective agreements, e.g. sector and firm level, the more favourable for the worker prevails). In Croatia, the draft proposal for the Act on Wages in Civil Service determined the framework for the payment class system and payment g</w:t>
      </w:r>
      <w:r>
        <w:rPr>
          <w:rFonts w:ascii="Times New Roman" w:hAnsi="Times New Roman"/>
          <w:noProof/>
          <w:sz w:val="24"/>
          <w:lang w:val="en-GB"/>
        </w:rPr>
        <w:t xml:space="preserve">rades, as well as for assessing work efficiency. France, building on previous reforms, further defined the perimeter of each level of collective bargaining. In the future, sector level bargaining will prevail over national labour law for setting framework </w:t>
      </w:r>
      <w:r>
        <w:rPr>
          <w:rFonts w:ascii="Times New Roman" w:hAnsi="Times New Roman"/>
          <w:noProof/>
          <w:sz w:val="24"/>
          <w:lang w:val="en-GB"/>
        </w:rPr>
        <w:t xml:space="preserve">and conditions of use of fixed-term, project-based contracts and trial period (see also Chapter 3.3). Agreement at company-level can be less favourable than at branch-level, with the exception of 13 defined areas of bargaining, including sectorial minimum </w:t>
      </w:r>
      <w:r>
        <w:rPr>
          <w:rFonts w:ascii="Times New Roman" w:hAnsi="Times New Roman"/>
          <w:noProof/>
          <w:sz w:val="24"/>
          <w:lang w:val="en-GB"/>
        </w:rPr>
        <w:t>wages, while branch-level agreements apply if no agreement is reached at company-level. Moreover, majority agreements at company-level to preserve employment (</w:t>
      </w:r>
      <w:r>
        <w:rPr>
          <w:rFonts w:ascii="Times New Roman" w:hAnsi="Times New Roman"/>
          <w:i/>
          <w:noProof/>
          <w:sz w:val="24"/>
          <w:lang w:val="en-GB"/>
        </w:rPr>
        <w:t>accords de competitivité</w:t>
      </w:r>
      <w:r>
        <w:rPr>
          <w:rFonts w:ascii="Times New Roman" w:hAnsi="Times New Roman"/>
          <w:noProof/>
          <w:sz w:val="24"/>
          <w:lang w:val="en-GB"/>
        </w:rPr>
        <w:t>) are now extended beyond working time conditions and also include remune</w:t>
      </w:r>
      <w:r>
        <w:rPr>
          <w:rFonts w:ascii="Times New Roman" w:hAnsi="Times New Roman"/>
          <w:noProof/>
          <w:sz w:val="24"/>
          <w:lang w:val="en-GB"/>
        </w:rPr>
        <w:t>ration, also allowing companies to dismiss employees that refuse such agreements on real and serious grounds. In Italy, in March 2018 an agreement among the main trade unions and the employers' organisation paved the way for a strengthening of collective b</w:t>
      </w:r>
      <w:r>
        <w:rPr>
          <w:rFonts w:ascii="Times New Roman" w:hAnsi="Times New Roman"/>
          <w:noProof/>
          <w:sz w:val="24"/>
          <w:lang w:val="en-GB"/>
        </w:rPr>
        <w:t>argaining, by defining criteria for measuring representativeness of social partners’ associations. In Cyprus, a new agreement on the Cost of Living Adjustment index came into force in 2018, leading to limited increases in wages and defining criteria on the</w:t>
      </w:r>
      <w:r>
        <w:rPr>
          <w:rFonts w:ascii="Times New Roman" w:hAnsi="Times New Roman"/>
          <w:noProof/>
          <w:sz w:val="24"/>
          <w:lang w:val="en-GB"/>
        </w:rPr>
        <w:t xml:space="preserve"> frequency and nature of periodical adjustments. In Latvia, new conditions for overtime pay are being set, with the involvement of social partners, jointly with negotiations on sectoral minimum wages. In Portugal, a set of measures has been agreed with soc</w:t>
      </w:r>
      <w:r>
        <w:rPr>
          <w:rFonts w:ascii="Times New Roman" w:hAnsi="Times New Roman"/>
          <w:noProof/>
          <w:sz w:val="24"/>
          <w:lang w:val="en-GB"/>
        </w:rPr>
        <w:t>ial partners (and are now being discussed in Parliament) to improve the scope of collective bargaining. In particular, "banks of hours" would not be agreed on an individual basis anymore, but as part of collective bargaining or group agreements, to be reac</w:t>
      </w:r>
      <w:r>
        <w:rPr>
          <w:rFonts w:ascii="Times New Roman" w:hAnsi="Times New Roman"/>
          <w:noProof/>
          <w:sz w:val="24"/>
          <w:lang w:val="en-GB"/>
        </w:rPr>
        <w:t>hed after worker’s consultation (see also Chapter 3.3). In Spain, social partners reached in June 2018 a preliminary wage agreement for 2018, with a general 2 % wage increase (slightly above the expected inflation rate), plus another 1 % depending on the r</w:t>
      </w:r>
      <w:r>
        <w:rPr>
          <w:rFonts w:ascii="Times New Roman" w:hAnsi="Times New Roman"/>
          <w:noProof/>
          <w:sz w:val="24"/>
          <w:lang w:val="en-GB"/>
        </w:rPr>
        <w:t>esults, productivity and absenteeism rates of the firm/ sector. Romania made wage bargaining compulsory for all companies. Ireland introduced the possibility for collective bargaining for certain categories of self-employed, Slovakia reintroduced the exten</w:t>
      </w:r>
      <w:r>
        <w:rPr>
          <w:rFonts w:ascii="Times New Roman" w:hAnsi="Times New Roman"/>
          <w:noProof/>
          <w:sz w:val="24"/>
          <w:lang w:val="en-GB"/>
        </w:rPr>
        <w:t>sion of higher level collective agreements under specific conditions to the non-participating employers without their  consent.</w:t>
      </w:r>
    </w:p>
    <w:p w:rsidR="00EF5220" w:rsidRDefault="00EF2564">
      <w:pPr>
        <w:spacing w:after="120"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As labour market conditions improve, minimum wages have been increased in several countries, while steps are also taken to make </w:t>
      </w:r>
      <w:r>
        <w:rPr>
          <w:rFonts w:ascii="Times New Roman" w:hAnsi="Times New Roman"/>
          <w:b/>
          <w:noProof/>
          <w:sz w:val="24"/>
          <w:lang w:val="en-GB"/>
        </w:rPr>
        <w:t>minimum wage setting frameworks more predictable</w:t>
      </w:r>
      <w:r>
        <w:rPr>
          <w:rFonts w:ascii="Times New Roman" w:hAnsi="Times New Roman"/>
          <w:noProof/>
          <w:sz w:val="24"/>
          <w:lang w:val="en-GB"/>
        </w:rPr>
        <w:t>. Statutory minimum wages increased in all of the countries where changes took place between 2017 and 2018, with the exception of Germany, Greece, Luxembourg and Belgium, where there was a decline in real ter</w:t>
      </w:r>
      <w:r>
        <w:rPr>
          <w:rFonts w:ascii="Times New Roman" w:hAnsi="Times New Roman"/>
          <w:noProof/>
          <w:sz w:val="24"/>
          <w:lang w:val="en-GB"/>
        </w:rPr>
        <w:t>ms</w:t>
      </w:r>
      <w:r>
        <w:rPr>
          <w:rStyle w:val="FootnoteReference"/>
          <w:rFonts w:ascii="Times New Roman" w:hAnsi="Times New Roman"/>
          <w:noProof/>
          <w:sz w:val="24"/>
          <w:lang w:val="en-GB"/>
        </w:rPr>
        <w:footnoteReference w:id="37"/>
      </w:r>
      <w:r>
        <w:rPr>
          <w:rFonts w:ascii="Times New Roman" w:hAnsi="Times New Roman"/>
          <w:noProof/>
          <w:sz w:val="24"/>
          <w:lang w:val="en-GB"/>
        </w:rPr>
        <w:t xml:space="preserve">. In recent years, expert groups have been involved in minimum wage-setting in a growing number of countries, including Germany and Ireland. Malta will set up such a group in 2018 and a possible involvement of experts is discussed in Bulgaria and </w:t>
      </w:r>
      <w:r>
        <w:rPr>
          <w:rFonts w:ascii="Times New Roman" w:hAnsi="Times New Roman"/>
          <w:noProof/>
          <w:sz w:val="24"/>
          <w:lang w:val="en-GB"/>
        </w:rPr>
        <w:t>Romania. Estonia adopted a EUR 30 increase of minimum wage in 2018 to reach EUR 500, while anchoring the formula for future increases to official forecasts of labour productivity and economic growth. Ireland increased the National Minimum Wage by 30 cent t</w:t>
      </w:r>
      <w:r>
        <w:rPr>
          <w:rFonts w:ascii="Times New Roman" w:hAnsi="Times New Roman"/>
          <w:noProof/>
          <w:sz w:val="24"/>
          <w:lang w:val="en-GB"/>
        </w:rPr>
        <w:t>o EUR 9.55 per hour, following the advice of Low Pay Commission, which also took into account competitiveness development and the impact on employment. In Spain, a law (agreed with the social partners) increased the minimum wage in 2018 by 4% compared to 2</w:t>
      </w:r>
      <w:r>
        <w:rPr>
          <w:rFonts w:ascii="Times New Roman" w:hAnsi="Times New Roman"/>
          <w:noProof/>
          <w:sz w:val="24"/>
          <w:lang w:val="en-GB"/>
        </w:rPr>
        <w:t xml:space="preserve">017 and further increases have been proposed for 2019. In Croatia, besides increasing the minimum wage level and reducing the health insurance contributions paid by employers, a new regulation stipulates that additional earnings (from overtime work, night </w:t>
      </w:r>
      <w:r>
        <w:rPr>
          <w:rFonts w:ascii="Times New Roman" w:hAnsi="Times New Roman"/>
          <w:noProof/>
          <w:sz w:val="24"/>
          <w:lang w:val="en-GB"/>
        </w:rPr>
        <w:t>work or work during holidays) shall be excluded from the definition of minimum wage. Latvia introduced a minimum wage increase to EUR 430 per month, up from EUR 380, as of 2018. In Hungary, the minimum wage was raised by 8% to HUF 138,000, approximately EU</w:t>
      </w:r>
      <w:r>
        <w:rPr>
          <w:rFonts w:ascii="Times New Roman" w:hAnsi="Times New Roman"/>
          <w:noProof/>
          <w:sz w:val="24"/>
          <w:lang w:val="en-GB"/>
        </w:rPr>
        <w:t>R 440, in 2018 (+12% for skilled workers). In Slovakia, as of 1 January 2019, the minimum wage will be increased to 520 EUR, up from EUR 480. The United Kingdom raised the national living wage (to £7.83 per hour, about EUR 6.9) in April 2018, as well as th</w:t>
      </w:r>
      <w:r>
        <w:rPr>
          <w:rFonts w:ascii="Times New Roman" w:hAnsi="Times New Roman"/>
          <w:noProof/>
          <w:sz w:val="24"/>
          <w:lang w:val="en-GB"/>
        </w:rPr>
        <w:t>e national minimum wage for young workers. The minimum wage for young workers was also increased in the Netherlands, while Germany introduced a minimum wage for temporary agency workers. Finally, Bulgaria adopted the Law on the Ratification of ILO Conventi</w:t>
      </w:r>
      <w:r>
        <w:rPr>
          <w:rFonts w:ascii="Times New Roman" w:hAnsi="Times New Roman"/>
          <w:noProof/>
          <w:sz w:val="24"/>
          <w:lang w:val="en-GB"/>
        </w:rPr>
        <w:t>on 131, with a view to achieve a consensus with the social partners on the development of a transparent mechanism for setting the minimum wage.</w:t>
      </w:r>
    </w:p>
    <w:p w:rsidR="00EF5220" w:rsidRDefault="00EF2564">
      <w:pPr>
        <w:rPr>
          <w:rFonts w:ascii="Times New Roman" w:eastAsiaTheme="majorEastAsia" w:hAnsi="Times New Roman" w:cs="Times New Roman"/>
          <w:b/>
          <w:bCs/>
          <w:noProof/>
          <w:sz w:val="24"/>
          <w:lang w:val="en-GB"/>
        </w:rPr>
      </w:pPr>
      <w:r>
        <w:rPr>
          <w:noProof/>
          <w:lang w:val="en-GB"/>
        </w:rPr>
        <w:br w:type="page"/>
      </w:r>
    </w:p>
    <w:p w:rsidR="00EF5220" w:rsidRDefault="00EF2564">
      <w:pPr>
        <w:pStyle w:val="Heading3"/>
        <w:numPr>
          <w:ilvl w:val="1"/>
          <w:numId w:val="10"/>
        </w:numPr>
        <w:ind w:left="426"/>
        <w:jc w:val="both"/>
        <w:rPr>
          <w:rFonts w:cs="Times New Roman"/>
          <w:b/>
          <w:i w:val="0"/>
          <w:noProof/>
          <w:lang w:val="en-GB"/>
        </w:rPr>
      </w:pPr>
      <w:bookmarkStart w:id="27" w:name="_Toc527539785"/>
      <w:r>
        <w:rPr>
          <w:b/>
          <w:i w:val="0"/>
          <w:noProof/>
          <w:lang w:val="en-GB"/>
        </w:rPr>
        <w:t>Guideline 6: Enhancing labour supply and improving access to employment, skills and competences</w:t>
      </w:r>
      <w:bookmarkEnd w:id="27"/>
    </w:p>
    <w:p w:rsidR="00EF5220" w:rsidRDefault="00EF5220">
      <w:pPr>
        <w:rPr>
          <w:noProof/>
          <w:lang w:val="en-GB"/>
        </w:rPr>
      </w:pPr>
    </w:p>
    <w:p w:rsidR="00EF5220" w:rsidRDefault="00EF2564">
      <w:pPr>
        <w:spacing w:before="120" w:after="240" w:line="360" w:lineRule="auto"/>
        <w:jc w:val="both"/>
        <w:rPr>
          <w:rFonts w:ascii="Times New Roman" w:eastAsia="Calibri" w:hAnsi="Times New Roman" w:cs="Times New Roman"/>
          <w:noProof/>
          <w:sz w:val="24"/>
          <w:szCs w:val="24"/>
          <w:lang w:val="en-GB"/>
        </w:rPr>
      </w:pPr>
      <w:r>
        <w:rPr>
          <w:rFonts w:ascii="Times New Roman" w:hAnsi="Times New Roman"/>
          <w:noProof/>
          <w:sz w:val="24"/>
          <w:lang w:val="en-GB"/>
        </w:rPr>
        <w:t xml:space="preserve">This section </w:t>
      </w:r>
      <w:r>
        <w:rPr>
          <w:rFonts w:ascii="Times New Roman" w:hAnsi="Times New Roman"/>
          <w:noProof/>
          <w:sz w:val="24"/>
          <w:lang w:val="en-GB"/>
        </w:rPr>
        <w:t>looks at the implementation of the employment guideline no. 6, which recommends to Member States to create conditions to promote labour supply, skills and competences. It presents indicators about educational and training attainment, outcomes and  impact o</w:t>
      </w:r>
      <w:r>
        <w:rPr>
          <w:rFonts w:ascii="Times New Roman" w:hAnsi="Times New Roman"/>
          <w:noProof/>
          <w:sz w:val="24"/>
          <w:lang w:val="en-GB"/>
        </w:rPr>
        <w:t>n skills development and the employability of the workforce. It then goes through labour market outcomes for various groups underrepresented in the labour market (e.g. young people, older workers, women, people with a migrant background and people with dis</w:t>
      </w:r>
      <w:r>
        <w:rPr>
          <w:rFonts w:ascii="Times New Roman" w:hAnsi="Times New Roman"/>
          <w:noProof/>
          <w:sz w:val="24"/>
          <w:lang w:val="en-GB"/>
        </w:rPr>
        <w:t>abilities). Section 3.2.2 reports on policy measures of Member States in these areas and measures targeted at those  groups.</w:t>
      </w:r>
    </w:p>
    <w:p w:rsidR="00EF5220" w:rsidRDefault="00EF5220">
      <w:pPr>
        <w:spacing w:before="120" w:after="240" w:line="360" w:lineRule="auto"/>
        <w:jc w:val="both"/>
        <w:rPr>
          <w:rFonts w:ascii="Times New Roman" w:eastAsia="Calibri" w:hAnsi="Times New Roman" w:cs="Times New Roman"/>
          <w:noProof/>
          <w:sz w:val="24"/>
          <w:szCs w:val="24"/>
          <w:lang w:val="en-GB"/>
        </w:rPr>
      </w:pPr>
    </w:p>
    <w:p w:rsidR="00EF5220" w:rsidRDefault="00EF2564">
      <w:pPr>
        <w:pStyle w:val="Heading3"/>
        <w:rPr>
          <w:noProof/>
          <w:lang w:val="en-GB"/>
        </w:rPr>
      </w:pPr>
      <w:bookmarkStart w:id="28" w:name="_Toc527539786"/>
      <w:r>
        <w:rPr>
          <w:noProof/>
          <w:lang w:val="en-GB"/>
        </w:rPr>
        <w:t>3.2.1</w:t>
      </w:r>
      <w:r>
        <w:rPr>
          <w:noProof/>
          <w:lang w:val="en-GB"/>
        </w:rPr>
        <w:tab/>
        <w:t>Key indicators</w:t>
      </w:r>
      <w:bookmarkEnd w:id="28"/>
    </w:p>
    <w:p w:rsidR="00EF5220" w:rsidRDefault="00EF2564">
      <w:pPr>
        <w:spacing w:before="120" w:after="240" w:line="360" w:lineRule="auto"/>
        <w:jc w:val="both"/>
        <w:rPr>
          <w:rFonts w:ascii="Times New Roman" w:eastAsia="Calibri" w:hAnsi="Times New Roman" w:cs="Times New Roman"/>
          <w:noProof/>
          <w:sz w:val="24"/>
          <w:szCs w:val="24"/>
          <w:lang w:val="en-GB"/>
        </w:rPr>
      </w:pPr>
      <w:r>
        <w:rPr>
          <w:rFonts w:ascii="Times New Roman" w:hAnsi="Times New Roman"/>
          <w:b/>
          <w:noProof/>
          <w:sz w:val="24"/>
          <w:lang w:val="en-GB"/>
        </w:rPr>
        <w:t>The share of early leavers from education and training has continued to decrease over the years, although the</w:t>
      </w:r>
      <w:r>
        <w:rPr>
          <w:rFonts w:ascii="Times New Roman" w:hAnsi="Times New Roman"/>
          <w:b/>
          <w:noProof/>
          <w:sz w:val="24"/>
          <w:lang w:val="en-GB"/>
        </w:rPr>
        <w:t xml:space="preserve"> downward trend has slowed down recently and large differences persist among the Member States. </w:t>
      </w:r>
      <w:r>
        <w:rPr>
          <w:rFonts w:ascii="Times New Roman" w:hAnsi="Times New Roman"/>
          <w:noProof/>
          <w:sz w:val="24"/>
          <w:lang w:val="en-GB"/>
        </w:rPr>
        <w:t xml:space="preserve">Overall, the average early school leaving rate in the EU decreased from 14.7% in 2008 to 11.9% in 2013 and further to 10.6% in 2017. The situation has remained </w:t>
      </w:r>
      <w:r>
        <w:rPr>
          <w:rFonts w:ascii="Times New Roman" w:hAnsi="Times New Roman"/>
          <w:noProof/>
          <w:sz w:val="24"/>
          <w:lang w:val="en-GB"/>
        </w:rPr>
        <w:t>almost stable in comparison with the previous year, when the EU average was 10.7%. Eighteen Member States have reached the EU target value (&lt; 10%), with Germany (10.1%), the United Kingdom (10.6%) and Estonia (10.8%) very close to meeting it. A certain deg</w:t>
      </w:r>
      <w:r>
        <w:rPr>
          <w:rFonts w:ascii="Times New Roman" w:hAnsi="Times New Roman"/>
          <w:noProof/>
          <w:sz w:val="24"/>
          <w:lang w:val="en-GB"/>
        </w:rPr>
        <w:t xml:space="preserve">ree of convergence among Member States in terms of recent trends is visible in 2017 (Figure </w:t>
      </w:r>
      <w:r>
        <w:rPr>
          <w:rFonts w:ascii="Times New Roman" w:hAnsi="Times New Roman"/>
          <w:noProof/>
          <w:sz w:val="24"/>
          <w:szCs w:val="24"/>
          <w:lang w:val="en-GB"/>
        </w:rPr>
        <w:t>16</w:t>
      </w:r>
      <w:r>
        <w:rPr>
          <w:rFonts w:ascii="Times New Roman" w:hAnsi="Times New Roman"/>
          <w:noProof/>
          <w:sz w:val="24"/>
          <w:lang w:val="en-GB"/>
        </w:rPr>
        <w:t>), with significant decrease in the early school leaver rates (by more than 1 pp) in Portugal, Malta and Bulgaria (all flagged "weak but improving") but also some</w:t>
      </w:r>
      <w:r>
        <w:rPr>
          <w:rFonts w:ascii="Times New Roman" w:hAnsi="Times New Roman"/>
          <w:noProof/>
          <w:sz w:val="24"/>
          <w:lang w:val="en-GB"/>
        </w:rPr>
        <w:t xml:space="preserve"> major increases in Slovakia (+1.9 pps), Luxembourg (+1.8 pps), Denmark</w:t>
      </w:r>
      <w:r>
        <w:rPr>
          <w:rStyle w:val="FootnoteReference"/>
          <w:rFonts w:ascii="Times New Roman" w:hAnsi="Times New Roman"/>
          <w:noProof/>
          <w:sz w:val="24"/>
          <w:lang w:val="en-GB"/>
        </w:rPr>
        <w:footnoteReference w:id="38"/>
      </w:r>
      <w:r>
        <w:rPr>
          <w:rFonts w:ascii="Times New Roman" w:hAnsi="Times New Roman"/>
          <w:noProof/>
          <w:sz w:val="24"/>
          <w:lang w:val="en-GB"/>
        </w:rPr>
        <w:t xml:space="preserve"> (+1.6 pps) and Cyprus (+1 pp). According to the social scoreboard classification, in spite of some improvement the situation remains "critical" in Spain (18.3%) and Romania (18.1%) as</w:t>
      </w:r>
      <w:r>
        <w:rPr>
          <w:rFonts w:ascii="Times New Roman" w:hAnsi="Times New Roman"/>
          <w:noProof/>
          <w:sz w:val="24"/>
          <w:lang w:val="en-GB"/>
        </w:rPr>
        <w:t xml:space="preserve"> well as in Italy (14%) where the rate has slightly increased.</w:t>
      </w:r>
    </w:p>
    <w:p w:rsidR="00EF5220" w:rsidRDefault="00EF2564">
      <w:pPr>
        <w:keepNext/>
        <w:spacing w:before="120" w:after="120" w:line="240" w:lineRule="auto"/>
        <w:jc w:val="both"/>
        <w:rPr>
          <w:rFonts w:ascii="Times New Roman" w:eastAsia="Calibri" w:hAnsi="Times New Roman" w:cs="Times New Roman"/>
          <w:b/>
          <w:noProof/>
          <w:sz w:val="24"/>
          <w:szCs w:val="24"/>
          <w:lang w:val="en-GB"/>
        </w:rPr>
      </w:pPr>
      <w:bookmarkStart w:id="29" w:name="_Ref528664662"/>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16</w:t>
      </w:r>
      <w:r>
        <w:rPr>
          <w:rFonts w:ascii="Times New Roman" w:hAnsi="Times New Roman"/>
          <w:b/>
          <w:noProof/>
          <w:sz w:val="24"/>
          <w:szCs w:val="24"/>
          <w:lang w:val="en-GB"/>
        </w:rPr>
        <w:fldChar w:fldCharType="end"/>
      </w:r>
      <w:bookmarkEnd w:id="29"/>
      <w:r>
        <w:rPr>
          <w:rFonts w:ascii="Times New Roman" w:hAnsi="Times New Roman"/>
          <w:b/>
          <w:noProof/>
          <w:sz w:val="24"/>
          <w:lang w:val="en-GB"/>
        </w:rPr>
        <w:t>: Early leavers from education and training (% of population aged 18-24) and yearly change (Social Scoreboard headline indicator)</w:t>
      </w:r>
    </w:p>
    <w:p w:rsidR="00EF5220" w:rsidRDefault="00EF2564">
      <w:pPr>
        <w:keepNext/>
        <w:spacing w:before="120" w:after="120" w:line="36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080959" cy="4054187"/>
            <wp:effectExtent l="0" t="0" r="571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083669" cy="4056350"/>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szCs w:val="20"/>
          <w:lang w:val="en-GB"/>
        </w:rPr>
        <w:t xml:space="preserve">Source: Eurostat. Period: </w:t>
      </w:r>
      <w:r>
        <w:rPr>
          <w:rFonts w:ascii="Times New Roman" w:hAnsi="Times New Roman"/>
          <w:noProof/>
          <w:sz w:val="20"/>
          <w:szCs w:val="20"/>
          <w:lang w:val="en-GB"/>
        </w:rPr>
        <w:t>2017 levels and yearly changes with respect to 2016. Note: Axes are centred on the unweighted EU average. The legend is presented in the Annex.</w:t>
      </w:r>
    </w:p>
    <w:p w:rsidR="00EF5220" w:rsidRDefault="00EF5220">
      <w:pPr>
        <w:spacing w:before="120" w:after="240" w:line="360" w:lineRule="auto"/>
        <w:jc w:val="both"/>
        <w:rPr>
          <w:rFonts w:ascii="Times New Roman" w:eastAsia="Calibri" w:hAnsi="Times New Roman" w:cs="Times New Roman"/>
          <w:b/>
          <w:noProof/>
          <w:sz w:val="24"/>
          <w:szCs w:val="24"/>
          <w:lang w:val="en-GB"/>
        </w:rPr>
      </w:pPr>
    </w:p>
    <w:p w:rsidR="00EF5220" w:rsidRDefault="00EF2564">
      <w:pPr>
        <w:spacing w:before="120" w:after="240" w:line="360" w:lineRule="auto"/>
        <w:jc w:val="both"/>
        <w:rPr>
          <w:rFonts w:ascii="Times New Roman" w:eastAsia="Calibri" w:hAnsi="Times New Roman" w:cs="Times New Roman"/>
          <w:noProof/>
          <w:sz w:val="24"/>
          <w:szCs w:val="24"/>
          <w:highlight w:val="green"/>
          <w:lang w:val="en-GB"/>
        </w:rPr>
      </w:pPr>
      <w:r>
        <w:rPr>
          <w:rFonts w:ascii="Times New Roman" w:hAnsi="Times New Roman"/>
          <w:b/>
          <w:noProof/>
          <w:sz w:val="24"/>
          <w:lang w:val="en-GB"/>
        </w:rPr>
        <w:t>Remarkable long-term improvements have been registered in most EU Member States, especially in those previously</w:t>
      </w:r>
      <w:r>
        <w:rPr>
          <w:rFonts w:ascii="Times New Roman" w:hAnsi="Times New Roman"/>
          <w:b/>
          <w:noProof/>
          <w:sz w:val="24"/>
          <w:lang w:val="en-GB"/>
        </w:rPr>
        <w:t xml:space="preserve"> showing particularly high shares of early school leavers</w:t>
      </w:r>
      <w:r>
        <w:rPr>
          <w:rFonts w:ascii="Times New Roman" w:hAnsi="Times New Roman"/>
          <w:noProof/>
          <w:sz w:val="24"/>
          <w:lang w:val="en-GB"/>
        </w:rPr>
        <w:t>. From 2008 to 2017, both Ireland and Greece have been able to significantly reduce their early school leaver rates, by 6.6 and 8.4 pps respectively, and they are currently well below the EU target v</w:t>
      </w:r>
      <w:r>
        <w:rPr>
          <w:rFonts w:ascii="Times New Roman" w:hAnsi="Times New Roman"/>
          <w:noProof/>
          <w:sz w:val="24"/>
          <w:lang w:val="en-GB"/>
        </w:rPr>
        <w:t>alue. At the same time, Spain (18.3%) and Portugal (12.6%) have drastically reduced their early school leaver rates by 13.4 and 22.3 pps respectively since 2008, although they have not reached the target yet. Among countries with high levels of early schoo</w:t>
      </w:r>
      <w:r>
        <w:rPr>
          <w:rFonts w:ascii="Times New Roman" w:hAnsi="Times New Roman"/>
          <w:noProof/>
          <w:sz w:val="24"/>
          <w:lang w:val="en-GB"/>
        </w:rPr>
        <w:t xml:space="preserve">l leaver rate, only Romania does not show any major development across the years while Slovakia experienced a sizeable increase of 3.3 pps, although it still remains below the EU headline target in 2017 (Figure </w:t>
      </w:r>
      <w:r>
        <w:rPr>
          <w:rFonts w:ascii="Times New Roman" w:hAnsi="Times New Roman"/>
          <w:noProof/>
          <w:sz w:val="24"/>
          <w:szCs w:val="24"/>
          <w:lang w:val="en-GB"/>
        </w:rPr>
        <w:t>17</w:t>
      </w:r>
      <w:r>
        <w:rPr>
          <w:rFonts w:ascii="Times New Roman" w:hAnsi="Times New Roman"/>
          <w:noProof/>
          <w:sz w:val="24"/>
          <w:lang w:val="en-GB"/>
        </w:rPr>
        <w:t>).</w:t>
      </w:r>
    </w:p>
    <w:p w:rsidR="00EF5220" w:rsidRDefault="00EF2564">
      <w:pPr>
        <w:keepNext/>
        <w:spacing w:before="120" w:after="120" w:line="360" w:lineRule="auto"/>
        <w:jc w:val="both"/>
        <w:rPr>
          <w:rFonts w:ascii="Times New Roman" w:hAnsi="Times New Roman"/>
          <w:b/>
          <w:noProof/>
          <w:sz w:val="24"/>
          <w:szCs w:val="24"/>
          <w:lang w:val="en-GB"/>
        </w:rPr>
      </w:pPr>
      <w:bookmarkStart w:id="30" w:name="_Ref528663054"/>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17</w:t>
      </w:r>
      <w:r>
        <w:rPr>
          <w:rFonts w:ascii="Times New Roman" w:hAnsi="Times New Roman"/>
          <w:b/>
          <w:noProof/>
          <w:sz w:val="24"/>
          <w:szCs w:val="24"/>
          <w:lang w:val="en-GB"/>
        </w:rPr>
        <w:fldChar w:fldCharType="end"/>
      </w:r>
      <w:bookmarkEnd w:id="30"/>
      <w:r>
        <w:rPr>
          <w:rFonts w:ascii="Times New Roman" w:hAnsi="Times New Roman"/>
          <w:b/>
          <w:noProof/>
          <w:sz w:val="24"/>
          <w:lang w:val="en-GB"/>
        </w:rPr>
        <w:t>: Earl</w:t>
      </w:r>
      <w:r>
        <w:rPr>
          <w:rFonts w:ascii="Times New Roman" w:hAnsi="Times New Roman"/>
          <w:b/>
          <w:noProof/>
          <w:sz w:val="24"/>
          <w:lang w:val="en-GB"/>
        </w:rPr>
        <w:t>y leavers from education and training, 2008-2017 (%)</w:t>
      </w:r>
    </w:p>
    <w:p w:rsidR="00EF5220" w:rsidRDefault="00EF2564">
      <w:pPr>
        <w:keepNext/>
        <w:spacing w:before="120" w:after="120" w:line="36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144881" cy="258958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146455" cy="2590373"/>
                    </a:xfrm>
                    <a:prstGeom prst="rect">
                      <a:avLst/>
                    </a:prstGeom>
                    <a:noFill/>
                  </pic:spPr>
                </pic:pic>
              </a:graphicData>
            </a:graphic>
          </wp:inline>
        </w:drawing>
      </w:r>
    </w:p>
    <w:p w:rsidR="00EF5220" w:rsidRDefault="00EF2564">
      <w:pPr>
        <w:spacing w:before="120" w:after="0" w:line="240" w:lineRule="auto"/>
        <w:jc w:val="both"/>
        <w:rPr>
          <w:rFonts w:ascii="Times New Roman" w:eastAsia="Calibri" w:hAnsi="Times New Roman" w:cs="Times New Roman"/>
          <w:noProof/>
          <w:sz w:val="20"/>
          <w:szCs w:val="20"/>
          <w:lang w:val="fr-BE"/>
        </w:rPr>
      </w:pPr>
      <w:r>
        <w:rPr>
          <w:rFonts w:ascii="Times New Roman" w:hAnsi="Times New Roman"/>
          <w:noProof/>
          <w:sz w:val="20"/>
          <w:lang w:val="fr-BE"/>
        </w:rPr>
        <w:t>Source: Eurostat, online data code: [edat_lfse_14].</w:t>
      </w:r>
    </w:p>
    <w:p w:rsidR="00EF5220" w:rsidRDefault="00EF5220">
      <w:pPr>
        <w:spacing w:after="0" w:line="240" w:lineRule="auto"/>
        <w:jc w:val="both"/>
        <w:rPr>
          <w:rFonts w:ascii="Times New Roman" w:eastAsia="Calibri" w:hAnsi="Times New Roman" w:cs="Times New Roman"/>
          <w:noProof/>
          <w:sz w:val="20"/>
          <w:szCs w:val="20"/>
          <w:highlight w:val="green"/>
          <w:lang w:val="fr-BE"/>
        </w:rPr>
      </w:pPr>
    </w:p>
    <w:p w:rsidR="00EF5220" w:rsidRDefault="00EF2564">
      <w:pPr>
        <w:spacing w:before="120" w:after="240" w:line="360" w:lineRule="auto"/>
        <w:jc w:val="both"/>
        <w:rPr>
          <w:rFonts w:ascii="Times New Roman" w:eastAsia="Calibri" w:hAnsi="Times New Roman" w:cs="Times New Roman"/>
          <w:i/>
          <w:noProof/>
          <w:sz w:val="24"/>
          <w:szCs w:val="24"/>
          <w:lang w:val="en-GB"/>
        </w:rPr>
      </w:pPr>
      <w:r>
        <w:rPr>
          <w:rFonts w:ascii="Times New Roman" w:hAnsi="Times New Roman"/>
          <w:b/>
          <w:noProof/>
          <w:sz w:val="24"/>
          <w:lang w:val="en-GB"/>
        </w:rPr>
        <w:t>There are still important differences in terms of early school leaving rates between men and women and between native-born and non-EU born people.</w:t>
      </w:r>
      <w:r>
        <w:rPr>
          <w:rFonts w:ascii="Times New Roman" w:hAnsi="Times New Roman"/>
          <w:noProof/>
          <w:sz w:val="24"/>
          <w:lang w:val="en-GB"/>
        </w:rPr>
        <w:t xml:space="preserve"> While on average in the EU 8.9% young women left school early in 2017, the ratio for men was 12.1%. This gender gap is particularly pronounced in Denmark, Luxembourg, Italy, Portugal, Malta, Estonia, Latvia, and Spain (more than 5 pps), with Bulgaria, Hun</w:t>
      </w:r>
      <w:r>
        <w:rPr>
          <w:rFonts w:ascii="Times New Roman" w:hAnsi="Times New Roman"/>
          <w:noProof/>
          <w:sz w:val="24"/>
          <w:lang w:val="en-GB"/>
        </w:rPr>
        <w:t>gary and Slovakia being the only Member States where there are lower early school leaver rates for men than for women. At the same time, the early school leaving rates are much higher among non EU-born than among native-born pupils. In 2017, the EU average</w:t>
      </w:r>
      <w:r>
        <w:rPr>
          <w:rFonts w:ascii="Times New Roman" w:hAnsi="Times New Roman"/>
          <w:noProof/>
          <w:sz w:val="24"/>
          <w:lang w:val="en-GB"/>
        </w:rPr>
        <w:t xml:space="preserve"> among the native-born was 9.6%; however for the non-EU born it was twice as high. The early school leaver rates of non EU-born are particularly low in Ireland, Luxembourg and the Netherlands – all well below the 10% benchmark – while they are extremely hi</w:t>
      </w:r>
      <w:r>
        <w:rPr>
          <w:rFonts w:ascii="Times New Roman" w:hAnsi="Times New Roman"/>
          <w:noProof/>
          <w:sz w:val="24"/>
          <w:lang w:val="en-GB"/>
        </w:rPr>
        <w:t xml:space="preserve">gh in Spain (31.9%) and Italy (30.1%). </w:t>
      </w:r>
    </w:p>
    <w:p w:rsidR="00EF5220" w:rsidRDefault="00EF2564">
      <w:pPr>
        <w:spacing w:before="120" w:after="240" w:line="360" w:lineRule="auto"/>
        <w:jc w:val="both"/>
        <w:rPr>
          <w:rFonts w:ascii="Times New Roman" w:eastAsia="Calibri" w:hAnsi="Times New Roman" w:cs="Times New Roman"/>
          <w:noProof/>
          <w:sz w:val="24"/>
          <w:szCs w:val="24"/>
          <w:lang w:val="en-GB"/>
        </w:rPr>
      </w:pPr>
      <w:r>
        <w:rPr>
          <w:rFonts w:ascii="Times New Roman" w:hAnsi="Times New Roman"/>
          <w:b/>
          <w:noProof/>
          <w:sz w:val="24"/>
          <w:lang w:val="en-GB"/>
        </w:rPr>
        <w:t>After several years of steady progress, the share of low achievers</w:t>
      </w:r>
      <w:r>
        <w:rPr>
          <w:rStyle w:val="FootnoteReference"/>
          <w:rFonts w:ascii="Times New Roman" w:hAnsi="Times New Roman"/>
          <w:b/>
          <w:noProof/>
          <w:sz w:val="24"/>
          <w:lang w:val="en-GB"/>
        </w:rPr>
        <w:footnoteReference w:id="39"/>
      </w:r>
      <w:r>
        <w:rPr>
          <w:rFonts w:ascii="Times New Roman" w:hAnsi="Times New Roman"/>
          <w:b/>
          <w:noProof/>
          <w:sz w:val="24"/>
          <w:lang w:val="en-GB"/>
        </w:rPr>
        <w:t xml:space="preserve"> in basic skills among 15 year-olds is on the rise</w:t>
      </w:r>
      <w:r>
        <w:rPr>
          <w:rFonts w:ascii="Times New Roman" w:hAnsi="Times New Roman"/>
          <w:noProof/>
          <w:sz w:val="24"/>
          <w:lang w:val="en-GB"/>
        </w:rPr>
        <w:t>.  The 2015 OECD Programme for International Student Assessments (PISA) shows that on average in th</w:t>
      </w:r>
      <w:r>
        <w:rPr>
          <w:rFonts w:ascii="Times New Roman" w:hAnsi="Times New Roman"/>
          <w:noProof/>
          <w:sz w:val="24"/>
          <w:lang w:val="en-GB"/>
        </w:rPr>
        <w:t>e EU the share of pupils who perform below the baseline level is around 20%, with 19.7% in reading, 22.2% in mathematics and 20.6% in science. Compared to the previous PISA round in 2012</w:t>
      </w:r>
      <w:r>
        <w:rPr>
          <w:rStyle w:val="FootnoteReference"/>
          <w:rFonts w:ascii="Times New Roman" w:hAnsi="Times New Roman"/>
          <w:noProof/>
          <w:sz w:val="24"/>
          <w:lang w:val="en-GB"/>
        </w:rPr>
        <w:footnoteReference w:id="40"/>
      </w:r>
      <w:r>
        <w:rPr>
          <w:rFonts w:ascii="Times New Roman" w:hAnsi="Times New Roman"/>
          <w:noProof/>
          <w:sz w:val="24"/>
          <w:lang w:val="en-GB"/>
        </w:rPr>
        <w:t>, the situation has worsened in all three domains: by 1.9 pps in read</w:t>
      </w:r>
      <w:r>
        <w:rPr>
          <w:rFonts w:ascii="Times New Roman" w:hAnsi="Times New Roman"/>
          <w:noProof/>
          <w:sz w:val="24"/>
          <w:lang w:val="en-GB"/>
        </w:rPr>
        <w:t>ing, 0.1 pp in mathematics, and 4 pps in science. Low-achievers deserve additional support because they are those more at risk of future unemployment and social exclusion later on in life. In 2015, the percentage of students with low achievement in mathema</w:t>
      </w:r>
      <w:r>
        <w:rPr>
          <w:rFonts w:ascii="Times New Roman" w:hAnsi="Times New Roman"/>
          <w:noProof/>
          <w:sz w:val="24"/>
          <w:lang w:val="en-GB"/>
        </w:rPr>
        <w:t>tics in the EU was 22.2%, with striking differences among Member States. Whereas Estonia, Finland, Denmark and Ireland featured less than 15% of low achievers in mathematics, Cyprus, Bulgaria, Romania, Greece and Croatia struggled with more than 30% of stu</w:t>
      </w:r>
      <w:r>
        <w:rPr>
          <w:rFonts w:ascii="Times New Roman" w:hAnsi="Times New Roman"/>
          <w:noProof/>
          <w:sz w:val="24"/>
          <w:lang w:val="en-GB"/>
        </w:rPr>
        <w:t xml:space="preserve">dents who failed to reach basic proficiency levels in mathematics (Figure </w:t>
      </w:r>
      <w:r>
        <w:rPr>
          <w:rFonts w:ascii="Times New Roman" w:hAnsi="Times New Roman"/>
          <w:noProof/>
          <w:sz w:val="24"/>
          <w:szCs w:val="24"/>
          <w:lang w:val="en-GB"/>
        </w:rPr>
        <w:t>18</w:t>
      </w:r>
      <w:r>
        <w:rPr>
          <w:rFonts w:ascii="Times New Roman" w:hAnsi="Times New Roman"/>
          <w:noProof/>
          <w:sz w:val="24"/>
          <w:lang w:val="en-GB"/>
        </w:rPr>
        <w:t>).</w:t>
      </w:r>
    </w:p>
    <w:p w:rsidR="00EF5220" w:rsidRDefault="00EF2564">
      <w:pPr>
        <w:keepNext/>
        <w:spacing w:before="120" w:after="120" w:line="240" w:lineRule="auto"/>
        <w:jc w:val="both"/>
        <w:rPr>
          <w:rFonts w:ascii="Times New Roman" w:hAnsi="Times New Roman"/>
          <w:b/>
          <w:noProof/>
          <w:sz w:val="24"/>
          <w:szCs w:val="24"/>
          <w:lang w:val="en-GB"/>
        </w:rPr>
      </w:pPr>
      <w:bookmarkStart w:id="31" w:name="_Ref528663086"/>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18</w:t>
      </w:r>
      <w:r>
        <w:rPr>
          <w:rFonts w:ascii="Times New Roman" w:hAnsi="Times New Roman"/>
          <w:b/>
          <w:noProof/>
          <w:sz w:val="24"/>
          <w:szCs w:val="24"/>
          <w:lang w:val="en-GB"/>
        </w:rPr>
        <w:fldChar w:fldCharType="end"/>
      </w:r>
      <w:bookmarkEnd w:id="31"/>
      <w:r>
        <w:rPr>
          <w:rFonts w:ascii="Times New Roman" w:hAnsi="Times New Roman"/>
          <w:b/>
          <w:noProof/>
          <w:sz w:val="24"/>
          <w:lang w:val="en-GB"/>
        </w:rPr>
        <w:t>: Percentage of low achieving students in mathematics, 2015</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198400" cy="2469600"/>
            <wp:effectExtent l="0" t="0" r="254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198400" cy="2469600"/>
                    </a:xfrm>
                    <a:prstGeom prst="rect">
                      <a:avLst/>
                    </a:prstGeom>
                    <a:noFill/>
                  </pic:spPr>
                </pic:pic>
              </a:graphicData>
            </a:graphic>
          </wp:inline>
        </w:drawing>
      </w:r>
    </w:p>
    <w:p w:rsidR="00EF5220" w:rsidRDefault="00EF2564">
      <w:pPr>
        <w:keepNext/>
        <w:suppressAutoHyphens/>
        <w:spacing w:after="100" w:afterAutospacing="1" w:line="240" w:lineRule="auto"/>
        <w:jc w:val="both"/>
        <w:rPr>
          <w:rFonts w:ascii="Times New Roman" w:eastAsia="Calibri" w:hAnsi="Times New Roman" w:cs="Times New Roman"/>
          <w:noProof/>
          <w:sz w:val="18"/>
          <w:szCs w:val="18"/>
          <w:highlight w:val="green"/>
          <w:lang w:val="en-GB"/>
        </w:rPr>
      </w:pPr>
      <w:r>
        <w:rPr>
          <w:rFonts w:ascii="Times New Roman" w:hAnsi="Times New Roman"/>
          <w:noProof/>
          <w:color w:val="333333"/>
          <w:sz w:val="18"/>
          <w:lang w:val="en-GB"/>
        </w:rPr>
        <w:t xml:space="preserve">Source: OECD. Note: Countries are ordered by low to high share of low achievers </w:t>
      </w:r>
      <w:r>
        <w:rPr>
          <w:rFonts w:ascii="Times New Roman" w:hAnsi="Times New Roman"/>
          <w:noProof/>
          <w:color w:val="333333"/>
          <w:sz w:val="18"/>
          <w:lang w:val="en-GB"/>
        </w:rPr>
        <w:t>in mathematics. EU weighted average calculated by DG EAC.</w:t>
      </w:r>
    </w:p>
    <w:p w:rsidR="00EF5220" w:rsidRDefault="00EF2564">
      <w:pPr>
        <w:spacing w:before="120" w:after="240" w:line="360" w:lineRule="auto"/>
        <w:jc w:val="both"/>
        <w:rPr>
          <w:rFonts w:ascii="Times New Roman" w:eastAsia="Calibri" w:hAnsi="Times New Roman" w:cs="Times New Roman"/>
          <w:noProof/>
          <w:sz w:val="24"/>
          <w:szCs w:val="24"/>
          <w:lang w:val="en-GB"/>
        </w:rPr>
      </w:pPr>
      <w:r>
        <w:rPr>
          <w:rFonts w:ascii="Times New Roman" w:hAnsi="Times New Roman"/>
          <w:b/>
          <w:noProof/>
          <w:sz w:val="24"/>
          <w:lang w:val="en-GB"/>
        </w:rPr>
        <w:t xml:space="preserve">Educational outcomes are strongly influenced by students’ socio-economic status and migrant background. </w:t>
      </w:r>
      <w:r>
        <w:rPr>
          <w:rFonts w:ascii="Times New Roman" w:hAnsi="Times New Roman"/>
          <w:noProof/>
          <w:sz w:val="24"/>
          <w:lang w:val="en-GB"/>
        </w:rPr>
        <w:t>Students with lower socio-economic status or with a migrant background are overrepresented amo</w:t>
      </w:r>
      <w:r>
        <w:rPr>
          <w:rFonts w:ascii="Times New Roman" w:hAnsi="Times New Roman"/>
          <w:noProof/>
          <w:sz w:val="24"/>
          <w:lang w:val="en-GB"/>
        </w:rPr>
        <w:t xml:space="preserve">ng the group of low achievers and struggle to obtain baseline proficiency in all three domains. A closer look at those students who reached the baseline levels of proficiency in all three domains against unfavourable situations  shows that the performance </w:t>
      </w:r>
      <w:r>
        <w:rPr>
          <w:rFonts w:ascii="Times New Roman" w:hAnsi="Times New Roman"/>
          <w:noProof/>
          <w:sz w:val="24"/>
          <w:lang w:val="en-GB"/>
        </w:rPr>
        <w:t xml:space="preserve">gap between native and foreign born students is of 23 pps on average in the EU, with native students performing better in all the Member States, except for Malta (as shown in Figure </w:t>
      </w:r>
      <w:r>
        <w:rPr>
          <w:rFonts w:ascii="Times New Roman" w:hAnsi="Times New Roman"/>
          <w:noProof/>
          <w:sz w:val="24"/>
          <w:szCs w:val="24"/>
          <w:lang w:val="en-GB"/>
        </w:rPr>
        <w:t>19</w:t>
      </w:r>
      <w:r>
        <w:rPr>
          <w:rFonts w:ascii="Times New Roman" w:hAnsi="Times New Roman"/>
          <w:noProof/>
          <w:sz w:val="24"/>
          <w:lang w:val="en-GB"/>
        </w:rPr>
        <w:t>). Very significant differences are registered in Finland, Sweden, Austr</w:t>
      </w:r>
      <w:r>
        <w:rPr>
          <w:rFonts w:ascii="Times New Roman" w:hAnsi="Times New Roman"/>
          <w:noProof/>
          <w:sz w:val="24"/>
          <w:lang w:val="en-GB"/>
        </w:rPr>
        <w:t>ia, Germany and France (between 35 and 40 pps), while the performance gap is below 15 pps in Cyprus, the United Kingdom and Portugal. Low educational outcomes and inequalities linked to socio-economic background represent major obstacles to human capital i</w:t>
      </w:r>
      <w:r>
        <w:rPr>
          <w:rFonts w:ascii="Times New Roman" w:hAnsi="Times New Roman"/>
          <w:noProof/>
          <w:sz w:val="24"/>
          <w:lang w:val="en-GB"/>
        </w:rPr>
        <w:t xml:space="preserve">mprovement, with potential knock-on effects on skills levels. </w:t>
      </w:r>
    </w:p>
    <w:p w:rsidR="00EF5220" w:rsidRDefault="00EF2564">
      <w:pPr>
        <w:spacing w:before="120" w:after="240" w:line="360" w:lineRule="auto"/>
        <w:jc w:val="both"/>
        <w:rPr>
          <w:rFonts w:ascii="Times New Roman" w:eastAsia="Calibri" w:hAnsi="Times New Roman" w:cs="Times New Roman"/>
          <w:noProof/>
          <w:sz w:val="24"/>
          <w:szCs w:val="24"/>
          <w:lang w:val="en-GB"/>
        </w:rPr>
      </w:pPr>
      <w:r>
        <w:rPr>
          <w:rFonts w:ascii="Times New Roman" w:hAnsi="Times New Roman"/>
          <w:b/>
          <w:noProof/>
          <w:color w:val="000000"/>
          <w:sz w:val="24"/>
          <w:lang w:val="en-GB"/>
        </w:rPr>
        <w:t>Roma inclusion in education remains a challenge,</w:t>
      </w:r>
      <w:r>
        <w:rPr>
          <w:rFonts w:ascii="Times New Roman" w:hAnsi="Times New Roman"/>
          <w:noProof/>
          <w:color w:val="000000"/>
          <w:sz w:val="24"/>
          <w:lang w:val="en-GB"/>
        </w:rPr>
        <w:t xml:space="preserve"> due to several factors, including school segregation, non-inclusive teaching and barriers induced by severe poverty or housing segregation. Notw</w:t>
      </w:r>
      <w:r>
        <w:rPr>
          <w:rFonts w:ascii="Times New Roman" w:hAnsi="Times New Roman"/>
          <w:noProof/>
          <w:color w:val="000000"/>
          <w:sz w:val="24"/>
          <w:lang w:val="en-GB"/>
        </w:rPr>
        <w:t xml:space="preserve">ithstanding efforts to increase participation rates and reduce drop-out, significant issues remain in promoting ethnically-mixed schools and desegregation measures. To be noted also that a significant number of Roma children in Hungary, Bulgaria, Romania, </w:t>
      </w:r>
      <w:r>
        <w:rPr>
          <w:rFonts w:ascii="Times New Roman" w:hAnsi="Times New Roman"/>
          <w:noProof/>
          <w:color w:val="000000"/>
          <w:sz w:val="24"/>
          <w:lang w:val="en-GB"/>
        </w:rPr>
        <w:t>and Slovak Republic live in deep poverty without access to basic public utilities.</w:t>
      </w:r>
    </w:p>
    <w:p w:rsidR="00EF5220" w:rsidRDefault="00EF2564">
      <w:pPr>
        <w:keepNext/>
        <w:spacing w:before="120" w:after="120" w:line="240" w:lineRule="auto"/>
        <w:jc w:val="both"/>
        <w:rPr>
          <w:rFonts w:ascii="Times New Roman" w:hAnsi="Times New Roman"/>
          <w:b/>
          <w:noProof/>
          <w:sz w:val="24"/>
          <w:szCs w:val="24"/>
          <w:lang w:val="en-GB"/>
        </w:rPr>
      </w:pPr>
      <w:bookmarkStart w:id="32" w:name="_Ref528663246"/>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19</w:t>
      </w:r>
      <w:r>
        <w:rPr>
          <w:rFonts w:ascii="Times New Roman" w:hAnsi="Times New Roman"/>
          <w:b/>
          <w:noProof/>
          <w:sz w:val="24"/>
          <w:szCs w:val="24"/>
          <w:lang w:val="en-GB"/>
        </w:rPr>
        <w:fldChar w:fldCharType="end"/>
      </w:r>
      <w:bookmarkEnd w:id="32"/>
      <w:r>
        <w:rPr>
          <w:rFonts w:ascii="Times New Roman" w:hAnsi="Times New Roman"/>
          <w:b/>
          <w:noProof/>
          <w:sz w:val="24"/>
          <w:lang w:val="en-GB"/>
        </w:rPr>
        <w:t>: Percentage of students attaining baseline proficiency by migrant background, 2015</w:t>
      </w:r>
    </w:p>
    <w:p w:rsidR="00EF5220" w:rsidRDefault="00EF2564">
      <w:pPr>
        <w:keepNext/>
        <w:spacing w:before="120" w:after="120" w:line="36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49747" cy="2740632"/>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46940" cy="2739294"/>
                    </a:xfrm>
                    <a:prstGeom prst="rect">
                      <a:avLst/>
                    </a:prstGeom>
                    <a:noFill/>
                  </pic:spPr>
                </pic:pic>
              </a:graphicData>
            </a:graphic>
          </wp:inline>
        </w:drawing>
      </w:r>
    </w:p>
    <w:p w:rsidR="00EF5220" w:rsidRDefault="00EF2564">
      <w:pPr>
        <w:pStyle w:val="sourcenew"/>
        <w:jc w:val="both"/>
        <w:rPr>
          <w:rFonts w:ascii="Times New Roman" w:hAnsi="Times New Roman" w:cs="Times New Roman"/>
          <w:noProof/>
          <w:sz w:val="18"/>
          <w:szCs w:val="18"/>
          <w:lang w:val="en-GB"/>
        </w:rPr>
      </w:pPr>
      <w:r>
        <w:rPr>
          <w:rFonts w:ascii="Times New Roman" w:hAnsi="Times New Roman"/>
          <w:noProof/>
          <w:sz w:val="18"/>
          <w:lang w:val="en-GB"/>
        </w:rPr>
        <w:t xml:space="preserve">Source: OECD (2018): The Resilience of Students with </w:t>
      </w:r>
      <w:r>
        <w:rPr>
          <w:rFonts w:ascii="Times New Roman" w:hAnsi="Times New Roman"/>
          <w:noProof/>
          <w:sz w:val="18"/>
          <w:lang w:val="en-GB"/>
        </w:rPr>
        <w:t>an Immigrant Background: Factors that Shape Well-Being, Figure 3.7.</w:t>
      </w:r>
    </w:p>
    <w:p w:rsidR="00EF5220" w:rsidRDefault="00EF2564">
      <w:pPr>
        <w:pStyle w:val="sourcenew"/>
        <w:jc w:val="both"/>
        <w:rPr>
          <w:rFonts w:ascii="Times New Roman" w:hAnsi="Times New Roman" w:cs="Times New Roman"/>
          <w:noProof/>
          <w:sz w:val="18"/>
          <w:szCs w:val="18"/>
          <w:lang w:val="en-GB"/>
        </w:rPr>
      </w:pPr>
      <w:r>
        <w:rPr>
          <w:rFonts w:ascii="Times New Roman" w:hAnsi="Times New Roman"/>
          <w:noProof/>
          <w:sz w:val="18"/>
          <w:lang w:val="en-GB"/>
        </w:rPr>
        <w:t>Notes: Statistically significant differences are shown next to country/economy name. Only countries with valid values for immigrant students are shown. For the EU average, this number refe</w:t>
      </w:r>
      <w:r>
        <w:rPr>
          <w:rFonts w:ascii="Times New Roman" w:hAnsi="Times New Roman"/>
          <w:noProof/>
          <w:sz w:val="18"/>
          <w:lang w:val="en-GB"/>
        </w:rPr>
        <w:t>rs only to the subset of countries/economies with valid information on both groups of students. Students who attain baseline academic proficiency are students who reach at least PISA proficiency level two in all three PISA core subjects – math, reading and</w:t>
      </w:r>
      <w:r>
        <w:rPr>
          <w:rFonts w:ascii="Times New Roman" w:hAnsi="Times New Roman"/>
          <w:noProof/>
          <w:sz w:val="18"/>
          <w:lang w:val="en-GB"/>
        </w:rPr>
        <w:t xml:space="preserve"> science. Countries and economies are ranked in descending order of the percentage of first-generation immigrant students reaching baseline levels of proficiency in PISA core domains.</w:t>
      </w:r>
    </w:p>
    <w:p w:rsidR="00EF5220" w:rsidRDefault="00EF5220">
      <w:pPr>
        <w:pStyle w:val="sourcenew"/>
        <w:jc w:val="both"/>
        <w:rPr>
          <w:rFonts w:ascii="Times New Roman" w:hAnsi="Times New Roman" w:cs="Times New Roman"/>
          <w:noProof/>
          <w:sz w:val="18"/>
          <w:szCs w:val="18"/>
          <w:lang w:val="en-GB"/>
        </w:rPr>
      </w:pPr>
    </w:p>
    <w:p w:rsidR="00EF5220" w:rsidRDefault="00EF2564">
      <w:pPr>
        <w:spacing w:before="120" w:after="240" w:line="360" w:lineRule="auto"/>
        <w:jc w:val="both"/>
        <w:rPr>
          <w:rFonts w:ascii="Times New Roman" w:eastAsia="Calibri" w:hAnsi="Times New Roman" w:cs="Times New Roman"/>
          <w:noProof/>
          <w:sz w:val="24"/>
          <w:szCs w:val="24"/>
          <w:lang w:val="en-GB"/>
        </w:rPr>
      </w:pPr>
      <w:r>
        <w:rPr>
          <w:rFonts w:ascii="Times New Roman" w:hAnsi="Times New Roman"/>
          <w:b/>
          <w:noProof/>
          <w:sz w:val="24"/>
          <w:lang w:val="en-GB"/>
        </w:rPr>
        <w:t>The proportion of 30-34 year olds who successfully complete tertiary ed</w:t>
      </w:r>
      <w:r>
        <w:rPr>
          <w:rFonts w:ascii="Times New Roman" w:hAnsi="Times New Roman"/>
          <w:b/>
          <w:noProof/>
          <w:sz w:val="24"/>
          <w:lang w:val="en-GB"/>
        </w:rPr>
        <w:t>ucation continues to increase in the EU and the 40% headline target has almost been reached.</w:t>
      </w:r>
      <w:r>
        <w:rPr>
          <w:rFonts w:ascii="Times New Roman" w:hAnsi="Times New Roman"/>
          <w:noProof/>
          <w:lang w:val="en-GB"/>
        </w:rPr>
        <w:t xml:space="preserve"> </w:t>
      </w:r>
      <w:r>
        <w:rPr>
          <w:rFonts w:ascii="Times New Roman" w:hAnsi="Times New Roman"/>
          <w:noProof/>
          <w:sz w:val="24"/>
          <w:lang w:val="en-GB"/>
        </w:rPr>
        <w:t>In the EU, 39.9% of the 30-34 year-old population held a tertiary degree in 2017, as a result of a gradual increase over the last years. Tertiary educational attai</w:t>
      </w:r>
      <w:r>
        <w:rPr>
          <w:rFonts w:ascii="Times New Roman" w:hAnsi="Times New Roman"/>
          <w:noProof/>
          <w:sz w:val="24"/>
          <w:lang w:val="en-GB"/>
        </w:rPr>
        <w:t>nment rose in most of the Member States between 2014 and 2017. Only in Croatia, Hungary and, to a lesser extent, Spain and Finland, the proportion of the population with a tertiary qualification decreased over the same period. By contrast, there was a rema</w:t>
      </w:r>
      <w:r>
        <w:rPr>
          <w:rFonts w:ascii="Times New Roman" w:hAnsi="Times New Roman"/>
          <w:noProof/>
          <w:sz w:val="24"/>
          <w:lang w:val="en-GB"/>
        </w:rPr>
        <w:t xml:space="preserve">rkable growth of 7.4, 6.5 and 6 pps in Slovakia, Greece and Czech Republic, respectively. Among the countries that have tertiary attainment rates below 40%, only Romania, Italy and Croatia have not reached 30% (Figure </w:t>
      </w:r>
      <w:r>
        <w:rPr>
          <w:rFonts w:ascii="Times New Roman" w:hAnsi="Times New Roman"/>
          <w:noProof/>
          <w:sz w:val="24"/>
          <w:szCs w:val="24"/>
          <w:lang w:val="en-GB"/>
        </w:rPr>
        <w:t>20</w:t>
      </w:r>
      <w:r>
        <w:rPr>
          <w:rFonts w:ascii="Times New Roman" w:hAnsi="Times New Roman"/>
          <w:noProof/>
          <w:sz w:val="24"/>
          <w:lang w:val="en-GB"/>
        </w:rPr>
        <w:t xml:space="preserve">). Overall, 15 out of the 28 Member </w:t>
      </w:r>
      <w:r>
        <w:rPr>
          <w:rFonts w:ascii="Times New Roman" w:hAnsi="Times New Roman"/>
          <w:noProof/>
          <w:sz w:val="24"/>
          <w:lang w:val="en-GB"/>
        </w:rPr>
        <w:t>States have met their respective national targets in 2017.</w:t>
      </w:r>
    </w:p>
    <w:p w:rsidR="00EF5220" w:rsidRDefault="00EF5220">
      <w:pPr>
        <w:spacing w:before="120" w:after="120" w:line="360" w:lineRule="auto"/>
        <w:jc w:val="both"/>
        <w:rPr>
          <w:rFonts w:ascii="Times New Roman" w:eastAsia="Calibri" w:hAnsi="Times New Roman" w:cs="Times New Roman"/>
          <w:noProof/>
          <w:sz w:val="24"/>
          <w:szCs w:val="24"/>
          <w:highlight w:val="green"/>
          <w:lang w:val="en-GB"/>
        </w:rPr>
      </w:pPr>
    </w:p>
    <w:p w:rsidR="00EF5220" w:rsidRDefault="00EF2564">
      <w:pPr>
        <w:keepNext/>
        <w:spacing w:before="120" w:after="120" w:line="360" w:lineRule="auto"/>
        <w:jc w:val="both"/>
        <w:rPr>
          <w:rFonts w:ascii="Times New Roman" w:hAnsi="Times New Roman"/>
          <w:b/>
          <w:noProof/>
          <w:sz w:val="24"/>
          <w:szCs w:val="24"/>
          <w:lang w:val="en-GB"/>
        </w:rPr>
      </w:pPr>
      <w:bookmarkStart w:id="33" w:name="_Ref528663190"/>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20</w:t>
      </w:r>
      <w:r>
        <w:rPr>
          <w:rFonts w:ascii="Times New Roman" w:hAnsi="Times New Roman"/>
          <w:b/>
          <w:noProof/>
          <w:sz w:val="24"/>
          <w:szCs w:val="24"/>
          <w:lang w:val="en-GB"/>
        </w:rPr>
        <w:fldChar w:fldCharType="end"/>
      </w:r>
      <w:bookmarkEnd w:id="33"/>
      <w:r>
        <w:rPr>
          <w:rFonts w:ascii="Times New Roman" w:hAnsi="Times New Roman"/>
          <w:b/>
          <w:noProof/>
          <w:sz w:val="24"/>
          <w:lang w:val="en-GB"/>
        </w:rPr>
        <w:t xml:space="preserve">: Tertiary educational attainment, 2008, 2013, 2017 and EU2020 target </w:t>
      </w:r>
    </w:p>
    <w:p w:rsidR="00EF5220" w:rsidRDefault="00EF2564">
      <w:pPr>
        <w:keepNext/>
        <w:spacing w:before="120" w:after="120" w:line="36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814000" cy="267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814000" cy="2674800"/>
                    </a:xfrm>
                    <a:prstGeom prst="rect">
                      <a:avLst/>
                    </a:prstGeom>
                    <a:noFill/>
                  </pic:spPr>
                </pic:pic>
              </a:graphicData>
            </a:graphic>
          </wp:inline>
        </w:drawing>
      </w:r>
    </w:p>
    <w:p w:rsidR="00EF5220" w:rsidRDefault="00EF2564">
      <w:pPr>
        <w:spacing w:before="120" w:after="120" w:line="240" w:lineRule="auto"/>
        <w:jc w:val="both"/>
        <w:rPr>
          <w:rFonts w:ascii="Times New Roman" w:eastAsia="Times New Roman" w:hAnsi="Times New Roman" w:cs="Times New Roman"/>
          <w:noProof/>
          <w:color w:val="333333"/>
          <w:sz w:val="18"/>
          <w:szCs w:val="18"/>
          <w:lang w:val="en-GB"/>
        </w:rPr>
      </w:pPr>
      <w:r>
        <w:rPr>
          <w:rFonts w:ascii="Times New Roman" w:hAnsi="Times New Roman"/>
          <w:noProof/>
          <w:sz w:val="18"/>
          <w:lang w:val="fr-BE"/>
        </w:rPr>
        <w:t xml:space="preserve">Source: Eurostat, LFS [edat_lfse_03]. </w:t>
      </w:r>
      <w:r>
        <w:rPr>
          <w:rFonts w:ascii="Times New Roman" w:hAnsi="Times New Roman"/>
          <w:noProof/>
          <w:color w:val="333333"/>
          <w:sz w:val="18"/>
          <w:lang w:val="en-GB"/>
        </w:rPr>
        <w:t xml:space="preserve">The indicators cover the share of the total </w:t>
      </w:r>
      <w:r>
        <w:rPr>
          <w:rFonts w:ascii="Times New Roman" w:hAnsi="Times New Roman"/>
          <w:noProof/>
          <w:color w:val="333333"/>
          <w:sz w:val="18"/>
          <w:lang w:val="en-GB"/>
        </w:rPr>
        <w:t>population aged 30-34 having successfully completed tertiary education (ISCED 5-8). Break in series in 2014 due to the introduction of the new ISCED classification;  2017 data for LU are unreliable because of the small sample size.</w:t>
      </w:r>
    </w:p>
    <w:p w:rsidR="00EF5220" w:rsidRDefault="00EF5220">
      <w:pPr>
        <w:spacing w:before="120" w:after="120" w:line="360" w:lineRule="auto"/>
        <w:jc w:val="both"/>
        <w:rPr>
          <w:rFonts w:ascii="Times New Roman" w:eastAsia="Calibri" w:hAnsi="Times New Roman" w:cs="Times New Roman"/>
          <w:i/>
          <w:noProof/>
          <w:sz w:val="16"/>
          <w:szCs w:val="16"/>
          <w:highlight w:val="green"/>
          <w:lang w:val="en-GB"/>
        </w:rPr>
      </w:pPr>
    </w:p>
    <w:p w:rsidR="00EF5220" w:rsidRDefault="00EF2564">
      <w:pPr>
        <w:spacing w:before="120" w:after="240" w:line="360" w:lineRule="auto"/>
        <w:jc w:val="both"/>
        <w:rPr>
          <w:rFonts w:ascii="Times New Roman" w:eastAsia="Calibri" w:hAnsi="Times New Roman" w:cs="Times New Roman"/>
          <w:noProof/>
          <w:sz w:val="24"/>
          <w:szCs w:val="24"/>
          <w:lang w:val="en-GB"/>
        </w:rPr>
      </w:pPr>
      <w:r>
        <w:rPr>
          <w:rFonts w:ascii="Times New Roman" w:hAnsi="Times New Roman"/>
          <w:b/>
          <w:noProof/>
          <w:sz w:val="24"/>
          <w:lang w:val="en-GB"/>
        </w:rPr>
        <w:t xml:space="preserve">Women show a higher </w:t>
      </w:r>
      <w:r>
        <w:rPr>
          <w:rFonts w:ascii="Times New Roman" w:hAnsi="Times New Roman"/>
          <w:b/>
          <w:noProof/>
          <w:sz w:val="24"/>
          <w:lang w:val="en-GB"/>
        </w:rPr>
        <w:t>tertiary attainment rate than men and important gaps exist between native and non-EU born people</w:t>
      </w:r>
      <w:r>
        <w:rPr>
          <w:rFonts w:ascii="Times New Roman" w:hAnsi="Times New Roman"/>
          <w:noProof/>
          <w:sz w:val="24"/>
          <w:lang w:val="en-GB"/>
        </w:rPr>
        <w:t>. In 2017, 44.9% of women aged 30-34 year old held a higher education qualification, against a 34.9% of men. This gap has increased over the past 15 years and i</w:t>
      </w:r>
      <w:r>
        <w:rPr>
          <w:rFonts w:ascii="Times New Roman" w:hAnsi="Times New Roman"/>
          <w:noProof/>
          <w:sz w:val="24"/>
          <w:lang w:val="en-GB"/>
        </w:rPr>
        <w:t>s particularly significant in Latvia, Lithuania, and Slovenia, where the tertiary attainment of women is more than 20 pps higher than that of men. At the same time, in almost all Member States the share of people born within the country or within the EU is</w:t>
      </w:r>
      <w:r>
        <w:rPr>
          <w:rFonts w:ascii="Times New Roman" w:hAnsi="Times New Roman"/>
          <w:noProof/>
          <w:sz w:val="24"/>
          <w:lang w:val="en-GB"/>
        </w:rPr>
        <w:t xml:space="preserve"> higher than the share of those born outside the EU. On average this gap amounts to about 5.5 pps, pointing to persistent challenges in terms of equity, access and the social dimension of higher education.</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About one third of young adults in the EU hold a V</w:t>
      </w:r>
      <w:r>
        <w:rPr>
          <w:rFonts w:ascii="Times New Roman" w:hAnsi="Times New Roman"/>
          <w:b/>
          <w:noProof/>
          <w:sz w:val="24"/>
          <w:lang w:val="en-GB"/>
        </w:rPr>
        <w:t>ET-related qualification.</w:t>
      </w:r>
      <w:r>
        <w:rPr>
          <w:rFonts w:ascii="Times New Roman" w:hAnsi="Times New Roman"/>
          <w:noProof/>
          <w:sz w:val="24"/>
          <w:lang w:val="en-GB"/>
        </w:rPr>
        <w:t xml:space="preserve"> In 2016, 33% of young adults within the age group 30-34 acquired an upper-secondary qualification of a vocational orientation. As shown in Figure </w:t>
      </w:r>
      <w:r>
        <w:rPr>
          <w:rFonts w:ascii="Times New Roman" w:hAnsi="Times New Roman"/>
          <w:noProof/>
          <w:sz w:val="24"/>
          <w:szCs w:val="24"/>
          <w:lang w:val="en-GB"/>
        </w:rPr>
        <w:t>21</w:t>
      </w:r>
      <w:r>
        <w:rPr>
          <w:rFonts w:ascii="Times New Roman" w:hAnsi="Times New Roman"/>
          <w:noProof/>
          <w:sz w:val="24"/>
          <w:lang w:val="en-GB"/>
        </w:rPr>
        <w:t xml:space="preserve">, this share was more than 40% in countries such as Slovakia, Hungary, Austria, </w:t>
      </w:r>
      <w:r>
        <w:rPr>
          <w:rFonts w:ascii="Times New Roman" w:hAnsi="Times New Roman"/>
          <w:noProof/>
          <w:sz w:val="24"/>
          <w:lang w:val="en-GB"/>
        </w:rPr>
        <w:t>Romania, Germany, Czech Republic and Croatia, whose model of transitions from education to employment is strongly rooted in the vocational education system. On the contrary, the share was comparatively lower (less than 20%) in countries whose model is more</w:t>
      </w:r>
      <w:r>
        <w:rPr>
          <w:rFonts w:ascii="Times New Roman" w:hAnsi="Times New Roman"/>
          <w:noProof/>
          <w:sz w:val="24"/>
          <w:lang w:val="en-GB"/>
        </w:rPr>
        <w:t xml:space="preserve"> centred around tertiary education (e.g. Lithuania, Sweden, Cyprus and Ireland) or with overall comparatively lower diffusion of direct labour market relevant qualifications (e.g. Malta, Portugal, Spain, Luxembourg and Greece).</w:t>
      </w:r>
    </w:p>
    <w:p w:rsidR="00EF5220" w:rsidRDefault="00EF2564">
      <w:pPr>
        <w:keepNext/>
        <w:spacing w:before="120" w:after="120" w:line="360" w:lineRule="auto"/>
        <w:jc w:val="both"/>
        <w:rPr>
          <w:rFonts w:ascii="Times New Roman" w:hAnsi="Times New Roman"/>
          <w:b/>
          <w:noProof/>
          <w:sz w:val="24"/>
          <w:szCs w:val="24"/>
          <w:lang w:val="en-GB"/>
        </w:rPr>
      </w:pPr>
      <w:bookmarkStart w:id="34" w:name="_Ref528663285"/>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w:instrText>
      </w:r>
      <w:r>
        <w:rPr>
          <w:rFonts w:ascii="Times New Roman" w:hAnsi="Times New Roman"/>
          <w:b/>
          <w:noProof/>
          <w:sz w:val="24"/>
          <w:szCs w:val="24"/>
          <w:lang w:val="en-GB"/>
        </w:rPr>
        <w:instrText xml:space="preserve">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21</w:t>
      </w:r>
      <w:r>
        <w:rPr>
          <w:rFonts w:ascii="Times New Roman" w:hAnsi="Times New Roman"/>
          <w:b/>
          <w:noProof/>
          <w:sz w:val="24"/>
          <w:szCs w:val="24"/>
          <w:lang w:val="en-GB"/>
        </w:rPr>
        <w:fldChar w:fldCharType="end"/>
      </w:r>
      <w:bookmarkEnd w:id="34"/>
      <w:r>
        <w:rPr>
          <w:rFonts w:ascii="Times New Roman" w:hAnsi="Times New Roman"/>
          <w:b/>
          <w:noProof/>
          <w:sz w:val="24"/>
          <w:lang w:val="en-GB"/>
        </w:rPr>
        <w:t>: Education to employment: transition pathways and systems, 2016</w:t>
      </w:r>
    </w:p>
    <w:p w:rsidR="00EF5220" w:rsidRDefault="00EF2564">
      <w:pPr>
        <w:keepNext/>
        <w:spacing w:before="120" w:after="120" w:line="36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806800" cy="31248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806800" cy="3124800"/>
                    </a:xfrm>
                    <a:prstGeom prst="rect">
                      <a:avLst/>
                    </a:prstGeom>
                    <a:noFill/>
                  </pic:spPr>
                </pic:pic>
              </a:graphicData>
            </a:graphic>
          </wp:inline>
        </w:drawing>
      </w:r>
    </w:p>
    <w:p w:rsidR="00EF5220" w:rsidRDefault="00EF2564">
      <w:pPr>
        <w:spacing w:after="0" w:line="240" w:lineRule="auto"/>
        <w:jc w:val="both"/>
        <w:rPr>
          <w:rFonts w:ascii="Times New Roman" w:hAnsi="Times New Roman" w:cs="Times New Roman"/>
          <w:iCs/>
          <w:noProof/>
          <w:sz w:val="20"/>
          <w:szCs w:val="20"/>
          <w:lang w:val="en-GB"/>
        </w:rPr>
      </w:pPr>
      <w:r>
        <w:rPr>
          <w:rFonts w:ascii="Times New Roman" w:hAnsi="Times New Roman"/>
          <w:noProof/>
          <w:sz w:val="20"/>
          <w:lang w:val="en-IE"/>
        </w:rPr>
        <w:t xml:space="preserve">Source: Eurostat, LFS. </w:t>
      </w:r>
      <w:r>
        <w:rPr>
          <w:rFonts w:ascii="Times New Roman" w:hAnsi="Times New Roman"/>
          <w:noProof/>
          <w:sz w:val="20"/>
          <w:lang w:val="en-GB"/>
        </w:rPr>
        <w:t>Online data code: [lfso_16feduc].</w:t>
      </w:r>
    </w:p>
    <w:p w:rsidR="00EF5220" w:rsidRDefault="00EF2564">
      <w:pPr>
        <w:spacing w:line="240" w:lineRule="auto"/>
        <w:jc w:val="both"/>
        <w:rPr>
          <w:rFonts w:ascii="Times New Roman" w:hAnsi="Times New Roman" w:cs="Times New Roman"/>
          <w:iCs/>
          <w:noProof/>
          <w:sz w:val="20"/>
          <w:szCs w:val="20"/>
          <w:lang w:val="en-GB"/>
        </w:rPr>
      </w:pPr>
      <w:r>
        <w:rPr>
          <w:rFonts w:ascii="Times New Roman" w:hAnsi="Times New Roman"/>
          <w:noProof/>
          <w:sz w:val="20"/>
          <w:lang w:val="en-GB"/>
        </w:rPr>
        <w:t>Note: Non-VOC qualifications includes qualifications at ISCED levels 0-2 or a medium-level qualification (ISCED 3-4) of a gene</w:t>
      </w:r>
      <w:r>
        <w:rPr>
          <w:rFonts w:ascii="Times New Roman" w:hAnsi="Times New Roman"/>
          <w:noProof/>
          <w:sz w:val="20"/>
          <w:lang w:val="en-GB"/>
        </w:rPr>
        <w:t>ral orientation; ISCED 3-4 VOC are qualifications at a medium (ISCED 3-4) level with a vocational orientation; ISCED 5-8 includes a high level of education qualifications</w:t>
      </w:r>
    </w:p>
    <w:p w:rsidR="00EF5220" w:rsidRDefault="00EF2564">
      <w:pPr>
        <w:spacing w:before="120" w:after="240"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Not everyone gets an equal chance to acquire the skills and qualifications that are v</w:t>
      </w:r>
      <w:r>
        <w:rPr>
          <w:rFonts w:ascii="Times New Roman" w:hAnsi="Times New Roman"/>
          <w:b/>
          <w:noProof/>
          <w:sz w:val="24"/>
          <w:lang w:val="en-GB"/>
        </w:rPr>
        <w:t>aluable in the labour market.</w:t>
      </w:r>
      <w:r>
        <w:rPr>
          <w:rFonts w:ascii="Times New Roman" w:hAnsi="Times New Roman"/>
          <w:noProof/>
          <w:sz w:val="24"/>
          <w:lang w:val="en-GB"/>
        </w:rPr>
        <w:t xml:space="preserve"> In some countries, more than half of the young people aged 30-34 report not to have a qualification – be it vocational or academic – clearly linked to the labour market. This has an impact in terms of integration in the labour</w:t>
      </w:r>
      <w:r>
        <w:rPr>
          <w:rFonts w:ascii="Times New Roman" w:hAnsi="Times New Roman"/>
          <w:noProof/>
          <w:sz w:val="24"/>
          <w:lang w:val="en-GB"/>
        </w:rPr>
        <w:t xml:space="preserve"> market. For example (as shown in Figure </w:t>
      </w:r>
      <w:r>
        <w:rPr>
          <w:rFonts w:ascii="Times New Roman" w:hAnsi="Times New Roman"/>
          <w:noProof/>
          <w:sz w:val="24"/>
          <w:szCs w:val="24"/>
          <w:lang w:val="en-GB"/>
        </w:rPr>
        <w:t>22</w:t>
      </w:r>
      <w:r>
        <w:rPr>
          <w:rFonts w:ascii="Times New Roman" w:hAnsi="Times New Roman"/>
          <w:noProof/>
          <w:sz w:val="24"/>
          <w:lang w:val="en-GB"/>
        </w:rPr>
        <w:t xml:space="preserve">, while those with VET and higher education qualifications achieve employment rates around or above 80%, less than 70% of those with an upper-secondary diploma of a general orientation are in employment after the </w:t>
      </w:r>
      <w:r>
        <w:rPr>
          <w:rFonts w:ascii="Times New Roman" w:hAnsi="Times New Roman"/>
          <w:noProof/>
          <w:sz w:val="24"/>
          <w:lang w:val="en-GB"/>
        </w:rPr>
        <w:t xml:space="preserve">age of 25. Those without an upper-secondary diploma are even more disadvantaged, with less than 60% in employment after age of 25. </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Having a labour market relevant qualification – be it academic or vocational – is increasingly important to adapt to a rapidly changing economy and to address the demand for high skills. </w:t>
      </w:r>
      <w:r>
        <w:rPr>
          <w:rFonts w:ascii="Times New Roman" w:hAnsi="Times New Roman"/>
          <w:noProof/>
          <w:sz w:val="24"/>
          <w:lang w:val="en-GB"/>
        </w:rPr>
        <w:t>The employment rate of recent graduates with a tertiary degree in 201</w:t>
      </w:r>
      <w:r>
        <w:rPr>
          <w:rFonts w:ascii="Times New Roman" w:hAnsi="Times New Roman"/>
          <w:noProof/>
          <w:sz w:val="24"/>
          <w:lang w:val="en-GB"/>
        </w:rPr>
        <w:t>7 was 84.9% and was 0.9 pps higher than the overall employment rate of working-age adults with the same educational attainment. Only in a few Member States (Italy, Greece, Croatia, Cyprus, Slovenia and Spain), recent tertiary graduates are still disadvanta</w:t>
      </w:r>
      <w:r>
        <w:rPr>
          <w:rFonts w:ascii="Times New Roman" w:hAnsi="Times New Roman"/>
          <w:noProof/>
          <w:sz w:val="24"/>
          <w:lang w:val="en-GB"/>
        </w:rPr>
        <w:t xml:space="preserve">ged, although the situation in all those countries has improved, with the exception of Croatia. Not far behind, the employment rate of recent graduates with a medium-level vocational qualification was 76.6%, 5.7 pps higher than the overall employment rate </w:t>
      </w:r>
      <w:r>
        <w:rPr>
          <w:rFonts w:ascii="Times New Roman" w:hAnsi="Times New Roman"/>
          <w:noProof/>
          <w:sz w:val="24"/>
          <w:lang w:val="en-GB"/>
        </w:rPr>
        <w:t>of the working-age adults with medium-level educational attainment, pointing to an employment premium for recent VET graduates. Conversely, the employment rate of those with only a medium level general qualification was 64.1%. Young adults who only had a l</w:t>
      </w:r>
      <w:r>
        <w:rPr>
          <w:rFonts w:ascii="Times New Roman" w:hAnsi="Times New Roman"/>
          <w:noProof/>
          <w:sz w:val="24"/>
          <w:lang w:val="en-GB"/>
        </w:rPr>
        <w:t xml:space="preserve">ow-level qualification were further disadvantaged in the labour market with an employment rate of 56.4% in 2017. </w:t>
      </w:r>
    </w:p>
    <w:p w:rsidR="00EF5220" w:rsidRDefault="00EF5220">
      <w:pPr>
        <w:spacing w:before="120" w:after="240" w:line="360" w:lineRule="auto"/>
        <w:jc w:val="both"/>
        <w:rPr>
          <w:rFonts w:ascii="Times New Roman" w:hAnsi="Times New Roman" w:cs="Times New Roman"/>
          <w:iCs/>
          <w:noProof/>
          <w:sz w:val="24"/>
          <w:szCs w:val="24"/>
          <w:lang w:val="en-GB"/>
        </w:rPr>
      </w:pPr>
    </w:p>
    <w:p w:rsidR="00EF5220" w:rsidRDefault="00EF2564">
      <w:pPr>
        <w:keepNext/>
        <w:spacing w:before="120" w:after="120" w:line="360" w:lineRule="auto"/>
        <w:jc w:val="both"/>
        <w:rPr>
          <w:rFonts w:ascii="Times New Roman" w:hAnsi="Times New Roman"/>
          <w:b/>
          <w:noProof/>
          <w:sz w:val="24"/>
          <w:szCs w:val="24"/>
          <w:lang w:val="en-GB"/>
        </w:rPr>
      </w:pPr>
      <w:bookmarkStart w:id="35" w:name="_Ref528663305"/>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22</w:t>
      </w:r>
      <w:r>
        <w:rPr>
          <w:rFonts w:ascii="Times New Roman" w:hAnsi="Times New Roman"/>
          <w:b/>
          <w:noProof/>
          <w:sz w:val="24"/>
          <w:szCs w:val="24"/>
          <w:lang w:val="en-GB"/>
        </w:rPr>
        <w:fldChar w:fldCharType="end"/>
      </w:r>
      <w:bookmarkEnd w:id="35"/>
      <w:r>
        <w:rPr>
          <w:rFonts w:ascii="Times New Roman" w:hAnsi="Times New Roman"/>
          <w:b/>
          <w:noProof/>
          <w:sz w:val="24"/>
          <w:lang w:val="en-GB"/>
        </w:rPr>
        <w:t>: Employment rate of recent graduates by educational attainment level, 2017</w:t>
      </w:r>
    </w:p>
    <w:p w:rsidR="00EF5220" w:rsidRDefault="00EF2564">
      <w:pPr>
        <w:keepNext/>
        <w:spacing w:before="120" w:after="120" w:line="36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227200" cy="310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227200" cy="3106800"/>
                    </a:xfrm>
                    <a:prstGeom prst="rect">
                      <a:avLst/>
                    </a:prstGeom>
                    <a:noFill/>
                  </pic:spPr>
                </pic:pic>
              </a:graphicData>
            </a:graphic>
          </wp:inline>
        </w:drawing>
      </w:r>
    </w:p>
    <w:p w:rsidR="00EF5220" w:rsidRDefault="00EF2564">
      <w:pPr>
        <w:spacing w:line="240" w:lineRule="auto"/>
        <w:jc w:val="both"/>
        <w:rPr>
          <w:rFonts w:ascii="Times New Roman" w:hAnsi="Times New Roman" w:cs="Times New Roman"/>
          <w:iCs/>
          <w:noProof/>
          <w:sz w:val="20"/>
          <w:szCs w:val="20"/>
          <w:lang w:val="en-GB"/>
        </w:rPr>
      </w:pPr>
      <w:r>
        <w:rPr>
          <w:rFonts w:ascii="Times New Roman" w:hAnsi="Times New Roman"/>
          <w:noProof/>
          <w:sz w:val="20"/>
          <w:lang w:val="en-GB"/>
        </w:rPr>
        <w:t>Source: Eurostat LFS. Note: y</w:t>
      </w:r>
      <w:r>
        <w:rPr>
          <w:rFonts w:ascii="Times New Roman" w:hAnsi="Times New Roman"/>
          <w:noProof/>
          <w:sz w:val="20"/>
          <w:lang w:val="en-GB"/>
        </w:rPr>
        <w:t xml:space="preserve">oung adults aged 20-34. Data for low-qualified include all young adults not enrolled in education or training no matter how long ago they completed their education. Data for medium and highly qualified include only individuals who have graduated 1-3 years </w:t>
      </w:r>
      <w:r>
        <w:rPr>
          <w:rFonts w:ascii="Times New Roman" w:hAnsi="Times New Roman"/>
          <w:noProof/>
          <w:sz w:val="20"/>
          <w:lang w:val="en-GB"/>
        </w:rPr>
        <w:t>before the survey.</w:t>
      </w:r>
    </w:p>
    <w:p w:rsidR="00EF5220" w:rsidRDefault="00EF5220">
      <w:pPr>
        <w:keepNext/>
        <w:spacing w:before="120" w:after="120" w:line="360" w:lineRule="auto"/>
        <w:jc w:val="both"/>
        <w:rPr>
          <w:rFonts w:ascii="Times New Roman" w:hAnsi="Times New Roman" w:cs="Times New Roman"/>
          <w:iCs/>
          <w:noProof/>
          <w:sz w:val="20"/>
          <w:szCs w:val="20"/>
          <w:lang w:val="en-GB"/>
        </w:rPr>
      </w:pPr>
    </w:p>
    <w:p w:rsidR="00EF5220" w:rsidRDefault="00EF2564">
      <w:pPr>
        <w:spacing w:before="120" w:after="240"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One way to improve labour market outcomes of young people is to provide them with opportunities to gain exposure to real working environment</w:t>
      </w:r>
      <w:r>
        <w:rPr>
          <w:rFonts w:ascii="Times New Roman" w:hAnsi="Times New Roman"/>
          <w:noProof/>
          <w:sz w:val="24"/>
          <w:lang w:val="en-GB"/>
        </w:rPr>
        <w:t xml:space="preserve"> – through either company-based work-based learning or apprenticeships, which are linked to the </w:t>
      </w:r>
      <w:r>
        <w:rPr>
          <w:rFonts w:ascii="Times New Roman" w:hAnsi="Times New Roman"/>
          <w:noProof/>
          <w:sz w:val="24"/>
          <w:lang w:val="en-GB"/>
        </w:rPr>
        <w:t xml:space="preserve">curriculum of their programme. Those with such an experience during their studies are able to find a job more easily and may even have the possibility to apply for more advanced positions. However, as shown in Figure </w:t>
      </w:r>
      <w:r>
        <w:rPr>
          <w:rFonts w:ascii="Times New Roman" w:hAnsi="Times New Roman"/>
          <w:noProof/>
          <w:sz w:val="24"/>
          <w:szCs w:val="24"/>
          <w:lang w:val="en-GB"/>
        </w:rPr>
        <w:t>23</w:t>
      </w:r>
      <w:r>
        <w:rPr>
          <w:rFonts w:ascii="Times New Roman" w:hAnsi="Times New Roman"/>
          <w:noProof/>
          <w:sz w:val="24"/>
          <w:lang w:val="en-GB"/>
        </w:rPr>
        <w:t>, less than 50% of those holding a VE</w:t>
      </w:r>
      <w:r>
        <w:rPr>
          <w:rFonts w:ascii="Times New Roman" w:hAnsi="Times New Roman"/>
          <w:noProof/>
          <w:sz w:val="24"/>
          <w:lang w:val="en-GB"/>
        </w:rPr>
        <w:t>T qualification report to have received such experience during their studies. An even smaller proportion had a more significant work-based learning experience through an apprenticeship. The largest proportion of VET students having access to work-based lea</w:t>
      </w:r>
      <w:r>
        <w:rPr>
          <w:rFonts w:ascii="Times New Roman" w:hAnsi="Times New Roman"/>
          <w:noProof/>
          <w:sz w:val="24"/>
          <w:lang w:val="en-GB"/>
        </w:rPr>
        <w:t>rning (more than 90%) can be found in Hungary, the Netherlands, Finland and Sweden.</w:t>
      </w:r>
    </w:p>
    <w:p w:rsidR="00EF5220" w:rsidRDefault="00EF5220">
      <w:pPr>
        <w:spacing w:line="360" w:lineRule="auto"/>
        <w:jc w:val="both"/>
        <w:rPr>
          <w:rFonts w:ascii="Times New Roman" w:hAnsi="Times New Roman" w:cs="Times New Roman"/>
          <w:iCs/>
          <w:noProof/>
          <w:sz w:val="24"/>
          <w:szCs w:val="24"/>
          <w:lang w:val="en-GB"/>
        </w:rPr>
      </w:pPr>
    </w:p>
    <w:p w:rsidR="00EF5220" w:rsidRDefault="00EF2564">
      <w:pPr>
        <w:keepNext/>
        <w:spacing w:before="120" w:after="120" w:line="240" w:lineRule="auto"/>
        <w:jc w:val="both"/>
        <w:rPr>
          <w:rFonts w:ascii="Times New Roman" w:hAnsi="Times New Roman"/>
          <w:b/>
          <w:noProof/>
          <w:sz w:val="24"/>
          <w:szCs w:val="24"/>
          <w:lang w:val="en-GB"/>
        </w:rPr>
      </w:pPr>
      <w:bookmarkStart w:id="36" w:name="_Ref528663363"/>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23</w:t>
      </w:r>
      <w:r>
        <w:rPr>
          <w:rFonts w:ascii="Times New Roman" w:hAnsi="Times New Roman"/>
          <w:b/>
          <w:noProof/>
          <w:sz w:val="24"/>
          <w:szCs w:val="24"/>
          <w:lang w:val="en-GB"/>
        </w:rPr>
        <w:fldChar w:fldCharType="end"/>
      </w:r>
      <w:bookmarkEnd w:id="36"/>
      <w:r>
        <w:rPr>
          <w:rFonts w:ascii="Times New Roman" w:hAnsi="Times New Roman"/>
          <w:b/>
          <w:noProof/>
          <w:sz w:val="24"/>
          <w:lang w:val="en-GB"/>
        </w:rPr>
        <w:t>: Access to work-based learning and apprenticeships in VET, 2016</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79101" cy="2762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789466" cy="2767204"/>
                    </a:xfrm>
                    <a:prstGeom prst="rect">
                      <a:avLst/>
                    </a:prstGeom>
                    <a:noFill/>
                  </pic:spPr>
                </pic:pic>
              </a:graphicData>
            </a:graphic>
          </wp:inline>
        </w:drawing>
      </w:r>
    </w:p>
    <w:p w:rsidR="00EF5220" w:rsidRDefault="00EF2564">
      <w:pPr>
        <w:pStyle w:val="sourcenew"/>
        <w:jc w:val="both"/>
        <w:rPr>
          <w:rFonts w:ascii="Times New Roman" w:hAnsi="Times New Roman" w:cs="Times New Roman"/>
          <w:iCs/>
          <w:noProof/>
          <w:sz w:val="20"/>
          <w:szCs w:val="20"/>
          <w:lang w:val="en-GB"/>
        </w:rPr>
      </w:pPr>
      <w:r>
        <w:rPr>
          <w:rFonts w:ascii="Times New Roman" w:hAnsi="Times New Roman"/>
          <w:noProof/>
          <w:sz w:val="20"/>
          <w:lang w:val="en-IE"/>
        </w:rPr>
        <w:t xml:space="preserve">Source: </w:t>
      </w:r>
      <w:r>
        <w:rPr>
          <w:rFonts w:ascii="Times New Roman" w:hAnsi="Times New Roman"/>
          <w:noProof/>
          <w:color w:val="auto"/>
          <w:sz w:val="20"/>
          <w:lang w:val="en-IE"/>
        </w:rPr>
        <w:t xml:space="preserve">Eurostat, LFS. </w:t>
      </w:r>
      <w:r>
        <w:rPr>
          <w:rFonts w:ascii="Times New Roman" w:hAnsi="Times New Roman"/>
          <w:noProof/>
          <w:color w:val="auto"/>
          <w:sz w:val="20"/>
          <w:lang w:val="en-GB"/>
        </w:rPr>
        <w:t>Online data code: [</w:t>
      </w:r>
      <w:r>
        <w:rPr>
          <w:rFonts w:ascii="Times New Roman" w:hAnsi="Times New Roman"/>
          <w:noProof/>
          <w:sz w:val="20"/>
          <w:lang w:val="en-GB"/>
        </w:rPr>
        <w:t>lfso_16feduc</w:t>
      </w:r>
      <w:r>
        <w:rPr>
          <w:rFonts w:ascii="Times New Roman" w:hAnsi="Times New Roman"/>
          <w:noProof/>
          <w:color w:val="auto"/>
          <w:sz w:val="20"/>
          <w:lang w:val="en-GB"/>
        </w:rPr>
        <w:t>]</w:t>
      </w:r>
      <w:r>
        <w:rPr>
          <w:rFonts w:ascii="Times New Roman" w:hAnsi="Times New Roman"/>
          <w:noProof/>
          <w:sz w:val="20"/>
          <w:lang w:val="en-GB"/>
        </w:rPr>
        <w:t xml:space="preserve">. Notes: young </w:t>
      </w:r>
      <w:r>
        <w:rPr>
          <w:rFonts w:ascii="Times New Roman" w:hAnsi="Times New Roman"/>
          <w:noProof/>
          <w:sz w:val="20"/>
          <w:lang w:val="en-GB"/>
        </w:rPr>
        <w:t>adults aged 15-34 with a vocational qualification at upper-secondary or post-secondary non-tertiary level. LU data is not available. Data for ‘Apprenticeship’ in BG, LV, LT and PT is not available. Data for DE might not be representative due to a large num</w:t>
      </w:r>
      <w:r>
        <w:rPr>
          <w:rFonts w:ascii="Times New Roman" w:hAnsi="Times New Roman"/>
          <w:noProof/>
          <w:sz w:val="20"/>
          <w:lang w:val="en-GB"/>
        </w:rPr>
        <w:t>ber of non-response.</w:t>
      </w:r>
    </w:p>
    <w:p w:rsidR="00EF5220" w:rsidRDefault="00EF5220">
      <w:pPr>
        <w:spacing w:line="360" w:lineRule="auto"/>
        <w:jc w:val="both"/>
        <w:rPr>
          <w:rFonts w:ascii="Times New Roman" w:hAnsi="Times New Roman" w:cs="Times New Roman"/>
          <w:iCs/>
          <w:noProof/>
          <w:sz w:val="24"/>
          <w:szCs w:val="24"/>
          <w:lang w:val="en-GB"/>
        </w:rPr>
      </w:pPr>
    </w:p>
    <w:p w:rsidR="00EF5220" w:rsidRDefault="00EF2564">
      <w:pPr>
        <w:spacing w:before="120" w:after="240"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Low qualified adults are also often at a significant disadvantage in the labour market compared to their peers who have stayed in education longer. </w:t>
      </w:r>
      <w:r>
        <w:rPr>
          <w:rFonts w:ascii="Times New Roman" w:hAnsi="Times New Roman"/>
          <w:noProof/>
          <w:sz w:val="24"/>
          <w:lang w:val="en-GB"/>
        </w:rPr>
        <w:t>In the EU, the ratio between low-qualified adults and the number of jobs requiring low</w:t>
      </w:r>
      <w:r>
        <w:rPr>
          <w:rFonts w:ascii="Times New Roman" w:hAnsi="Times New Roman"/>
          <w:noProof/>
          <w:sz w:val="24"/>
          <w:lang w:val="en-GB"/>
        </w:rPr>
        <w:t xml:space="preserve"> levels of qualification is on average 3 to 1 (Table 2). In other words, there are three times more low-qualified adults compared to the jobs that require an only low level of qualification. The issue seems more pressing in countries like Malta, Portugal, </w:t>
      </w:r>
      <w:r>
        <w:rPr>
          <w:rFonts w:ascii="Times New Roman" w:hAnsi="Times New Roman"/>
          <w:noProof/>
          <w:sz w:val="24"/>
          <w:lang w:val="en-GB"/>
        </w:rPr>
        <w:t xml:space="preserve">Greece, Italy and Spain with a ratio higher than 4. This may eventually result in weaker labour market attachment, higher incidences of precarious work, high unemployment and in the risk to drift-away from the labour market altogether. </w:t>
      </w:r>
    </w:p>
    <w:p w:rsidR="00EF5220" w:rsidRDefault="00EF5220">
      <w:pPr>
        <w:rPr>
          <w:rFonts w:ascii="Times New Roman" w:hAnsi="Times New Roman" w:cs="Times New Roman"/>
          <w:iCs/>
          <w:noProof/>
          <w:sz w:val="24"/>
          <w:szCs w:val="24"/>
          <w:lang w:val="en-GB"/>
        </w:rPr>
      </w:pPr>
    </w:p>
    <w:p w:rsidR="00EF5220" w:rsidRDefault="00EF2564">
      <w:pPr>
        <w:keepNext/>
        <w:spacing w:before="120" w:after="120" w:line="360" w:lineRule="auto"/>
        <w:jc w:val="both"/>
        <w:rPr>
          <w:rFonts w:ascii="Times New Roman" w:hAnsi="Times New Roman"/>
          <w:b/>
          <w:noProof/>
          <w:sz w:val="24"/>
          <w:szCs w:val="24"/>
          <w:lang w:val="en-GB"/>
        </w:rPr>
      </w:pPr>
      <w:r>
        <w:rPr>
          <w:rFonts w:ascii="Times New Roman" w:hAnsi="Times New Roman"/>
          <w:b/>
          <w:noProof/>
          <w:sz w:val="24"/>
          <w:lang w:val="en-GB"/>
        </w:rPr>
        <w:t xml:space="preserve">Table </w:t>
      </w:r>
      <w:r>
        <w:rPr>
          <w:rFonts w:ascii="Times New Roman" w:hAnsi="Times New Roman" w:cs="Times New Roman"/>
          <w:b/>
          <w:bCs/>
          <w:noProof/>
          <w:sz w:val="24"/>
          <w:szCs w:val="24"/>
          <w:lang w:val="en-GB"/>
        </w:rPr>
        <w:fldChar w:fldCharType="begin"/>
      </w:r>
      <w:r>
        <w:rPr>
          <w:rFonts w:ascii="Times New Roman" w:hAnsi="Times New Roman" w:cs="Times New Roman"/>
          <w:b/>
          <w:bCs/>
          <w:noProof/>
          <w:sz w:val="24"/>
          <w:szCs w:val="24"/>
          <w:lang w:val="en-GB"/>
        </w:rPr>
        <w:instrText xml:space="preserve"> SEQ Table \* ARABIC </w:instrText>
      </w:r>
      <w:r>
        <w:rPr>
          <w:rFonts w:ascii="Times New Roman" w:hAnsi="Times New Roman" w:cs="Times New Roman"/>
          <w:b/>
          <w:bCs/>
          <w:noProof/>
          <w:sz w:val="24"/>
          <w:szCs w:val="24"/>
          <w:lang w:val="en-GB"/>
        </w:rPr>
        <w:fldChar w:fldCharType="separate"/>
      </w:r>
      <w:r>
        <w:rPr>
          <w:rFonts w:ascii="Times New Roman" w:hAnsi="Times New Roman" w:cs="Times New Roman"/>
          <w:b/>
          <w:bCs/>
          <w:noProof/>
          <w:sz w:val="24"/>
          <w:szCs w:val="24"/>
          <w:lang w:val="en-GB"/>
        </w:rPr>
        <w:t>2</w:t>
      </w:r>
      <w:r>
        <w:rPr>
          <w:rFonts w:ascii="Times New Roman" w:hAnsi="Times New Roman" w:cs="Times New Roman"/>
          <w:noProof/>
          <w:sz w:val="24"/>
          <w:szCs w:val="24"/>
          <w:lang w:val="en-GB"/>
        </w:rPr>
        <w:fldChar w:fldCharType="end"/>
      </w:r>
      <w:r>
        <w:rPr>
          <w:rFonts w:ascii="Times New Roman" w:hAnsi="Times New Roman"/>
          <w:b/>
          <w:noProof/>
          <w:sz w:val="24"/>
          <w:lang w:val="en-GB"/>
        </w:rPr>
        <w:t>: Number of low-qualified adults and low-qualified jobs in the EU.</w:t>
      </w:r>
    </w:p>
    <w:tbl>
      <w:tblPr>
        <w:tblW w:w="4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271"/>
        <w:gridCol w:w="2335"/>
        <w:gridCol w:w="909"/>
      </w:tblGrid>
      <w:tr w:rsidR="00EF5220">
        <w:trPr>
          <w:trHeight w:val="587"/>
        </w:trPr>
        <w:tc>
          <w:tcPr>
            <w:tcW w:w="1316" w:type="pct"/>
            <w:shd w:val="clear" w:color="auto" w:fill="auto"/>
            <w:noWrap/>
            <w:vAlign w:val="center"/>
            <w:hideMark/>
          </w:tcPr>
          <w:p w:rsidR="00EF5220" w:rsidRDefault="00EF5220">
            <w:pPr>
              <w:spacing w:before="100" w:beforeAutospacing="1" w:after="100" w:afterAutospacing="1" w:line="240" w:lineRule="auto"/>
              <w:jc w:val="center"/>
              <w:rPr>
                <w:rFonts w:ascii="Times New Roman" w:hAnsi="Times New Roman" w:cs="Times New Roman"/>
                <w:b/>
                <w:bCs/>
                <w:noProof/>
                <w:sz w:val="20"/>
                <w:szCs w:val="24"/>
                <w:lang w:val="en-GB"/>
              </w:rPr>
            </w:pPr>
          </w:p>
        </w:tc>
        <w:tc>
          <w:tcPr>
            <w:tcW w:w="1517" w:type="pct"/>
            <w:shd w:val="clear" w:color="auto" w:fill="auto"/>
            <w:vAlign w:val="center"/>
            <w:hideMark/>
          </w:tcPr>
          <w:p w:rsidR="00EF5220" w:rsidRDefault="00EF2564">
            <w:pPr>
              <w:spacing w:before="100" w:beforeAutospacing="1" w:after="100" w:afterAutospacing="1" w:line="240" w:lineRule="auto"/>
              <w:jc w:val="center"/>
              <w:rPr>
                <w:rFonts w:ascii="Times New Roman" w:hAnsi="Times New Roman" w:cs="Times New Roman"/>
                <w:b/>
                <w:bCs/>
                <w:noProof/>
                <w:sz w:val="20"/>
                <w:szCs w:val="24"/>
                <w:lang w:val="en-GB"/>
              </w:rPr>
            </w:pPr>
            <w:r>
              <w:rPr>
                <w:rFonts w:ascii="Times New Roman" w:hAnsi="Times New Roman"/>
                <w:b/>
                <w:noProof/>
                <w:sz w:val="20"/>
                <w:lang w:val="en-GB"/>
              </w:rPr>
              <w:t>Total low qualified adults 25-64 (ths)</w:t>
            </w:r>
          </w:p>
        </w:tc>
        <w:tc>
          <w:tcPr>
            <w:tcW w:w="1560" w:type="pct"/>
            <w:shd w:val="clear" w:color="auto" w:fill="auto"/>
            <w:vAlign w:val="center"/>
            <w:hideMark/>
          </w:tcPr>
          <w:p w:rsidR="00EF5220" w:rsidRDefault="00EF2564">
            <w:pPr>
              <w:spacing w:before="100" w:beforeAutospacing="1" w:after="100" w:afterAutospacing="1" w:line="240" w:lineRule="auto"/>
              <w:jc w:val="center"/>
              <w:rPr>
                <w:rFonts w:ascii="Times New Roman" w:hAnsi="Times New Roman" w:cs="Times New Roman"/>
                <w:b/>
                <w:bCs/>
                <w:noProof/>
                <w:sz w:val="20"/>
                <w:szCs w:val="24"/>
                <w:lang w:val="en-GB"/>
              </w:rPr>
            </w:pPr>
            <w:r>
              <w:rPr>
                <w:rFonts w:ascii="Times New Roman" w:hAnsi="Times New Roman"/>
                <w:b/>
                <w:noProof/>
                <w:sz w:val="20"/>
                <w:lang w:val="en-GB"/>
              </w:rPr>
              <w:t>Total elementary jobs (ths)</w:t>
            </w:r>
          </w:p>
        </w:tc>
        <w:tc>
          <w:tcPr>
            <w:tcW w:w="608" w:type="pct"/>
            <w:shd w:val="clear" w:color="auto" w:fill="auto"/>
            <w:vAlign w:val="center"/>
            <w:hideMark/>
          </w:tcPr>
          <w:p w:rsidR="00EF5220" w:rsidRDefault="00EF2564">
            <w:pPr>
              <w:spacing w:before="100" w:beforeAutospacing="1" w:after="100" w:afterAutospacing="1" w:line="240" w:lineRule="auto"/>
              <w:jc w:val="center"/>
              <w:rPr>
                <w:rFonts w:ascii="Times New Roman" w:hAnsi="Times New Roman" w:cs="Times New Roman"/>
                <w:b/>
                <w:bCs/>
                <w:noProof/>
                <w:sz w:val="20"/>
                <w:szCs w:val="24"/>
                <w:lang w:val="en-GB"/>
              </w:rPr>
            </w:pPr>
            <w:r>
              <w:rPr>
                <w:rFonts w:ascii="Times New Roman" w:hAnsi="Times New Roman"/>
                <w:b/>
                <w:noProof/>
                <w:sz w:val="20"/>
                <w:lang w:val="en-GB"/>
              </w:rPr>
              <w:t>Ratio</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EU28</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61,353.0</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20,210.6</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3.0</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Malta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125.8</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17.6</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7.1</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Portugal</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2,897.3</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490.0</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5.9</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Greece</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1,583.2</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268.0</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5.9</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Italy</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12,834.9</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2,517.8</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5.1</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Spain</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10,654.1</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2,409.0</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4.4</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Sweden</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751.0</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231.1</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3.2</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Romania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2,417.4</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776.4</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3.1</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Belgium</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1,386.0</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449.6</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3.1</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Croatia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366.5</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119.4</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3.1</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France</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7,200.6</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2,692.9</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2.7</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Luxembourg</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64.8</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24.6</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2.6</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Netherlands</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1,902.2</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742.0</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2.6</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United Kingdom</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6,744.3</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2,641.3</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2.6</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Ireland</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443.0</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176.3</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2.5</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Finland</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329.0</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148.3</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2.2</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Austria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728.4</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337.3</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2.2</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Slovenia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140.7</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67.5</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2.1</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Bulgaria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677.2</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333.0</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2.0</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Germany</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6,116.8</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3,154.2</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1.9</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Hungary</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857.9</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460.4</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1.9</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Denmark</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527.3</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302.3</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1.7</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Cyprus</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88.1</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53.5</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1.6</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Estonia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80.4</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51.5</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1.6</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Poland</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1,617.0</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1,041.6</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1.6</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Czech Republic</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367.2</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266.3</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1.4</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Slovakia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272.2</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217.3</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1.3</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Latvia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100.7</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106.7</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0.9</w:t>
            </w:r>
          </w:p>
        </w:tc>
      </w:tr>
      <w:tr w:rsidR="00EF5220">
        <w:trPr>
          <w:trHeight w:val="300"/>
        </w:trPr>
        <w:tc>
          <w:tcPr>
            <w:tcW w:w="1316" w:type="pct"/>
            <w:shd w:val="clear" w:color="auto" w:fill="auto"/>
            <w:noWrap/>
            <w:vAlign w:val="bottom"/>
            <w:hideMark/>
          </w:tcPr>
          <w:p w:rsidR="00EF5220" w:rsidRDefault="00EF2564">
            <w:pPr>
              <w:spacing w:before="100" w:beforeAutospacing="1" w:after="100" w:afterAutospacing="1" w:line="240" w:lineRule="auto"/>
              <w:jc w:val="both"/>
              <w:rPr>
                <w:rFonts w:ascii="Times New Roman" w:hAnsi="Times New Roman" w:cs="Times New Roman"/>
                <w:bCs/>
                <w:noProof/>
                <w:sz w:val="20"/>
                <w:szCs w:val="24"/>
                <w:lang w:val="en-GB"/>
              </w:rPr>
            </w:pPr>
            <w:r>
              <w:rPr>
                <w:rFonts w:ascii="Times New Roman" w:hAnsi="Times New Roman"/>
                <w:noProof/>
                <w:sz w:val="20"/>
                <w:lang w:val="en-GB"/>
              </w:rPr>
              <w:t>Lithuania</w:t>
            </w:r>
          </w:p>
        </w:tc>
        <w:tc>
          <w:tcPr>
            <w:tcW w:w="1517"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79.4</w:t>
            </w:r>
          </w:p>
        </w:tc>
        <w:tc>
          <w:tcPr>
            <w:tcW w:w="1560"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115.1</w:t>
            </w:r>
          </w:p>
        </w:tc>
        <w:tc>
          <w:tcPr>
            <w:tcW w:w="608" w:type="pct"/>
            <w:shd w:val="clear" w:color="auto" w:fill="auto"/>
            <w:noWrap/>
            <w:vAlign w:val="bottom"/>
            <w:hideMark/>
          </w:tcPr>
          <w:p w:rsidR="00EF5220" w:rsidRDefault="00EF2564">
            <w:pPr>
              <w:spacing w:before="100" w:beforeAutospacing="1" w:after="100" w:afterAutospacing="1" w:line="240" w:lineRule="auto"/>
              <w:jc w:val="right"/>
              <w:rPr>
                <w:rFonts w:ascii="Times New Roman" w:hAnsi="Times New Roman" w:cs="Times New Roman"/>
                <w:noProof/>
                <w:sz w:val="20"/>
                <w:szCs w:val="24"/>
                <w:lang w:val="en-GB"/>
              </w:rPr>
            </w:pPr>
            <w:r>
              <w:rPr>
                <w:rFonts w:ascii="Times New Roman" w:hAnsi="Times New Roman"/>
                <w:noProof/>
                <w:sz w:val="20"/>
                <w:lang w:val="en-GB"/>
              </w:rPr>
              <w:t>0.7</w:t>
            </w:r>
          </w:p>
        </w:tc>
      </w:tr>
    </w:tbl>
    <w:p w:rsidR="00EF5220" w:rsidRDefault="00EF2564">
      <w:pPr>
        <w:spacing w:line="360" w:lineRule="auto"/>
        <w:jc w:val="both"/>
        <w:rPr>
          <w:rFonts w:ascii="Times New Roman" w:hAnsi="Times New Roman" w:cs="Times New Roman"/>
          <w:iCs/>
          <w:noProof/>
          <w:sz w:val="20"/>
          <w:szCs w:val="20"/>
          <w:lang w:val="en-GB"/>
        </w:rPr>
      </w:pPr>
      <w:r>
        <w:rPr>
          <w:rFonts w:ascii="Times New Roman" w:hAnsi="Times New Roman"/>
          <w:noProof/>
          <w:sz w:val="20"/>
          <w:lang w:val="en-GB"/>
        </w:rPr>
        <w:t>Source: Eurostat, LFS, 2017.</w:t>
      </w:r>
    </w:p>
    <w:p w:rsidR="00EF5220" w:rsidRDefault="00EF5220">
      <w:pPr>
        <w:spacing w:before="120" w:after="240" w:line="360" w:lineRule="auto"/>
        <w:jc w:val="both"/>
        <w:rPr>
          <w:rFonts w:ascii="Times New Roman" w:hAnsi="Times New Roman" w:cs="Times New Roman"/>
          <w:b/>
          <w:iCs/>
          <w:noProof/>
          <w:sz w:val="24"/>
          <w:szCs w:val="24"/>
          <w:lang w:val="en-GB"/>
        </w:rPr>
      </w:pPr>
    </w:p>
    <w:p w:rsidR="00EF5220" w:rsidRDefault="00EF2564">
      <w:pPr>
        <w:spacing w:before="120" w:after="240"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Low skilled and older people are less likely </w:t>
      </w:r>
      <w:r>
        <w:rPr>
          <w:rFonts w:ascii="Times New Roman" w:hAnsi="Times New Roman"/>
          <w:b/>
          <w:noProof/>
          <w:sz w:val="24"/>
          <w:lang w:val="en-GB"/>
        </w:rPr>
        <w:t>to participate in adult learning programmes.</w:t>
      </w:r>
      <w:r>
        <w:rPr>
          <w:rFonts w:ascii="Times New Roman" w:hAnsi="Times New Roman"/>
          <w:noProof/>
          <w:sz w:val="24"/>
          <w:lang w:val="en-GB"/>
        </w:rPr>
        <w:t xml:space="preserve"> In 2017, the rate of participation in adult learning in the EU for low qualified and older people has been twice lower than the overall participation rate of 10.9% (Figure </w:t>
      </w:r>
      <w:r>
        <w:rPr>
          <w:rFonts w:ascii="Times New Roman" w:hAnsi="Times New Roman"/>
          <w:noProof/>
          <w:sz w:val="24"/>
          <w:szCs w:val="24"/>
          <w:lang w:val="en-GB"/>
        </w:rPr>
        <w:t>24</w:t>
      </w:r>
      <w:r>
        <w:rPr>
          <w:rFonts w:ascii="Times New Roman" w:hAnsi="Times New Roman"/>
          <w:noProof/>
          <w:sz w:val="24"/>
          <w:lang w:val="en-GB"/>
        </w:rPr>
        <w:t>). Even the unemployed, who should be</w:t>
      </w:r>
      <w:r>
        <w:rPr>
          <w:rFonts w:ascii="Times New Roman" w:hAnsi="Times New Roman"/>
          <w:noProof/>
          <w:sz w:val="24"/>
          <w:lang w:val="en-GB"/>
        </w:rPr>
        <w:t xml:space="preserve"> a particularly relevant target group for re-skilling, are less likely than an average employee to participate in learning. This trend is also visible in countries where the overall participation in adult learning is close or above the EU average.</w:t>
      </w:r>
    </w:p>
    <w:p w:rsidR="00EF5220" w:rsidRDefault="00EF2564">
      <w:pPr>
        <w:keepNext/>
        <w:spacing w:before="120" w:after="120" w:line="240" w:lineRule="auto"/>
        <w:jc w:val="both"/>
        <w:rPr>
          <w:rFonts w:ascii="Times New Roman" w:hAnsi="Times New Roman"/>
          <w:b/>
          <w:noProof/>
          <w:sz w:val="24"/>
          <w:szCs w:val="24"/>
          <w:lang w:val="en-GB"/>
        </w:rPr>
      </w:pPr>
      <w:bookmarkStart w:id="37" w:name="_Ref528663389"/>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w:instrText>
      </w:r>
      <w:r>
        <w:rPr>
          <w:rFonts w:ascii="Times New Roman" w:hAnsi="Times New Roman"/>
          <w:b/>
          <w:noProof/>
          <w:sz w:val="24"/>
          <w:szCs w:val="24"/>
          <w:lang w:val="en-GB"/>
        </w:rPr>
        <w:instrText xml:space="preserve">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24</w:t>
      </w:r>
      <w:r>
        <w:rPr>
          <w:rFonts w:ascii="Times New Roman" w:hAnsi="Times New Roman"/>
          <w:b/>
          <w:noProof/>
          <w:sz w:val="24"/>
          <w:szCs w:val="24"/>
          <w:lang w:val="en-GB"/>
        </w:rPr>
        <w:fldChar w:fldCharType="end"/>
      </w:r>
      <w:bookmarkEnd w:id="37"/>
      <w:r>
        <w:rPr>
          <w:rFonts w:ascii="Times New Roman" w:hAnsi="Times New Roman"/>
          <w:b/>
          <w:noProof/>
          <w:sz w:val="24"/>
          <w:lang w:val="en-GB"/>
        </w:rPr>
        <w:t>: Participation in adult learning by demographic groups</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215737" cy="3038865"/>
            <wp:effectExtent l="0" t="0" r="444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217634" cy="3039971"/>
                    </a:xfrm>
                    <a:prstGeom prst="rect">
                      <a:avLst/>
                    </a:prstGeom>
                    <a:noFill/>
                  </pic:spPr>
                </pic:pic>
              </a:graphicData>
            </a:graphic>
          </wp:inline>
        </w:drawing>
      </w:r>
    </w:p>
    <w:p w:rsidR="00EF5220" w:rsidRDefault="00EF2564">
      <w:pPr>
        <w:spacing w:line="240" w:lineRule="auto"/>
        <w:jc w:val="both"/>
        <w:rPr>
          <w:rFonts w:ascii="Times New Roman" w:hAnsi="Times New Roman" w:cs="Times New Roman"/>
          <w:iCs/>
          <w:noProof/>
          <w:lang w:val="en-GB"/>
        </w:rPr>
      </w:pPr>
      <w:r>
        <w:rPr>
          <w:rFonts w:ascii="Times New Roman" w:hAnsi="Times New Roman"/>
          <w:noProof/>
          <w:lang w:val="en-GB"/>
        </w:rPr>
        <w:t>Source: EU LFS, 2017</w:t>
      </w:r>
    </w:p>
    <w:p w:rsidR="00EF5220" w:rsidRDefault="00EF5220">
      <w:pPr>
        <w:spacing w:before="120" w:after="240" w:line="360" w:lineRule="auto"/>
        <w:jc w:val="both"/>
        <w:rPr>
          <w:rFonts w:ascii="Times New Roman" w:hAnsi="Times New Roman" w:cs="Times New Roman"/>
          <w:b/>
          <w:iCs/>
          <w:noProof/>
          <w:sz w:val="24"/>
          <w:szCs w:val="24"/>
          <w:lang w:val="en-GB"/>
        </w:rPr>
      </w:pPr>
    </w:p>
    <w:p w:rsidR="00EF5220" w:rsidRDefault="00EF2564">
      <w:pPr>
        <w:spacing w:before="120" w:after="240" w:line="360" w:lineRule="auto"/>
        <w:jc w:val="both"/>
        <w:rPr>
          <w:rFonts w:ascii="Times New Roman" w:eastAsia="Calibri" w:hAnsi="Times New Roman" w:cs="Times New Roman"/>
          <w:bCs/>
          <w:noProof/>
          <w:sz w:val="24"/>
          <w:szCs w:val="24"/>
          <w:lang w:val="en-GB"/>
        </w:rPr>
      </w:pPr>
      <w:r>
        <w:rPr>
          <w:rFonts w:ascii="Times New Roman" w:hAnsi="Times New Roman"/>
          <w:b/>
          <w:noProof/>
          <w:sz w:val="24"/>
          <w:lang w:val="en-GB"/>
        </w:rPr>
        <w:t>The level of digital skills is not growing fast and the persisting gap between top and low performers points to a two speed digital Europe</w:t>
      </w:r>
      <w:r>
        <w:rPr>
          <w:rFonts w:ascii="Times New Roman" w:hAnsi="Times New Roman"/>
          <w:noProof/>
          <w:sz w:val="24"/>
          <w:lang w:val="en-GB"/>
        </w:rPr>
        <w:t>. On average in the EU 57% of population aged 16-64 had at least basic digital skills in 2017. Low digital skills may have an impact on productivity and growth potential, but also on social exclusion for a significant part of the population, in view of the</w:t>
      </w:r>
      <w:r>
        <w:rPr>
          <w:rFonts w:ascii="Times New Roman" w:hAnsi="Times New Roman"/>
          <w:noProof/>
          <w:sz w:val="24"/>
          <w:lang w:val="en-GB"/>
        </w:rPr>
        <w:t xml:space="preserve"> changing modalities for fruition of services and the impact of technology on the world of work. The level is particularly low in Bulgaria, Romania and Croatia ("critical situations"). In six other countries (Greece, Poland, Portugal, Latvia, Ireland, and </w:t>
      </w:r>
      <w:r>
        <w:rPr>
          <w:rFonts w:ascii="Times New Roman" w:hAnsi="Times New Roman"/>
          <w:noProof/>
          <w:sz w:val="24"/>
          <w:lang w:val="en-GB"/>
        </w:rPr>
        <w:t xml:space="preserve">Hungary, all flagged "to watch") it is comparatively higher (around 50%) but still low in comparison to the average. The best performances can be found in Luxembourg, the Netherlands, Sweden and Finland with rates above 75%. </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2</w:t>
      </w:r>
      <w:r>
        <w:rPr>
          <w:rFonts w:ascii="Times New Roman" w:hAnsi="Times New Roman"/>
          <w:b/>
          <w:noProof/>
          <w:sz w:val="24"/>
          <w:szCs w:val="24"/>
          <w:lang w:val="en-GB"/>
        </w:rPr>
        <w:t>5</w:t>
      </w:r>
      <w:r>
        <w:rPr>
          <w:rFonts w:ascii="Times New Roman" w:hAnsi="Times New Roman"/>
          <w:b/>
          <w:noProof/>
          <w:sz w:val="24"/>
          <w:szCs w:val="24"/>
          <w:lang w:val="en-GB"/>
        </w:rPr>
        <w:fldChar w:fldCharType="end"/>
      </w:r>
      <w:r>
        <w:rPr>
          <w:rFonts w:ascii="Times New Roman" w:hAnsi="Times New Roman"/>
          <w:b/>
          <w:noProof/>
          <w:sz w:val="24"/>
          <w:lang w:val="en-GB"/>
        </w:rPr>
        <w:t>: Share of population with basic overall digital skills or above and yearly change (Social Scoreboard headline indicator)</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642425" cy="421957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643795" cy="4220600"/>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Period: 2017 levels and yearly changes with respect to 2016. Note: Axes are centred on the unweighted EU avera</w:t>
      </w:r>
      <w:r>
        <w:rPr>
          <w:rFonts w:ascii="Times New Roman" w:hAnsi="Times New Roman"/>
          <w:noProof/>
          <w:sz w:val="20"/>
          <w:lang w:val="en-GB"/>
        </w:rPr>
        <w:t>ge. The legend is presented in the Annex. Data for IT not available.</w:t>
      </w:r>
    </w:p>
    <w:p w:rsidR="00EF5220" w:rsidRDefault="00EF5220">
      <w:pPr>
        <w:spacing w:before="120" w:after="240" w:line="360" w:lineRule="auto"/>
        <w:jc w:val="both"/>
        <w:rPr>
          <w:rFonts w:ascii="Times New Roman" w:hAnsi="Times New Roman" w:cs="Times New Roman"/>
          <w:iCs/>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The provision of guidance about learning opportunities can effectively stimulate individual demand for and participation in learning</w:t>
      </w:r>
      <w:r>
        <w:rPr>
          <w:rFonts w:ascii="Times New Roman" w:hAnsi="Times New Roman"/>
          <w:noProof/>
          <w:sz w:val="24"/>
          <w:lang w:val="en-GB"/>
        </w:rPr>
        <w:t>.</w:t>
      </w:r>
      <w:r>
        <w:rPr>
          <w:rFonts w:ascii="Times New Roman" w:hAnsi="Times New Roman"/>
          <w:b/>
          <w:noProof/>
          <w:sz w:val="24"/>
          <w:lang w:val="en-GB"/>
        </w:rPr>
        <w:t xml:space="preserve"> </w:t>
      </w:r>
      <w:r>
        <w:rPr>
          <w:rFonts w:ascii="Times New Roman" w:hAnsi="Times New Roman"/>
          <w:noProof/>
          <w:sz w:val="24"/>
          <w:lang w:val="en-GB"/>
        </w:rPr>
        <w:t xml:space="preserve">The benchmarking framework on adult skills and </w:t>
      </w:r>
      <w:r>
        <w:rPr>
          <w:rFonts w:ascii="Times New Roman" w:hAnsi="Times New Roman"/>
          <w:noProof/>
          <w:sz w:val="24"/>
          <w:lang w:val="en-GB"/>
        </w:rPr>
        <w:t>learning</w:t>
      </w:r>
      <w:r>
        <w:rPr>
          <w:rStyle w:val="FootnoteReference"/>
          <w:rFonts w:ascii="Times New Roman" w:hAnsi="Times New Roman"/>
          <w:noProof/>
          <w:sz w:val="24"/>
          <w:lang w:val="en-GB"/>
        </w:rPr>
        <w:footnoteReference w:id="41"/>
      </w:r>
      <w:r>
        <w:rPr>
          <w:rFonts w:ascii="Times New Roman" w:hAnsi="Times New Roman"/>
          <w:noProof/>
          <w:sz w:val="24"/>
          <w:lang w:val="en-GB"/>
        </w:rPr>
        <w:t xml:space="preserve"> has identified the provision of guidance on learning opportunities as a key policy lever to encourage participation of adults in learning. According to the latest (2016) data on access to guidance services for learning, as provided by the Adult Education </w:t>
      </w:r>
      <w:r>
        <w:rPr>
          <w:rFonts w:ascii="Times New Roman" w:hAnsi="Times New Roman"/>
          <w:noProof/>
          <w:sz w:val="24"/>
          <w:lang w:val="en-GB"/>
        </w:rPr>
        <w:t>Survey,</w:t>
      </w:r>
      <w:r>
        <w:rPr>
          <w:rStyle w:val="FootnoteReference"/>
          <w:rFonts w:ascii="Times New Roman" w:hAnsi="Times New Roman"/>
          <w:noProof/>
          <w:sz w:val="24"/>
          <w:lang w:val="en-GB"/>
        </w:rPr>
        <w:footnoteReference w:id="42"/>
      </w:r>
      <w:r>
        <w:rPr>
          <w:rFonts w:ascii="Times New Roman" w:hAnsi="Times New Roman"/>
          <w:noProof/>
          <w:sz w:val="24"/>
          <w:lang w:val="en-GB"/>
        </w:rPr>
        <w:t xml:space="preserve"> there is a strong positive relationship between the share of adults (aged 25-64) receiving guidance and the share of those eventually participating in learning.</w:t>
      </w:r>
      <w:r>
        <w:rPr>
          <w:rFonts w:ascii="Times New Roman" w:hAnsi="Times New Roman"/>
          <w:noProof/>
          <w:sz w:val="24"/>
          <w:vertAlign w:val="superscript"/>
          <w:lang w:val="en-GB"/>
        </w:rPr>
        <w:footnoteReference w:id="43"/>
      </w:r>
      <w:r>
        <w:rPr>
          <w:rFonts w:ascii="Times New Roman" w:hAnsi="Times New Roman"/>
          <w:noProof/>
          <w:sz w:val="24"/>
          <w:lang w:val="en-GB"/>
        </w:rPr>
        <w:t xml:space="preserve"> While public guidance services represent a common policy tool in most Member States, </w:t>
      </w:r>
      <w:r>
        <w:rPr>
          <w:rFonts w:ascii="Times New Roman" w:hAnsi="Times New Roman"/>
          <w:noProof/>
          <w:sz w:val="24"/>
          <w:lang w:val="en-GB"/>
        </w:rPr>
        <w:t xml:space="preserve">their coverage in terms of outreach varies considerably from one country to the other. Notably, as shown in Figure </w:t>
      </w:r>
      <w:r>
        <w:rPr>
          <w:rFonts w:ascii="Times New Roman" w:hAnsi="Times New Roman"/>
          <w:noProof/>
          <w:sz w:val="24"/>
          <w:szCs w:val="24"/>
          <w:lang w:val="en-GB"/>
        </w:rPr>
        <w:t>26</w:t>
      </w:r>
      <w:r>
        <w:rPr>
          <w:rFonts w:ascii="Times New Roman" w:hAnsi="Times New Roman"/>
          <w:noProof/>
          <w:sz w:val="24"/>
          <w:lang w:val="en-GB"/>
        </w:rPr>
        <w:t>, in 2016 the share of adults who received free of charge information or advice on learning opportunities from institutions or organisation</w:t>
      </w:r>
      <w:r>
        <w:rPr>
          <w:rFonts w:ascii="Times New Roman" w:hAnsi="Times New Roman"/>
          <w:noProof/>
          <w:sz w:val="24"/>
          <w:lang w:val="en-GB"/>
        </w:rPr>
        <w:t>s during the last 12 months ranged from 1.5% in Romania to nearly 56% in Sweden (EU average: 24.3%). In countries like Bulgaria, Greece, Lithuania, and Italy, less than 10% of adults benefitted from this type of free of charge services, whereas participati</w:t>
      </w:r>
      <w:r>
        <w:rPr>
          <w:rFonts w:ascii="Times New Roman" w:hAnsi="Times New Roman"/>
          <w:noProof/>
          <w:sz w:val="24"/>
          <w:lang w:val="en-GB"/>
        </w:rPr>
        <w:t>on in learning is also relatively low over the same reference period (29% against an EU average of 43%). On the other hand, in Sweden, Austria the Netherlands, Luxembourg and Denmark, more than 40% of adults received guidance on learning opportunities. Thi</w:t>
      </w:r>
      <w:r>
        <w:rPr>
          <w:rFonts w:ascii="Times New Roman" w:hAnsi="Times New Roman"/>
          <w:noProof/>
          <w:sz w:val="24"/>
          <w:lang w:val="en-GB"/>
        </w:rPr>
        <w:t xml:space="preserve">s can be considered one of the determinants of the relatively high adult learning participation rate registered in these countries (57% against an EU average of 43%). </w:t>
      </w:r>
    </w:p>
    <w:p w:rsidR="00EF5220" w:rsidRDefault="00EF2564">
      <w:pPr>
        <w:pStyle w:val="caption1"/>
        <w:keepNext/>
        <w:jc w:val="both"/>
        <w:rPr>
          <w:rFonts w:ascii="Times New Roman" w:hAnsi="Times New Roman"/>
          <w:b w:val="0"/>
          <w:noProof/>
          <w:sz w:val="24"/>
          <w:szCs w:val="24"/>
          <w:lang w:val="en-GB"/>
        </w:rPr>
      </w:pPr>
      <w:bookmarkStart w:id="38" w:name="_Ref528663432"/>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26</w:t>
      </w:r>
      <w:r>
        <w:rPr>
          <w:rFonts w:ascii="Times New Roman" w:hAnsi="Times New Roman"/>
          <w:noProof/>
          <w:sz w:val="24"/>
          <w:szCs w:val="24"/>
          <w:lang w:val="en-GB"/>
        </w:rPr>
        <w:fldChar w:fldCharType="end"/>
      </w:r>
      <w:bookmarkEnd w:id="38"/>
      <w:r>
        <w:rPr>
          <w:rFonts w:ascii="Times New Roman" w:hAnsi="Times New Roman"/>
          <w:noProof/>
          <w:sz w:val="24"/>
          <w:lang w:val="en-GB"/>
        </w:rPr>
        <w:t>. Share of adults receiving guidance on adult learning</w:t>
      </w:r>
      <w:r>
        <w:rPr>
          <w:rFonts w:ascii="Times New Roman" w:hAnsi="Times New Roman"/>
          <w:noProof/>
          <w:sz w:val="24"/>
          <w:lang w:val="en-GB"/>
        </w:rPr>
        <w:t xml:space="preserve"> opportunities, 2016 </w:t>
      </w:r>
    </w:p>
    <w:p w:rsidR="00EF5220" w:rsidRDefault="00EF2564">
      <w:pPr>
        <w:keepNext/>
        <w:spacing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eastAsia="en-GB" w:bidi="ar-SA"/>
        </w:rPr>
        <w:drawing>
          <wp:inline distT="0" distB="0" distL="0" distR="0">
            <wp:extent cx="5009322" cy="25956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018516" cy="2600404"/>
                    </a:xfrm>
                    <a:prstGeom prst="rect">
                      <a:avLst/>
                    </a:prstGeom>
                    <a:noFill/>
                  </pic:spPr>
                </pic:pic>
              </a:graphicData>
            </a:graphic>
          </wp:inline>
        </w:drawing>
      </w:r>
    </w:p>
    <w:p w:rsidR="00EF5220" w:rsidRDefault="00EF2564">
      <w:pPr>
        <w:spacing w:line="360" w:lineRule="auto"/>
        <w:rPr>
          <w:rFonts w:ascii="Times New Roman" w:hAnsi="Times New Roman" w:cs="Times New Roman"/>
          <w:b/>
          <w:noProof/>
          <w:sz w:val="20"/>
          <w:szCs w:val="20"/>
          <w:lang w:val="en-GB"/>
        </w:rPr>
      </w:pPr>
      <w:r>
        <w:rPr>
          <w:rFonts w:ascii="Times New Roman" w:hAnsi="Times New Roman"/>
          <w:noProof/>
          <w:sz w:val="20"/>
          <w:lang w:val="en-GB"/>
        </w:rPr>
        <w:t>Source</w:t>
      </w:r>
      <w:r>
        <w:rPr>
          <w:rFonts w:ascii="Times New Roman" w:hAnsi="Times New Roman"/>
          <w:b/>
          <w:noProof/>
          <w:sz w:val="20"/>
          <w:lang w:val="en-GB"/>
        </w:rPr>
        <w:t xml:space="preserve">: </w:t>
      </w:r>
      <w:r>
        <w:rPr>
          <w:rFonts w:ascii="Times New Roman" w:hAnsi="Times New Roman"/>
          <w:noProof/>
          <w:sz w:val="20"/>
          <w:lang w:val="en-GB"/>
        </w:rPr>
        <w:t>Eurostat,</w:t>
      </w:r>
      <w:r>
        <w:rPr>
          <w:rFonts w:ascii="Times New Roman" w:hAnsi="Times New Roman"/>
          <w:b/>
          <w:noProof/>
          <w:sz w:val="20"/>
          <w:lang w:val="en-GB"/>
        </w:rPr>
        <w:t xml:space="preserve"> </w:t>
      </w:r>
      <w:r>
        <w:rPr>
          <w:rFonts w:ascii="Times New Roman" w:hAnsi="Times New Roman"/>
          <w:noProof/>
          <w:sz w:val="20"/>
          <w:lang w:val="en-GB"/>
        </w:rPr>
        <w:t>Adult Education Survey. Data correspond to 2016. Data for Ireland and Hungary are missing.</w:t>
      </w:r>
    </w:p>
    <w:p w:rsidR="00EF5220" w:rsidRDefault="00EF2564">
      <w:pPr>
        <w:spacing w:afterLines="200" w:after="480"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Training measures to engage disadvantaged persons are particularly relevant. </w:t>
      </w:r>
      <w:r>
        <w:rPr>
          <w:rFonts w:ascii="Times New Roman" w:hAnsi="Times New Roman"/>
          <w:noProof/>
          <w:sz w:val="24"/>
          <w:lang w:val="en-GB"/>
        </w:rPr>
        <w:t xml:space="preserve">They may take various forms, including for </w:t>
      </w:r>
      <w:r>
        <w:rPr>
          <w:rFonts w:ascii="Times New Roman" w:hAnsi="Times New Roman"/>
          <w:noProof/>
          <w:sz w:val="24"/>
          <w:lang w:val="en-GB"/>
        </w:rPr>
        <w:t>example formal or non-formal vocational training or basic skills development programmes.</w:t>
      </w:r>
      <w:r>
        <w:rPr>
          <w:rFonts w:ascii="Times New Roman" w:hAnsi="Times New Roman"/>
          <w:noProof/>
          <w:vertAlign w:val="superscript"/>
          <w:lang w:val="en-GB"/>
        </w:rPr>
        <w:footnoteReference w:id="44"/>
      </w:r>
      <w:r>
        <w:rPr>
          <w:rFonts w:ascii="Times New Roman" w:hAnsi="Times New Roman"/>
          <w:noProof/>
          <w:sz w:val="24"/>
          <w:lang w:val="en-GB"/>
        </w:rPr>
        <w:t xml:space="preserve"> Low-qualified and unemployed adults face particular challenges in terms of accessing learning. According to LFS data, in 2017 the share of unemployed adults who parti</w:t>
      </w:r>
      <w:r>
        <w:rPr>
          <w:rFonts w:ascii="Times New Roman" w:hAnsi="Times New Roman"/>
          <w:noProof/>
          <w:sz w:val="24"/>
          <w:lang w:val="en-GB"/>
        </w:rPr>
        <w:t>cipated in any training activity during the last four weeks before the survey</w:t>
      </w:r>
      <w:r>
        <w:rPr>
          <w:noProof/>
          <w:lang w:val="en-GB"/>
        </w:rPr>
        <w:t xml:space="preserve"> </w:t>
      </w:r>
      <w:r>
        <w:rPr>
          <w:rFonts w:ascii="Times New Roman" w:hAnsi="Times New Roman"/>
          <w:noProof/>
          <w:sz w:val="24"/>
          <w:lang w:val="en-GB"/>
        </w:rPr>
        <w:t xml:space="preserve"> (as part of all unemployed adults) ranges from almost 1.5% in Slovakia to nearly 45% in Sweden (EU average: 10.1%) (Figure </w:t>
      </w:r>
      <w:r>
        <w:rPr>
          <w:rFonts w:ascii="Times New Roman" w:hAnsi="Times New Roman"/>
          <w:noProof/>
          <w:sz w:val="24"/>
          <w:szCs w:val="24"/>
          <w:lang w:val="en-GB"/>
        </w:rPr>
        <w:t>27</w:t>
      </w:r>
      <w:r>
        <w:rPr>
          <w:rFonts w:ascii="Times New Roman" w:hAnsi="Times New Roman"/>
          <w:noProof/>
          <w:sz w:val="24"/>
          <w:lang w:val="en-GB"/>
        </w:rPr>
        <w:t>). Apart from Slovakia, in countries like Croatia, H</w:t>
      </w:r>
      <w:r>
        <w:rPr>
          <w:rFonts w:ascii="Times New Roman" w:hAnsi="Times New Roman"/>
          <w:noProof/>
          <w:sz w:val="24"/>
          <w:lang w:val="en-GB"/>
        </w:rPr>
        <w:t>ungary, Bulgaria, Poland, Greece, Italy, the Czech Republic, Cyprus, Latvia and Germany, less than 10% of unemployed adults participate in learning. On the other hand, in Denmark, Luxembourg and Finland the share of participants exceeds 20%. Looking at the</w:t>
      </w:r>
      <w:r>
        <w:rPr>
          <w:rFonts w:ascii="Times New Roman" w:hAnsi="Times New Roman"/>
          <w:noProof/>
          <w:sz w:val="24"/>
          <w:lang w:val="en-GB"/>
        </w:rPr>
        <w:t xml:space="preserve"> share of low-qualified</w:t>
      </w:r>
      <w:r>
        <w:rPr>
          <w:rStyle w:val="FootnoteReference"/>
          <w:rFonts w:ascii="Times New Roman" w:hAnsi="Times New Roman"/>
          <w:noProof/>
          <w:sz w:val="24"/>
          <w:lang w:val="en-GB"/>
        </w:rPr>
        <w:footnoteReference w:id="45"/>
      </w:r>
      <w:r>
        <w:rPr>
          <w:rFonts w:ascii="Times New Roman" w:hAnsi="Times New Roman"/>
          <w:noProof/>
          <w:sz w:val="24"/>
          <w:lang w:val="en-GB"/>
        </w:rPr>
        <w:t xml:space="preserve"> adults who participated in any training activity during the last four weeks before the survey (as a share of all low-qualified adults) significant discrepancies across Member States also emerge (Figure </w:t>
      </w:r>
      <w:r>
        <w:rPr>
          <w:rFonts w:ascii="Times New Roman" w:hAnsi="Times New Roman"/>
          <w:noProof/>
          <w:sz w:val="24"/>
          <w:szCs w:val="24"/>
          <w:lang w:val="en-GB"/>
        </w:rPr>
        <w:t>28</w:t>
      </w:r>
      <w:r>
        <w:rPr>
          <w:rFonts w:ascii="Times New Roman" w:hAnsi="Times New Roman"/>
          <w:noProof/>
          <w:sz w:val="24"/>
          <w:lang w:val="en-GB"/>
        </w:rPr>
        <w:t>). Less than 1% of low-qual</w:t>
      </w:r>
      <w:r>
        <w:rPr>
          <w:rFonts w:ascii="Times New Roman" w:hAnsi="Times New Roman"/>
          <w:noProof/>
          <w:sz w:val="24"/>
          <w:lang w:val="en-GB"/>
        </w:rPr>
        <w:t>ified adults participate in learning in Cyprus, Greece and Croatia, while more than 10% do so in Sweden, Denmark and Finland (EU average: 4.3%).</w:t>
      </w:r>
    </w:p>
    <w:p w:rsidR="00EF5220" w:rsidRDefault="00EF2564">
      <w:pPr>
        <w:pStyle w:val="caption1"/>
        <w:keepNext/>
        <w:jc w:val="both"/>
        <w:rPr>
          <w:rFonts w:ascii="Times New Roman" w:hAnsi="Times New Roman"/>
          <w:b w:val="0"/>
          <w:noProof/>
          <w:sz w:val="24"/>
          <w:szCs w:val="24"/>
          <w:lang w:val="en-GB"/>
        </w:rPr>
      </w:pPr>
      <w:bookmarkStart w:id="39" w:name="_Ref528663458"/>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27</w:t>
      </w:r>
      <w:r>
        <w:rPr>
          <w:rFonts w:ascii="Times New Roman" w:hAnsi="Times New Roman"/>
          <w:noProof/>
          <w:sz w:val="24"/>
          <w:szCs w:val="24"/>
          <w:lang w:val="en-GB"/>
        </w:rPr>
        <w:fldChar w:fldCharType="end"/>
      </w:r>
      <w:bookmarkEnd w:id="39"/>
      <w:r>
        <w:rPr>
          <w:rFonts w:ascii="Times New Roman" w:hAnsi="Times New Roman"/>
          <w:noProof/>
          <w:sz w:val="24"/>
          <w:lang w:val="en-GB"/>
        </w:rPr>
        <w:t>. Share of unemployed adults participating in learning (as a share of all une</w:t>
      </w:r>
      <w:r>
        <w:rPr>
          <w:rFonts w:ascii="Times New Roman" w:hAnsi="Times New Roman"/>
          <w:noProof/>
          <w:sz w:val="24"/>
          <w:lang w:val="en-GB"/>
        </w:rPr>
        <w:t>mployed adults), 2017</w:t>
      </w:r>
    </w:p>
    <w:p w:rsidR="00EF5220" w:rsidRDefault="00EF2564">
      <w:pPr>
        <w:keepNext/>
        <w:spacing w:line="240" w:lineRule="auto"/>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GB" w:eastAsia="en-GB" w:bidi="ar-SA"/>
        </w:rPr>
        <w:drawing>
          <wp:inline distT="0" distB="0" distL="0" distR="0">
            <wp:extent cx="5428800" cy="2646000"/>
            <wp:effectExtent l="0" t="0" r="635" b="254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428800" cy="2646000"/>
                    </a:xfrm>
                    <a:prstGeom prst="rect">
                      <a:avLst/>
                    </a:prstGeom>
                    <a:noFill/>
                  </pic:spPr>
                </pic:pic>
              </a:graphicData>
            </a:graphic>
          </wp:inline>
        </w:drawing>
      </w:r>
    </w:p>
    <w:p w:rsidR="00EF5220" w:rsidRDefault="00EF2564">
      <w:pPr>
        <w:spacing w:afterLines="200" w:after="480" w:line="240" w:lineRule="auto"/>
        <w:rPr>
          <w:rFonts w:ascii="Times New Roman" w:hAnsi="Times New Roman" w:cs="Times New Roman"/>
          <w:noProof/>
          <w:sz w:val="20"/>
          <w:szCs w:val="20"/>
          <w:lang w:val="en-GB"/>
        </w:rPr>
      </w:pPr>
      <w:r>
        <w:rPr>
          <w:rFonts w:ascii="Times New Roman" w:hAnsi="Times New Roman"/>
          <w:noProof/>
          <w:sz w:val="20"/>
          <w:lang w:val="fr-BE"/>
        </w:rPr>
        <w:t xml:space="preserve">Source: EU Labour Force Survey. </w:t>
      </w:r>
      <w:r>
        <w:rPr>
          <w:rFonts w:ascii="Times New Roman" w:hAnsi="Times New Roman"/>
          <w:noProof/>
          <w:sz w:val="20"/>
          <w:lang w:val="en-GB"/>
        </w:rPr>
        <w:t>Data correspond to 2017. Data for LT and RO are missing.</w:t>
      </w:r>
    </w:p>
    <w:p w:rsidR="00EF5220" w:rsidRDefault="00EF2564">
      <w:pPr>
        <w:pStyle w:val="caption1"/>
        <w:keepNext/>
        <w:jc w:val="both"/>
        <w:rPr>
          <w:rFonts w:ascii="Times New Roman" w:hAnsi="Times New Roman"/>
          <w:b w:val="0"/>
          <w:noProof/>
          <w:sz w:val="24"/>
          <w:szCs w:val="24"/>
          <w:lang w:val="en-GB"/>
        </w:rPr>
      </w:pPr>
      <w:bookmarkStart w:id="40" w:name="_Ref528663466"/>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28</w:t>
      </w:r>
      <w:r>
        <w:rPr>
          <w:rFonts w:ascii="Times New Roman" w:hAnsi="Times New Roman"/>
          <w:noProof/>
          <w:sz w:val="24"/>
          <w:szCs w:val="24"/>
          <w:lang w:val="en-GB"/>
        </w:rPr>
        <w:fldChar w:fldCharType="end"/>
      </w:r>
      <w:bookmarkEnd w:id="40"/>
      <w:r>
        <w:rPr>
          <w:rFonts w:ascii="Times New Roman" w:hAnsi="Times New Roman"/>
          <w:noProof/>
          <w:sz w:val="24"/>
          <w:lang w:val="en-GB"/>
        </w:rPr>
        <w:t>. Share of low-qualified adults participating in learning (as part of all low-qualified adults), 2017</w:t>
      </w:r>
    </w:p>
    <w:p w:rsidR="00EF5220" w:rsidRDefault="00EF2564">
      <w:pPr>
        <w:keepNext/>
        <w:spacing w:line="240" w:lineRule="auto"/>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GB" w:eastAsia="en-GB" w:bidi="ar-SA"/>
        </w:rPr>
        <w:drawing>
          <wp:inline distT="0" distB="0" distL="0" distR="0">
            <wp:extent cx="5340350" cy="2371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340350" cy="2371725"/>
                    </a:xfrm>
                    <a:prstGeom prst="rect">
                      <a:avLst/>
                    </a:prstGeom>
                    <a:noFill/>
                  </pic:spPr>
                </pic:pic>
              </a:graphicData>
            </a:graphic>
          </wp:inline>
        </w:drawing>
      </w:r>
    </w:p>
    <w:p w:rsidR="00EF5220" w:rsidRDefault="00EF2564">
      <w:pPr>
        <w:spacing w:afterLines="200" w:after="480" w:line="240" w:lineRule="auto"/>
        <w:rPr>
          <w:rFonts w:ascii="Times New Roman" w:hAnsi="Times New Roman" w:cs="Times New Roman"/>
          <w:noProof/>
          <w:sz w:val="20"/>
          <w:szCs w:val="20"/>
          <w:lang w:val="en-GB"/>
        </w:rPr>
      </w:pPr>
      <w:r>
        <w:rPr>
          <w:rFonts w:ascii="Times New Roman" w:hAnsi="Times New Roman"/>
          <w:noProof/>
          <w:sz w:val="20"/>
          <w:lang w:val="fr-BE"/>
        </w:rPr>
        <w:t xml:space="preserve">Source: EU Labour Force Survey. </w:t>
      </w:r>
      <w:r>
        <w:rPr>
          <w:rFonts w:ascii="Times New Roman" w:hAnsi="Times New Roman"/>
          <w:noProof/>
          <w:sz w:val="20"/>
          <w:lang w:val="en-GB"/>
        </w:rPr>
        <w:t>Data correspond to 2017. Data for RO, BG, LT, SK are not available.</w:t>
      </w:r>
    </w:p>
    <w:p w:rsidR="00EF5220" w:rsidRDefault="00EF2564">
      <w:pPr>
        <w:autoSpaceDE w:val="0"/>
        <w:autoSpaceDN w:val="0"/>
        <w:adjustRightInd w:val="0"/>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The provision of financial incentives to employers can encourage their investment in staff training. </w:t>
      </w:r>
      <w:r>
        <w:rPr>
          <w:rFonts w:ascii="Times New Roman" w:hAnsi="Times New Roman"/>
          <w:noProof/>
          <w:sz w:val="24"/>
          <w:lang w:val="en-GB"/>
        </w:rPr>
        <w:t>Employers in most cases are the ones providing or finan</w:t>
      </w:r>
      <w:r>
        <w:rPr>
          <w:rFonts w:ascii="Times New Roman" w:hAnsi="Times New Roman"/>
          <w:noProof/>
          <w:sz w:val="24"/>
          <w:lang w:val="en-GB"/>
        </w:rPr>
        <w:t>cing adult learning for their staff, as they sponsor more than two-thirds of all adults participating in job-related training. Despite low overall coverage, public financing to employers is a common policy tool in Member States. Incentives can broadly take</w:t>
      </w:r>
      <w:r>
        <w:rPr>
          <w:rFonts w:ascii="Times New Roman" w:hAnsi="Times New Roman"/>
          <w:noProof/>
          <w:sz w:val="24"/>
          <w:lang w:val="en-GB"/>
        </w:rPr>
        <w:t xml:space="preserve"> the form of tax incentives (tax credits or tax allowances), direct subsidies for training (including EU support) or levy-based financing schemes (training funds). There is also evidence that direct subsidies to enterprises (e.g. in the form of grants) can</w:t>
      </w:r>
      <w:r>
        <w:rPr>
          <w:rFonts w:ascii="Times New Roman" w:hAnsi="Times New Roman"/>
          <w:noProof/>
          <w:sz w:val="24"/>
          <w:lang w:val="en-GB"/>
        </w:rPr>
        <w:t xml:space="preserve"> be more effective in steering employee participation in learning, as compared to the other forms of financial incentives. The appropriate targeting of financial support for training is important, for example, by focusing on enterprises that face financial</w:t>
      </w:r>
      <w:r>
        <w:rPr>
          <w:rFonts w:ascii="Times New Roman" w:hAnsi="Times New Roman"/>
          <w:noProof/>
          <w:sz w:val="24"/>
          <w:lang w:val="en-GB"/>
        </w:rPr>
        <w:t xml:space="preserve"> and capacity constraints, notably SMEs, in order to avoid deadweight effects (financing investment that would have taken place anyway). Indeed, evidence shows that the coverage, rather than the volume of financial support, has a strong positive link with </w:t>
      </w:r>
      <w:r>
        <w:rPr>
          <w:rFonts w:ascii="Times New Roman" w:hAnsi="Times New Roman"/>
          <w:noProof/>
          <w:sz w:val="24"/>
          <w:lang w:val="en-GB"/>
        </w:rPr>
        <w:t>participation of adults in learning. According to latest (2015) data on financial support from Continuous Vocational Training Survey,</w:t>
      </w:r>
      <w:r>
        <w:rPr>
          <w:rStyle w:val="FootnoteReference"/>
          <w:rFonts w:ascii="Times New Roman" w:hAnsi="Times New Roman"/>
          <w:noProof/>
          <w:sz w:val="24"/>
          <w:lang w:val="en-GB"/>
        </w:rPr>
        <w:footnoteReference w:id="46"/>
      </w:r>
      <w:r>
        <w:rPr>
          <w:rFonts w:ascii="Times New Roman" w:hAnsi="Times New Roman"/>
          <w:noProof/>
          <w:sz w:val="24"/>
          <w:lang w:val="en-GB"/>
        </w:rPr>
        <w:t xml:space="preserve"> the share of companies which report to have received any type of public co-financing for training activities during the l</w:t>
      </w:r>
      <w:r>
        <w:rPr>
          <w:rFonts w:ascii="Times New Roman" w:hAnsi="Times New Roman"/>
          <w:noProof/>
          <w:sz w:val="24"/>
          <w:lang w:val="en-GB"/>
        </w:rPr>
        <w:t xml:space="preserve">ast 12 months (reflecting the coverage of financial support) range from 0.1% in Romania to nearly 64% in Spain (Figure </w:t>
      </w:r>
      <w:r>
        <w:rPr>
          <w:rFonts w:ascii="Times New Roman" w:hAnsi="Times New Roman"/>
          <w:noProof/>
          <w:sz w:val="24"/>
          <w:szCs w:val="24"/>
          <w:lang w:val="en-GB"/>
        </w:rPr>
        <w:t>29</w:t>
      </w:r>
      <w:r>
        <w:rPr>
          <w:rFonts w:ascii="Times New Roman" w:hAnsi="Times New Roman"/>
          <w:noProof/>
          <w:sz w:val="24"/>
          <w:lang w:val="en-GB"/>
        </w:rPr>
        <w:t>). Apart from Romania, also in Portugal, Slovakia and Bulgaria the share of companies that receive such type of financial support is lo</w:t>
      </w:r>
      <w:r>
        <w:rPr>
          <w:rFonts w:ascii="Times New Roman" w:hAnsi="Times New Roman"/>
          <w:noProof/>
          <w:sz w:val="24"/>
          <w:lang w:val="en-GB"/>
        </w:rPr>
        <w:t xml:space="preserve">wer than 1%. Conversely, in Cyprus, Belgium, France and Spain, this share exceeds 20%.  </w:t>
      </w:r>
      <w:r>
        <w:rPr>
          <w:rFonts w:ascii="Arial" w:hAnsi="Arial"/>
          <w:noProof/>
          <w:color w:val="222222"/>
          <w:lang w:val="en-GB"/>
        </w:rPr>
        <w:t xml:space="preserve"> </w:t>
      </w:r>
    </w:p>
    <w:p w:rsidR="00EF5220" w:rsidRDefault="00EF2564">
      <w:pPr>
        <w:pStyle w:val="caption1"/>
        <w:keepNext/>
        <w:jc w:val="both"/>
        <w:rPr>
          <w:rFonts w:ascii="Times New Roman" w:hAnsi="Times New Roman"/>
          <w:noProof/>
          <w:sz w:val="24"/>
          <w:lang w:val="en-GB"/>
        </w:rPr>
      </w:pPr>
      <w:bookmarkStart w:id="41" w:name="_Ref528663505"/>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29</w:t>
      </w:r>
      <w:r>
        <w:rPr>
          <w:rFonts w:ascii="Times New Roman" w:hAnsi="Times New Roman"/>
          <w:noProof/>
          <w:sz w:val="24"/>
          <w:szCs w:val="24"/>
          <w:lang w:val="en-GB"/>
        </w:rPr>
        <w:fldChar w:fldCharType="end"/>
      </w:r>
      <w:bookmarkEnd w:id="41"/>
      <w:r>
        <w:rPr>
          <w:rFonts w:ascii="Times New Roman" w:hAnsi="Times New Roman"/>
          <w:noProof/>
          <w:sz w:val="24"/>
          <w:lang w:val="en-GB"/>
        </w:rPr>
        <w:t>. Financial support for training provided to companies, 2015</w:t>
      </w:r>
    </w:p>
    <w:p w:rsidR="00EF5220" w:rsidRDefault="00EF2564">
      <w:pPr>
        <w:rPr>
          <w:noProof/>
          <w:lang w:val="en-GB"/>
        </w:rPr>
      </w:pPr>
      <w:r>
        <w:rPr>
          <w:noProof/>
          <w:lang w:val="en-GB" w:eastAsia="en-GB" w:bidi="ar-SA"/>
        </w:rPr>
        <w:drawing>
          <wp:inline distT="0" distB="0" distL="0" distR="0">
            <wp:extent cx="5248910" cy="257873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248910" cy="2578735"/>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Eurostat, Continuous Vocational Training Survey. Data </w:t>
      </w:r>
      <w:r>
        <w:rPr>
          <w:rFonts w:ascii="Times New Roman" w:hAnsi="Times New Roman"/>
          <w:noProof/>
          <w:sz w:val="20"/>
          <w:lang w:val="en-GB"/>
        </w:rPr>
        <w:t>correspond to 2015 and show the share of enterprises with 10 and more persons employed that report to have received public financial support for training provision during the reference year (2015). Data for Ireland are missing.</w:t>
      </w:r>
    </w:p>
    <w:p w:rsidR="00EF5220" w:rsidRDefault="00EF5220">
      <w:pPr>
        <w:jc w:val="both"/>
        <w:rPr>
          <w:rFonts w:ascii="Times New Roman" w:hAnsi="Times New Roman" w:cs="Times New Roman"/>
          <w:noProof/>
          <w:sz w:val="20"/>
          <w:szCs w:val="20"/>
          <w:lang w:val="en-GB"/>
        </w:rPr>
      </w:pPr>
    </w:p>
    <w:p w:rsidR="00EF5220" w:rsidRDefault="00EF2564">
      <w:pPr>
        <w:spacing w:line="360" w:lineRule="auto"/>
        <w:jc w:val="both"/>
        <w:rPr>
          <w:rFonts w:ascii="Times New Roman" w:hAnsi="Times New Roman"/>
          <w:noProof/>
          <w:sz w:val="24"/>
          <w:highlight w:val="yellow"/>
          <w:lang w:val="en-GB"/>
        </w:rPr>
      </w:pPr>
      <w:r>
        <w:rPr>
          <w:rFonts w:ascii="Times New Roman" w:hAnsi="Times New Roman"/>
          <w:b/>
          <w:noProof/>
          <w:sz w:val="24"/>
          <w:lang w:val="en-GB"/>
        </w:rPr>
        <w:t>The labour market situation</w:t>
      </w:r>
      <w:r>
        <w:rPr>
          <w:rFonts w:ascii="Times New Roman" w:hAnsi="Times New Roman"/>
          <w:b/>
          <w:noProof/>
          <w:sz w:val="24"/>
          <w:lang w:val="en-GB"/>
        </w:rPr>
        <w:t xml:space="preserve"> of young people continues to improve, in line with the strengthening of the macroeconomic environment. </w:t>
      </w:r>
      <w:r>
        <w:rPr>
          <w:rFonts w:ascii="Times New Roman" w:hAnsi="Times New Roman"/>
          <w:noProof/>
          <w:sz w:val="24"/>
          <w:lang w:val="en-GB"/>
        </w:rPr>
        <w:t>In the EU, the youth unemployment rate decreased from a peak of 23.7% in 2013 to 16.8% in 2017. However, it is still higher than it was in 2008 and rema</w:t>
      </w:r>
      <w:r>
        <w:rPr>
          <w:rFonts w:ascii="Times New Roman" w:hAnsi="Times New Roman"/>
          <w:noProof/>
          <w:sz w:val="24"/>
          <w:lang w:val="en-GB"/>
        </w:rPr>
        <w:t xml:space="preserve">ins above 30% in some Member States (Italy, Spain and Greece). Dispersion in youth unemployment rate is decreasing over time (see Figure </w:t>
      </w:r>
      <w:r>
        <w:rPr>
          <w:rFonts w:ascii="Times New Roman" w:hAnsi="Times New Roman"/>
          <w:noProof/>
          <w:sz w:val="24"/>
          <w:szCs w:val="24"/>
          <w:lang w:val="en-GB"/>
        </w:rPr>
        <w:t>30</w:t>
      </w:r>
      <w:r>
        <w:rPr>
          <w:rFonts w:ascii="Times New Roman" w:hAnsi="Times New Roman"/>
          <w:noProof/>
          <w:sz w:val="24"/>
          <w:lang w:val="en-GB"/>
        </w:rPr>
        <w:t>), with higher reductions seen in countries with higher levels, although with some exceptions (Italy, France, Belgium</w:t>
      </w:r>
      <w:r>
        <w:rPr>
          <w:rFonts w:ascii="Times New Roman" w:hAnsi="Times New Roman"/>
          <w:noProof/>
          <w:sz w:val="24"/>
          <w:lang w:val="en-GB"/>
        </w:rPr>
        <w:t>) where the decline is rather slow. At the other end of the spectrum, remarkable reductions have been achieved in the Czech Republic, Hungary, Slovenia, Bulgaria, Ireland and Poland, which were well below the EU average in 2017. Young men and women experie</w:t>
      </w:r>
      <w:r>
        <w:rPr>
          <w:rFonts w:ascii="Times New Roman" w:hAnsi="Times New Roman"/>
          <w:noProof/>
          <w:sz w:val="24"/>
          <w:lang w:val="en-GB"/>
        </w:rPr>
        <w:t>nce similar levels and trends in unemployment rates (16.1% for women and 17.4% for men in 2017). The employment recovery does not always lead to quality job creation, as young people are more often employed under non-standard and precarious types of contra</w:t>
      </w:r>
      <w:r>
        <w:rPr>
          <w:rFonts w:ascii="Times New Roman" w:hAnsi="Times New Roman"/>
          <w:noProof/>
          <w:sz w:val="24"/>
          <w:lang w:val="en-GB"/>
        </w:rPr>
        <w:t xml:space="preserve">cts, including temporary jobs, involuntary part-time work and low-paid jobs. In 2017, 43.9% of young workers (up from 42.2% in 2013) worked under a temporary contract (compared to 12.2% of workers aged 25-54) – more than 7 out of 10 in Slovenia and Spain. </w:t>
      </w:r>
    </w:p>
    <w:p w:rsidR="00EF5220" w:rsidRDefault="00EF2564">
      <w:pPr>
        <w:keepNext/>
        <w:spacing w:before="120" w:after="120" w:line="240" w:lineRule="auto"/>
        <w:jc w:val="both"/>
        <w:rPr>
          <w:rFonts w:ascii="Times New Roman" w:hAnsi="Times New Roman"/>
          <w:b/>
          <w:noProof/>
          <w:sz w:val="24"/>
          <w:szCs w:val="24"/>
          <w:lang w:val="en-GB"/>
        </w:rPr>
      </w:pPr>
      <w:bookmarkStart w:id="42" w:name="_Ref528663513"/>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30</w:t>
      </w:r>
      <w:r>
        <w:rPr>
          <w:rFonts w:ascii="Times New Roman" w:hAnsi="Times New Roman"/>
          <w:b/>
          <w:noProof/>
          <w:sz w:val="24"/>
          <w:szCs w:val="24"/>
          <w:lang w:val="en-GB"/>
        </w:rPr>
        <w:fldChar w:fldCharType="end"/>
      </w:r>
      <w:bookmarkEnd w:id="42"/>
      <w:r>
        <w:rPr>
          <w:rFonts w:ascii="Times New Roman" w:hAnsi="Times New Roman"/>
          <w:b/>
          <w:noProof/>
          <w:sz w:val="24"/>
          <w:lang w:val="en-GB"/>
        </w:rPr>
        <w:t>: Youth unemployment rate (15-24), multiannual comparison</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566867" cy="258617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565123" cy="2585363"/>
                    </a:xfrm>
                    <a:prstGeom prst="rect">
                      <a:avLst/>
                    </a:prstGeom>
                    <a:noFill/>
                  </pic:spPr>
                </pic:pic>
              </a:graphicData>
            </a:graphic>
          </wp:inline>
        </w:drawing>
      </w:r>
    </w:p>
    <w:p w:rsidR="00EF5220" w:rsidRDefault="00EF2564">
      <w:pPr>
        <w:spacing w:line="240" w:lineRule="auto"/>
        <w:jc w:val="both"/>
        <w:rPr>
          <w:rFonts w:ascii="Times New Roman" w:hAnsi="Times New Roman"/>
          <w:noProof/>
          <w:sz w:val="20"/>
          <w:szCs w:val="20"/>
          <w:lang w:val="en-GB"/>
        </w:rPr>
      </w:pPr>
      <w:r>
        <w:rPr>
          <w:rFonts w:ascii="Times New Roman" w:hAnsi="Times New Roman"/>
          <w:noProof/>
          <w:sz w:val="20"/>
          <w:szCs w:val="20"/>
          <w:lang w:val="en-GB"/>
        </w:rPr>
        <w:t>Source: Eurostat, LFS.</w:t>
      </w:r>
    </w:p>
    <w:p w:rsidR="00EF5220" w:rsidRDefault="00EF5220">
      <w:pPr>
        <w:spacing w:line="360" w:lineRule="auto"/>
        <w:jc w:val="both"/>
        <w:rPr>
          <w:rFonts w:ascii="Times New Roman" w:hAnsi="Times New Roman"/>
          <w:noProof/>
          <w:sz w:val="24"/>
          <w:highlight w:val="yellow"/>
          <w:lang w:val="en-GB"/>
        </w:rPr>
      </w:pPr>
    </w:p>
    <w:p w:rsidR="00EF5220" w:rsidRDefault="00EF2564">
      <w:pPr>
        <w:spacing w:line="360" w:lineRule="auto"/>
        <w:jc w:val="both"/>
        <w:rPr>
          <w:rFonts w:ascii="Times New Roman" w:hAnsi="Times New Roman" w:cs="Times New Roman"/>
          <w:noProof/>
          <w:sz w:val="24"/>
          <w:szCs w:val="24"/>
          <w:highlight w:val="yellow"/>
          <w:lang w:val="en-GB"/>
        </w:rPr>
      </w:pPr>
      <w:r>
        <w:rPr>
          <w:rFonts w:ascii="Times New Roman" w:hAnsi="Times New Roman"/>
          <w:b/>
          <w:noProof/>
          <w:sz w:val="24"/>
          <w:lang w:val="en-GB"/>
        </w:rPr>
        <w:t>In addition to those working or seeking a job, a considerable part of young people aged 15-24 are economically inactive.</w:t>
      </w:r>
      <w:r>
        <w:rPr>
          <w:rFonts w:ascii="Times New Roman" w:hAnsi="Times New Roman"/>
          <w:noProof/>
          <w:sz w:val="24"/>
          <w:lang w:val="en-GB"/>
        </w:rPr>
        <w:t xml:space="preserve"> In total in the EU, in 2017 almost 6 million people aged 15-24 were neither in employment, education or training (NEET). This amounts to 10.9% of population in that age class, down from a peak of 13.2% in 2012 and back to the level of 2008 (10.9%). This r</w:t>
      </w:r>
      <w:r>
        <w:rPr>
          <w:rFonts w:ascii="Times New Roman" w:hAnsi="Times New Roman"/>
          <w:noProof/>
          <w:sz w:val="24"/>
          <w:lang w:val="en-GB"/>
        </w:rPr>
        <w:t xml:space="preserve">eduction was due mostly to unemployed NEETs moving into work. As shown in Figure </w:t>
      </w:r>
      <w:r>
        <w:rPr>
          <w:rFonts w:ascii="Times New Roman" w:hAnsi="Times New Roman"/>
          <w:noProof/>
          <w:sz w:val="24"/>
          <w:szCs w:val="24"/>
          <w:lang w:val="en-GB"/>
        </w:rPr>
        <w:t>31</w:t>
      </w:r>
      <w:r>
        <w:rPr>
          <w:rFonts w:ascii="Times New Roman" w:hAnsi="Times New Roman"/>
          <w:noProof/>
          <w:sz w:val="24"/>
          <w:lang w:val="en-GB"/>
        </w:rPr>
        <w:t>, NEET rates above 15% are still recorded in several countries (Italy, Cyprus, Bulgaria, Croatia, Greece and Romania). The number of NEETs is increasing in Denmark</w:t>
      </w:r>
      <w:r>
        <w:rPr>
          <w:rStyle w:val="FootnoteReference"/>
          <w:rFonts w:ascii="Times New Roman" w:hAnsi="Times New Roman"/>
          <w:noProof/>
          <w:sz w:val="24"/>
          <w:lang w:val="en-GB"/>
        </w:rPr>
        <w:footnoteReference w:id="47"/>
      </w:r>
      <w:r>
        <w:rPr>
          <w:rFonts w:ascii="Times New Roman" w:hAnsi="Times New Roman"/>
          <w:noProof/>
          <w:sz w:val="24"/>
          <w:lang w:val="en-GB"/>
        </w:rPr>
        <w:t>, Luxembo</w:t>
      </w:r>
      <w:r>
        <w:rPr>
          <w:rFonts w:ascii="Times New Roman" w:hAnsi="Times New Roman"/>
          <w:noProof/>
          <w:sz w:val="24"/>
          <w:lang w:val="en-GB"/>
        </w:rPr>
        <w:t>urg, Estonia and, more worryingly, in the two countries with the highest rates (Cyprus and Italy, both "critical situations"). For this reason, convergence is only limited, as suggested by the slightly negative slope of the regression line. On a more posit</w:t>
      </w:r>
      <w:r>
        <w:rPr>
          <w:rFonts w:ascii="Times New Roman" w:hAnsi="Times New Roman"/>
          <w:noProof/>
          <w:sz w:val="24"/>
          <w:lang w:val="en-GB"/>
        </w:rPr>
        <w:t xml:space="preserve">ive tone, remarkable reductions are observed in Bulgaria and Romania ("weak but improving"), starting from high levels. </w:t>
      </w:r>
    </w:p>
    <w:p w:rsidR="00EF5220" w:rsidRDefault="00EF2564">
      <w:pPr>
        <w:keepNext/>
        <w:spacing w:before="120" w:after="120" w:line="240" w:lineRule="auto"/>
        <w:jc w:val="both"/>
        <w:rPr>
          <w:rFonts w:ascii="Times New Roman" w:hAnsi="Times New Roman"/>
          <w:b/>
          <w:noProof/>
          <w:sz w:val="24"/>
          <w:szCs w:val="24"/>
          <w:lang w:val="en-GB"/>
        </w:rPr>
      </w:pPr>
      <w:bookmarkStart w:id="43" w:name="_Ref528663527"/>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31</w:t>
      </w:r>
      <w:r>
        <w:rPr>
          <w:rFonts w:ascii="Times New Roman" w:hAnsi="Times New Roman"/>
          <w:b/>
          <w:noProof/>
          <w:sz w:val="24"/>
          <w:szCs w:val="24"/>
          <w:lang w:val="en-GB"/>
        </w:rPr>
        <w:fldChar w:fldCharType="end"/>
      </w:r>
      <w:bookmarkEnd w:id="43"/>
      <w:r>
        <w:rPr>
          <w:rFonts w:ascii="Times New Roman" w:hAnsi="Times New Roman"/>
          <w:b/>
          <w:noProof/>
          <w:sz w:val="24"/>
          <w:lang w:val="en-GB"/>
        </w:rPr>
        <w:t>: NEET rate (15-24) and yearly change (Social Scoreboard headline indicator).</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396933" cy="433908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396622" cy="4338837"/>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szCs w:val="20"/>
          <w:lang w:val="en-GB"/>
        </w:rPr>
        <w:t xml:space="preserve">Source: Eurostat. </w:t>
      </w:r>
      <w:r>
        <w:rPr>
          <w:rFonts w:ascii="Times New Roman" w:hAnsi="Times New Roman"/>
          <w:noProof/>
          <w:sz w:val="20"/>
          <w:szCs w:val="20"/>
          <w:lang w:val="en-GB"/>
        </w:rPr>
        <w:t>Period: 2017 levels and yearly changes with respect to 2016. Note: Axes are centred on the unweighted EU average. The legend is presented in the Annex.</w:t>
      </w:r>
    </w:p>
    <w:p w:rsidR="00EF5220" w:rsidRDefault="00EF5220">
      <w:pPr>
        <w:spacing w:line="360" w:lineRule="auto"/>
        <w:jc w:val="both"/>
        <w:rPr>
          <w:rFonts w:ascii="Times New Roman" w:hAnsi="Times New Roman" w:cs="Times New Roman"/>
          <w:b/>
          <w:noProof/>
          <w:sz w:val="24"/>
          <w:szCs w:val="24"/>
          <w:highlight w:val="yellow"/>
          <w:lang w:val="en-GB"/>
        </w:rPr>
      </w:pPr>
    </w:p>
    <w:p w:rsidR="00EF5220" w:rsidRDefault="00EF2564">
      <w:pPr>
        <w:spacing w:line="360" w:lineRule="auto"/>
        <w:jc w:val="both"/>
        <w:rPr>
          <w:rFonts w:ascii="Times New Roman" w:hAnsi="Times New Roman" w:cs="Times New Roman"/>
          <w:noProof/>
          <w:sz w:val="24"/>
          <w:szCs w:val="24"/>
          <w:highlight w:val="yellow"/>
          <w:lang w:val="en-GB"/>
        </w:rPr>
      </w:pPr>
      <w:r>
        <w:rPr>
          <w:rFonts w:ascii="Times New Roman" w:hAnsi="Times New Roman"/>
          <w:b/>
          <w:noProof/>
          <w:sz w:val="24"/>
          <w:lang w:val="en-GB"/>
        </w:rPr>
        <w:t>Following the reduction in youth unemployment, the majority of NEETs are inactive, but</w:t>
      </w:r>
      <w:r>
        <w:rPr>
          <w:rFonts w:ascii="Times New Roman" w:hAnsi="Times New Roman"/>
          <w:noProof/>
          <w:sz w:val="24"/>
          <w:lang w:val="en-GB"/>
        </w:rPr>
        <w:t xml:space="preserve"> </w:t>
      </w:r>
      <w:r>
        <w:rPr>
          <w:rFonts w:ascii="Times New Roman" w:hAnsi="Times New Roman"/>
          <w:b/>
          <w:noProof/>
          <w:sz w:val="24"/>
          <w:lang w:val="en-GB"/>
        </w:rPr>
        <w:t>with substantial</w:t>
      </w:r>
      <w:r>
        <w:rPr>
          <w:rFonts w:ascii="Times New Roman" w:hAnsi="Times New Roman"/>
          <w:b/>
          <w:noProof/>
          <w:sz w:val="24"/>
          <w:lang w:val="en-GB"/>
        </w:rPr>
        <w:t xml:space="preserve"> differences among Member States.</w:t>
      </w:r>
      <w:r>
        <w:rPr>
          <w:rFonts w:ascii="Times New Roman" w:hAnsi="Times New Roman"/>
          <w:noProof/>
          <w:sz w:val="24"/>
          <w:lang w:val="en-GB"/>
        </w:rPr>
        <w:t xml:space="preserve"> Inactivity rates are particularly high in Bulgaria, Romania and Italy, while unemployment is predominant in Spain, Croatia and Greece. Having only low-level education has been identified as the main risk factor for being N</w:t>
      </w:r>
      <w:r>
        <w:rPr>
          <w:rFonts w:ascii="Times New Roman" w:hAnsi="Times New Roman"/>
          <w:noProof/>
          <w:sz w:val="24"/>
          <w:lang w:val="en-GB"/>
        </w:rPr>
        <w:t>EET</w:t>
      </w:r>
      <w:r>
        <w:rPr>
          <w:rStyle w:val="FootnoteReference"/>
          <w:rFonts w:ascii="Times New Roman" w:hAnsi="Times New Roman"/>
          <w:noProof/>
          <w:sz w:val="24"/>
          <w:lang w:val="en-GB"/>
        </w:rPr>
        <w:footnoteReference w:id="48"/>
      </w:r>
      <w:r>
        <w:rPr>
          <w:rFonts w:ascii="Times New Roman" w:hAnsi="Times New Roman"/>
          <w:noProof/>
          <w:sz w:val="24"/>
          <w:lang w:val="en-GB"/>
        </w:rPr>
        <w:t>. Among female NEETs, inactivity is more frequent than unemployment, while the opposite holds for men.</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Employment rate of older workers has grown substantially over the last decade.</w:t>
      </w:r>
      <w:r>
        <w:rPr>
          <w:rFonts w:ascii="Times New Roman" w:hAnsi="Times New Roman"/>
          <w:noProof/>
          <w:sz w:val="24"/>
          <w:lang w:val="en-GB"/>
        </w:rPr>
        <w:t xml:space="preserve"> Older workers (aged 55-64) have weathered the crisis relatively better</w:t>
      </w:r>
      <w:r>
        <w:rPr>
          <w:rFonts w:ascii="Times New Roman" w:hAnsi="Times New Roman"/>
          <w:noProof/>
          <w:sz w:val="24"/>
          <w:lang w:val="en-GB"/>
        </w:rPr>
        <w:t xml:space="preserve"> than other age groups and have driven most of the job creation during the recovery, with almost 7 million additional people in employment between Q2-2013 and Q2-2018. More generally, as already shown in Section 1, the age group 55-64 is a very important d</w:t>
      </w:r>
      <w:r>
        <w:rPr>
          <w:rFonts w:ascii="Times New Roman" w:hAnsi="Times New Roman"/>
          <w:noProof/>
          <w:sz w:val="24"/>
          <w:lang w:val="en-GB"/>
        </w:rPr>
        <w:t>river of the overall increase in employment rates over the last ten years. In 2017, the employment rate of people aged 55-64 rose to 55.3%, 1.8 percentage points higher than in previous year, and the steady increase is projected to continue against the bac</w:t>
      </w:r>
      <w:r>
        <w:rPr>
          <w:rFonts w:ascii="Times New Roman" w:hAnsi="Times New Roman"/>
          <w:noProof/>
          <w:sz w:val="24"/>
          <w:lang w:val="en-GB"/>
        </w:rPr>
        <w:t>kground of demographic change. Employment rates of older workers vary widely across Member States, ranging from 76.4% in Sweden to 38.3% in Greece, with rates below or close to 50% also recorded in Spain, Belgium, Poland and Malta. The employment rate of w</w:t>
      </w:r>
      <w:r>
        <w:rPr>
          <w:rFonts w:ascii="Times New Roman" w:hAnsi="Times New Roman"/>
          <w:noProof/>
          <w:sz w:val="24"/>
          <w:lang w:val="en-GB"/>
        </w:rPr>
        <w:t xml:space="preserve">omen aged 55-64 is growing faster than for men and stood at 50.9% in 2016. </w:t>
      </w:r>
    </w:p>
    <w:p w:rsidR="00EF5220" w:rsidRDefault="00EF2564">
      <w:pPr>
        <w:spacing w:line="360" w:lineRule="auto"/>
        <w:jc w:val="both"/>
        <w:rPr>
          <w:rFonts w:ascii="Times New Roman" w:hAnsi="Times New Roman"/>
          <w:noProof/>
          <w:sz w:val="24"/>
          <w:highlight w:val="yellow"/>
          <w:lang w:val="en-GB"/>
        </w:rPr>
      </w:pPr>
      <w:r>
        <w:rPr>
          <w:rFonts w:ascii="Times New Roman" w:hAnsi="Times New Roman"/>
          <w:b/>
          <w:noProof/>
          <w:sz w:val="24"/>
          <w:lang w:val="en-GB"/>
        </w:rPr>
        <w:t>Since 2008, the average duration of working life increased in almost all Member States,</w:t>
      </w:r>
      <w:r>
        <w:rPr>
          <w:rFonts w:ascii="Times New Roman" w:hAnsi="Times New Roman"/>
          <w:noProof/>
          <w:sz w:val="24"/>
          <w:lang w:val="en-GB"/>
        </w:rPr>
        <w:t xml:space="preserve"> with major increases (by more than two years) in Estonia, Lithuania, the Czech Republic, Mal</w:t>
      </w:r>
      <w:r>
        <w:rPr>
          <w:rFonts w:ascii="Times New Roman" w:hAnsi="Times New Roman"/>
          <w:noProof/>
          <w:sz w:val="24"/>
          <w:lang w:val="en-GB"/>
        </w:rPr>
        <w:t>ta, Hungary, Poland and Luxembourg. The gender gap in the duration of working lives is declining but still significant, with women participating in the labour market on average 4.9 years less than men (33.4 vs 38.3 years in 2017). This average is the resul</w:t>
      </w:r>
      <w:r>
        <w:rPr>
          <w:rFonts w:ascii="Times New Roman" w:hAnsi="Times New Roman"/>
          <w:noProof/>
          <w:sz w:val="24"/>
          <w:lang w:val="en-GB"/>
        </w:rPr>
        <w:t>t of major variations across Member States and is driven by multiple factors, such as insufficient access to care services as well as lower pensionable ages for women in some Member States.</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32</w:t>
      </w:r>
      <w:r>
        <w:rPr>
          <w:rFonts w:ascii="Times New Roman" w:hAnsi="Times New Roman"/>
          <w:b/>
          <w:noProof/>
          <w:sz w:val="24"/>
          <w:szCs w:val="24"/>
          <w:lang w:val="en-GB"/>
        </w:rPr>
        <w:fldChar w:fldCharType="end"/>
      </w:r>
      <w:r>
        <w:rPr>
          <w:rFonts w:ascii="Times New Roman" w:hAnsi="Times New Roman"/>
          <w:b/>
          <w:noProof/>
          <w:sz w:val="24"/>
          <w:lang w:val="en-GB"/>
        </w:rPr>
        <w:t xml:space="preserve">: Average duration of working </w:t>
      </w:r>
      <w:r>
        <w:rPr>
          <w:rFonts w:ascii="Times New Roman" w:hAnsi="Times New Roman"/>
          <w:b/>
          <w:noProof/>
          <w:sz w:val="24"/>
          <w:lang w:val="en-GB"/>
        </w:rPr>
        <w:t>life, 2008-2017 comparison</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06627" cy="27622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716438" cy="2766999"/>
                    </a:xfrm>
                    <a:prstGeom prst="rect">
                      <a:avLst/>
                    </a:prstGeom>
                    <a:noFill/>
                  </pic:spPr>
                </pic:pic>
              </a:graphicData>
            </a:graphic>
          </wp:inline>
        </w:drawing>
      </w:r>
    </w:p>
    <w:p w:rsidR="00EF5220" w:rsidRDefault="00EF2564">
      <w:pPr>
        <w:spacing w:line="360" w:lineRule="auto"/>
        <w:jc w:val="both"/>
        <w:rPr>
          <w:rFonts w:ascii="Times New Roman" w:hAnsi="Times New Roman"/>
          <w:noProof/>
          <w:sz w:val="20"/>
          <w:szCs w:val="20"/>
          <w:lang w:val="en-GB"/>
        </w:rPr>
      </w:pPr>
      <w:r>
        <w:rPr>
          <w:rFonts w:ascii="Times New Roman" w:hAnsi="Times New Roman"/>
          <w:noProof/>
          <w:sz w:val="20"/>
          <w:szCs w:val="20"/>
          <w:lang w:val="en-GB"/>
        </w:rPr>
        <w:t>Source: Eurostat, LFS.</w:t>
      </w:r>
    </w:p>
    <w:p w:rsidR="00EF5220" w:rsidRDefault="00EF5220">
      <w:pPr>
        <w:spacing w:line="360" w:lineRule="auto"/>
        <w:jc w:val="both"/>
        <w:rPr>
          <w:rFonts w:ascii="Times New Roman" w:hAnsi="Times New Roman"/>
          <w:b/>
          <w:noProof/>
          <w:sz w:val="24"/>
          <w:highlight w:val="yellow"/>
          <w:u w:val="single"/>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In 2017, the employment rate of women continued its steady increase. </w:t>
      </w:r>
      <w:r>
        <w:rPr>
          <w:rFonts w:ascii="Times New Roman" w:hAnsi="Times New Roman"/>
          <w:noProof/>
          <w:sz w:val="24"/>
          <w:lang w:val="en-GB"/>
        </w:rPr>
        <w:t>It reached 66.5%, compared to 65.3% a year before. The employment rate of women improved in all Member States, with the exception of D</w:t>
      </w:r>
      <w:r>
        <w:rPr>
          <w:rFonts w:ascii="Times New Roman" w:hAnsi="Times New Roman"/>
          <w:noProof/>
          <w:sz w:val="24"/>
          <w:lang w:val="en-GB"/>
        </w:rPr>
        <w:t xml:space="preserve">enmark (where it is nonetheless very high). It ranges between 79.9% in Sweden and 48.0% in Greece, with low rates (below 60%) also recorded in Spain, Malta, Croatia and Italy. Despite progress, in all Member States women continue to be less represented in </w:t>
      </w:r>
      <w:r>
        <w:rPr>
          <w:rFonts w:ascii="Times New Roman" w:hAnsi="Times New Roman"/>
          <w:noProof/>
          <w:sz w:val="24"/>
          <w:lang w:val="en-GB"/>
        </w:rPr>
        <w:t>the labour market compared to men. The gender gap in employment – a headline indicator of the Social Scoreboard – remains high at 11.5 percentage points. In a context of little variation compared to last year, convergence among Member States is limited. It</w:t>
      </w:r>
      <w:r>
        <w:rPr>
          <w:rFonts w:ascii="Times New Roman" w:hAnsi="Times New Roman"/>
          <w:noProof/>
          <w:sz w:val="24"/>
          <w:lang w:val="en-GB"/>
        </w:rPr>
        <w:t>aly, Greece, and Romania are flagged as "critical situations", while Malta, which still experiences the highest gender employment gap, saw a notable improvement in 2017. Significant increases (by 1 pp or more) were registered in Latvia, Hungary and Croatia</w:t>
      </w:r>
      <w:r>
        <w:rPr>
          <w:rFonts w:ascii="Times New Roman" w:hAnsi="Times New Roman"/>
          <w:noProof/>
          <w:sz w:val="24"/>
          <w:lang w:val="en-GB"/>
        </w:rPr>
        <w:t xml:space="preserve">, even if in these Member States employment rate increased for both sexes, but much faster for men than for women. Latvia, together with Lithuania, Finland and Sweden, remain the best performers on the gender employment gap.    </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w:instrText>
      </w:r>
      <w:r>
        <w:rPr>
          <w:rFonts w:ascii="Times New Roman" w:hAnsi="Times New Roman"/>
          <w:b/>
          <w:noProof/>
          <w:sz w:val="24"/>
          <w:szCs w:val="24"/>
          <w:lang w:val="en-GB"/>
        </w:rPr>
        <w:instrText xml:space="preserve">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33</w:t>
      </w:r>
      <w:r>
        <w:rPr>
          <w:rFonts w:ascii="Times New Roman" w:hAnsi="Times New Roman"/>
          <w:b/>
          <w:noProof/>
          <w:sz w:val="24"/>
          <w:szCs w:val="24"/>
          <w:lang w:val="en-GB"/>
        </w:rPr>
        <w:fldChar w:fldCharType="end"/>
      </w:r>
      <w:r>
        <w:rPr>
          <w:rFonts w:ascii="Times New Roman" w:hAnsi="Times New Roman"/>
          <w:b/>
          <w:noProof/>
          <w:sz w:val="24"/>
          <w:lang w:val="en-GB"/>
        </w:rPr>
        <w:t>: Gender employment gap and yearly change (Social Scoreboard headline indicator)</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624423" cy="44447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626716" cy="4446552"/>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szCs w:val="20"/>
          <w:lang w:val="en-GB"/>
        </w:rPr>
        <w:t>Source: Eurostat, LFS. Period: 2017 levels and yearly changes with respect to 2016. Note: Axes are centred on the unweighted EU average. The legend is presented in th</w:t>
      </w:r>
      <w:r>
        <w:rPr>
          <w:rFonts w:ascii="Times New Roman" w:hAnsi="Times New Roman"/>
          <w:noProof/>
          <w:sz w:val="20"/>
          <w:szCs w:val="20"/>
          <w:lang w:val="en-GB"/>
        </w:rPr>
        <w:t>e Annex.</w:t>
      </w:r>
    </w:p>
    <w:p w:rsidR="00EF5220" w:rsidRDefault="00EF5220">
      <w:pPr>
        <w:spacing w:line="240" w:lineRule="auto"/>
        <w:jc w:val="both"/>
        <w:rPr>
          <w:rFonts w:ascii="Times New Roman" w:hAnsi="Times New Roman" w:cs="Times New Roman"/>
          <w:noProof/>
          <w:lang w:val="en-GB"/>
        </w:rPr>
      </w:pPr>
    </w:p>
    <w:p w:rsidR="00EF5220" w:rsidRDefault="00EF2564">
      <w:pPr>
        <w:spacing w:line="360" w:lineRule="auto"/>
        <w:jc w:val="both"/>
        <w:rPr>
          <w:rFonts w:ascii="Times New Roman" w:hAnsi="Times New Roman" w:cs="Times New Roman"/>
          <w:noProof/>
          <w:sz w:val="24"/>
          <w:szCs w:val="24"/>
          <w:highlight w:val="lightGray"/>
          <w:lang w:val="en-GB"/>
        </w:rPr>
      </w:pPr>
      <w:r>
        <w:rPr>
          <w:rFonts w:ascii="Times New Roman" w:hAnsi="Times New Roman"/>
          <w:b/>
          <w:noProof/>
          <w:sz w:val="24"/>
          <w:lang w:val="en-GB"/>
        </w:rPr>
        <w:t>The gender employment gap is bigger in terms of full-time equivalents, as women register higher rates of part-time work.</w:t>
      </w:r>
      <w:r>
        <w:rPr>
          <w:rFonts w:ascii="Times New Roman" w:hAnsi="Times New Roman"/>
          <w:noProof/>
          <w:sz w:val="24"/>
          <w:lang w:val="en-GB"/>
        </w:rPr>
        <w:t xml:space="preserve"> The average gender gap in part-time employment decreased only slightly compared to 2016 and stood at 23 pps in 2017.</w:t>
      </w:r>
      <w:r>
        <w:rPr>
          <w:rFonts w:ascii="Times New Roman" w:hAnsi="Times New Roman"/>
          <w:b/>
          <w:noProof/>
          <w:sz w:val="24"/>
          <w:lang w:val="en-GB"/>
        </w:rPr>
        <w:t xml:space="preserve"> </w:t>
      </w:r>
      <w:r>
        <w:rPr>
          <w:rFonts w:ascii="Times New Roman" w:hAnsi="Times New Roman"/>
          <w:noProof/>
          <w:sz w:val="24"/>
          <w:lang w:val="en-GB"/>
        </w:rPr>
        <w:t>Overall,</w:t>
      </w:r>
      <w:r>
        <w:rPr>
          <w:rFonts w:ascii="Times New Roman" w:hAnsi="Times New Roman"/>
          <w:noProof/>
          <w:sz w:val="24"/>
          <w:lang w:val="en-GB"/>
        </w:rPr>
        <w:t xml:space="preserve"> 31.1% of women in the EU worked part-time in 2017 compared to 8.2% of men. However, there are large differences across Member States. While the share of women working part-time remains traditionally low in most of the Eastern European Member States (below</w:t>
      </w:r>
      <w:r>
        <w:rPr>
          <w:rFonts w:ascii="Times New Roman" w:hAnsi="Times New Roman"/>
          <w:noProof/>
          <w:sz w:val="24"/>
          <w:lang w:val="en-GB"/>
        </w:rPr>
        <w:t xml:space="preserve"> 10% in Bulgaria, Croatia, Lithuania, Hungary, Poland, Romania and Latvia), it has reached 74.1% in the Netherlands (22.6% for men), 49.9% in Austria (10.5% for men) and 46.8% in Germany (9.3% for men). Availability of part-time work is an important factor</w:t>
      </w:r>
      <w:r>
        <w:rPr>
          <w:rFonts w:ascii="Times New Roman" w:hAnsi="Times New Roman"/>
          <w:noProof/>
          <w:sz w:val="24"/>
          <w:lang w:val="en-GB"/>
        </w:rPr>
        <w:t xml:space="preserve"> for keeping women attached to the labour market, notably when they have children. However, long periods of reduced working hours may fuel gender gaps in wages and pensions, as part-time is usually also associated with lower hourly earnings and lower socia</w:t>
      </w:r>
      <w:r>
        <w:rPr>
          <w:rFonts w:ascii="Times New Roman" w:hAnsi="Times New Roman"/>
          <w:noProof/>
          <w:sz w:val="24"/>
          <w:lang w:val="en-GB"/>
        </w:rPr>
        <w:t>l security contributions. Even if declining, 22.5% of female part-time employment was involuntary in 2017.</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In addition to lower employment rates, women also tend to suffer from a significant pay gap. </w:t>
      </w:r>
      <w:r>
        <w:rPr>
          <w:rFonts w:ascii="Times New Roman" w:hAnsi="Times New Roman"/>
          <w:noProof/>
          <w:sz w:val="24"/>
          <w:lang w:val="en-GB"/>
        </w:rPr>
        <w:t xml:space="preserve">In spite of women being generally better qualified than </w:t>
      </w:r>
      <w:r>
        <w:rPr>
          <w:rFonts w:ascii="Times New Roman" w:hAnsi="Times New Roman"/>
          <w:noProof/>
          <w:sz w:val="24"/>
          <w:lang w:val="en-GB"/>
        </w:rPr>
        <w:t>men</w:t>
      </w:r>
      <w:r>
        <w:rPr>
          <w:rFonts w:ascii="Times New Roman" w:hAnsi="Times New Roman"/>
          <w:noProof/>
          <w:sz w:val="24"/>
          <w:vertAlign w:val="superscript"/>
          <w:lang w:val="en-GB"/>
        </w:rPr>
        <w:footnoteReference w:id="49"/>
      </w:r>
      <w:r>
        <w:rPr>
          <w:rFonts w:ascii="Times New Roman" w:hAnsi="Times New Roman"/>
          <w:noProof/>
          <w:sz w:val="24"/>
          <w:lang w:val="en-GB"/>
        </w:rPr>
        <w:t>, the gender pay gap remains stable at 16.2%</w:t>
      </w:r>
      <w:r>
        <w:rPr>
          <w:rStyle w:val="FootnoteReference"/>
          <w:rFonts w:ascii="Times New Roman" w:hAnsi="Times New Roman"/>
          <w:noProof/>
          <w:sz w:val="24"/>
          <w:lang w:val="en-GB"/>
        </w:rPr>
        <w:footnoteReference w:id="50"/>
      </w:r>
      <w:r>
        <w:rPr>
          <w:rFonts w:ascii="Times New Roman" w:hAnsi="Times New Roman"/>
          <w:noProof/>
          <w:sz w:val="24"/>
          <w:lang w:val="en-GB"/>
        </w:rPr>
        <w:t xml:space="preserve"> in 2016, with only a small decline compared to 2013 (16.8%).</w:t>
      </w:r>
      <w:r>
        <w:rPr>
          <w:rFonts w:ascii="Times New Roman" w:hAnsi="Times New Roman"/>
          <w:b/>
          <w:noProof/>
          <w:sz w:val="24"/>
          <w:lang w:val="en-GB"/>
        </w:rPr>
        <w:t xml:space="preserve"> </w:t>
      </w:r>
      <w:r>
        <w:rPr>
          <w:rFonts w:ascii="Times New Roman" w:hAnsi="Times New Roman"/>
          <w:noProof/>
          <w:sz w:val="24"/>
          <w:lang w:val="en-GB"/>
        </w:rPr>
        <w:t>Women tend to be over-represented in lower paid sectors and occupations and frequently work in underqualified jobs compared to their skills. Stil</w:t>
      </w:r>
      <w:r>
        <w:rPr>
          <w:rFonts w:ascii="Times New Roman" w:hAnsi="Times New Roman"/>
          <w:noProof/>
          <w:sz w:val="24"/>
          <w:lang w:val="en-GB"/>
        </w:rPr>
        <w:t>l, part of the pay gap remains even if netting out factors such as differences in experience, level of education, type of contract, and so on. Differences across countries are considerable. The gender pay gap remains above 20% in Estonia, the Czech Republi</w:t>
      </w:r>
      <w:r>
        <w:rPr>
          <w:rFonts w:ascii="Times New Roman" w:hAnsi="Times New Roman"/>
          <w:noProof/>
          <w:sz w:val="24"/>
          <w:lang w:val="en-GB"/>
        </w:rPr>
        <w:t>c, Germany, the United Kingdom and Austria, while the smallest values (slightly above 5%) are registered in Romania, Italy and Luxembourg. Since 2013, the situation has considerably improved in Estonia, Hungary and Spain, while the gender pay gap has incre</w:t>
      </w:r>
      <w:r>
        <w:rPr>
          <w:rFonts w:ascii="Times New Roman" w:hAnsi="Times New Roman"/>
          <w:noProof/>
          <w:sz w:val="24"/>
          <w:lang w:val="en-GB"/>
        </w:rPr>
        <w:t>ased by more than 2 pps in Portugal and Lithuania. The gender pay gap frequently translates into a pension gap between women and men, which stood at around 37.2 % in 2016 (decreasing by 1.1 pps compared to 2015). The gender pension gap was the highest in C</w:t>
      </w:r>
      <w:r>
        <w:rPr>
          <w:rFonts w:ascii="Times New Roman" w:hAnsi="Times New Roman"/>
          <w:noProof/>
          <w:sz w:val="24"/>
          <w:lang w:val="en-GB"/>
        </w:rPr>
        <w:t xml:space="preserve">yprus, the Netherlands and Malta (above 44%), while the smallest gaps (below 10%) were registered in Estonia, Denmark and Slovakia.   </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34</w:t>
      </w:r>
      <w:r>
        <w:rPr>
          <w:rFonts w:ascii="Times New Roman" w:hAnsi="Times New Roman"/>
          <w:b/>
          <w:noProof/>
          <w:sz w:val="24"/>
          <w:szCs w:val="24"/>
          <w:lang w:val="en-GB"/>
        </w:rPr>
        <w:fldChar w:fldCharType="end"/>
      </w:r>
      <w:r>
        <w:rPr>
          <w:rFonts w:ascii="Times New Roman" w:hAnsi="Times New Roman"/>
          <w:b/>
          <w:noProof/>
          <w:sz w:val="24"/>
          <w:lang w:val="en-GB"/>
        </w:rPr>
        <w:t>: Unadjusted gender pay gap in 2013 and 2016</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62625" cy="28781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992143" cy="2992810"/>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szCs w:val="20"/>
          <w:lang w:val="en-GB"/>
        </w:rPr>
        <w:t xml:space="preserve">Source: Eurostat. Note: the unadjusted </w:t>
      </w:r>
      <w:r>
        <w:rPr>
          <w:rFonts w:ascii="Times New Roman" w:hAnsi="Times New Roman"/>
          <w:noProof/>
          <w:sz w:val="20"/>
          <w:szCs w:val="20"/>
          <w:lang w:val="en-GB"/>
        </w:rPr>
        <w:t>Gender Pay Gap (GPG) is measured as the difference between average gross hourly earnings of male and female paid employees as a percentage of average gross hourly earnings of male paid employees. No recent data available for Croatia, Greece and Ireland.</w:t>
      </w:r>
    </w:p>
    <w:p w:rsidR="00EF5220" w:rsidRDefault="00EF5220">
      <w:pPr>
        <w:spacing w:line="360" w:lineRule="auto"/>
        <w:jc w:val="both"/>
        <w:rPr>
          <w:rFonts w:ascii="Times New Roman" w:hAnsi="Times New Roman" w:cs="Times New Roman"/>
          <w:b/>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Gaps in employment tend to be wider for women with caring responsibilities.</w:t>
      </w:r>
      <w:r>
        <w:rPr>
          <w:rFonts w:ascii="Times New Roman" w:hAnsi="Times New Roman"/>
          <w:noProof/>
          <w:sz w:val="24"/>
          <w:lang w:val="en-GB"/>
        </w:rPr>
        <w:t xml:space="preserve"> For instance, parenthood is one of the main factors hampering women's full participation in the labour market. In all Member States, the gender employment gap widens substantially </w:t>
      </w:r>
      <w:r>
        <w:rPr>
          <w:rFonts w:ascii="Times New Roman" w:hAnsi="Times New Roman"/>
          <w:noProof/>
          <w:sz w:val="24"/>
          <w:lang w:val="en-GB"/>
        </w:rPr>
        <w:t xml:space="preserve">when parenthood is taken into account. On average in 2017, the employment rate of women (20-49 years old) with a child under the age of 6 was 9.2 pps lower than for women without children. In the Czech Republic, Hungary and Slovakia the negative impact of </w:t>
      </w:r>
      <w:r>
        <w:rPr>
          <w:rFonts w:ascii="Times New Roman" w:hAnsi="Times New Roman"/>
          <w:noProof/>
          <w:sz w:val="24"/>
          <w:lang w:val="en-GB"/>
        </w:rPr>
        <w:t>parenthood is particularly high (over 40 pps), while the impact is positive – but smaller than for men – in Portugal, Luxembourg, Sweden and Croatia. Conversely, parenthood has a positive impact on the labour market participation of men in all EU Member St</w:t>
      </w:r>
      <w:r>
        <w:rPr>
          <w:rFonts w:ascii="Times New Roman" w:hAnsi="Times New Roman"/>
          <w:noProof/>
          <w:sz w:val="24"/>
          <w:lang w:val="en-GB"/>
        </w:rPr>
        <w:t>ates (+12.4 pps on average).</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35</w:t>
      </w:r>
      <w:r>
        <w:rPr>
          <w:rFonts w:ascii="Times New Roman" w:hAnsi="Times New Roman"/>
          <w:b/>
          <w:noProof/>
          <w:sz w:val="24"/>
          <w:szCs w:val="24"/>
          <w:lang w:val="en-GB"/>
        </w:rPr>
        <w:fldChar w:fldCharType="end"/>
      </w:r>
      <w:r>
        <w:rPr>
          <w:rFonts w:ascii="Times New Roman" w:hAnsi="Times New Roman"/>
          <w:b/>
          <w:noProof/>
          <w:sz w:val="24"/>
          <w:lang w:val="en-GB"/>
        </w:rPr>
        <w:t xml:space="preserve">: Employment impact of parenthood for men and women (age 20-49) in 2017 </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43575" cy="301497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755602" cy="3021283"/>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szCs w:val="20"/>
          <w:lang w:val="en-GB"/>
        </w:rPr>
        <w:t>Source: Eurostat. Note: the employment impact of parenthood is measured as the difference (in pps) of the employment r</w:t>
      </w:r>
      <w:r>
        <w:rPr>
          <w:rFonts w:ascii="Times New Roman" w:hAnsi="Times New Roman"/>
          <w:noProof/>
          <w:sz w:val="20"/>
          <w:szCs w:val="20"/>
          <w:lang w:val="en-GB"/>
        </w:rPr>
        <w:t>ate of women (men) with at least one child under the age of 6 and the employment rate of women (men) with no children.</w:t>
      </w:r>
    </w:p>
    <w:p w:rsidR="00EF5220" w:rsidRDefault="00EF5220">
      <w:pPr>
        <w:spacing w:line="360" w:lineRule="auto"/>
        <w:jc w:val="both"/>
        <w:rPr>
          <w:rFonts w:ascii="Times New Roman" w:hAnsi="Times New Roman" w:cs="Times New Roman"/>
          <w:b/>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Unequal access to quality and affordable childcare and long-term care services contributes to the negative effect of parenthood on the e</w:t>
      </w:r>
      <w:r>
        <w:rPr>
          <w:rFonts w:ascii="Times New Roman" w:hAnsi="Times New Roman"/>
          <w:b/>
          <w:noProof/>
          <w:sz w:val="24"/>
          <w:lang w:val="en-GB"/>
        </w:rPr>
        <w:t xml:space="preserve">mployment of women. </w:t>
      </w:r>
      <w:r>
        <w:rPr>
          <w:rFonts w:ascii="Times New Roman" w:hAnsi="Times New Roman"/>
          <w:noProof/>
          <w:sz w:val="24"/>
          <w:lang w:val="en-GB"/>
        </w:rPr>
        <w:t>As shown by the Social Scoreboard headline indicator on participation in formal childcare, in 2016 around 33% of children aged 0 to 3 were enrolled in formal childcare. This means that the Barcelona target on the availability of (high q</w:t>
      </w:r>
      <w:r>
        <w:rPr>
          <w:rFonts w:ascii="Times New Roman" w:hAnsi="Times New Roman"/>
          <w:noProof/>
          <w:sz w:val="24"/>
          <w:lang w:val="en-GB"/>
        </w:rPr>
        <w:t>uality and affordable) childcare facilities for children in this age group has been nominally reached. However, major differences persist among countries. While in Denmark the enrolment rate stood at 70% and in Portugal, Luxembourg, Sweden and the Netherla</w:t>
      </w:r>
      <w:r>
        <w:rPr>
          <w:rFonts w:ascii="Times New Roman" w:hAnsi="Times New Roman"/>
          <w:noProof/>
          <w:sz w:val="24"/>
          <w:lang w:val="en-GB"/>
        </w:rPr>
        <w:t xml:space="preserve">nds at around 50%, in Slovakia, the Czech Republic, Poland and Greece it was well below 10% (the latter countries, together with Bulgaria, are flagged as "critical situations"). In these Member States, lack of formal childcare arrangements also translates </w:t>
      </w:r>
      <w:r>
        <w:rPr>
          <w:rFonts w:ascii="Times New Roman" w:hAnsi="Times New Roman"/>
          <w:noProof/>
          <w:sz w:val="24"/>
          <w:lang w:val="en-GB"/>
        </w:rPr>
        <w:t>into poor labour market outcomes for women (in all of them the gender employment gap is above the EU average and parenthood has a negative impact on employment rates). In 2017, 21.6% of women with caring responsibilities in the EU were inactive or worked p</w:t>
      </w:r>
      <w:r>
        <w:rPr>
          <w:rFonts w:ascii="Times New Roman" w:hAnsi="Times New Roman"/>
          <w:noProof/>
          <w:sz w:val="24"/>
          <w:lang w:val="en-GB"/>
        </w:rPr>
        <w:t xml:space="preserve">art-time due to a lack of childcare and long-term care services. In Greece, Spain, Croatia and Cyprus this share was well above 50%, reaching a record high in Romania and Latvia (above 89%). </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36</w:t>
      </w:r>
      <w:r>
        <w:rPr>
          <w:rFonts w:ascii="Times New Roman" w:hAnsi="Times New Roman"/>
          <w:b/>
          <w:noProof/>
          <w:sz w:val="24"/>
          <w:szCs w:val="24"/>
          <w:lang w:val="en-GB"/>
        </w:rPr>
        <w:fldChar w:fldCharType="end"/>
      </w:r>
      <w:r>
        <w:rPr>
          <w:rFonts w:ascii="Times New Roman" w:hAnsi="Times New Roman"/>
          <w:b/>
          <w:noProof/>
          <w:sz w:val="24"/>
          <w:lang w:val="en-GB"/>
        </w:rPr>
        <w:t>: Children in formal childcare</w:t>
      </w:r>
      <w:r>
        <w:rPr>
          <w:rFonts w:ascii="Times New Roman" w:hAnsi="Times New Roman"/>
          <w:b/>
          <w:noProof/>
          <w:sz w:val="24"/>
          <w:lang w:val="en-GB"/>
        </w:rPr>
        <w:t xml:space="preserve"> 0-3 and yearly change (Social Scoreboard headline indicator)</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669474" cy="4219575"/>
            <wp:effectExtent l="0" t="0" r="762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671736" cy="4221259"/>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Eurostat, EU-SILC. Period: 2017 levels and yearly changes with respect to 2016. Note: Axes are centred on the unweighted EU average. The legend is presented in the Annex. </w:t>
      </w:r>
    </w:p>
    <w:p w:rsidR="00EF5220" w:rsidRDefault="00EF5220">
      <w:pPr>
        <w:spacing w:line="360" w:lineRule="auto"/>
        <w:contextualSpacing/>
        <w:jc w:val="both"/>
        <w:rPr>
          <w:rFonts w:ascii="Times New Roman" w:hAnsi="Times New Roman" w:cs="Times New Roman"/>
          <w:b/>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The </w:t>
      </w:r>
      <w:r>
        <w:rPr>
          <w:rFonts w:ascii="Times New Roman" w:hAnsi="Times New Roman"/>
          <w:b/>
          <w:noProof/>
          <w:sz w:val="24"/>
          <w:lang w:val="en-GB"/>
        </w:rPr>
        <w:t>provision of formal accessible, high-quality and sustainable long-term care services remains a challenge in several Member States.</w:t>
      </w:r>
      <w:r>
        <w:rPr>
          <w:rFonts w:ascii="Times New Roman" w:hAnsi="Times New Roman"/>
          <w:noProof/>
          <w:sz w:val="24"/>
          <w:lang w:val="en-GB"/>
        </w:rPr>
        <w:t xml:space="preserve"> The underdevelopment of long-term care services can be a major impediment for women to stay in employment, as informal care i</w:t>
      </w:r>
      <w:r>
        <w:rPr>
          <w:rFonts w:ascii="Times New Roman" w:hAnsi="Times New Roman"/>
          <w:noProof/>
          <w:sz w:val="24"/>
          <w:lang w:val="en-GB"/>
        </w:rPr>
        <w:t>s often the only option for many families. Demographic change is going to aggravate this challenge, as the number of dependent elderly people is estimated to rise by 13 million between 2016 and 2070</w:t>
      </w:r>
      <w:r>
        <w:rPr>
          <w:rFonts w:ascii="Times New Roman" w:hAnsi="Times New Roman"/>
          <w:noProof/>
          <w:sz w:val="24"/>
          <w:vertAlign w:val="superscript"/>
          <w:lang w:val="en-GB"/>
        </w:rPr>
        <w:footnoteReference w:id="51"/>
      </w:r>
      <w:r>
        <w:rPr>
          <w:rFonts w:ascii="Times New Roman" w:hAnsi="Times New Roman"/>
          <w:noProof/>
          <w:sz w:val="24"/>
          <w:lang w:val="en-GB"/>
        </w:rPr>
        <w:t>. Furthermore</w:t>
      </w:r>
      <w:r>
        <w:rPr>
          <w:rFonts w:ascii="Times New Roman" w:hAnsi="Times New Roman"/>
          <w:b/>
          <w:noProof/>
          <w:sz w:val="24"/>
          <w:lang w:val="en-GB"/>
        </w:rPr>
        <w:t xml:space="preserve">, </w:t>
      </w:r>
      <w:r>
        <w:rPr>
          <w:rFonts w:ascii="Times New Roman" w:hAnsi="Times New Roman"/>
          <w:noProof/>
          <w:sz w:val="24"/>
          <w:lang w:val="en-GB"/>
        </w:rPr>
        <w:t xml:space="preserve">informal carers, the majority of whom are </w:t>
      </w:r>
      <w:r>
        <w:rPr>
          <w:rFonts w:ascii="Times New Roman" w:hAnsi="Times New Roman"/>
          <w:noProof/>
          <w:sz w:val="24"/>
          <w:lang w:val="en-GB"/>
        </w:rPr>
        <w:t xml:space="preserve">women, are more at risk of experiencing poverty and financial dependency, especially when forced to reduce their working hours or withdraw from employment to care for their relatives, thus lowering their income and pension entitlements.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Women also tend to</w:t>
      </w:r>
      <w:r>
        <w:rPr>
          <w:rFonts w:ascii="Times New Roman" w:hAnsi="Times New Roman"/>
          <w:b/>
          <w:noProof/>
          <w:sz w:val="24"/>
          <w:lang w:val="en-GB"/>
        </w:rPr>
        <w:t xml:space="preserve"> face strong financial disincentives when entering the labour market or wanting to work more</w:t>
      </w:r>
      <w:r>
        <w:rPr>
          <w:rFonts w:ascii="Times New Roman" w:hAnsi="Times New Roman"/>
          <w:noProof/>
          <w:sz w:val="24"/>
          <w:lang w:val="en-GB"/>
        </w:rPr>
        <w:t>. In particular, when income tax is levied on household income rather than on individual income, non-working partners and second earners (often women) can face high</w:t>
      </w:r>
      <w:r>
        <w:rPr>
          <w:rFonts w:ascii="Times New Roman" w:hAnsi="Times New Roman"/>
          <w:noProof/>
          <w:sz w:val="24"/>
          <w:lang w:val="en-GB"/>
        </w:rPr>
        <w:t xml:space="preserve"> financial disincentives to participate in the labour market or to work more hours. Other features of the tax and benefit system may also discourage labour supply, including family-based, dependent spouse and transferable deductions. In 2016, the inactivit</w:t>
      </w:r>
      <w:r>
        <w:rPr>
          <w:rFonts w:ascii="Times New Roman" w:hAnsi="Times New Roman"/>
          <w:noProof/>
          <w:sz w:val="24"/>
          <w:lang w:val="en-GB"/>
        </w:rPr>
        <w:t>y trap for the second income earner was particularly high in Denmark, Germany, Belgium and France, while the low wage trap was high in Belgium, Germany and Luxembourg</w:t>
      </w:r>
      <w:r>
        <w:rPr>
          <w:rFonts w:ascii="Times New Roman" w:hAnsi="Times New Roman"/>
          <w:noProof/>
          <w:sz w:val="24"/>
          <w:vertAlign w:val="superscript"/>
          <w:lang w:val="en-GB"/>
        </w:rPr>
        <w:footnoteReference w:id="52"/>
      </w:r>
      <w:r>
        <w:rPr>
          <w:rFonts w:ascii="Times New Roman" w:hAnsi="Times New Roman"/>
          <w:noProof/>
          <w:sz w:val="24"/>
          <w:lang w:val="en-GB"/>
        </w:rPr>
        <w:t>. Large costs of care facilities increase inactivity traps, acting as disincentives to ta</w:t>
      </w:r>
      <w:r>
        <w:rPr>
          <w:rFonts w:ascii="Times New Roman" w:hAnsi="Times New Roman"/>
          <w:noProof/>
          <w:sz w:val="24"/>
          <w:lang w:val="en-GB"/>
        </w:rPr>
        <w:t>ke up jobs or increase working hours.</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People with a migrant background benefit only partially from the general improvement in labour market conditions</w:t>
      </w:r>
      <w:r>
        <w:rPr>
          <w:rFonts w:ascii="Times New Roman" w:hAnsi="Times New Roman"/>
          <w:noProof/>
          <w:sz w:val="24"/>
          <w:lang w:val="en-GB"/>
        </w:rPr>
        <w:t>. Whereas non-EU born people make up an increasing share of population in the EU (7.2% in 2017, up from 6.</w:t>
      </w:r>
      <w:r>
        <w:rPr>
          <w:rFonts w:ascii="Times New Roman" w:hAnsi="Times New Roman"/>
          <w:noProof/>
          <w:sz w:val="24"/>
          <w:lang w:val="en-GB"/>
        </w:rPr>
        <w:t>6% in 2014), they are less likely to be in employment than native born. In 2017, 63% of non-EU born people of working-age (20-64) were in employment, a much lower level than before the crisis (66.2% in 2008). The employment gap between the two groups stood</w:t>
      </w:r>
      <w:r>
        <w:rPr>
          <w:rFonts w:ascii="Times New Roman" w:hAnsi="Times New Roman"/>
          <w:noProof/>
          <w:sz w:val="24"/>
          <w:lang w:val="en-GB"/>
        </w:rPr>
        <w:t xml:space="preserve"> at 10 pps in 2017, slightly better than in 2016 (10.5 pps), but much worse than in 2008 (4.5 pps). In some Member States (Finland, Sweden, the Netherlands and Belgium) this gap was around or close to 20 percentage points in 2017. The situation is even mor</w:t>
      </w:r>
      <w:r>
        <w:rPr>
          <w:rFonts w:ascii="Times New Roman" w:hAnsi="Times New Roman"/>
          <w:noProof/>
          <w:sz w:val="24"/>
          <w:lang w:val="en-GB"/>
        </w:rPr>
        <w:t>e challenging for non-EU born women. Their employment rate stood at 54.1% in 2017, with a gap of 13.6% with respect to native women. Moreover, when in employment, non-EU born people are more likely to be affected by in-work poverty than native-born.</w:t>
      </w:r>
    </w:p>
    <w:p w:rsidR="00EF5220" w:rsidRDefault="00EF5220">
      <w:pPr>
        <w:spacing w:line="360" w:lineRule="auto"/>
        <w:jc w:val="both"/>
        <w:rPr>
          <w:rFonts w:ascii="Times New Roman" w:hAnsi="Times New Roman"/>
          <w:b/>
          <w:noProof/>
          <w:sz w:val="24"/>
          <w:lang w:val="en-GB"/>
        </w:rPr>
      </w:pP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Figur</w:t>
      </w:r>
      <w:r>
        <w:rPr>
          <w:rFonts w:ascii="Times New Roman" w:hAnsi="Times New Roman"/>
          <w:b/>
          <w:noProof/>
          <w:sz w:val="24"/>
          <w:lang w:val="en-GB"/>
        </w:rPr>
        <w:t xml:space="preserve">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37</w:t>
      </w:r>
      <w:r>
        <w:rPr>
          <w:rFonts w:ascii="Times New Roman" w:hAnsi="Times New Roman"/>
          <w:b/>
          <w:noProof/>
          <w:sz w:val="24"/>
          <w:szCs w:val="24"/>
          <w:lang w:val="en-GB"/>
        </w:rPr>
        <w:fldChar w:fldCharType="end"/>
      </w:r>
      <w:r>
        <w:rPr>
          <w:rFonts w:ascii="Times New Roman" w:hAnsi="Times New Roman"/>
          <w:b/>
          <w:noProof/>
          <w:sz w:val="24"/>
          <w:lang w:val="en-GB"/>
        </w:rPr>
        <w:t>: Employment rate of non-EU born people, multiannual comparison</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644493" cy="3114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651379" cy="3118475"/>
                    </a:xfrm>
                    <a:prstGeom prst="rect">
                      <a:avLst/>
                    </a:prstGeom>
                    <a:noFill/>
                  </pic:spPr>
                </pic:pic>
              </a:graphicData>
            </a:graphic>
          </wp:inline>
        </w:drawing>
      </w:r>
    </w:p>
    <w:p w:rsidR="00EF5220" w:rsidRDefault="00EF2564">
      <w:pPr>
        <w:spacing w:line="240" w:lineRule="auto"/>
        <w:jc w:val="both"/>
        <w:rPr>
          <w:rFonts w:ascii="Times New Roman" w:hAnsi="Times New Roman"/>
          <w:noProof/>
          <w:sz w:val="20"/>
          <w:szCs w:val="20"/>
          <w:lang w:val="en-GB"/>
        </w:rPr>
      </w:pPr>
      <w:r>
        <w:rPr>
          <w:rFonts w:ascii="Times New Roman" w:hAnsi="Times New Roman"/>
          <w:noProof/>
          <w:sz w:val="20"/>
          <w:szCs w:val="20"/>
          <w:lang w:val="en-GB"/>
        </w:rPr>
        <w:t>Source: Eurostat. Note: no data available for Germany for 2008 and 2013.</w:t>
      </w:r>
    </w:p>
    <w:p w:rsidR="00EF5220" w:rsidRDefault="00EF5220">
      <w:pPr>
        <w:spacing w:line="360" w:lineRule="auto"/>
        <w:jc w:val="both"/>
        <w:rPr>
          <w:rFonts w:ascii="Times New Roman" w:hAnsi="Times New Roman"/>
          <w:noProof/>
          <w:sz w:val="24"/>
          <w:highlight w:val="yellow"/>
          <w:lang w:val="en-GB"/>
        </w:rPr>
      </w:pP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38</w:t>
      </w:r>
      <w:r>
        <w:rPr>
          <w:rFonts w:ascii="Times New Roman" w:hAnsi="Times New Roman"/>
          <w:b/>
          <w:noProof/>
          <w:sz w:val="24"/>
          <w:szCs w:val="24"/>
          <w:lang w:val="en-GB"/>
        </w:rPr>
        <w:fldChar w:fldCharType="end"/>
      </w:r>
      <w:r>
        <w:rPr>
          <w:rFonts w:ascii="Times New Roman" w:hAnsi="Times New Roman"/>
          <w:b/>
          <w:noProof/>
          <w:sz w:val="24"/>
          <w:lang w:val="en-GB"/>
        </w:rPr>
        <w:t xml:space="preserve">: Employment rate by country of birth, ages 20-64, </w:t>
      </w:r>
      <w:r>
        <w:rPr>
          <w:rFonts w:ascii="Times New Roman" w:hAnsi="Times New Roman"/>
          <w:b/>
          <w:noProof/>
          <w:sz w:val="24"/>
          <w:lang w:val="en-GB"/>
        </w:rPr>
        <w:t>2017</w:t>
      </w:r>
    </w:p>
    <w:p w:rsidR="00EF5220" w:rsidRDefault="00EF2564">
      <w:pPr>
        <w:keepNext/>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45305" cy="288607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789989" cy="2908521"/>
                    </a:xfrm>
                    <a:prstGeom prst="rect">
                      <a:avLst/>
                    </a:prstGeom>
                    <a:noFill/>
                  </pic:spPr>
                </pic:pic>
              </a:graphicData>
            </a:graphic>
          </wp:inline>
        </w:drawing>
      </w:r>
    </w:p>
    <w:p w:rsidR="00EF5220" w:rsidRDefault="00EF2564">
      <w:pPr>
        <w:spacing w:line="240" w:lineRule="auto"/>
        <w:jc w:val="both"/>
        <w:rPr>
          <w:rFonts w:ascii="Times New Roman" w:hAnsi="Times New Roman"/>
          <w:b/>
          <w:i/>
          <w:noProof/>
          <w:sz w:val="20"/>
          <w:szCs w:val="20"/>
          <w:u w:val="single"/>
          <w:lang w:val="en-GB"/>
        </w:rPr>
      </w:pPr>
      <w:r>
        <w:rPr>
          <w:rFonts w:ascii="Times New Roman" w:hAnsi="Times New Roman"/>
          <w:noProof/>
          <w:sz w:val="20"/>
          <w:szCs w:val="20"/>
          <w:lang w:val="en-GB"/>
        </w:rPr>
        <w:t xml:space="preserve">Source: Eurostat. </w:t>
      </w:r>
    </w:p>
    <w:p w:rsidR="00EF5220" w:rsidRDefault="00EF5220">
      <w:pPr>
        <w:pStyle w:val="ListParagraph"/>
        <w:spacing w:line="360" w:lineRule="auto"/>
        <w:ind w:left="1800"/>
        <w:jc w:val="both"/>
        <w:rPr>
          <w:rFonts w:ascii="Times New Roman" w:hAnsi="Times New Roman"/>
          <w:noProof/>
          <w:sz w:val="24"/>
          <w:highlight w:val="yellow"/>
          <w:lang w:val="en-GB"/>
        </w:rPr>
      </w:pPr>
    </w:p>
    <w:p w:rsidR="00EF5220" w:rsidRDefault="00EF2564">
      <w:pPr>
        <w:spacing w:line="360" w:lineRule="auto"/>
        <w:jc w:val="both"/>
        <w:rPr>
          <w:noProof/>
          <w:lang w:val="en-GB"/>
        </w:rPr>
      </w:pPr>
      <w:r>
        <w:rPr>
          <w:rFonts w:ascii="Times New Roman" w:hAnsi="Times New Roman"/>
          <w:b/>
          <w:noProof/>
          <w:sz w:val="24"/>
          <w:lang w:val="en-GB"/>
        </w:rPr>
        <w:t>Challenges faced by people with a migrant background have a tendency to be passed on over generations</w:t>
      </w:r>
      <w:r>
        <w:rPr>
          <w:rFonts w:ascii="Times New Roman" w:hAnsi="Times New Roman"/>
          <w:noProof/>
          <w:sz w:val="24"/>
          <w:lang w:val="en-GB"/>
        </w:rPr>
        <w:t>. The share of people with a migrant background is increasing, especially among young people</w:t>
      </w:r>
      <w:r>
        <w:rPr>
          <w:rFonts w:ascii="Times New Roman" w:hAnsi="Times New Roman" w:cs="Times New Roman"/>
          <w:noProof/>
          <w:vertAlign w:val="superscript"/>
          <w:lang w:val="en-GB"/>
        </w:rPr>
        <w:footnoteReference w:id="53"/>
      </w:r>
      <w:r>
        <w:rPr>
          <w:rFonts w:ascii="Times New Roman" w:hAnsi="Times New Roman" w:cs="Times New Roman"/>
          <w:noProof/>
          <w:sz w:val="24"/>
          <w:lang w:val="en-GB"/>
        </w:rPr>
        <w:t>, and there is evidence</w:t>
      </w:r>
      <w:r>
        <w:rPr>
          <w:rFonts w:ascii="Times New Roman" w:hAnsi="Times New Roman"/>
          <w:noProof/>
          <w:sz w:val="24"/>
          <w:lang w:val="en-GB"/>
        </w:rPr>
        <w:t xml:space="preserve"> that native born people with foreign born parents have lower employment rates than those with native background</w:t>
      </w:r>
      <w:r>
        <w:rPr>
          <w:rStyle w:val="FootnoteReference"/>
          <w:rFonts w:ascii="Times New Roman" w:hAnsi="Times New Roman"/>
          <w:noProof/>
          <w:sz w:val="24"/>
          <w:lang w:val="en-GB"/>
        </w:rPr>
        <w:footnoteReference w:id="54"/>
      </w:r>
      <w:r>
        <w:rPr>
          <w:rFonts w:ascii="Times New Roman" w:hAnsi="Times New Roman"/>
          <w:noProof/>
          <w:sz w:val="24"/>
          <w:lang w:val="en-GB"/>
        </w:rPr>
        <w:t>. In turn this contributes to higher unemployment rates among some groups of disadvantaged young people. Labour market outcomes also differ mar</w:t>
      </w:r>
      <w:r>
        <w:rPr>
          <w:rFonts w:ascii="Times New Roman" w:hAnsi="Times New Roman"/>
          <w:noProof/>
          <w:sz w:val="24"/>
          <w:lang w:val="en-GB"/>
        </w:rPr>
        <w:t>kedly by reason of migration</w:t>
      </w:r>
      <w:r>
        <w:rPr>
          <w:rStyle w:val="FootnoteReference"/>
          <w:rFonts w:ascii="Times New Roman" w:hAnsi="Times New Roman"/>
          <w:noProof/>
          <w:sz w:val="24"/>
          <w:lang w:val="en-GB"/>
        </w:rPr>
        <w:footnoteReference w:id="55"/>
      </w:r>
      <w:r>
        <w:rPr>
          <w:rFonts w:ascii="Times New Roman" w:hAnsi="Times New Roman"/>
          <w:noProof/>
          <w:sz w:val="24"/>
          <w:lang w:val="en-GB"/>
        </w:rPr>
        <w:t>. However, while the lower employment rates of migrants are partly driven by a higher share of persons with low level of education, a rising level of education</w:t>
      </w:r>
      <w:r>
        <w:rPr>
          <w:rStyle w:val="FootnoteReference"/>
          <w:rFonts w:ascii="Times New Roman" w:hAnsi="Times New Roman"/>
          <w:noProof/>
          <w:sz w:val="24"/>
          <w:lang w:val="en-GB"/>
        </w:rPr>
        <w:footnoteReference w:id="56"/>
      </w:r>
      <w:r>
        <w:rPr>
          <w:rFonts w:ascii="Times New Roman" w:hAnsi="Times New Roman"/>
          <w:noProof/>
          <w:sz w:val="24"/>
          <w:lang w:val="en-GB"/>
        </w:rPr>
        <w:t xml:space="preserve"> does not translate into better employment outcomes and there is a </w:t>
      </w:r>
      <w:r>
        <w:rPr>
          <w:rFonts w:ascii="Times New Roman" w:hAnsi="Times New Roman"/>
          <w:noProof/>
          <w:sz w:val="24"/>
          <w:lang w:val="en-GB"/>
        </w:rPr>
        <w:t>significant under-use of migrants' skills and qualifications</w:t>
      </w:r>
      <w:r>
        <w:rPr>
          <w:rStyle w:val="FootnoteReference"/>
          <w:rFonts w:ascii="Times New Roman" w:hAnsi="Times New Roman"/>
          <w:noProof/>
          <w:sz w:val="24"/>
          <w:lang w:val="en-GB"/>
        </w:rPr>
        <w:footnoteReference w:id="57"/>
      </w:r>
      <w:r>
        <w:rPr>
          <w:rFonts w:ascii="Times New Roman" w:hAnsi="Times New Roman"/>
          <w:noProof/>
          <w:sz w:val="24"/>
          <w:lang w:val="en-GB"/>
        </w:rPr>
        <w:t xml:space="preserve">.    </w:t>
      </w:r>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 xml:space="preserve">The employment rate gap experienced by persons with disabilities indicates an untapped potential to use their talents. </w:t>
      </w:r>
      <w:r>
        <w:rPr>
          <w:rFonts w:ascii="Times New Roman" w:hAnsi="Times New Roman"/>
          <w:noProof/>
          <w:sz w:val="24"/>
          <w:lang w:val="en-GB"/>
        </w:rPr>
        <w:t>In the EU in 2016, the employment gap</w:t>
      </w:r>
      <w:r>
        <w:rPr>
          <w:rStyle w:val="FootnoteReference"/>
          <w:rFonts w:ascii="Times New Roman" w:hAnsi="Times New Roman"/>
          <w:noProof/>
          <w:sz w:val="24"/>
          <w:lang w:val="en-GB"/>
        </w:rPr>
        <w:footnoteReference w:id="58"/>
      </w:r>
      <w:r>
        <w:rPr>
          <w:rFonts w:ascii="Times New Roman" w:hAnsi="Times New Roman"/>
          <w:noProof/>
          <w:sz w:val="24"/>
          <w:lang w:val="en-GB"/>
        </w:rPr>
        <w:t xml:space="preserve"> between persons with disabiliti</w:t>
      </w:r>
      <w:r>
        <w:rPr>
          <w:rFonts w:ascii="Times New Roman" w:hAnsi="Times New Roman"/>
          <w:noProof/>
          <w:sz w:val="24"/>
          <w:lang w:val="en-GB"/>
        </w:rPr>
        <w:t>es and those without was large, with a 48.1% employment rate for persons with disabilities versus 73.9% for those without. There is, however, a substantial variation in the gap between Member States</w:t>
      </w:r>
      <w:r>
        <w:rPr>
          <w:rStyle w:val="FootnoteReference"/>
          <w:rFonts w:ascii="Times New Roman" w:hAnsi="Times New Roman"/>
          <w:noProof/>
          <w:sz w:val="24"/>
          <w:lang w:val="en-GB"/>
        </w:rPr>
        <w:footnoteReference w:id="59"/>
      </w:r>
      <w:r>
        <w:rPr>
          <w:rFonts w:ascii="Times New Roman" w:hAnsi="Times New Roman"/>
          <w:noProof/>
          <w:sz w:val="24"/>
          <w:lang w:val="en-GB"/>
        </w:rPr>
        <w:t>, varying from 14.7 pps (Italy) to over 45 pps (Ireland).</w:t>
      </w:r>
      <w:r>
        <w:rPr>
          <w:rFonts w:ascii="Times New Roman" w:hAnsi="Times New Roman"/>
          <w:noProof/>
          <w:sz w:val="24"/>
          <w:lang w:val="en-GB"/>
        </w:rPr>
        <w:t xml:space="preserve"> In addition, only 59.7% of persons with disabilities in the EU are economically active, compared to 82.2% of those without disabilities, suggesting that significant barriers exist for persons with disabilities in accessing the labour market</w:t>
      </w:r>
      <w:r>
        <w:rPr>
          <w:rStyle w:val="FootnoteReference"/>
          <w:rFonts w:ascii="Times New Roman" w:hAnsi="Times New Roman"/>
          <w:noProof/>
          <w:sz w:val="24"/>
          <w:lang w:val="en-GB"/>
        </w:rPr>
        <w:footnoteReference w:id="60"/>
      </w:r>
      <w:r>
        <w:rPr>
          <w:rFonts w:ascii="Times New Roman" w:hAnsi="Times New Roman"/>
          <w:noProof/>
          <w:sz w:val="24"/>
          <w:lang w:val="en-GB"/>
        </w:rPr>
        <w:t>. Countries wi</w:t>
      </w:r>
      <w:r>
        <w:rPr>
          <w:rFonts w:ascii="Times New Roman" w:hAnsi="Times New Roman"/>
          <w:noProof/>
          <w:sz w:val="24"/>
          <w:lang w:val="en-GB"/>
        </w:rPr>
        <w:t>th similar activity rates for persons without disabilities can have greatly different activity rates for persons with disabilities. The quality of work is also an important issue, as in 2016 persons with disabilities in the EU were more likely to face in-w</w:t>
      </w:r>
      <w:r>
        <w:rPr>
          <w:rFonts w:ascii="Times New Roman" w:hAnsi="Times New Roman"/>
          <w:noProof/>
          <w:sz w:val="24"/>
          <w:lang w:val="en-GB"/>
        </w:rPr>
        <w:t>ork poverty than the general population.</w:t>
      </w:r>
      <w:r>
        <w:rPr>
          <w:rStyle w:val="FootnoteReference"/>
          <w:rFonts w:ascii="Times New Roman" w:hAnsi="Times New Roman"/>
          <w:noProof/>
          <w:sz w:val="24"/>
          <w:lang w:val="en-GB"/>
        </w:rPr>
        <w:footnoteReference w:id="61"/>
      </w:r>
      <w:r>
        <w:rPr>
          <w:rFonts w:ascii="Times New Roman" w:hAnsi="Times New Roman"/>
          <w:noProof/>
          <w:sz w:val="24"/>
          <w:lang w:val="en-GB"/>
        </w:rPr>
        <w:t xml:space="preserve"> In terms of gender, the employment rate of women with disabilities (45.9%) was only slightly lower than that of men with disabilities (50.6%), and the gap was reversed in some Member States. Looking at the overall </w:t>
      </w:r>
      <w:r>
        <w:rPr>
          <w:rFonts w:ascii="Times New Roman" w:hAnsi="Times New Roman"/>
          <w:noProof/>
          <w:sz w:val="24"/>
          <w:lang w:val="en-GB"/>
        </w:rPr>
        <w:t>quality of life perceived by people with disabilities, Eurofound</w:t>
      </w:r>
      <w:r>
        <w:rPr>
          <w:rStyle w:val="FootnoteReference"/>
          <w:rFonts w:ascii="Times New Roman" w:hAnsi="Times New Roman"/>
          <w:noProof/>
          <w:sz w:val="24"/>
          <w:lang w:val="en-GB"/>
        </w:rPr>
        <w:footnoteReference w:id="62"/>
      </w:r>
      <w:r>
        <w:rPr>
          <w:rFonts w:ascii="Times New Roman" w:hAnsi="Times New Roman"/>
          <w:noProof/>
          <w:sz w:val="24"/>
          <w:lang w:val="en-GB"/>
        </w:rPr>
        <w:t xml:space="preserve"> finds that the extent to which they feel left out of society varies considerably depending on whether they are employed or not. Those who have a job far less often report feeling left out of</w:t>
      </w:r>
      <w:r>
        <w:rPr>
          <w:rFonts w:ascii="Times New Roman" w:hAnsi="Times New Roman"/>
          <w:noProof/>
          <w:sz w:val="24"/>
          <w:lang w:val="en-GB"/>
        </w:rPr>
        <w:t xml:space="preserve"> society than long-term unemployed respondents or those who are unable to work because of their disability.</w:t>
      </w:r>
    </w:p>
    <w:p w:rsidR="00EF5220" w:rsidRDefault="00EF5220">
      <w:pPr>
        <w:spacing w:line="360" w:lineRule="auto"/>
        <w:jc w:val="both"/>
        <w:rPr>
          <w:rFonts w:ascii="Times New Roman" w:hAnsi="Times New Roman"/>
          <w:noProof/>
          <w:sz w:val="24"/>
          <w:lang w:val="en-GB"/>
        </w:rPr>
      </w:pPr>
    </w:p>
    <w:p w:rsidR="00EF5220" w:rsidRDefault="00EF2564">
      <w:pPr>
        <w:pStyle w:val="Heading3"/>
        <w:rPr>
          <w:noProof/>
          <w:lang w:val="en-GB"/>
        </w:rPr>
      </w:pPr>
      <w:bookmarkStart w:id="44" w:name="_Toc527539787"/>
      <w:r>
        <w:rPr>
          <w:noProof/>
          <w:lang w:val="en-GB"/>
        </w:rPr>
        <w:t>3.2.2</w:t>
      </w:r>
      <w:r>
        <w:rPr>
          <w:noProof/>
          <w:lang w:val="en-GB"/>
        </w:rPr>
        <w:tab/>
        <w:t>Policy response</w:t>
      </w:r>
      <w:bookmarkEnd w:id="44"/>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Comprehensive strategies that focus on the root causes of early school leaving are required to reduce dropout rates, prevent </w:t>
      </w:r>
      <w:r>
        <w:rPr>
          <w:rFonts w:ascii="Times New Roman" w:hAnsi="Times New Roman"/>
          <w:b/>
          <w:noProof/>
          <w:sz w:val="24"/>
          <w:lang w:val="en-GB"/>
        </w:rPr>
        <w:t>social exclusion and help the transition of young people to the labour market</w:t>
      </w:r>
      <w:r>
        <w:rPr>
          <w:rFonts w:ascii="Times New Roman" w:hAnsi="Times New Roman"/>
          <w:noProof/>
          <w:sz w:val="24"/>
          <w:lang w:val="en-GB"/>
        </w:rPr>
        <w:t>. Many Member States have recently introduced measures to reduce the number of early school leavers, from policies for language support for students with a different mother tongue</w:t>
      </w:r>
      <w:r>
        <w:rPr>
          <w:rFonts w:ascii="Times New Roman" w:hAnsi="Times New Roman"/>
          <w:noProof/>
          <w:sz w:val="24"/>
          <w:lang w:val="en-GB"/>
        </w:rPr>
        <w:t>, to education and career guidance in schools, or measures to support early leavers to re-enter the education and training system. For instance, in Bulgaria, the 'Your class' project funds additional pedagogical support for students at risk of dropping out</w:t>
      </w:r>
      <w:r>
        <w:rPr>
          <w:rFonts w:ascii="Times New Roman" w:hAnsi="Times New Roman"/>
          <w:noProof/>
          <w:sz w:val="24"/>
          <w:lang w:val="en-GB"/>
        </w:rPr>
        <w:t>, such as language training, additional classes to overcome learning gaps or extra-curricular activities to increase students' motivation. Sweden financially supports schools according to pupils' socio-economic background, in order to promote a balanced so</w:t>
      </w:r>
      <w:r>
        <w:rPr>
          <w:rFonts w:ascii="Times New Roman" w:hAnsi="Times New Roman"/>
          <w:noProof/>
          <w:sz w:val="24"/>
          <w:lang w:val="en-GB"/>
        </w:rPr>
        <w:t>cial composition and to prevent early school leaving. In Spain, the Proeducar plan fosters policies that enhance the quality and equity of the education system and support second chance programmes.</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Ensuring access to affordable and high quality education, </w:t>
      </w:r>
      <w:r>
        <w:rPr>
          <w:rFonts w:ascii="Times New Roman" w:hAnsi="Times New Roman"/>
          <w:b/>
          <w:noProof/>
          <w:sz w:val="24"/>
          <w:lang w:val="en-GB"/>
        </w:rPr>
        <w:t>as well as supporting teachers’ continuous professional development, is crucial to improve pupils’ educational outcomes.</w:t>
      </w:r>
      <w:r>
        <w:rPr>
          <w:rFonts w:ascii="Times New Roman" w:hAnsi="Times New Roman"/>
          <w:noProof/>
          <w:sz w:val="24"/>
          <w:lang w:val="en-GB"/>
        </w:rPr>
        <w:t xml:space="preserve"> Ireland’s Action Plan for Education focuses on promoting and encouraging quality, excellence and innovation, meeting critical skills ga</w:t>
      </w:r>
      <w:r>
        <w:rPr>
          <w:rFonts w:ascii="Times New Roman" w:hAnsi="Times New Roman"/>
          <w:noProof/>
          <w:sz w:val="24"/>
          <w:lang w:val="en-GB"/>
        </w:rPr>
        <w:t>ps, leading in key enabling technologies and championing inclusion. A recent secondary education reform in Luxembourg aims at adapting education to students' needs, giving schools more autonomy to organise the curriculum according to the profile they opt f</w:t>
      </w:r>
      <w:r>
        <w:rPr>
          <w:rFonts w:ascii="Times New Roman" w:hAnsi="Times New Roman"/>
          <w:noProof/>
          <w:sz w:val="24"/>
          <w:lang w:val="en-GB"/>
        </w:rPr>
        <w:t>or, diversifying the language offer and introducing three-year plans for school development covering aspects such as guidance, study success, after-school activities, psycho-social assistance and improving digital skills. In Croatia</w:t>
      </w:r>
      <w:r>
        <w:rPr>
          <w:rFonts w:ascii="Times New Roman" w:hAnsi="Times New Roman"/>
          <w:b/>
          <w:noProof/>
          <w:sz w:val="24"/>
          <w:lang w:val="en-GB"/>
        </w:rPr>
        <w:t>,</w:t>
      </w:r>
      <w:r>
        <w:rPr>
          <w:rFonts w:ascii="Times New Roman" w:hAnsi="Times New Roman"/>
          <w:noProof/>
          <w:sz w:val="24"/>
          <w:lang w:val="en-GB"/>
        </w:rPr>
        <w:t xml:space="preserve"> the School for Life in</w:t>
      </w:r>
      <w:r>
        <w:rPr>
          <w:rFonts w:ascii="Times New Roman" w:hAnsi="Times New Roman"/>
          <w:noProof/>
          <w:sz w:val="24"/>
          <w:lang w:val="en-GB"/>
        </w:rPr>
        <w:t>itiative introduces new curricula based on the learning outcomes approach, which shifts the classroom focus to the pupils’ experience, recognizes the importance of teacher preparation and introduces cross-subject teaching of key competences, such as entrep</w:t>
      </w:r>
      <w:r>
        <w:rPr>
          <w:rFonts w:ascii="Times New Roman" w:hAnsi="Times New Roman"/>
          <w:noProof/>
          <w:sz w:val="24"/>
          <w:lang w:val="en-GB"/>
        </w:rPr>
        <w:t>reneurship, learning to learn or citizenship education. 'Co-operation for the Best School possible' ('Samverkan för bästa skola') is Sweden's initiative to tackle inequalities. It provides tailor-made support that is practice-oriented and is accompanied by</w:t>
      </w:r>
      <w:r>
        <w:rPr>
          <w:rFonts w:ascii="Times New Roman" w:hAnsi="Times New Roman"/>
          <w:noProof/>
          <w:sz w:val="24"/>
          <w:lang w:val="en-GB"/>
        </w:rPr>
        <w:t xml:space="preserve"> teachers' professional development in schools that face the most severe challenges in providing high quality teaching and where a high proportion of pupils do not complete their education. Cyprus</w:t>
      </w:r>
      <w:r>
        <w:rPr>
          <w:rFonts w:ascii="Times New Roman" w:hAnsi="Times New Roman"/>
          <w:b/>
          <w:noProof/>
          <w:sz w:val="24"/>
          <w:lang w:val="en-GB"/>
        </w:rPr>
        <w:t xml:space="preserve"> </w:t>
      </w:r>
      <w:r>
        <w:rPr>
          <w:rFonts w:ascii="Times New Roman" w:hAnsi="Times New Roman"/>
          <w:noProof/>
          <w:sz w:val="24"/>
          <w:lang w:val="en-GB"/>
        </w:rPr>
        <w:t>is implementing a new professional learning framework for t</w:t>
      </w:r>
      <w:r>
        <w:rPr>
          <w:rFonts w:ascii="Times New Roman" w:hAnsi="Times New Roman"/>
          <w:noProof/>
          <w:sz w:val="24"/>
          <w:lang w:val="en-GB"/>
        </w:rPr>
        <w:t>eachers to upscale their continuous training and has started to upgrade the pre-school curriculum based on success and adequacy indicators. In Lithuania, the new Teacher Training Regulation defines quality requirements for study programmes and teacher inte</w:t>
      </w:r>
      <w:r>
        <w:rPr>
          <w:rFonts w:ascii="Times New Roman" w:hAnsi="Times New Roman"/>
          <w:noProof/>
          <w:sz w:val="24"/>
          <w:lang w:val="en-GB"/>
        </w:rPr>
        <w:t xml:space="preserve">rnships; it also specifies possibilities for teacher training and professional development, and establishes criteria for national teacher training centres. </w:t>
      </w:r>
    </w:p>
    <w:p w:rsidR="00EF5220" w:rsidRDefault="00EF2564">
      <w:pPr>
        <w:spacing w:line="360" w:lineRule="auto"/>
        <w:jc w:val="both"/>
        <w:rPr>
          <w:noProof/>
          <w:lang w:val="en-GB"/>
        </w:rPr>
      </w:pPr>
      <w:r>
        <w:rPr>
          <w:rFonts w:ascii="Times New Roman" w:hAnsi="Times New Roman"/>
          <w:b/>
          <w:noProof/>
          <w:sz w:val="24"/>
          <w:lang w:val="en-GB"/>
        </w:rPr>
        <w:t>Effective enforcement of legislative changes for Roma inclusion in education remains important.</w:t>
      </w:r>
      <w:r>
        <w:rPr>
          <w:rFonts w:ascii="Times New Roman" w:hAnsi="Times New Roman"/>
          <w:noProof/>
          <w:sz w:val="24"/>
          <w:lang w:val="en-GB"/>
        </w:rPr>
        <w:t xml:space="preserve"> I</w:t>
      </w:r>
      <w:r>
        <w:rPr>
          <w:rFonts w:ascii="Times New Roman" w:hAnsi="Times New Roman"/>
          <w:noProof/>
          <w:color w:val="000000"/>
          <w:sz w:val="24"/>
          <w:lang w:val="en-GB"/>
        </w:rPr>
        <w:t xml:space="preserve">n </w:t>
      </w:r>
      <w:r>
        <w:rPr>
          <w:rFonts w:ascii="Times New Roman" w:hAnsi="Times New Roman"/>
          <w:noProof/>
          <w:color w:val="000000"/>
          <w:sz w:val="24"/>
          <w:lang w:val="en-GB"/>
        </w:rPr>
        <w:t>Bulgaria the measures currently in place for Roma students include scholarships and extracurricular activities, additional Bulgarian language classes and activities with parents. In July 2017, Hungary amended its Equal Treatment and Public Education Acts t</w:t>
      </w:r>
      <w:r>
        <w:rPr>
          <w:rFonts w:ascii="Times New Roman" w:hAnsi="Times New Roman"/>
          <w:noProof/>
          <w:color w:val="000000"/>
          <w:sz w:val="24"/>
          <w:lang w:val="en-GB"/>
        </w:rPr>
        <w:t>o ensure prohibition of segregation. Also, schools with low achievement, high drop-out rate and high risk of segregation have been selected in 2017 to receive training and complex development support to implement differentiated teaching methods. Antisegreg</w:t>
      </w:r>
      <w:r>
        <w:rPr>
          <w:rFonts w:ascii="Times New Roman" w:hAnsi="Times New Roman"/>
          <w:noProof/>
          <w:color w:val="000000"/>
          <w:sz w:val="24"/>
          <w:lang w:val="en-GB"/>
        </w:rPr>
        <w:t>ation officers and working groups are being set up in educational districts. In Romania, the responsibilities of school inspectorates and of the quality assurance agency (ARACIP) to monitor segregation were expanded. The revised Action Plan for integrating</w:t>
      </w:r>
      <w:r>
        <w:rPr>
          <w:rFonts w:ascii="Times New Roman" w:hAnsi="Times New Roman"/>
          <w:noProof/>
          <w:color w:val="000000"/>
          <w:sz w:val="24"/>
          <w:lang w:val="en-GB"/>
        </w:rPr>
        <w:t xml:space="preserve"> Roma approved by the Slovak government in February 2017 is being implemented but results remain to be seen. The Slovak Republic adopted a 10 year National Education Development Plan which should also address the aspects of inclusiveness and quality of edu</w:t>
      </w:r>
      <w:r>
        <w:rPr>
          <w:rFonts w:ascii="Times New Roman" w:hAnsi="Times New Roman"/>
          <w:noProof/>
          <w:color w:val="000000"/>
          <w:sz w:val="24"/>
          <w:lang w:val="en-GB"/>
        </w:rPr>
        <w:t>cation, also for Roma children.</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Boosting the quality of higher education is key, especially in the context of continuously rising tertiary education attainment rates.</w:t>
      </w:r>
      <w:r>
        <w:rPr>
          <w:rFonts w:ascii="Times New Roman" w:hAnsi="Times New Roman"/>
          <w:noProof/>
          <w:sz w:val="24"/>
          <w:lang w:val="en-GB"/>
        </w:rPr>
        <w:t xml:space="preserve"> The Commission Communication on a renewed EU agenda for higher education of 2017</w:t>
      </w:r>
      <w:r>
        <w:rPr>
          <w:rStyle w:val="FootnoteReference"/>
          <w:rFonts w:ascii="Times New Roman" w:hAnsi="Times New Roman"/>
          <w:noProof/>
          <w:sz w:val="24"/>
          <w:lang w:val="en-GB"/>
        </w:rPr>
        <w:footnoteReference w:id="63"/>
      </w:r>
      <w:r>
        <w:rPr>
          <w:rFonts w:ascii="Times New Roman" w:hAnsi="Times New Roman"/>
          <w:noProof/>
          <w:sz w:val="24"/>
          <w:lang w:val="en-GB"/>
        </w:rPr>
        <w:t xml:space="preserve"> stresse</w:t>
      </w:r>
      <w:r>
        <w:rPr>
          <w:rFonts w:ascii="Times New Roman" w:hAnsi="Times New Roman"/>
          <w:noProof/>
          <w:sz w:val="24"/>
          <w:lang w:val="en-GB"/>
        </w:rPr>
        <w:t>s the importance of measures aimed to broaden participation in higher education, increase completion rates, equip students with skills and competences relevant to the world of work or improve the efficiency of the higher education funding system. Several M</w:t>
      </w:r>
      <w:r>
        <w:rPr>
          <w:rFonts w:ascii="Times New Roman" w:hAnsi="Times New Roman"/>
          <w:noProof/>
          <w:sz w:val="24"/>
          <w:lang w:val="en-GB"/>
        </w:rPr>
        <w:t xml:space="preserve">ember States have announced reforms in line with those principles. France has recently adopted a law to support students’ success in higher education, notably through increased guidance for entry, support all along the studies, and publication of expected </w:t>
      </w:r>
      <w:r>
        <w:rPr>
          <w:rFonts w:ascii="Times New Roman" w:hAnsi="Times New Roman"/>
          <w:noProof/>
          <w:sz w:val="24"/>
          <w:lang w:val="en-GB"/>
        </w:rPr>
        <w:t>competences prior to entry for different study areas. Austria and the Czech Republic recently introduced new funding systems for higher education to foster diversification and quality. In Poland, the recently adopted Act on research, science and higher edu</w:t>
      </w:r>
      <w:r>
        <w:rPr>
          <w:rFonts w:ascii="Times New Roman" w:hAnsi="Times New Roman"/>
          <w:noProof/>
          <w:sz w:val="24"/>
          <w:lang w:val="en-GB"/>
        </w:rPr>
        <w:t>cation ("Ustawa 2.0")</w:t>
      </w:r>
      <w:r>
        <w:rPr>
          <w:rFonts w:ascii="Times New Roman" w:hAnsi="Times New Roman"/>
          <w:noProof/>
          <w:lang w:val="en-GB"/>
        </w:rPr>
        <w:t xml:space="preserve"> </w:t>
      </w:r>
      <w:r>
        <w:rPr>
          <w:rFonts w:ascii="Times New Roman" w:hAnsi="Times New Roman"/>
          <w:noProof/>
          <w:sz w:val="24"/>
          <w:lang w:val="en-GB"/>
        </w:rPr>
        <w:t xml:space="preserve">represents a major modernisation effort that aims to increase quality in the higher education sector. Portugal introduced measures to increase higher education enrolment, such as bolstering the social support mechanisms to students </w:t>
      </w:r>
      <w:r>
        <w:rPr>
          <w:rFonts w:ascii="Times New Roman" w:hAnsi="Times New Roman"/>
          <w:noProof/>
          <w:sz w:val="24"/>
          <w:lang w:val="en-GB"/>
        </w:rPr>
        <w:t>from disadvantaged backgrounds through a significant increase in scholarships, a social scheme for payment of tuition fees in multiple instalments, and the implementation of a redefined programme "+Superior", to promote and support enrolment in less densel</w:t>
      </w:r>
      <w:r>
        <w:rPr>
          <w:rFonts w:ascii="Times New Roman" w:hAnsi="Times New Roman"/>
          <w:noProof/>
          <w:sz w:val="24"/>
          <w:lang w:val="en-GB"/>
        </w:rPr>
        <w:t>y populated and lower demand regions.</w:t>
      </w:r>
    </w:p>
    <w:p w:rsidR="00EF5220" w:rsidRDefault="00EF2564">
      <w:pPr>
        <w:spacing w:before="120" w:after="240"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Member States continue to make skills and qualifications easier to understand throughout Europe.</w:t>
      </w:r>
      <w:r>
        <w:rPr>
          <w:rFonts w:ascii="Times New Roman" w:hAnsi="Times New Roman"/>
          <w:noProof/>
          <w:sz w:val="24"/>
          <w:lang w:val="en-GB"/>
        </w:rPr>
        <w:t xml:space="preserve"> All Member states have national qualifications frameworks organised around the principle of learning outcomes. Almost all</w:t>
      </w:r>
      <w:r>
        <w:rPr>
          <w:rFonts w:ascii="Times New Roman" w:hAnsi="Times New Roman"/>
          <w:noProof/>
          <w:sz w:val="24"/>
          <w:lang w:val="en-GB"/>
        </w:rPr>
        <w:t xml:space="preserve"> (27) have put their qualification levels in relation with the European Qualifications Framework, and 19 indicate the EQF level on their qualifications, making them clearer and better comparable (Belgium, the Czech Republic, Denmark, Germany, Estonia, Gree</w:t>
      </w:r>
      <w:r>
        <w:rPr>
          <w:rFonts w:ascii="Times New Roman" w:hAnsi="Times New Roman"/>
          <w:noProof/>
          <w:sz w:val="24"/>
          <w:lang w:val="en-GB"/>
        </w:rPr>
        <w:t xml:space="preserve">ce, France, Ireland, Italy, Latvia, Lithuania, Luxembourg, Hungary, Malta, the Netherlands, Austria, Portugal, Slovenia and the United Kingdom). </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More and more Member States take into account learning outside institutional education and training</w:t>
      </w:r>
      <w:r>
        <w:rPr>
          <w:rFonts w:ascii="Times New Roman" w:hAnsi="Times New Roman"/>
          <w:noProof/>
          <w:sz w:val="24"/>
          <w:lang w:val="en-GB"/>
        </w:rPr>
        <w:t>. In 15 cou</w:t>
      </w:r>
      <w:r>
        <w:rPr>
          <w:rFonts w:ascii="Times New Roman" w:hAnsi="Times New Roman"/>
          <w:noProof/>
          <w:sz w:val="24"/>
          <w:lang w:val="en-GB"/>
        </w:rPr>
        <w:t>ntries a coordination mechanism has been set up to promote exchange and consistency in validation efforts across education and training sectors, the labour market and the third sector (Belgium, Denmark, France, Greece, Ireland, Italy, Latvia, Malta, the Ne</w:t>
      </w:r>
      <w:r>
        <w:rPr>
          <w:rFonts w:ascii="Times New Roman" w:hAnsi="Times New Roman"/>
          <w:noProof/>
          <w:sz w:val="24"/>
          <w:lang w:val="en-GB"/>
        </w:rPr>
        <w:t>therlands, Poland, Portugal, Romania, Slovakia, Spain, Sweden). Links between national qualification frameworks (NQF) and validation are intensifying in most countries. Validation can lead to any qualification included in the framework in 11 countries (Bel</w:t>
      </w:r>
      <w:r>
        <w:rPr>
          <w:rFonts w:ascii="Times New Roman" w:hAnsi="Times New Roman"/>
          <w:noProof/>
          <w:sz w:val="24"/>
          <w:lang w:val="en-GB"/>
        </w:rPr>
        <w:t>gium, France, Ireland, Latvia, Malta, the Netherlands, Poland, Portugal, Romania, the United kingdom) and to credit towards a qualification in further four (Denmark, Estonia, Spain, Slovenia).</w:t>
      </w:r>
    </w:p>
    <w:p w:rsidR="00EF5220" w:rsidRDefault="00EF2564">
      <w:pPr>
        <w:spacing w:before="120" w:after="240" w:line="360" w:lineRule="auto"/>
        <w:jc w:val="both"/>
        <w:rPr>
          <w:rFonts w:ascii="Times New Roman" w:hAnsi="Times New Roman"/>
          <w:noProof/>
          <w:sz w:val="24"/>
          <w:lang w:val="en-GB"/>
        </w:rPr>
      </w:pPr>
      <w:r>
        <w:rPr>
          <w:rFonts w:ascii="Times New Roman" w:hAnsi="Times New Roman"/>
          <w:b/>
          <w:noProof/>
          <w:sz w:val="24"/>
          <w:lang w:val="en-GB"/>
        </w:rPr>
        <w:t>Member States are moving towards a comprehensive strategic appr</w:t>
      </w:r>
      <w:r>
        <w:rPr>
          <w:rFonts w:ascii="Times New Roman" w:hAnsi="Times New Roman"/>
          <w:b/>
          <w:noProof/>
          <w:sz w:val="24"/>
          <w:lang w:val="en-GB"/>
        </w:rPr>
        <w:t>oach to skills governance.</w:t>
      </w:r>
      <w:r>
        <w:rPr>
          <w:rFonts w:ascii="Times New Roman" w:hAnsi="Times New Roman"/>
          <w:noProof/>
          <w:sz w:val="24"/>
          <w:lang w:val="en-GB"/>
        </w:rPr>
        <w:t xml:space="preserve"> In 2016, as part of the Skills Agenda package, the Council adopted a Recommendation on Upskilling Pathways aiming to help responding to skills gaps, inequality and emerging labour market needs requiring ever higher levels of skil</w:t>
      </w:r>
      <w:r>
        <w:rPr>
          <w:rFonts w:ascii="Times New Roman" w:hAnsi="Times New Roman"/>
          <w:noProof/>
          <w:sz w:val="24"/>
          <w:lang w:val="en-GB"/>
        </w:rPr>
        <w:t>ls. Through Upskilling Pathways, policy makers would design and implement policies specifically tailored to the needs of low-skilled adults. Several Member states have been working towards national skills strategies, supported by the Commission in cooperat</w:t>
      </w:r>
      <w:r>
        <w:rPr>
          <w:rFonts w:ascii="Times New Roman" w:hAnsi="Times New Roman"/>
          <w:noProof/>
          <w:sz w:val="24"/>
          <w:lang w:val="en-GB"/>
        </w:rPr>
        <w:t>ion with the OECD (Spain, Italy, Portugal, Slovenia and more recently, Belgium/Flanders). After completing the diagnostic phase and identifying the main skills challenges, Italy and Slovenia are carrying out the action phase of the process. Portugal has co</w:t>
      </w:r>
      <w:r>
        <w:rPr>
          <w:rFonts w:ascii="Times New Roman" w:hAnsi="Times New Roman"/>
          <w:noProof/>
          <w:sz w:val="24"/>
          <w:lang w:val="en-GB"/>
        </w:rPr>
        <w:t xml:space="preserve">mpleted both the diagnostic and action phase and launched its action plan in May of this year. Latvia and Poland will embark on their Skills Strategy projects later in 2018. </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Further steps are being taken to promote and facilitate access and participation </w:t>
      </w:r>
      <w:r>
        <w:rPr>
          <w:rFonts w:ascii="Times New Roman" w:hAnsi="Times New Roman"/>
          <w:b/>
          <w:noProof/>
          <w:sz w:val="24"/>
          <w:lang w:val="en-GB"/>
        </w:rPr>
        <w:t>in VET.</w:t>
      </w:r>
      <w:r>
        <w:rPr>
          <w:rFonts w:ascii="Times New Roman" w:hAnsi="Times New Roman"/>
          <w:noProof/>
          <w:sz w:val="24"/>
          <w:lang w:val="en-GB"/>
        </w:rPr>
        <w:t xml:space="preserve"> Luxembourg has modified its legislation regarding the support and development of life-long learning with the aim to improve effectiveness of spending through the co-financing of vocational life-long learning. France committed additional funds to vo</w:t>
      </w:r>
      <w:r>
        <w:rPr>
          <w:rFonts w:ascii="Times New Roman" w:hAnsi="Times New Roman"/>
          <w:noProof/>
          <w:sz w:val="24"/>
          <w:lang w:val="en-GB"/>
        </w:rPr>
        <w:t>cational training and apprenticeship via the so-called Plan d'Investissement Competence (PIC), implying almost a 10% average annual increase in public spending on vocational training and apprenticeship. Malta’s "Get Qualified" scheme aims at improving fina</w:t>
      </w:r>
      <w:r>
        <w:rPr>
          <w:rFonts w:ascii="Times New Roman" w:hAnsi="Times New Roman"/>
          <w:noProof/>
          <w:sz w:val="24"/>
          <w:lang w:val="en-GB"/>
        </w:rPr>
        <w:t>ncial support for students wishing to pursue vocational training.</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Member States are adapting their systems of vocational education and training with a goal of improving their labour market relevance.</w:t>
      </w:r>
      <w:r>
        <w:rPr>
          <w:rFonts w:ascii="Times New Roman" w:hAnsi="Times New Roman"/>
          <w:noProof/>
          <w:sz w:val="24"/>
          <w:lang w:val="en-GB"/>
        </w:rPr>
        <w:t xml:space="preserve"> Slovenia has introduced an annex to a certificate, which</w:t>
      </w:r>
      <w:r>
        <w:rPr>
          <w:rFonts w:ascii="Times New Roman" w:hAnsi="Times New Roman"/>
          <w:noProof/>
          <w:sz w:val="24"/>
          <w:lang w:val="en-GB"/>
        </w:rPr>
        <w:t xml:space="preserve"> provides detailed, uniform and internationally comparable information to employers on vocational qualifications. In the framework of the Technical Education Reform the United Kingdom has announced the introduction of T-levels – technical qualifications th</w:t>
      </w:r>
      <w:r>
        <w:rPr>
          <w:rFonts w:ascii="Times New Roman" w:hAnsi="Times New Roman"/>
          <w:noProof/>
          <w:sz w:val="24"/>
          <w:lang w:val="en-GB"/>
        </w:rPr>
        <w:t>at 16- to 19-year-olds will be able to take as an alternative to A-levels, the main school leaving qualification. Greece expanded its apprenticeship support for the upper-secondary vocational school graduates that gives access to EQF level 5 qualifications</w:t>
      </w:r>
      <w:r>
        <w:rPr>
          <w:rFonts w:ascii="Times New Roman" w:hAnsi="Times New Roman"/>
          <w:noProof/>
          <w:sz w:val="24"/>
          <w:lang w:val="en-GB"/>
        </w:rPr>
        <w:t xml:space="preserve"> and aims at facilitating transition to the labour market. Croatia has amended the Vocational Education Act that provides for development and design of new vocational curricula for acquiring vocational qualifications as required by the labour market; it al</w:t>
      </w:r>
      <w:r>
        <w:rPr>
          <w:rFonts w:ascii="Times New Roman" w:hAnsi="Times New Roman"/>
          <w:noProof/>
          <w:sz w:val="24"/>
          <w:lang w:val="en-GB"/>
        </w:rPr>
        <w:t>so establishes a better quality assurance system and regional competency centres. In Cyprus, the government has introduced measures aiming at improving the quality of vocational education and the acquisition of skills and competences required by the labour</w:t>
      </w:r>
      <w:r>
        <w:rPr>
          <w:rFonts w:ascii="Times New Roman" w:hAnsi="Times New Roman"/>
          <w:noProof/>
          <w:sz w:val="24"/>
          <w:lang w:val="en-GB"/>
        </w:rPr>
        <w:t xml:space="preserve"> market through, in particular, promoting the cooperation between VET providers and industry regarding practical trainings (via industrial placement). In Finland, the VET reform measures aim further at developing apprenticeship training and facilitating fl</w:t>
      </w:r>
      <w:r>
        <w:rPr>
          <w:rFonts w:ascii="Times New Roman" w:hAnsi="Times New Roman"/>
          <w:noProof/>
          <w:sz w:val="24"/>
          <w:lang w:val="en-GB"/>
        </w:rPr>
        <w:t>exible paths to learning and a practical approach to obtaining a qualification.</w:t>
      </w:r>
    </w:p>
    <w:p w:rsidR="00EF5220" w:rsidRDefault="00EF2564">
      <w:pPr>
        <w:spacing w:before="120" w:after="240" w:line="360" w:lineRule="auto"/>
        <w:jc w:val="both"/>
        <w:rPr>
          <w:rFonts w:ascii="Times New Roman" w:hAnsi="Times New Roman" w:cs="Times New Roman"/>
          <w:noProof/>
          <w:sz w:val="24"/>
          <w:szCs w:val="24"/>
          <w:lang w:val="en-GB"/>
        </w:rPr>
      </w:pPr>
      <w:r>
        <w:rPr>
          <w:rFonts w:ascii="Times New Roman" w:hAnsi="Times New Roman"/>
          <w:b/>
          <w:noProof/>
          <w:sz w:val="24"/>
          <w:lang w:val="en-GB"/>
        </w:rPr>
        <w:t>Several Member States adopted different measures promoting the development of digital skills.</w:t>
      </w:r>
      <w:r>
        <w:rPr>
          <w:rFonts w:ascii="Times New Roman" w:hAnsi="Times New Roman"/>
          <w:noProof/>
          <w:sz w:val="24"/>
          <w:lang w:val="en-GB"/>
        </w:rPr>
        <w:t xml:space="preserve"> An EU funded project “Education for Tomorrow” is being launched in Bulgaria to hel</w:t>
      </w:r>
      <w:r>
        <w:rPr>
          <w:rFonts w:ascii="Times New Roman" w:hAnsi="Times New Roman"/>
          <w:noProof/>
          <w:sz w:val="24"/>
          <w:lang w:val="en-GB"/>
        </w:rPr>
        <w:t xml:space="preserve">p open the education to digital technologies and to introduce innovative teaching methods as well as to increase motivation to learn and overcome difficulties in learning content. UK rolls out the National Retraining Scheme where it will use an additional </w:t>
      </w:r>
      <w:r>
        <w:rPr>
          <w:rFonts w:ascii="Times New Roman" w:hAnsi="Times New Roman"/>
          <w:noProof/>
          <w:sz w:val="24"/>
          <w:lang w:val="en-GB"/>
        </w:rPr>
        <w:t>GBP 30 million (EUR 34 million) for particular digital skills needs. Spain adopted a digital skills training programme for Young Professionals offering the unemployed young people from the National Youth Guarantee System training oriented to the digital in</w:t>
      </w:r>
      <w:r>
        <w:rPr>
          <w:rFonts w:ascii="Times New Roman" w:hAnsi="Times New Roman"/>
          <w:noProof/>
          <w:sz w:val="24"/>
          <w:lang w:val="en-GB"/>
        </w:rPr>
        <w:t>dustry and new business models. Malta set up a sub-committee in its National Skills Council to carry out research and make recommendations to address digital skills mismatches.</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Further improving youth employment and supporting young people’s transition bet</w:t>
      </w:r>
      <w:r>
        <w:rPr>
          <w:rFonts w:ascii="Times New Roman" w:hAnsi="Times New Roman"/>
          <w:b/>
          <w:noProof/>
          <w:sz w:val="24"/>
          <w:lang w:val="en-GB"/>
        </w:rPr>
        <w:t>ween education and the labour market remains an important priority</w:t>
      </w:r>
      <w:r>
        <w:rPr>
          <w:rFonts w:ascii="Times New Roman" w:hAnsi="Times New Roman"/>
          <w:noProof/>
          <w:sz w:val="24"/>
          <w:lang w:val="en-GB"/>
        </w:rPr>
        <w:t>. In 2017, more than 5 million young people registered in the Youth Guarantee and 3.5 million took up an offer of employment, continued education, a traineeship or an apprenticeship and clos</w:t>
      </w:r>
      <w:r>
        <w:rPr>
          <w:rFonts w:ascii="Times New Roman" w:hAnsi="Times New Roman"/>
          <w:noProof/>
          <w:sz w:val="24"/>
          <w:lang w:val="en-GB"/>
        </w:rPr>
        <w:t>e to half of young people were still in employment, education or training 6 months after leaving the Youth Guarantee registry. However, in many Member States the estimated proportion of NEETs registered with the scheme throughout the year is still below 50</w:t>
      </w:r>
      <w:r>
        <w:rPr>
          <w:rFonts w:ascii="Times New Roman" w:hAnsi="Times New Roman"/>
          <w:noProof/>
          <w:sz w:val="24"/>
          <w:lang w:val="en-GB"/>
        </w:rPr>
        <w:t>%. In a context where young people’s labour market performance has significantly improved, policy measures underpinning the Youth Guarantee’s delivery are becoming more targeted.</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color w:val="000000"/>
          <w:sz w:val="24"/>
          <w:lang w:val="en-GB"/>
        </w:rPr>
        <w:t>Member States are stepping up their outreach efforts, making services more ac</w:t>
      </w:r>
      <w:r>
        <w:rPr>
          <w:rFonts w:ascii="Times New Roman" w:hAnsi="Times New Roman"/>
          <w:b/>
          <w:noProof/>
          <w:color w:val="000000"/>
          <w:sz w:val="24"/>
          <w:lang w:val="en-GB"/>
        </w:rPr>
        <w:t>cessible</w:t>
      </w:r>
      <w:r>
        <w:rPr>
          <w:noProof/>
          <w:lang w:val="en-GB"/>
        </w:rPr>
        <w:t xml:space="preserve"> </w:t>
      </w:r>
      <w:r>
        <w:rPr>
          <w:rFonts w:ascii="Times New Roman" w:hAnsi="Times New Roman"/>
          <w:b/>
          <w:noProof/>
          <w:color w:val="000000"/>
          <w:sz w:val="24"/>
          <w:lang w:val="en-GB"/>
        </w:rPr>
        <w:t xml:space="preserve">to young people and ensuring a better identification of those in need. </w:t>
      </w:r>
      <w:r>
        <w:rPr>
          <w:rFonts w:ascii="Times New Roman" w:hAnsi="Times New Roman"/>
          <w:noProof/>
          <w:sz w:val="24"/>
          <w:lang w:val="en-GB"/>
        </w:rPr>
        <w:t>In Finland, the one-stop guidance centres for youth (Ohjaamo, originally operating under ESF funding) were made permanent and will receive extensive financial support, aiming t</w:t>
      </w:r>
      <w:r>
        <w:rPr>
          <w:rFonts w:ascii="Times New Roman" w:hAnsi="Times New Roman"/>
          <w:noProof/>
          <w:sz w:val="24"/>
          <w:lang w:val="en-GB"/>
        </w:rPr>
        <w:t>o reach a total of 10,000 young people. Youth Employment Agencies are being rolled out across Germany. Cyprus has launched an outreach project supported by the Ministry of Education in cooperation with the Ministry of Labour and the Cyprus Youth Board, aim</w:t>
      </w:r>
      <w:r>
        <w:rPr>
          <w:rFonts w:ascii="Times New Roman" w:hAnsi="Times New Roman"/>
          <w:noProof/>
          <w:sz w:val="24"/>
          <w:lang w:val="en-GB"/>
        </w:rPr>
        <w:t>ing to reach out to 4,000 inactive NEETs and to provide them with activation support through counselling and tailor made training. In Croatia,</w:t>
      </w:r>
      <w:r>
        <w:rPr>
          <w:rFonts w:ascii="Times New Roman" w:hAnsi="Times New Roman"/>
          <w:b/>
          <w:noProof/>
          <w:sz w:val="24"/>
          <w:lang w:val="en-GB"/>
        </w:rPr>
        <w:t xml:space="preserve"> </w:t>
      </w:r>
      <w:r>
        <w:rPr>
          <w:rFonts w:ascii="Times New Roman" w:hAnsi="Times New Roman"/>
          <w:noProof/>
          <w:sz w:val="24"/>
          <w:lang w:val="en-GB"/>
        </w:rPr>
        <w:t>a NEET mapping system is in place since November 2017, which aims to identify non-registered NEETs and their char</w:t>
      </w:r>
      <w:r>
        <w:rPr>
          <w:rFonts w:ascii="Times New Roman" w:hAnsi="Times New Roman"/>
          <w:noProof/>
          <w:sz w:val="24"/>
          <w:lang w:val="en-GB"/>
        </w:rPr>
        <w:t>acteristics to better target measures to this group.</w:t>
      </w:r>
    </w:p>
    <w:p w:rsidR="00EF5220" w:rsidRDefault="00EF2564">
      <w:pPr>
        <w:spacing w:line="360" w:lineRule="auto"/>
        <w:jc w:val="both"/>
        <w:rPr>
          <w:rFonts w:ascii="Times New Roman" w:eastAsia="Times New Roman" w:hAnsi="Times New Roman"/>
          <w:noProof/>
          <w:sz w:val="24"/>
          <w:szCs w:val="24"/>
          <w:lang w:val="en-GB"/>
        </w:rPr>
      </w:pPr>
      <w:r>
        <w:rPr>
          <w:rFonts w:ascii="Times New Roman" w:hAnsi="Times New Roman"/>
          <w:b/>
          <w:noProof/>
          <w:sz w:val="24"/>
          <w:lang w:val="en-GB"/>
        </w:rPr>
        <w:t xml:space="preserve">New measures were also introduced to better support young people facing multiple disadvantages, including through better cooperation between employment, social and education services. </w:t>
      </w:r>
      <w:r>
        <w:rPr>
          <w:rFonts w:ascii="Times New Roman" w:hAnsi="Times New Roman"/>
          <w:noProof/>
          <w:sz w:val="24"/>
          <w:lang w:val="en-GB"/>
        </w:rPr>
        <w:t xml:space="preserve">In </w:t>
      </w:r>
      <w:r>
        <w:rPr>
          <w:rFonts w:ascii="Times New Roman" w:hAnsi="Times New Roman"/>
          <w:noProof/>
          <w:color w:val="000000"/>
          <w:sz w:val="24"/>
          <w:lang w:val="en-GB"/>
        </w:rPr>
        <w:t>Austria,</w:t>
      </w:r>
      <w:r>
        <w:rPr>
          <w:rFonts w:ascii="Times New Roman" w:hAnsi="Times New Roman"/>
          <w:noProof/>
          <w:sz w:val="24"/>
          <w:lang w:val="en-GB"/>
        </w:rPr>
        <w:t xml:space="preserve"> youth c</w:t>
      </w:r>
      <w:r>
        <w:rPr>
          <w:rFonts w:ascii="Times New Roman" w:hAnsi="Times New Roman"/>
          <w:noProof/>
          <w:sz w:val="24"/>
          <w:lang w:val="en-GB"/>
        </w:rPr>
        <w:t>oaching helps keep young people in the education and training system as long as possible, or alternatively reintegrate them into the system. In Ireland, the Youth Employment Support Scheme was announced in 2018. It offers work placements to young jobseeker</w:t>
      </w:r>
      <w:r>
        <w:rPr>
          <w:rFonts w:ascii="Times New Roman" w:hAnsi="Times New Roman"/>
          <w:noProof/>
          <w:sz w:val="24"/>
          <w:lang w:val="en-GB"/>
        </w:rPr>
        <w:t xml:space="preserve">s who are long-term unemployed or face significant barriers to employment. Participants learn basic work and social skills in a supportive environment while receiving a weekly payment equivalent to the net minimum wage. </w:t>
      </w:r>
    </w:p>
    <w:p w:rsidR="00EF5220" w:rsidRDefault="00EF2564">
      <w:pPr>
        <w:spacing w:line="360" w:lineRule="auto"/>
        <w:jc w:val="both"/>
        <w:rPr>
          <w:rFonts w:ascii="Times New Roman" w:eastAsia="Times New Roman" w:hAnsi="Times New Roman"/>
          <w:noProof/>
          <w:sz w:val="24"/>
          <w:szCs w:val="24"/>
          <w:lang w:val="en-GB"/>
        </w:rPr>
      </w:pPr>
      <w:r>
        <w:rPr>
          <w:rFonts w:ascii="Times New Roman" w:hAnsi="Times New Roman"/>
          <w:b/>
          <w:noProof/>
          <w:sz w:val="24"/>
          <w:lang w:val="en-GB"/>
        </w:rPr>
        <w:t>Member States continue supporting l</w:t>
      </w:r>
      <w:r>
        <w:rPr>
          <w:rFonts w:ascii="Times New Roman" w:hAnsi="Times New Roman"/>
          <w:b/>
          <w:noProof/>
          <w:sz w:val="24"/>
          <w:lang w:val="en-GB"/>
        </w:rPr>
        <w:t>abour market demand through employment and entrepreneurship incentives, mainly in the form of targeted wage and recruitment subsidies</w:t>
      </w:r>
      <w:r>
        <w:rPr>
          <w:rFonts w:ascii="Times New Roman" w:hAnsi="Times New Roman"/>
          <w:noProof/>
          <w:sz w:val="24"/>
          <w:lang w:val="en-GB"/>
        </w:rPr>
        <w:t xml:space="preserve">. In March 2018, Belgium adopted a new law to support new “Starter Jobs”, which has not yet entered into force, making the </w:t>
      </w:r>
      <w:r>
        <w:rPr>
          <w:rFonts w:ascii="Times New Roman" w:hAnsi="Times New Roman"/>
          <w:noProof/>
          <w:sz w:val="24"/>
          <w:lang w:val="en-GB"/>
        </w:rPr>
        <w:t>employment of inexperienced young people between 18 and 21 years less costly without reducing their net pay. Spain launched a new wage subsidy programme for 10,000 unemployed 18-29 years old, with emphasis on higher education graduates (6,000 places).  A l</w:t>
      </w:r>
      <w:r>
        <w:rPr>
          <w:rFonts w:ascii="Times New Roman" w:hAnsi="Times New Roman"/>
          <w:noProof/>
          <w:sz w:val="24"/>
          <w:lang w:val="en-GB"/>
        </w:rPr>
        <w:t>onger subsidy period is granted for the recruitment of long-term unemployed and minimum income beneficiaries. Spain also adopted a reduction in the social security contributions during 3 years for firms that transform training contracts into open-ended and</w:t>
      </w:r>
      <w:r>
        <w:rPr>
          <w:rFonts w:ascii="Times New Roman" w:hAnsi="Times New Roman"/>
          <w:noProof/>
          <w:sz w:val="24"/>
          <w:lang w:val="en-GB"/>
        </w:rPr>
        <w:t xml:space="preserve"> new wage subsidies for a first-time hiring by young entrepreneurs (up to 35 years). A longer subsidy period is foreseen for young unemployed (up to 29 years). Italy offers an array of incentives linked to social security contributions, such as reduced con</w:t>
      </w:r>
      <w:r>
        <w:rPr>
          <w:rFonts w:ascii="Times New Roman" w:hAnsi="Times New Roman"/>
          <w:noProof/>
          <w:sz w:val="24"/>
          <w:lang w:val="en-GB"/>
        </w:rPr>
        <w:t>tribution during three years for private companies hiring youth under an open-ended contract or total exoneration during three years for employers hiring young people on open-ended contracts after a traineeship or a dual VET programme and for employers hir</w:t>
      </w:r>
      <w:r>
        <w:rPr>
          <w:rFonts w:ascii="Times New Roman" w:hAnsi="Times New Roman"/>
          <w:noProof/>
          <w:sz w:val="24"/>
          <w:lang w:val="en-GB"/>
        </w:rPr>
        <w:t>ing young people enrolled in the Youth Guarantee programme.</w:t>
      </w:r>
      <w:r>
        <w:rPr>
          <w:rFonts w:ascii="Times New Roman" w:hAnsi="Times New Roman"/>
          <w:noProof/>
          <w:color w:val="000000" w:themeColor="text1"/>
          <w:sz w:val="24"/>
          <w:lang w:val="en-GB"/>
        </w:rPr>
        <w:t xml:space="preserve"> </w:t>
      </w:r>
      <w:r>
        <w:rPr>
          <w:rFonts w:ascii="Times New Roman" w:hAnsi="Times New Roman"/>
          <w:noProof/>
          <w:sz w:val="24"/>
          <w:lang w:val="en-GB"/>
        </w:rPr>
        <w:t xml:space="preserve">Romania is planning to increase the employment subsidy for hiring young NEETs and young graduates from 1.125 lei/month (about EUR 245) to 2.250 lei/month (about EUR 490).    </w:t>
      </w:r>
    </w:p>
    <w:p w:rsidR="00EF5220" w:rsidRDefault="00EF2564">
      <w:pPr>
        <w:spacing w:before="120" w:after="120"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An important focus on upskilling and re-skilling young people through active labour market policies is present in several Member States. </w:t>
      </w:r>
      <w:r>
        <w:rPr>
          <w:rFonts w:ascii="Times New Roman" w:hAnsi="Times New Roman"/>
          <w:noProof/>
          <w:sz w:val="24"/>
          <w:lang w:val="en-GB"/>
        </w:rPr>
        <w:t>In Croatia, the Ministry of Labour and Pension System and the Managing Board of the Croatian Employment Service adopted</w:t>
      </w:r>
      <w:r>
        <w:rPr>
          <w:rFonts w:ascii="Times New Roman" w:hAnsi="Times New Roman"/>
          <w:noProof/>
          <w:sz w:val="24"/>
          <w:lang w:val="en-GB"/>
        </w:rPr>
        <w:t xml:space="preserve"> a new package of active labour market measures with additional emphasis on training and workplace training, including for youth. </w:t>
      </w:r>
      <w:r>
        <w:rPr>
          <w:rFonts w:ascii="Times New Roman" w:hAnsi="Times New Roman"/>
          <w:noProof/>
          <w:color w:val="000000"/>
          <w:sz w:val="24"/>
          <w:lang w:val="en-GB"/>
        </w:rPr>
        <w:t>Since 2017,</w:t>
      </w:r>
      <w:r>
        <w:rPr>
          <w:rFonts w:ascii="Times New Roman" w:hAnsi="Times New Roman"/>
          <w:noProof/>
          <w:sz w:val="24"/>
          <w:lang w:val="en-GB"/>
        </w:rPr>
        <w:t xml:space="preserve"> Spain has implemented a Digital skills training programme for Young Professionals, offering unemployed young peopl</w:t>
      </w:r>
      <w:r>
        <w:rPr>
          <w:rFonts w:ascii="Times New Roman" w:hAnsi="Times New Roman"/>
          <w:noProof/>
          <w:sz w:val="24"/>
          <w:lang w:val="en-GB"/>
        </w:rPr>
        <w:t>e from the National Youth Guarantee System training oriented to the digital industry and new business models.</w:t>
      </w:r>
    </w:p>
    <w:p w:rsidR="00EF5220" w:rsidRDefault="00EF2564">
      <w:pPr>
        <w:spacing w:before="120" w:after="120" w:line="360" w:lineRule="auto"/>
        <w:jc w:val="both"/>
        <w:rPr>
          <w:rFonts w:ascii="Times New Roman" w:hAnsi="Times New Roman"/>
          <w:noProof/>
          <w:sz w:val="24"/>
          <w:szCs w:val="24"/>
          <w:lang w:val="en-GB"/>
        </w:rPr>
      </w:pPr>
      <w:r>
        <w:rPr>
          <w:rFonts w:ascii="Times New Roman" w:hAnsi="Times New Roman"/>
          <w:b/>
          <w:noProof/>
          <w:sz w:val="24"/>
          <w:lang w:val="en-GB"/>
        </w:rPr>
        <w:t>Member States have also continued</w:t>
      </w:r>
      <w:r>
        <w:rPr>
          <w:rFonts w:ascii="Times New Roman" w:hAnsi="Times New Roman"/>
          <w:noProof/>
          <w:sz w:val="24"/>
          <w:lang w:val="en-GB"/>
        </w:rPr>
        <w:t xml:space="preserve"> </w:t>
      </w:r>
      <w:r>
        <w:rPr>
          <w:rFonts w:ascii="Times New Roman" w:hAnsi="Times New Roman"/>
          <w:b/>
          <w:noProof/>
          <w:sz w:val="24"/>
          <w:lang w:val="en-GB"/>
        </w:rPr>
        <w:t>adapting their traineeship legislation to the Quality Framework for Traineeships</w:t>
      </w:r>
      <w:r>
        <w:rPr>
          <w:rFonts w:ascii="Times New Roman" w:hAnsi="Times New Roman"/>
          <w:b/>
          <w:noProof/>
          <w:sz w:val="24"/>
          <w:vertAlign w:val="superscript"/>
          <w:lang w:val="en-GB"/>
        </w:rPr>
        <w:footnoteReference w:id="64"/>
      </w:r>
      <w:r>
        <w:rPr>
          <w:rFonts w:ascii="Times New Roman" w:hAnsi="Times New Roman"/>
          <w:b/>
          <w:noProof/>
          <w:sz w:val="24"/>
          <w:lang w:val="en-GB"/>
        </w:rPr>
        <w:t xml:space="preserve"> and further developed financia</w:t>
      </w:r>
      <w:r>
        <w:rPr>
          <w:rFonts w:ascii="Times New Roman" w:hAnsi="Times New Roman"/>
          <w:b/>
          <w:noProof/>
          <w:sz w:val="24"/>
          <w:lang w:val="en-GB"/>
        </w:rPr>
        <w:t xml:space="preserve">l incentives for traineeships.  </w:t>
      </w:r>
      <w:r>
        <w:rPr>
          <w:rFonts w:ascii="Times New Roman" w:hAnsi="Times New Roman"/>
          <w:noProof/>
          <w:sz w:val="24"/>
          <w:lang w:val="en-GB"/>
        </w:rPr>
        <w:t>In Lithuania, a new Law on Employment, which came into force on 1 July 2017, makes a distinction between two types of traineeship, namely "voluntary practice" (Article 10) and “Advanced Training” (Article 39), and sets a cle</w:t>
      </w:r>
      <w:r>
        <w:rPr>
          <w:rFonts w:ascii="Times New Roman" w:hAnsi="Times New Roman"/>
          <w:noProof/>
          <w:sz w:val="24"/>
          <w:lang w:val="en-GB"/>
        </w:rPr>
        <w:t>arer framework for unpaid and paid traineeships. In Spain, the 2018 budget law includes a financial allocation to launch a Youth Guarantee training bonus (</w:t>
      </w:r>
      <w:r>
        <w:rPr>
          <w:rFonts w:ascii="Times New Roman" w:hAnsi="Times New Roman"/>
          <w:i/>
          <w:noProof/>
          <w:sz w:val="24"/>
          <w:lang w:val="en-GB"/>
        </w:rPr>
        <w:t>bono de formacion garantia juvenil</w:t>
      </w:r>
      <w:r>
        <w:rPr>
          <w:rFonts w:ascii="Times New Roman" w:hAnsi="Times New Roman"/>
          <w:noProof/>
          <w:sz w:val="24"/>
          <w:lang w:val="en-GB"/>
        </w:rPr>
        <w:t>), a financial support of EUR 430 during a maximum of 18 months for</w:t>
      </w:r>
      <w:r>
        <w:rPr>
          <w:rFonts w:ascii="Times New Roman" w:hAnsi="Times New Roman"/>
          <w:noProof/>
          <w:sz w:val="24"/>
          <w:lang w:val="en-GB"/>
        </w:rPr>
        <w:t xml:space="preserve"> young people hired on training and apprenticeship contracts. In July 2018, Romania adopted a traineeship law supporting people above 16 years old. The law makes it compulsory for employers to offer a monthly payment of minimum 50% of the gross minimum wag</w:t>
      </w:r>
      <w:r>
        <w:rPr>
          <w:rFonts w:ascii="Times New Roman" w:hAnsi="Times New Roman"/>
          <w:noProof/>
          <w:sz w:val="24"/>
          <w:lang w:val="en-GB"/>
        </w:rPr>
        <w:t xml:space="preserve">e, for a maximum of 720 hours (within 6 months). A bonus will be offered for hiring trainees at the end of their traineeship. </w:t>
      </w:r>
    </w:p>
    <w:p w:rsidR="00EF5220" w:rsidRDefault="00EF2564">
      <w:pPr>
        <w:rPr>
          <w:rFonts w:ascii="Times New Roman" w:hAnsi="Times New Roman"/>
          <w:b/>
          <w:noProof/>
          <w:sz w:val="24"/>
          <w:lang w:val="en-GB"/>
        </w:rPr>
      </w:pPr>
      <w:r>
        <w:rPr>
          <w:noProof/>
          <w:lang w:val="en-GB"/>
        </w:rPr>
        <w:br w:type="page"/>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b/>
          <w:i/>
          <w:noProof/>
          <w:sz w:val="24"/>
          <w:lang w:val="en-GB"/>
        </w:rPr>
      </w:pPr>
      <w:r>
        <w:rPr>
          <w:rFonts w:ascii="Times New Roman" w:hAnsi="Times New Roman"/>
          <w:b/>
          <w:i/>
          <w:noProof/>
          <w:sz w:val="24"/>
          <w:lang w:val="en-GB"/>
        </w:rPr>
        <w:t>Box 2. Making full use of the European Social Fund (ESF)</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 xml:space="preserve">With a budget of EUR 86.4 billion for 2014-2020, the European Social </w:t>
      </w:r>
      <w:r>
        <w:rPr>
          <w:rFonts w:ascii="Times New Roman" w:hAnsi="Times New Roman"/>
          <w:noProof/>
          <w:sz w:val="24"/>
          <w:lang w:val="en-GB"/>
        </w:rPr>
        <w:t>Fund (ESF) is one the key EU instruments to support addressing the challenges identified in the country-specific recommendations (CSRs). The operational programmes directly contribute to promoting sustainable and quality employment, promoting social inclus</w:t>
      </w:r>
      <w:r>
        <w:rPr>
          <w:rFonts w:ascii="Times New Roman" w:hAnsi="Times New Roman"/>
          <w:noProof/>
          <w:sz w:val="24"/>
          <w:lang w:val="en-GB"/>
        </w:rPr>
        <w:t>ion, investing in education and training and enhancing institutional capacity building.</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One of the key policy priorities is youth employment, tackled through both the ESF own resources and the Youth Employment Initiative (YEI). The budget of the YEI has be</w:t>
      </w:r>
      <w:r>
        <w:rPr>
          <w:rFonts w:ascii="Times New Roman" w:hAnsi="Times New Roman"/>
          <w:noProof/>
          <w:sz w:val="24"/>
          <w:lang w:val="en-GB"/>
        </w:rPr>
        <w:t>en increased in 2017 to EUR 8.9 billion, covering the full 2014-2020 programming period. The YEI specifically targets young people who are not in employment, education or training (NEET), concentrated on the EU regions with the highest youth unemployment r</w:t>
      </w:r>
      <w:r>
        <w:rPr>
          <w:rFonts w:ascii="Times New Roman" w:hAnsi="Times New Roman"/>
          <w:noProof/>
          <w:sz w:val="24"/>
          <w:lang w:val="en-GB"/>
        </w:rPr>
        <w:t>ates in 2012.</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 xml:space="preserve">Over 15 million participants have benefitted from ESF and YEI support between 2014 and 2017, including almost 3 million long-term unemployed (17%). Young people below 25 years of age (42% of total participants) and low-skilled people with </w:t>
      </w:r>
      <w:r>
        <w:rPr>
          <w:rFonts w:ascii="Times New Roman" w:hAnsi="Times New Roman"/>
          <w:noProof/>
          <w:sz w:val="24"/>
          <w:lang w:val="en-GB"/>
        </w:rPr>
        <w:t>primary or lower secondary education (44% of total participants) are key target groups of these interventions. Implementation, which showed a sharp acceleration in 2017, should continue steadily in the coming years.</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Over 2.4 million young NEET have been su</w:t>
      </w:r>
      <w:r>
        <w:rPr>
          <w:rFonts w:ascii="Times New Roman" w:hAnsi="Times New Roman"/>
          <w:noProof/>
          <w:sz w:val="24"/>
          <w:lang w:val="en-GB"/>
        </w:rPr>
        <w:t>pported by the YEI between 2014 and 2017, out of which:</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1.5 million young people have completed the YEI supported intervention;</w:t>
      </w:r>
    </w:p>
    <w:p w:rsidR="00EF5220" w:rsidRDefault="00EF2564">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 xml:space="preserve">780,000 young people were in education/training, gaining a qualification, or in employment, including self-employment, upon </w:t>
      </w:r>
      <w:r>
        <w:rPr>
          <w:rFonts w:ascii="Times New Roman" w:hAnsi="Times New Roman"/>
          <w:noProof/>
          <w:sz w:val="24"/>
          <w:lang w:val="en-GB"/>
        </w:rPr>
        <w:t>leaving;</w:t>
      </w:r>
    </w:p>
    <w:p w:rsidR="00EF5220" w:rsidRDefault="00EF2564">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550,000 young people received an offer of employment, continued education, apprenticeship or traineeship upon leaving;</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On 30 May 2018, the European Commission adopted a proposal for the 2021-2027 European Social Fund Plus (ESF+). The ESF+ will a</w:t>
      </w:r>
      <w:r>
        <w:rPr>
          <w:rFonts w:ascii="Times New Roman" w:hAnsi="Times New Roman"/>
          <w:noProof/>
          <w:sz w:val="24"/>
          <w:lang w:val="en-GB"/>
        </w:rPr>
        <w:t>llow within the broader framework of the Structural and Investment Funds to focus support more on challenges identified in the European Semester. In this context, ESF+ will merge the:</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European Social Fund (ESF) and the Youth Employment Initiative (YEI),</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Fund for European Aid to the Most Deprived (FEAD),</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EU Programme for Employment and Social Innovation, and</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EU Health Programme.</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The ESF+ Regulation will aim to ensure that resources under the shared management strand focus on the key challenges identi</w:t>
      </w:r>
      <w:r>
        <w:rPr>
          <w:rFonts w:ascii="Times New Roman" w:hAnsi="Times New Roman"/>
          <w:noProof/>
          <w:sz w:val="24"/>
          <w:lang w:val="en-GB"/>
        </w:rPr>
        <w:t>fied, in particular it will:</w:t>
      </w:r>
    </w:p>
    <w:p w:rsidR="00EF5220" w:rsidRDefault="00EF2564">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Support the principles of the European pillar of social rights and the implementation of recommendations under the European Semester;</w:t>
      </w:r>
    </w:p>
    <w:p w:rsidR="00EF5220" w:rsidRDefault="00EF2564">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Continue to provide support to young people with a minimum allocation for Member States w</w:t>
      </w:r>
      <w:r>
        <w:rPr>
          <w:rFonts w:ascii="Times New Roman" w:hAnsi="Times New Roman"/>
          <w:noProof/>
          <w:sz w:val="24"/>
          <w:lang w:val="en-GB"/>
        </w:rPr>
        <w:t>ith high youth unemployment rates;</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Foster social inclusion with a minimum share of 25%;</w:t>
      </w:r>
    </w:p>
    <w:p w:rsidR="00EF5220" w:rsidRDefault="00EF2564">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Support Union actions for social innovation, mobility and health;</w:t>
      </w:r>
    </w:p>
    <w:p w:rsidR="00EF5220" w:rsidRDefault="00EF2564">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Support long-term integration of third-country nationals, in complementarity with the Asylum and</w:t>
      </w:r>
      <w:r>
        <w:rPr>
          <w:rFonts w:ascii="Times New Roman" w:hAnsi="Times New Roman"/>
          <w:noProof/>
          <w:sz w:val="24"/>
          <w:lang w:val="en-GB"/>
        </w:rPr>
        <w:t xml:space="preserve"> Migration Fund (AMF);</w:t>
      </w:r>
    </w:p>
    <w:p w:rsidR="00EF5220" w:rsidRDefault="00EF2564">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en-GB"/>
        </w:rPr>
      </w:pPr>
      <w:r>
        <w:rPr>
          <w:rFonts w:ascii="Times New Roman" w:hAnsi="Times New Roman"/>
          <w:noProof/>
          <w:sz w:val="24"/>
          <w:lang w:val="en-GB"/>
        </w:rPr>
        <w:t>•</w:t>
      </w:r>
      <w:r>
        <w:rPr>
          <w:noProof/>
          <w:lang w:val="en-GB"/>
        </w:rPr>
        <w:tab/>
      </w:r>
      <w:r>
        <w:rPr>
          <w:rFonts w:ascii="Times New Roman" w:hAnsi="Times New Roman"/>
          <w:noProof/>
          <w:sz w:val="24"/>
          <w:lang w:val="en-GB"/>
        </w:rPr>
        <w:t>Be made simpler to reduce the administrative burden on national authorities or organisations benefiting from ESF+ measures.</w:t>
      </w:r>
    </w:p>
    <w:p w:rsidR="00EF5220" w:rsidRDefault="00EF5220">
      <w:pPr>
        <w:spacing w:line="360" w:lineRule="auto"/>
        <w:jc w:val="both"/>
        <w:rPr>
          <w:rFonts w:ascii="Times New Roman" w:hAnsi="Times New Roman"/>
          <w:b/>
          <w:noProof/>
          <w:sz w:val="24"/>
          <w:highlight w:val="yellow"/>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Several Member States continue their efforts to promote labour market participation of older workers</w:t>
      </w:r>
      <w:r>
        <w:rPr>
          <w:rFonts w:ascii="Times New Roman" w:hAnsi="Times New Roman"/>
          <w:noProof/>
          <w:sz w:val="24"/>
          <w:lang w:val="en-GB"/>
        </w:rPr>
        <w:t xml:space="preserve">. In </w:t>
      </w:r>
      <w:r>
        <w:rPr>
          <w:rFonts w:ascii="Times New Roman" w:hAnsi="Times New Roman"/>
          <w:noProof/>
          <w:sz w:val="24"/>
          <w:lang w:val="en-GB"/>
        </w:rPr>
        <w:t>Denmark, the pension agreement strengthens the incentives for older workers to stay longer on the labour market. A series of initiatives increases the degree of flexibility in the pension system, including higher financial incentives to postpone retirement</w:t>
      </w:r>
      <w:r>
        <w:rPr>
          <w:rFonts w:ascii="Times New Roman" w:hAnsi="Times New Roman"/>
          <w:noProof/>
          <w:sz w:val="24"/>
          <w:lang w:val="en-GB"/>
        </w:rPr>
        <w:t xml:space="preserve"> and to establish private pension schemes. Greece adopted a programme of subsidies to public sector and local enterprises, entities and organizations to employ 10,000 long-term unemployed aged 55-67. In Malta, retired pensioners, who are less than 65 years</w:t>
      </w:r>
      <w:r>
        <w:rPr>
          <w:rFonts w:ascii="Times New Roman" w:hAnsi="Times New Roman"/>
          <w:noProof/>
          <w:sz w:val="24"/>
          <w:lang w:val="en-GB"/>
        </w:rPr>
        <w:t xml:space="preserve"> of age and are self-employed or work part-time, will be able to pay the national insurance contribution pro-rata at a 15 per cent rate instead of the full rate. Slovenia introduced a subsidy aimed at permanent employment of persons older than 58 years, wi</w:t>
      </w:r>
      <w:r>
        <w:rPr>
          <w:rFonts w:ascii="Times New Roman" w:hAnsi="Times New Roman"/>
          <w:noProof/>
          <w:sz w:val="24"/>
          <w:lang w:val="en-GB"/>
        </w:rPr>
        <w:t>th priority for unemployment benefit- and cash social assistance beneficiaries. The subsidy amounts to EUR 11,000 and is payed to the employer in two parts (half at the recruitment and half after the 18th monthly salary). Moreover, a project was started to</w:t>
      </w:r>
      <w:r>
        <w:rPr>
          <w:rFonts w:ascii="Times New Roman" w:hAnsi="Times New Roman"/>
          <w:noProof/>
          <w:sz w:val="24"/>
          <w:lang w:val="en-GB"/>
        </w:rPr>
        <w:t xml:space="preserve"> provide comprehensive support to companies for an active ageing of the workforce. Both measures are co-financed by the ESF. Finally, in line with the Active Ageing Strategy, in March 2018 the governmental council for active ageing and intergenerational co</w:t>
      </w:r>
      <w:r>
        <w:rPr>
          <w:rFonts w:ascii="Times New Roman" w:hAnsi="Times New Roman"/>
          <w:noProof/>
          <w:sz w:val="24"/>
          <w:lang w:val="en-GB"/>
        </w:rPr>
        <w:t>operation was established, consisting of ministers and representatives of professional institutions, NGOs and economy.</w:t>
      </w:r>
    </w:p>
    <w:p w:rsidR="00EF5220" w:rsidRDefault="00EF2564">
      <w:pPr>
        <w:autoSpaceDE w:val="0"/>
        <w:autoSpaceDN w:val="0"/>
        <w:adjustRightInd w:val="0"/>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Many Member States continue efforts in the area of childcare and long-term care services to remove obstacles to employment of women. </w:t>
      </w:r>
      <w:r>
        <w:rPr>
          <w:rFonts w:ascii="Times New Roman" w:hAnsi="Times New Roman"/>
          <w:noProof/>
          <w:sz w:val="24"/>
          <w:lang w:val="en-GB"/>
        </w:rPr>
        <w:t>In J</w:t>
      </w:r>
      <w:r>
        <w:rPr>
          <w:rFonts w:ascii="Times New Roman" w:hAnsi="Times New Roman"/>
          <w:noProof/>
          <w:sz w:val="24"/>
          <w:lang w:val="en-GB"/>
        </w:rPr>
        <w:t>une 2018,</w:t>
      </w:r>
      <w:r>
        <w:rPr>
          <w:rFonts w:ascii="Times New Roman" w:hAnsi="Times New Roman"/>
          <w:b/>
          <w:noProof/>
          <w:sz w:val="24"/>
          <w:lang w:val="en-GB"/>
        </w:rPr>
        <w:t xml:space="preserve"> </w:t>
      </w:r>
      <w:r>
        <w:rPr>
          <w:rFonts w:ascii="Times New Roman" w:hAnsi="Times New Roman"/>
          <w:noProof/>
          <w:sz w:val="24"/>
          <w:lang w:val="en-GB"/>
        </w:rPr>
        <w:t>Germany adopted a programme "Childcare financing" supporting the expansion of childcare places for very young children in order to increase the number of women working full-time. The programme, with a budget of EUR 3.28 billion, aims at providing</w:t>
      </w:r>
      <w:r>
        <w:rPr>
          <w:rFonts w:ascii="Times New Roman" w:hAnsi="Times New Roman"/>
          <w:noProof/>
          <w:sz w:val="24"/>
          <w:lang w:val="en-GB"/>
        </w:rPr>
        <w:t xml:space="preserve"> additional 100,000 childcare places. Ireland has put forward the early childhood education scheme for children in pre-school age. As of September 2018, children are able to start attending childcare system at the age of 2 years and 8 months and continue u</w:t>
      </w:r>
      <w:r>
        <w:rPr>
          <w:rFonts w:ascii="Times New Roman" w:hAnsi="Times New Roman"/>
          <w:noProof/>
          <w:sz w:val="24"/>
          <w:lang w:val="en-GB"/>
        </w:rPr>
        <w:t>ntil they reach the compulsory school age. Also Greece has extended the obligatory pre-school education from 1 to 2 years and has provided 15 million EUR for additional 10,000 childcare places. Some Member States have taken steps to improve the affordabili</w:t>
      </w:r>
      <w:r>
        <w:rPr>
          <w:rFonts w:ascii="Times New Roman" w:hAnsi="Times New Roman"/>
          <w:noProof/>
          <w:sz w:val="24"/>
          <w:lang w:val="en-GB"/>
        </w:rPr>
        <w:t>ty of childcare. In Spain, the Law on the Personal Income Tax has been modified in order to enable a deduction of childcare expenses for children up to 3 years of age. Finland lowered fees for early childhood education for low-income and middle-income fami</w:t>
      </w:r>
      <w:r>
        <w:rPr>
          <w:rFonts w:ascii="Times New Roman" w:hAnsi="Times New Roman"/>
          <w:noProof/>
          <w:sz w:val="24"/>
          <w:lang w:val="en-GB"/>
        </w:rPr>
        <w:t>lies. According to estimates, this will make approximately 6,700 families eligible for free early childhood education and care. Ireland announced a single affordable childcare scheme which would provide financial support for pre-school and school childcare</w:t>
      </w:r>
      <w:r>
        <w:rPr>
          <w:rFonts w:ascii="Times New Roman" w:hAnsi="Times New Roman"/>
          <w:noProof/>
          <w:sz w:val="24"/>
          <w:lang w:val="en-GB"/>
        </w:rPr>
        <w:t>. Bulgaria adopted measures aiming at providing more long-term care facilities for the elderly and persons with disabilities. Some Member States also took measures in favour of paid informal care. The Czech Republic adopted a law on special leave for carer</w:t>
      </w:r>
      <w:r>
        <w:rPr>
          <w:rFonts w:ascii="Times New Roman" w:hAnsi="Times New Roman"/>
          <w:noProof/>
          <w:sz w:val="24"/>
          <w:lang w:val="en-GB"/>
        </w:rPr>
        <w:t>s (paid leave up to three months for informal carers of family dependants). Ireland plans to extend the parental leave entitlement to 26 weeks (6 months) in respect of each child. If passed, the additional 8 weeks provided for under the legislation will be</w:t>
      </w:r>
      <w:r>
        <w:rPr>
          <w:rFonts w:ascii="Times New Roman" w:hAnsi="Times New Roman"/>
          <w:noProof/>
          <w:sz w:val="24"/>
          <w:lang w:val="en-GB"/>
        </w:rPr>
        <w:t xml:space="preserve"> made available to those parents who have already availed of the existing 18 week entitlement. Finally, Estonia introduced 5 additional carers' leave days (remunerated at the minimum wage).</w:t>
      </w:r>
    </w:p>
    <w:p w:rsidR="00EF5220" w:rsidRDefault="00EF2564">
      <w:pPr>
        <w:autoSpaceDE w:val="0"/>
        <w:autoSpaceDN w:val="0"/>
        <w:adjustRightInd w:val="0"/>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A balanced distribution of paid leave between women and men can be</w:t>
      </w:r>
      <w:r>
        <w:rPr>
          <w:rFonts w:ascii="Times New Roman" w:hAnsi="Times New Roman"/>
          <w:b/>
          <w:noProof/>
          <w:sz w:val="24"/>
          <w:lang w:val="en-GB"/>
        </w:rPr>
        <w:t xml:space="preserve"> particularly beneficial in fostering women’s employment after having children. </w:t>
      </w:r>
      <w:r>
        <w:rPr>
          <w:rFonts w:ascii="Times New Roman" w:hAnsi="Times New Roman"/>
          <w:noProof/>
          <w:sz w:val="24"/>
          <w:lang w:val="en-GB"/>
        </w:rPr>
        <w:t>To this end, Spain adopted a new law extending the right of fathers to paid paternity leave from 4 to 5 weeks. Czech Republic introduced one week of paid paternity leave. Slove</w:t>
      </w:r>
      <w:r>
        <w:rPr>
          <w:rFonts w:ascii="Times New Roman" w:hAnsi="Times New Roman"/>
          <w:noProof/>
          <w:sz w:val="24"/>
          <w:lang w:val="en-GB"/>
        </w:rPr>
        <w:t>nia has reduced the length of paternity leave from 90 to 30 days but has significantly increased the amount of paternity allowance to 100% of wages. In the Netherlands, the draft bill extending the length of paternity leave from 2 to 5 days and granting ad</w:t>
      </w:r>
      <w:r>
        <w:rPr>
          <w:rFonts w:ascii="Times New Roman" w:hAnsi="Times New Roman"/>
          <w:noProof/>
          <w:sz w:val="24"/>
          <w:lang w:val="en-GB"/>
        </w:rPr>
        <w:t xml:space="preserve">ditional 5 weeks of leave for parents has been sent to the Parliament. Estonia plans to make the parental leave scheme more flexible to allow for both parents to take the leave simultaneously. </w:t>
      </w:r>
    </w:p>
    <w:p w:rsidR="00EF5220" w:rsidRDefault="00EF2564">
      <w:pPr>
        <w:autoSpaceDE w:val="0"/>
        <w:autoSpaceDN w:val="0"/>
        <w:adjustRightInd w:val="0"/>
        <w:spacing w:line="360" w:lineRule="auto"/>
        <w:jc w:val="both"/>
        <w:rPr>
          <w:rFonts w:ascii="Times New Roman" w:hAnsi="Times New Roman" w:cs="Times New Roman"/>
          <w:b/>
          <w:noProof/>
          <w:sz w:val="24"/>
          <w:szCs w:val="24"/>
          <w:lang w:val="en-GB"/>
        </w:rPr>
      </w:pPr>
      <w:r>
        <w:rPr>
          <w:rFonts w:ascii="Times New Roman" w:hAnsi="Times New Roman"/>
          <w:b/>
          <w:noProof/>
          <w:sz w:val="24"/>
          <w:lang w:val="en-GB"/>
        </w:rPr>
        <w:t>Some Member States are adapting their tax and benefits systems</w:t>
      </w:r>
      <w:r>
        <w:rPr>
          <w:rFonts w:ascii="Times New Roman" w:hAnsi="Times New Roman"/>
          <w:b/>
          <w:noProof/>
          <w:sz w:val="24"/>
          <w:lang w:val="en-GB"/>
        </w:rPr>
        <w:t xml:space="preserve"> to remove disincentives to work for second earners. </w:t>
      </w:r>
      <w:r>
        <w:rPr>
          <w:rFonts w:ascii="Times New Roman" w:hAnsi="Times New Roman"/>
          <w:noProof/>
          <w:sz w:val="24"/>
          <w:lang w:val="en-GB"/>
        </w:rPr>
        <w:t xml:space="preserve">Denmark adopted the 2018 tax agreement strengthening the incentives to work full-time, notably for the unemployed and part-time workers. Spain modified the 2018 budget law to introduce a Personal Income </w:t>
      </w:r>
      <w:r>
        <w:rPr>
          <w:rFonts w:ascii="Times New Roman" w:hAnsi="Times New Roman"/>
          <w:noProof/>
          <w:sz w:val="24"/>
          <w:lang w:val="en-GB"/>
        </w:rPr>
        <w:t>Tax deduction for a dependent partner with low income. Latvia extended the coverage on non-taxable income to non-working spouses taking care of a child up to 3 years old or at least 3 children up to 18 years old.</w:t>
      </w:r>
      <w:r>
        <w:rPr>
          <w:rFonts w:ascii="Times New Roman" w:hAnsi="Times New Roman"/>
          <w:b/>
          <w:noProof/>
          <w:sz w:val="24"/>
          <w:lang w:val="en-GB"/>
        </w:rPr>
        <w:t xml:space="preserv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Only a limited number of Member States too</w:t>
      </w:r>
      <w:r>
        <w:rPr>
          <w:rFonts w:ascii="Times New Roman" w:hAnsi="Times New Roman"/>
          <w:b/>
          <w:noProof/>
          <w:sz w:val="24"/>
          <w:lang w:val="en-GB"/>
        </w:rPr>
        <w:t xml:space="preserve">k steps to address the gender pay gap. </w:t>
      </w:r>
      <w:r>
        <w:rPr>
          <w:rFonts w:ascii="Times New Roman" w:hAnsi="Times New Roman"/>
          <w:noProof/>
          <w:sz w:val="24"/>
          <w:lang w:val="en-GB"/>
        </w:rPr>
        <w:t>Sweden established a new agency</w:t>
      </w:r>
      <w:r>
        <w:rPr>
          <w:rFonts w:ascii="Times New Roman" w:hAnsi="Times New Roman"/>
          <w:b/>
          <w:noProof/>
          <w:sz w:val="24"/>
          <w:lang w:val="en-GB"/>
        </w:rPr>
        <w:t xml:space="preserve"> </w:t>
      </w:r>
      <w:r>
        <w:rPr>
          <w:rFonts w:ascii="Times New Roman" w:hAnsi="Times New Roman"/>
          <w:noProof/>
          <w:sz w:val="24"/>
          <w:lang w:val="en-GB"/>
        </w:rPr>
        <w:t>for work environment that will collect and disseminate information on the work environment policies, including on gender segregation in occupations. Estonia plans to increase pay transp</w:t>
      </w:r>
      <w:r>
        <w:rPr>
          <w:rFonts w:ascii="Times New Roman" w:hAnsi="Times New Roman"/>
          <w:noProof/>
          <w:sz w:val="24"/>
          <w:lang w:val="en-GB"/>
        </w:rPr>
        <w:t>arency in the public sector and will develop an IT tool to analyse wage differences between men and women. France announced a set of 10 measures to foster closing the gender pay gap.  In August 2018, Portugal introduced measures to promote equal remunerati</w:t>
      </w:r>
      <w:r>
        <w:rPr>
          <w:rFonts w:ascii="Times New Roman" w:hAnsi="Times New Roman"/>
          <w:noProof/>
          <w:sz w:val="24"/>
          <w:lang w:val="en-GB"/>
        </w:rPr>
        <w:t>on among women and men who perform equal work or work of equal value. These entail an annual report on general and sectorial information about gender differences in remuneration, and an assessment per company, profession and level of qualifications. Specif</w:t>
      </w:r>
      <w:r>
        <w:rPr>
          <w:rFonts w:ascii="Times New Roman" w:hAnsi="Times New Roman"/>
          <w:noProof/>
          <w:sz w:val="24"/>
          <w:lang w:val="en-GB"/>
        </w:rPr>
        <w:t xml:space="preserve">ic actions from the labour inspectorate and sanctions against employers based on the grounds of discriminatory treatment are envisaged.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Many Member States are taking action to promote integration of people with a migrant background through strategic plans</w:t>
      </w:r>
      <w:r>
        <w:rPr>
          <w:rFonts w:ascii="Times New Roman" w:hAnsi="Times New Roman"/>
          <w:b/>
          <w:noProof/>
          <w:sz w:val="24"/>
          <w:lang w:val="en-GB"/>
        </w:rPr>
        <w:t>, funding, legislation and innovative measures</w:t>
      </w:r>
      <w:r>
        <w:rPr>
          <w:rFonts w:ascii="Times New Roman" w:hAnsi="Times New Roman"/>
          <w:noProof/>
          <w:sz w:val="24"/>
          <w:lang w:val="en-GB"/>
        </w:rPr>
        <w:t>. In Finland, new models for funding integration were introduced, speeding up the integration process, and allowing migrants to combine education and work in a flexible way. In Malta, the Migrant Integration St</w:t>
      </w:r>
      <w:r>
        <w:rPr>
          <w:rFonts w:ascii="Times New Roman" w:hAnsi="Times New Roman"/>
          <w:noProof/>
          <w:sz w:val="24"/>
          <w:lang w:val="en-GB"/>
        </w:rPr>
        <w:t>rategy &amp; Action Plan (Vision 2020) as a framework for understanding successful integration was launched in December 2017. In Belgium, the integration programme of the German-speaking Community became mandatory for foreign nationals who are above 18 years o</w:t>
      </w:r>
      <w:r>
        <w:rPr>
          <w:rFonts w:ascii="Times New Roman" w:hAnsi="Times New Roman"/>
          <w:noProof/>
          <w:sz w:val="24"/>
          <w:lang w:val="en-GB"/>
        </w:rPr>
        <w:t>f age, are registered at a municipality as of January 2018 and have a residence permit valid for at least three months. In Austria, two new integration laws came into effect in the summer of 2017 as part of a larger effort to promote integration. The Integ</w:t>
      </w:r>
      <w:r>
        <w:rPr>
          <w:rFonts w:ascii="Times New Roman" w:hAnsi="Times New Roman"/>
          <w:noProof/>
          <w:sz w:val="24"/>
          <w:lang w:val="en-GB"/>
        </w:rPr>
        <w:t>ration Act requires refugees and persons with subsidiary protection status to sign an “integration statement” and to participate in integration courses. With effect from 1st January 2018, the Federal Asylum Law was adapted, entitling beneficiaries of subsi</w:t>
      </w:r>
      <w:r>
        <w:rPr>
          <w:rFonts w:ascii="Times New Roman" w:hAnsi="Times New Roman"/>
          <w:noProof/>
          <w:sz w:val="24"/>
          <w:lang w:val="en-GB"/>
        </w:rPr>
        <w:t xml:space="preserve">diary protection and asylum seekers to integration support, provided that granting of international protection seems very likely. </w:t>
      </w:r>
    </w:p>
    <w:p w:rsidR="00EF5220" w:rsidRDefault="00EF2564">
      <w:pPr>
        <w:widowControl w:val="0"/>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Promoting the integration of migrants in the labour market is a priority in many Member States.</w:t>
      </w:r>
      <w:r>
        <w:rPr>
          <w:rFonts w:ascii="Times New Roman" w:hAnsi="Times New Roman"/>
          <w:b/>
          <w:i/>
          <w:noProof/>
          <w:sz w:val="24"/>
          <w:lang w:val="en-GB"/>
        </w:rPr>
        <w:t xml:space="preserve"> </w:t>
      </w:r>
      <w:r>
        <w:rPr>
          <w:rFonts w:ascii="Times New Roman" w:hAnsi="Times New Roman"/>
          <w:noProof/>
          <w:sz w:val="24"/>
          <w:lang w:val="en-GB"/>
        </w:rPr>
        <w:t>In Belgium, the Flemish Publi</w:t>
      </w:r>
      <w:r>
        <w:rPr>
          <w:rFonts w:ascii="Times New Roman" w:hAnsi="Times New Roman"/>
          <w:noProof/>
          <w:sz w:val="24"/>
          <w:lang w:val="en-GB"/>
        </w:rPr>
        <w:t xml:space="preserve">c Employment Service (VDAB) implemented its Action Plan for 2017 entitled ‘Integration through work’. Sweden adopted new measures to facilitate the integration of newly arrived migrants, in particular to the labour market via, inter alia, the provision of </w:t>
      </w:r>
      <w:r>
        <w:rPr>
          <w:rFonts w:ascii="Times New Roman" w:hAnsi="Times New Roman"/>
          <w:noProof/>
          <w:sz w:val="24"/>
          <w:lang w:val="en-GB"/>
        </w:rPr>
        <w:t>targeted education and training. The Swedish Agency for Economic and Regional Growth facilitates contacts and networking between foreign-born women, in particular newly arrived women, and employers. In Estonia, an information campaign was launched to encou</w:t>
      </w:r>
      <w:r>
        <w:rPr>
          <w:rFonts w:ascii="Times New Roman" w:hAnsi="Times New Roman"/>
          <w:noProof/>
          <w:sz w:val="24"/>
          <w:lang w:val="en-GB"/>
        </w:rPr>
        <w:t>rage second and third generations’ access to employment in the public sector. A pilot mentoring programme was also launched to facilitate third-country nationals’ access to the labour market.</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Promoting access to education and training can be a key driver f</w:t>
      </w:r>
      <w:r>
        <w:rPr>
          <w:rFonts w:ascii="Times New Roman" w:hAnsi="Times New Roman"/>
          <w:b/>
          <w:noProof/>
          <w:sz w:val="24"/>
          <w:lang w:val="en-GB"/>
        </w:rPr>
        <w:t>or the integration in the labour market and in society at large</w:t>
      </w:r>
      <w:r>
        <w:rPr>
          <w:rFonts w:ascii="Times New Roman" w:hAnsi="Times New Roman"/>
          <w:noProof/>
          <w:sz w:val="24"/>
          <w:lang w:val="en-GB"/>
        </w:rPr>
        <w:t>. In Sweden, under the education and training obligation, all newly arrived immigrants from third countries who benefit from the Public Employment Service's Introduction Programme and are consi</w:t>
      </w:r>
      <w:r>
        <w:rPr>
          <w:rFonts w:ascii="Times New Roman" w:hAnsi="Times New Roman"/>
          <w:noProof/>
          <w:sz w:val="24"/>
          <w:lang w:val="en-GB"/>
        </w:rPr>
        <w:t>dered in need of education or training to get a job can apply for education and training paths. In Estonia, an online platform for immigrants to learn Estonian was further developed in 2017. In Finland, reforms in basic and vocational education aimed to en</w:t>
      </w:r>
      <w:r>
        <w:rPr>
          <w:rFonts w:ascii="Times New Roman" w:hAnsi="Times New Roman"/>
          <w:noProof/>
          <w:sz w:val="24"/>
          <w:lang w:val="en-GB"/>
        </w:rPr>
        <w:t>hance the development of migrants’ linguistic capabilities. In addition, a legislative amendment was adopted to provide literacy for migrants in adult education provision. Croatia improved its system of recognition of qualifications for beneficiaries of in</w:t>
      </w:r>
      <w:r>
        <w:rPr>
          <w:rFonts w:ascii="Times New Roman" w:hAnsi="Times New Roman"/>
          <w:noProof/>
          <w:sz w:val="24"/>
          <w:lang w:val="en-GB"/>
        </w:rPr>
        <w:t>ternational protection and allowed them to finish education started in the country of origin, free of charge. In Germany, measures were implemented to help third-country nationals to integrate into the labour market via recognition of their occupational an</w:t>
      </w:r>
      <w:r>
        <w:rPr>
          <w:rFonts w:ascii="Times New Roman" w:hAnsi="Times New Roman"/>
          <w:noProof/>
          <w:sz w:val="24"/>
          <w:lang w:val="en-GB"/>
        </w:rPr>
        <w:t xml:space="preserve">d educational qualifications, as well as their non-formal skills.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Member states are also taking specific measures for refugees and asylum seekers. </w:t>
      </w:r>
      <w:r>
        <w:rPr>
          <w:rFonts w:ascii="Times New Roman" w:hAnsi="Times New Roman"/>
          <w:noProof/>
          <w:sz w:val="24"/>
          <w:lang w:val="en-GB"/>
        </w:rPr>
        <w:t>In Belgium, structural cooperation has been agreed between the Federal Agency for the reception of asylum se</w:t>
      </w:r>
      <w:r>
        <w:rPr>
          <w:rFonts w:ascii="Times New Roman" w:hAnsi="Times New Roman"/>
          <w:noProof/>
          <w:sz w:val="24"/>
          <w:lang w:val="en-GB"/>
        </w:rPr>
        <w:t>ekers (Fedasil) and the Walloon Public Employment Agency (Forem), mainly to facilitate access to employment for asylum seekers. In Estonia, the Unemployment Insurance Agency extended a project ‘My First Job in Estonia’ under the Youth Guarantee scheme, co-</w:t>
      </w:r>
      <w:r>
        <w:rPr>
          <w:rFonts w:ascii="Times New Roman" w:hAnsi="Times New Roman"/>
          <w:noProof/>
          <w:sz w:val="24"/>
          <w:lang w:val="en-GB"/>
        </w:rPr>
        <w:t>financed by the European Social Fund for beneficiaries of international protection. In Luxembourg, the Employment Agency set up a service for the integration of beneficiaries of international protection in the labour market. In the Netherlands, a programme</w:t>
      </w:r>
      <w:r>
        <w:rPr>
          <w:rFonts w:ascii="Times New Roman" w:hAnsi="Times New Roman"/>
          <w:noProof/>
          <w:sz w:val="24"/>
          <w:lang w:val="en-GB"/>
        </w:rPr>
        <w:t xml:space="preserve"> for beneficiaries of international protection and native-born with a migrant background was launched to improve access to employment. France launched the “pathway for 1,000 refugees” initiative, which offers 1,000 beneficiaries of international protection</w:t>
      </w:r>
      <w:r>
        <w:rPr>
          <w:rFonts w:ascii="Times New Roman" w:hAnsi="Times New Roman"/>
          <w:noProof/>
          <w:sz w:val="24"/>
          <w:lang w:val="en-GB"/>
        </w:rPr>
        <w:t xml:space="preserve"> with an eight-month integration pathway including accommodation, language learning and certified vocational training.</w:t>
      </w:r>
    </w:p>
    <w:p w:rsidR="00EF5220" w:rsidRDefault="00EF2564">
      <w:pPr>
        <w:spacing w:line="360" w:lineRule="auto"/>
        <w:jc w:val="both"/>
        <w:rPr>
          <w:noProof/>
          <w:lang w:val="en-GB"/>
        </w:rPr>
      </w:pPr>
      <w:r>
        <w:rPr>
          <w:rFonts w:ascii="Times New Roman" w:hAnsi="Times New Roman"/>
          <w:b/>
          <w:noProof/>
          <w:sz w:val="24"/>
          <w:lang w:val="en-GB"/>
        </w:rPr>
        <w:t xml:space="preserve">Several Member States are promoting the employment of persons with disabilities. </w:t>
      </w:r>
      <w:r>
        <w:rPr>
          <w:rFonts w:ascii="Times New Roman" w:hAnsi="Times New Roman"/>
          <w:noProof/>
          <w:sz w:val="24"/>
          <w:lang w:val="en-GB"/>
        </w:rPr>
        <w:t>Since September 2017, the Greek government has been subs</w:t>
      </w:r>
      <w:r>
        <w:rPr>
          <w:rFonts w:ascii="Times New Roman" w:hAnsi="Times New Roman"/>
          <w:noProof/>
          <w:sz w:val="24"/>
          <w:lang w:val="en-GB"/>
        </w:rPr>
        <w:t>idising the employment of persons with disabilities and the adaptation of workplaces in the local government and private companies. In a similar vein, Sweden has raised the cap for subsidising the employment of persons with disabilities. Poland is implemen</w:t>
      </w:r>
      <w:r>
        <w:rPr>
          <w:rFonts w:ascii="Times New Roman" w:hAnsi="Times New Roman"/>
          <w:noProof/>
          <w:sz w:val="24"/>
          <w:lang w:val="en-GB"/>
        </w:rPr>
        <w:t>ting a European Social Fund-financed project to reduce barriers to employment of persons with disabilities. Bulgaria is investing on training to increase the employability of persons with disabilities ("training and employment"), with priority to those wit</w:t>
      </w:r>
      <w:r>
        <w:rPr>
          <w:rFonts w:ascii="Times New Roman" w:hAnsi="Times New Roman"/>
          <w:noProof/>
          <w:sz w:val="24"/>
          <w:lang w:val="en-GB"/>
        </w:rPr>
        <w:t xml:space="preserve">h more severe disabilities. France adopted the </w:t>
      </w:r>
      <w:r>
        <w:rPr>
          <w:rFonts w:ascii="Times New Roman" w:hAnsi="Times New Roman"/>
          <w:i/>
          <w:noProof/>
          <w:sz w:val="24"/>
          <w:lang w:val="en-GB"/>
        </w:rPr>
        <w:t xml:space="preserve">Liberté de Choisir son Avenir Professionnel </w:t>
      </w:r>
      <w:r>
        <w:rPr>
          <w:rFonts w:ascii="Times New Roman" w:hAnsi="Times New Roman"/>
          <w:noProof/>
          <w:sz w:val="24"/>
          <w:lang w:val="en-GB"/>
        </w:rPr>
        <w:t>law ("Freedom to Choose one's Professional Future"), aiming to promote the employment of persons with disabilities. This law includes a scaling up of socio-medical a</w:t>
      </w:r>
      <w:r>
        <w:rPr>
          <w:rFonts w:ascii="Times New Roman" w:hAnsi="Times New Roman"/>
          <w:noProof/>
          <w:sz w:val="24"/>
          <w:lang w:val="en-GB"/>
        </w:rPr>
        <w:t>pproaches to aid in job searches, a move of the requirement to have 6% of recruitment from people with disabilities from the work unit to the company level and the introduction a compulsory company declaration (from January 2020) on measures taken to integ</w:t>
      </w:r>
      <w:r>
        <w:rPr>
          <w:rFonts w:ascii="Times New Roman" w:hAnsi="Times New Roman"/>
          <w:noProof/>
          <w:sz w:val="24"/>
          <w:lang w:val="en-GB"/>
        </w:rPr>
        <w:t>rate workers with a disability.</w:t>
      </w:r>
      <w:r>
        <w:rPr>
          <w:noProof/>
          <w:lang w:val="en-GB"/>
        </w:rPr>
        <w:t xml:space="preserve"> </w:t>
      </w:r>
      <w:r>
        <w:rPr>
          <w:rFonts w:ascii="Times New Roman" w:hAnsi="Times New Roman"/>
          <w:noProof/>
          <w:sz w:val="24"/>
          <w:lang w:val="en-GB"/>
        </w:rPr>
        <w:t>In Portugal a new social benefit granted to people with a disability above 60% aims to encourage them to continue working or to look for a job (currently, people with disabilities are not entitled to receive disability benef</w:t>
      </w:r>
      <w:r>
        <w:rPr>
          <w:rFonts w:ascii="Times New Roman" w:hAnsi="Times New Roman"/>
          <w:noProof/>
          <w:sz w:val="24"/>
          <w:lang w:val="en-GB"/>
        </w:rPr>
        <w:t>its if they receive any form of remuneration). Malta is introducing a new budgetary measure that will allow people with disability to keep their disability pension in full when working/when they get a job.</w:t>
      </w:r>
    </w:p>
    <w:p w:rsidR="00EF5220" w:rsidRDefault="00EF2564">
      <w:pPr>
        <w:rPr>
          <w:rFonts w:ascii="Times New Roman" w:hAnsi="Times New Roman" w:cs="Times New Roman"/>
          <w:b/>
          <w:noProof/>
          <w:sz w:val="24"/>
          <w:szCs w:val="24"/>
          <w:lang w:val="en-GB"/>
        </w:rPr>
      </w:pPr>
      <w:r>
        <w:rPr>
          <w:noProof/>
          <w:lang w:val="en-GB"/>
        </w:rPr>
        <w:br w:type="page"/>
      </w:r>
    </w:p>
    <w:p w:rsidR="00EF5220" w:rsidRDefault="00EF2564">
      <w:pPr>
        <w:pStyle w:val="Heading3"/>
        <w:numPr>
          <w:ilvl w:val="1"/>
          <w:numId w:val="10"/>
        </w:numPr>
        <w:ind w:left="426"/>
        <w:jc w:val="both"/>
        <w:rPr>
          <w:rFonts w:cs="Times New Roman"/>
          <w:b/>
          <w:i w:val="0"/>
          <w:noProof/>
          <w:lang w:val="en-GB"/>
        </w:rPr>
      </w:pPr>
      <w:bookmarkStart w:id="45" w:name="_Toc527539788"/>
      <w:r>
        <w:rPr>
          <w:b/>
          <w:i w:val="0"/>
          <w:noProof/>
          <w:lang w:val="en-GB"/>
        </w:rPr>
        <w:t>Guideline 7: Enhancing the functioning of labour</w:t>
      </w:r>
      <w:r>
        <w:rPr>
          <w:b/>
          <w:i w:val="0"/>
          <w:noProof/>
          <w:lang w:val="en-GB"/>
        </w:rPr>
        <w:t xml:space="preserve"> markets and the effectiveness of social dialogue</w:t>
      </w:r>
      <w:bookmarkEnd w:id="45"/>
      <w:r>
        <w:rPr>
          <w:b/>
          <w:i w:val="0"/>
          <w:noProof/>
          <w:lang w:val="en-GB"/>
        </w:rPr>
        <w:t xml:space="preserve"> </w:t>
      </w:r>
    </w:p>
    <w:p w:rsidR="00EF5220" w:rsidRDefault="00EF5220">
      <w:pPr>
        <w:spacing w:line="360" w:lineRule="auto"/>
        <w:jc w:val="both"/>
        <w:rPr>
          <w:rFonts w:ascii="Times New Roman" w:hAnsi="Times New Roman" w:cs="Times New Roman"/>
          <w:b/>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noProof/>
          <w:sz w:val="24"/>
          <w:lang w:val="en-GB"/>
        </w:rPr>
        <w:t>This section looks at the implementation of the employment guideline no. 7, which recommends Member States to enhance the functioning of the labour market and the effectiveness of social dialogue. This in</w:t>
      </w:r>
      <w:r>
        <w:rPr>
          <w:rFonts w:ascii="Times New Roman" w:hAnsi="Times New Roman"/>
          <w:noProof/>
          <w:sz w:val="24"/>
          <w:lang w:val="en-GB"/>
        </w:rPr>
        <w:t>cludes balancing flexibility and security in labour market policies, preventing labour market segmentation and fostering transitions towards open-ended forms of employment, ensuring effective active labour market policies and public employment services, pr</w:t>
      </w:r>
      <w:r>
        <w:rPr>
          <w:rFonts w:ascii="Times New Roman" w:hAnsi="Times New Roman"/>
          <w:noProof/>
          <w:sz w:val="24"/>
          <w:lang w:val="en-GB"/>
        </w:rPr>
        <w:t xml:space="preserve">oviding adequate unemployment benefits that do not disincentivise a prompt return to employment, and promoting the mobility of workers and learners. In addition, the guideline recommends Member States to ensure the timely and meaningful involvement of the </w:t>
      </w:r>
      <w:r>
        <w:rPr>
          <w:rFonts w:ascii="Times New Roman" w:hAnsi="Times New Roman"/>
          <w:noProof/>
          <w:sz w:val="24"/>
          <w:lang w:val="en-GB"/>
        </w:rPr>
        <w:t>social partners in the design and implementation of policies, including through support for increased capacity of the social partners. The chapter starts by shortly introducing key indicators pointing at challenges in this area, notably on segmentation bet</w:t>
      </w:r>
      <w:r>
        <w:rPr>
          <w:rFonts w:ascii="Times New Roman" w:hAnsi="Times New Roman"/>
          <w:noProof/>
          <w:sz w:val="24"/>
          <w:lang w:val="en-GB"/>
        </w:rPr>
        <w:t>ween permanent and temporary jobs (and related job quality issues), participation into active labour market policies and PES, functioning of unemployment benefits (through an update of the benchmarking exercise presented in 2018) and the extend of workers'</w:t>
      </w:r>
      <w:r>
        <w:rPr>
          <w:rFonts w:ascii="Times New Roman" w:hAnsi="Times New Roman"/>
          <w:noProof/>
          <w:sz w:val="24"/>
          <w:lang w:val="en-GB"/>
        </w:rPr>
        <w:t xml:space="preserve"> and learners' mobility. Section 3.3.2 finally reports on policy measures from Member States in these areas.</w:t>
      </w:r>
    </w:p>
    <w:p w:rsidR="00EF5220" w:rsidRDefault="00EF2564">
      <w:pPr>
        <w:pStyle w:val="Heading3"/>
        <w:rPr>
          <w:noProof/>
          <w:lang w:val="en-GB"/>
        </w:rPr>
      </w:pPr>
      <w:bookmarkStart w:id="46" w:name="_Toc527539789"/>
      <w:r>
        <w:rPr>
          <w:noProof/>
          <w:lang w:val="en-GB"/>
        </w:rPr>
        <w:t xml:space="preserve">3.3.1 </w:t>
      </w:r>
      <w:r>
        <w:rPr>
          <w:noProof/>
          <w:lang w:val="en-GB"/>
        </w:rPr>
        <w:tab/>
        <w:t>Key indicators</w:t>
      </w:r>
      <w:bookmarkEnd w:id="46"/>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 xml:space="preserve">Though roughly stable at EU level, labour market segmentation represents an issue for a number of Member States. </w:t>
      </w:r>
      <w:r>
        <w:rPr>
          <w:rFonts w:ascii="Times New Roman" w:hAnsi="Times New Roman"/>
          <w:noProof/>
          <w:sz w:val="24"/>
          <w:lang w:val="en-GB"/>
        </w:rPr>
        <w:t>Segmentation</w:t>
      </w:r>
      <w:r>
        <w:rPr>
          <w:rFonts w:ascii="Times New Roman" w:hAnsi="Times New Roman"/>
          <w:noProof/>
          <w:sz w:val="24"/>
          <w:lang w:val="en-GB"/>
        </w:rPr>
        <w:t xml:space="preserve"> is the situation where (at least) two “segments” of workers characterised by different rights, entitlements and/or working conditions coexist in the labour market. Especially if associated with limited possibilities to move from atypical to permanent jobs</w:t>
      </w:r>
      <w:r>
        <w:rPr>
          <w:rFonts w:ascii="Times New Roman" w:hAnsi="Times New Roman"/>
          <w:noProof/>
          <w:sz w:val="24"/>
          <w:lang w:val="en-GB"/>
        </w:rPr>
        <w:t>, it may hamper the functioning and fairness of labour markets. A high</w:t>
      </w:r>
      <w:r>
        <w:rPr>
          <w:rFonts w:ascii="Times New Roman" w:hAnsi="Times New Roman"/>
          <w:b/>
          <w:noProof/>
          <w:sz w:val="24"/>
          <w:lang w:val="en-GB"/>
        </w:rPr>
        <w:t xml:space="preserve"> </w:t>
      </w:r>
      <w:r>
        <w:rPr>
          <w:rFonts w:ascii="Times New Roman" w:hAnsi="Times New Roman"/>
          <w:noProof/>
          <w:sz w:val="24"/>
          <w:lang w:val="en-GB"/>
        </w:rPr>
        <w:t xml:space="preserve">share of temporary workers can be a rough indicator of labour market segmentation in a Member State. At EU level (Figure </w:t>
      </w:r>
      <w:r>
        <w:rPr>
          <w:rFonts w:ascii="Times New Roman" w:hAnsi="Times New Roman"/>
          <w:noProof/>
          <w:sz w:val="24"/>
          <w:szCs w:val="24"/>
          <w:lang w:val="en-GB"/>
        </w:rPr>
        <w:t>39</w:t>
      </w:r>
      <w:r>
        <w:rPr>
          <w:rFonts w:ascii="Times New Roman" w:hAnsi="Times New Roman"/>
          <w:noProof/>
          <w:sz w:val="24"/>
          <w:lang w:val="en-GB"/>
        </w:rPr>
        <w:t>) the proportion of temporary contracts over total employees d</w:t>
      </w:r>
      <w:r>
        <w:rPr>
          <w:rFonts w:ascii="Times New Roman" w:hAnsi="Times New Roman"/>
          <w:noProof/>
          <w:sz w:val="24"/>
          <w:lang w:val="en-GB"/>
        </w:rPr>
        <w:t xml:space="preserve">id not change significantly over recent years, hovering around 14% on average over the last ten years. However, some Member States experience much higher levels: this is the case in particular of Spain, Poland, Portugal, the Netherlands and Croatia, which </w:t>
      </w:r>
      <w:r>
        <w:rPr>
          <w:rFonts w:ascii="Times New Roman" w:hAnsi="Times New Roman"/>
          <w:noProof/>
          <w:sz w:val="24"/>
          <w:lang w:val="en-GB"/>
        </w:rPr>
        <w:t>all recorded rates above 20% in 2017; followed by other six member states (Slovenia, France, Sweden, Finland, Italy and Cyprus) in the range between 15% and 20%. Some of these countries went through significant increases between 2008 and 2017, notably Croa</w:t>
      </w:r>
      <w:r>
        <w:rPr>
          <w:rFonts w:ascii="Times New Roman" w:hAnsi="Times New Roman"/>
          <w:noProof/>
          <w:sz w:val="24"/>
          <w:lang w:val="en-GB"/>
        </w:rPr>
        <w:t>tia (by 8 pps), Slovakia (by 5 pps), the Netherlands (by around 4 pps) and Italy (by 2 pps). A significant increase was also recorded by Denmark (from 8.5% in 2008 to 12.9% in 2017). A peculiar case is Spain, where the share of temporary contracts contract</w:t>
      </w:r>
      <w:r>
        <w:rPr>
          <w:rFonts w:ascii="Times New Roman" w:hAnsi="Times New Roman"/>
          <w:noProof/>
          <w:sz w:val="24"/>
          <w:lang w:val="en-GB"/>
        </w:rPr>
        <w:t>ed significantly during the crisis (from 29.2% in 2008 to 23.2% in 2013) to increase again with the recovery (up to 26.8% in 2017).</w:t>
      </w:r>
    </w:p>
    <w:p w:rsidR="00EF5220" w:rsidRDefault="00EF5220">
      <w:pPr>
        <w:spacing w:line="360" w:lineRule="auto"/>
        <w:jc w:val="both"/>
        <w:rPr>
          <w:rFonts w:ascii="Times New Roman" w:hAnsi="Times New Roman"/>
          <w:noProof/>
          <w:sz w:val="24"/>
          <w:szCs w:val="24"/>
          <w:lang w:val="en-GB"/>
        </w:rPr>
      </w:pPr>
    </w:p>
    <w:p w:rsidR="00EF5220" w:rsidRDefault="00EF2564">
      <w:pPr>
        <w:keepNext/>
        <w:jc w:val="both"/>
        <w:rPr>
          <w:rFonts w:ascii="Times New Roman" w:hAnsi="Times New Roman"/>
          <w:noProof/>
          <w:sz w:val="24"/>
          <w:szCs w:val="24"/>
          <w:lang w:val="en-GB"/>
        </w:rPr>
      </w:pPr>
      <w:bookmarkStart w:id="47" w:name="_Ref528664728"/>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39</w:t>
      </w:r>
      <w:r>
        <w:rPr>
          <w:rFonts w:ascii="Times New Roman" w:hAnsi="Times New Roman"/>
          <w:b/>
          <w:noProof/>
          <w:sz w:val="24"/>
          <w:szCs w:val="24"/>
          <w:lang w:val="en-GB"/>
        </w:rPr>
        <w:fldChar w:fldCharType="end"/>
      </w:r>
      <w:bookmarkEnd w:id="47"/>
      <w:r>
        <w:rPr>
          <w:rFonts w:ascii="Times New Roman" w:hAnsi="Times New Roman"/>
          <w:b/>
          <w:noProof/>
          <w:sz w:val="24"/>
          <w:lang w:val="en-GB"/>
        </w:rPr>
        <w:t xml:space="preserve">: Share of temporary workers over total employees (15-64). </w:t>
      </w:r>
    </w:p>
    <w:p w:rsidR="00EF5220" w:rsidRDefault="00EF2564">
      <w:pPr>
        <w:jc w:val="both"/>
        <w:rPr>
          <w:rFonts w:ascii="Times New Roman" w:hAnsi="Times New Roman"/>
          <w:noProof/>
          <w:sz w:val="20"/>
          <w:szCs w:val="20"/>
          <w:lang w:val="en-GB"/>
        </w:rPr>
      </w:pPr>
      <w:r>
        <w:rPr>
          <w:rFonts w:ascii="Times New Roman" w:hAnsi="Times New Roman"/>
          <w:noProof/>
          <w:sz w:val="20"/>
          <w:szCs w:val="20"/>
          <w:lang w:val="en-GB" w:eastAsia="en-GB" w:bidi="ar-SA"/>
        </w:rPr>
        <w:drawing>
          <wp:inline distT="0" distB="0" distL="0" distR="0">
            <wp:extent cx="5558155" cy="259461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558155" cy="2594610"/>
                    </a:xfrm>
                    <a:prstGeom prst="rect">
                      <a:avLst/>
                    </a:prstGeom>
                    <a:noFill/>
                  </pic:spPr>
                </pic:pic>
              </a:graphicData>
            </a:graphic>
          </wp:inline>
        </w:drawing>
      </w:r>
    </w:p>
    <w:p w:rsidR="00EF5220" w:rsidRDefault="00EF2564">
      <w:pPr>
        <w:jc w:val="both"/>
        <w:rPr>
          <w:rFonts w:ascii="Times New Roman" w:hAnsi="Times New Roman"/>
          <w:noProof/>
          <w:sz w:val="20"/>
          <w:szCs w:val="20"/>
          <w:lang w:val="en-GB"/>
        </w:rPr>
      </w:pPr>
      <w:r>
        <w:rPr>
          <w:rFonts w:ascii="Times New Roman" w:hAnsi="Times New Roman"/>
          <w:noProof/>
          <w:sz w:val="20"/>
          <w:lang w:val="en-GB"/>
        </w:rPr>
        <w:t>Source: Eurostat, LFS.</w:t>
      </w:r>
    </w:p>
    <w:p w:rsidR="00EF5220" w:rsidRDefault="00EF5220">
      <w:pPr>
        <w:autoSpaceDE w:val="0"/>
        <w:autoSpaceDN w:val="0"/>
        <w:adjustRightInd w:val="0"/>
        <w:spacing w:line="240" w:lineRule="auto"/>
        <w:jc w:val="both"/>
        <w:rPr>
          <w:rFonts w:ascii="Times New Roman" w:hAnsi="Times New Roman" w:cs="Times New Roman"/>
          <w:b/>
          <w:bCs/>
          <w:noProof/>
          <w:sz w:val="24"/>
          <w:szCs w:val="24"/>
          <w:lang w:val="en-GB"/>
        </w:rPr>
      </w:pPr>
    </w:p>
    <w:p w:rsidR="00EF5220" w:rsidRDefault="00EF2564">
      <w:pPr>
        <w:autoSpaceDE w:val="0"/>
        <w:autoSpaceDN w:val="0"/>
        <w:adjustRightInd w:val="0"/>
        <w:spacing w:line="360" w:lineRule="auto"/>
        <w:jc w:val="both"/>
        <w:rPr>
          <w:rFonts w:ascii="Times New Roman" w:hAnsi="Times New Roman"/>
          <w:noProof/>
          <w:sz w:val="24"/>
          <w:lang w:val="en-GB"/>
        </w:rPr>
      </w:pPr>
      <w:r>
        <w:rPr>
          <w:rFonts w:ascii="Times New Roman" w:hAnsi="Times New Roman"/>
          <w:b/>
          <w:noProof/>
          <w:sz w:val="24"/>
          <w:lang w:val="en-GB"/>
        </w:rPr>
        <w:t xml:space="preserve">Temporary contracts may act as stepping stones towards permanent jobs, but often represent "dead ends". </w:t>
      </w:r>
      <w:r>
        <w:rPr>
          <w:rFonts w:ascii="Times New Roman" w:hAnsi="Times New Roman"/>
          <w:noProof/>
          <w:sz w:val="24"/>
          <w:lang w:val="en-GB"/>
        </w:rPr>
        <w:t xml:space="preserve">Figure </w:t>
      </w:r>
      <w:r>
        <w:rPr>
          <w:rFonts w:ascii="Times New Roman" w:hAnsi="Times New Roman"/>
          <w:noProof/>
          <w:sz w:val="24"/>
          <w:szCs w:val="24"/>
          <w:lang w:val="en-GB"/>
        </w:rPr>
        <w:t>40</w:t>
      </w:r>
      <w:r>
        <w:rPr>
          <w:rFonts w:ascii="Times New Roman" w:hAnsi="Times New Roman"/>
          <w:noProof/>
          <w:sz w:val="24"/>
          <w:lang w:val="en-GB"/>
        </w:rPr>
        <w:t xml:space="preserve"> shows the transition rates from temporary to permanent contracts (averaged over three years to minimise the impact of short-term fluctuations)</w:t>
      </w:r>
      <w:r>
        <w:rPr>
          <w:rFonts w:ascii="Times New Roman" w:hAnsi="Times New Roman"/>
          <w:noProof/>
          <w:sz w:val="24"/>
          <w:lang w:val="en-GB"/>
        </w:rPr>
        <w:t xml:space="preserve"> plotted against the share of temporary contracts over total employees. On average, 24% workers with a temporary contract move to a permanent contract during the following year. However, in a number of Member States the yearly transition rate is significan</w:t>
      </w:r>
      <w:r>
        <w:rPr>
          <w:rFonts w:ascii="Times New Roman" w:hAnsi="Times New Roman"/>
          <w:noProof/>
          <w:sz w:val="24"/>
          <w:lang w:val="en-GB"/>
        </w:rPr>
        <w:t>tly lower than the EU average. This is the case, in particular, of Spain, France, Poland and Italy, which combine a low transition rate (around 11% for the former two countries, 20% for Italy and 22% for Poland) with a high share of temporary contracts, po</w:t>
      </w:r>
      <w:r>
        <w:rPr>
          <w:rFonts w:ascii="Times New Roman" w:hAnsi="Times New Roman"/>
          <w:noProof/>
          <w:sz w:val="24"/>
          <w:lang w:val="en-GB"/>
        </w:rPr>
        <w:t>inting to segmentation. Transition rates are comparatively higher in Member States with a low proportion of fixed-term contracts. Conversely, in the countries with a high share of fixed-term contract, workers tend to be stuck in temporary jobs. Notable exc</w:t>
      </w:r>
      <w:r>
        <w:rPr>
          <w:rFonts w:ascii="Times New Roman" w:hAnsi="Times New Roman"/>
          <w:noProof/>
          <w:sz w:val="24"/>
          <w:lang w:val="en-GB"/>
        </w:rPr>
        <w:t>eptions are represented by Sweden and Slovenia that, in spite of having high shares of temporary workers, present transition rates close or above 40%.</w:t>
      </w:r>
    </w:p>
    <w:p w:rsidR="00EF5220" w:rsidRDefault="00EF5220">
      <w:pPr>
        <w:autoSpaceDE w:val="0"/>
        <w:autoSpaceDN w:val="0"/>
        <w:adjustRightInd w:val="0"/>
        <w:spacing w:line="360" w:lineRule="auto"/>
        <w:jc w:val="both"/>
        <w:rPr>
          <w:rFonts w:ascii="Times New Roman" w:hAnsi="Times New Roman" w:cs="Times New Roman"/>
          <w:bCs/>
          <w:noProof/>
          <w:sz w:val="24"/>
          <w:szCs w:val="24"/>
          <w:lang w:val="en-GB"/>
        </w:rPr>
      </w:pPr>
    </w:p>
    <w:p w:rsidR="00EF5220" w:rsidRDefault="00EF2564">
      <w:pPr>
        <w:keepNext/>
        <w:autoSpaceDE w:val="0"/>
        <w:autoSpaceDN w:val="0"/>
        <w:adjustRightInd w:val="0"/>
        <w:spacing w:line="360" w:lineRule="auto"/>
        <w:jc w:val="both"/>
        <w:rPr>
          <w:rFonts w:ascii="Times New Roman" w:hAnsi="Times New Roman"/>
          <w:noProof/>
          <w:sz w:val="24"/>
          <w:szCs w:val="24"/>
          <w:lang w:val="en-GB"/>
        </w:rPr>
      </w:pPr>
      <w:bookmarkStart w:id="48" w:name="_Ref528664745"/>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40</w:t>
      </w:r>
      <w:r>
        <w:rPr>
          <w:rFonts w:ascii="Times New Roman" w:hAnsi="Times New Roman"/>
          <w:b/>
          <w:noProof/>
          <w:sz w:val="24"/>
          <w:szCs w:val="24"/>
          <w:lang w:val="en-GB"/>
        </w:rPr>
        <w:fldChar w:fldCharType="end"/>
      </w:r>
      <w:bookmarkEnd w:id="48"/>
      <w:r>
        <w:rPr>
          <w:rFonts w:ascii="Times New Roman" w:hAnsi="Times New Roman"/>
          <w:b/>
          <w:noProof/>
          <w:sz w:val="24"/>
          <w:lang w:val="en-GB"/>
        </w:rPr>
        <w:t xml:space="preserve">: Share of temporary workers over total employees 15-64 (2017) and </w:t>
      </w:r>
      <w:r>
        <w:rPr>
          <w:rFonts w:ascii="Times New Roman" w:hAnsi="Times New Roman"/>
          <w:b/>
          <w:noProof/>
          <w:sz w:val="24"/>
          <w:lang w:val="en-GB"/>
        </w:rPr>
        <w:t>transition rate to permanent jobs, 3-years average (2016).</w:t>
      </w:r>
      <w:r>
        <w:rPr>
          <w:rFonts w:ascii="Times New Roman" w:hAnsi="Times New Roman"/>
          <w:noProof/>
          <w:sz w:val="24"/>
          <w:lang w:val="en-GB"/>
        </w:rPr>
        <w:t xml:space="preserve"> </w:t>
      </w:r>
    </w:p>
    <w:p w:rsidR="00EF5220" w:rsidRDefault="00EF2564">
      <w:pPr>
        <w:jc w:val="both"/>
        <w:rPr>
          <w:rFonts w:ascii="Times New Roman" w:hAnsi="Times New Roman"/>
          <w:noProof/>
          <w:sz w:val="24"/>
          <w:szCs w:val="24"/>
          <w:lang w:val="en-GB"/>
        </w:rPr>
      </w:pPr>
      <w:r>
        <w:rPr>
          <w:rFonts w:ascii="Times New Roman" w:hAnsi="Times New Roman"/>
          <w:noProof/>
          <w:sz w:val="24"/>
          <w:szCs w:val="24"/>
          <w:lang w:val="en-GB" w:eastAsia="en-GB" w:bidi="ar-SA"/>
        </w:rPr>
        <w:drawing>
          <wp:inline distT="0" distB="0" distL="0" distR="0">
            <wp:extent cx="5824846" cy="2696020"/>
            <wp:effectExtent l="0" t="0" r="508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831876" cy="2699274"/>
                    </a:xfrm>
                    <a:prstGeom prst="rect">
                      <a:avLst/>
                    </a:prstGeom>
                    <a:noFill/>
                  </pic:spPr>
                </pic:pic>
              </a:graphicData>
            </a:graphic>
          </wp:inline>
        </w:drawing>
      </w:r>
    </w:p>
    <w:p w:rsidR="00EF5220" w:rsidRDefault="00EF2564">
      <w:pPr>
        <w:spacing w:after="0" w:line="240" w:lineRule="auto"/>
        <w:jc w:val="both"/>
        <w:rPr>
          <w:rFonts w:ascii="Times New Roman" w:hAnsi="Times New Roman"/>
          <w:noProof/>
          <w:sz w:val="20"/>
          <w:szCs w:val="20"/>
          <w:lang w:val="en-GB"/>
        </w:rPr>
      </w:pPr>
      <w:r>
        <w:rPr>
          <w:rFonts w:ascii="Times New Roman" w:hAnsi="Times New Roman"/>
          <w:noProof/>
          <w:sz w:val="20"/>
          <w:lang w:val="en-GB"/>
        </w:rPr>
        <w:t>Source: Eurostat, LFS, SILC.</w:t>
      </w:r>
    </w:p>
    <w:p w:rsidR="00EF5220" w:rsidRDefault="00EF2564">
      <w:pPr>
        <w:spacing w:after="0" w:line="240" w:lineRule="auto"/>
        <w:jc w:val="both"/>
        <w:rPr>
          <w:rFonts w:ascii="Times New Roman" w:hAnsi="Times New Roman"/>
          <w:noProof/>
          <w:sz w:val="20"/>
          <w:szCs w:val="20"/>
          <w:lang w:val="en-GB"/>
        </w:rPr>
      </w:pPr>
      <w:r>
        <w:rPr>
          <w:rFonts w:ascii="Times New Roman" w:hAnsi="Times New Roman"/>
          <w:noProof/>
          <w:sz w:val="20"/>
          <w:lang w:val="en-GB"/>
        </w:rPr>
        <w:t>Note: the transition rate for IE and MT refers to 2015.</w:t>
      </w:r>
    </w:p>
    <w:p w:rsidR="00EF5220" w:rsidRDefault="00EF5220">
      <w:pPr>
        <w:spacing w:after="0" w:line="240" w:lineRule="auto"/>
        <w:jc w:val="both"/>
        <w:rPr>
          <w:rFonts w:ascii="Times New Roman" w:hAnsi="Times New Roman"/>
          <w:noProof/>
          <w:sz w:val="20"/>
          <w:szCs w:val="20"/>
          <w:lang w:val="en-GB"/>
        </w:rPr>
      </w:pPr>
    </w:p>
    <w:p w:rsidR="00EF5220" w:rsidRDefault="00EF5220">
      <w:pPr>
        <w:jc w:val="both"/>
        <w:rPr>
          <w:rFonts w:ascii="Times New Roman" w:hAnsi="Times New Roman"/>
          <w:noProof/>
          <w:sz w:val="24"/>
          <w:szCs w:val="24"/>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In the EU, the majority of temporary workers are on a fixed-term contract because they cannot find a perman</w:t>
      </w:r>
      <w:r>
        <w:rPr>
          <w:rFonts w:ascii="Times New Roman" w:hAnsi="Times New Roman"/>
          <w:b/>
          <w:noProof/>
          <w:sz w:val="24"/>
          <w:lang w:val="en-GB"/>
        </w:rPr>
        <w:t xml:space="preserve">ent job. </w:t>
      </w:r>
      <w:r>
        <w:rPr>
          <w:rFonts w:ascii="Times New Roman" w:hAnsi="Times New Roman"/>
          <w:noProof/>
          <w:sz w:val="24"/>
          <w:lang w:val="en-GB"/>
        </w:rPr>
        <w:t>The proportion of "involuntary" temporary workers is an additional indication of segmentation in the labour market; around 54% of all temporary workers aged 15-64 in the EU are in this situation (2 pps more than in 2008), but the share is above 70</w:t>
      </w:r>
      <w:r>
        <w:rPr>
          <w:rFonts w:ascii="Times New Roman" w:hAnsi="Times New Roman"/>
          <w:noProof/>
          <w:sz w:val="24"/>
          <w:lang w:val="en-GB"/>
        </w:rPr>
        <w:t xml:space="preserve">% in 12 Member States. In this perspective, the situation of Member States like Portugal, Croatia and Spain – which combine a high share of temporary workers with a percentage of "involuntariness" higher than 80% – is especially challenging (Figure </w:t>
      </w:r>
      <w:r>
        <w:rPr>
          <w:rFonts w:ascii="Times New Roman" w:hAnsi="Times New Roman"/>
          <w:noProof/>
          <w:sz w:val="24"/>
          <w:szCs w:val="24"/>
          <w:lang w:val="en-GB"/>
        </w:rPr>
        <w:t>41</w:t>
      </w:r>
      <w:r>
        <w:rPr>
          <w:rFonts w:ascii="Times New Roman" w:hAnsi="Times New Roman"/>
          <w:noProof/>
          <w:sz w:val="24"/>
          <w:lang w:val="en-GB"/>
        </w:rPr>
        <w:t>). Th</w:t>
      </w:r>
      <w:r>
        <w:rPr>
          <w:rFonts w:ascii="Times New Roman" w:hAnsi="Times New Roman"/>
          <w:noProof/>
          <w:sz w:val="24"/>
          <w:lang w:val="en-GB"/>
        </w:rPr>
        <w:t xml:space="preserve">e situation of Cyprus also needs some monitoring: even if the share of temporary employees is only slightly above the EU average, 91.9% of them are in this situation because they could not find a permanent job. Younger workers are normally more willing to </w:t>
      </w:r>
      <w:r>
        <w:rPr>
          <w:rFonts w:ascii="Times New Roman" w:hAnsi="Times New Roman"/>
          <w:noProof/>
          <w:sz w:val="24"/>
          <w:lang w:val="en-GB"/>
        </w:rPr>
        <w:t xml:space="preserve">accept temporary jobs; as shown in Figure </w:t>
      </w:r>
      <w:r>
        <w:rPr>
          <w:rFonts w:ascii="Times New Roman" w:hAnsi="Times New Roman"/>
          <w:noProof/>
          <w:sz w:val="24"/>
          <w:szCs w:val="24"/>
          <w:lang w:val="en-GB"/>
        </w:rPr>
        <w:t>41</w:t>
      </w:r>
      <w:r>
        <w:rPr>
          <w:rFonts w:ascii="Times New Roman" w:hAnsi="Times New Roman"/>
          <w:noProof/>
          <w:sz w:val="24"/>
          <w:lang w:val="en-GB"/>
        </w:rPr>
        <w:t>, when the 25-64 age group is considered, the share of involuntary temporary workers is higher in all Member States. Interestingly, the gap between 15-64 and 25-64 age groups is lowest where the share of involunt</w:t>
      </w:r>
      <w:r>
        <w:rPr>
          <w:rFonts w:ascii="Times New Roman" w:hAnsi="Times New Roman"/>
          <w:noProof/>
          <w:sz w:val="24"/>
          <w:lang w:val="en-GB"/>
        </w:rPr>
        <w:t>ary temporary workers is highest, indicating that in more segmented labour markets also younger workers have a strict preference for open-ended contracts. The share of older workers (aged 55-64) on involuntary temporary contracts has increased substantiall</w:t>
      </w:r>
      <w:r>
        <w:rPr>
          <w:rFonts w:ascii="Times New Roman" w:hAnsi="Times New Roman"/>
          <w:noProof/>
          <w:sz w:val="24"/>
          <w:lang w:val="en-GB"/>
        </w:rPr>
        <w:t>y with the crisis, from 51.9% in 2008 to 60.6% in 2017.</w:t>
      </w:r>
    </w:p>
    <w:p w:rsidR="00EF5220" w:rsidRDefault="00EF5220">
      <w:pPr>
        <w:spacing w:line="360" w:lineRule="auto"/>
        <w:jc w:val="both"/>
        <w:rPr>
          <w:rFonts w:ascii="Times New Roman" w:hAnsi="Times New Roman"/>
          <w:noProof/>
          <w:sz w:val="24"/>
          <w:szCs w:val="24"/>
          <w:lang w:val="en-GB"/>
        </w:rPr>
      </w:pPr>
    </w:p>
    <w:p w:rsidR="00EF5220" w:rsidRDefault="00EF2564">
      <w:pPr>
        <w:keepNext/>
        <w:jc w:val="both"/>
        <w:rPr>
          <w:rFonts w:ascii="Times New Roman" w:hAnsi="Times New Roman"/>
          <w:b/>
          <w:noProof/>
          <w:sz w:val="24"/>
          <w:szCs w:val="24"/>
          <w:lang w:val="en-GB"/>
        </w:rPr>
      </w:pPr>
      <w:bookmarkStart w:id="49" w:name="_Ref528664755"/>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41</w:t>
      </w:r>
      <w:r>
        <w:rPr>
          <w:rFonts w:ascii="Times New Roman" w:hAnsi="Times New Roman"/>
          <w:b/>
          <w:noProof/>
          <w:sz w:val="24"/>
          <w:szCs w:val="24"/>
          <w:lang w:val="en-GB"/>
        </w:rPr>
        <w:fldChar w:fldCharType="end"/>
      </w:r>
      <w:bookmarkEnd w:id="49"/>
      <w:r>
        <w:rPr>
          <w:rFonts w:ascii="Times New Roman" w:hAnsi="Times New Roman"/>
          <w:b/>
          <w:noProof/>
          <w:sz w:val="24"/>
          <w:lang w:val="en-GB"/>
        </w:rPr>
        <w:t xml:space="preserve">: Involuntary temporary workers as a share of total temporary employees, 2017. </w:t>
      </w:r>
    </w:p>
    <w:p w:rsidR="00EF5220" w:rsidRDefault="00EF2564">
      <w:pPr>
        <w:jc w:val="both"/>
        <w:rPr>
          <w:rFonts w:ascii="Times New Roman" w:hAnsi="Times New Roman"/>
          <w:noProof/>
          <w:sz w:val="24"/>
          <w:szCs w:val="24"/>
          <w:lang w:val="en-GB"/>
        </w:rPr>
      </w:pPr>
      <w:r>
        <w:rPr>
          <w:rFonts w:ascii="Times New Roman" w:hAnsi="Times New Roman"/>
          <w:noProof/>
          <w:sz w:val="24"/>
          <w:szCs w:val="24"/>
          <w:lang w:val="en-GB" w:eastAsia="en-GB" w:bidi="ar-SA"/>
        </w:rPr>
        <w:drawing>
          <wp:inline distT="0" distB="0" distL="0" distR="0">
            <wp:extent cx="5785385" cy="259270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791253" cy="2595336"/>
                    </a:xfrm>
                    <a:prstGeom prst="rect">
                      <a:avLst/>
                    </a:prstGeom>
                    <a:noFill/>
                  </pic:spPr>
                </pic:pic>
              </a:graphicData>
            </a:graphic>
          </wp:inline>
        </w:drawing>
      </w:r>
    </w:p>
    <w:p w:rsidR="00EF5220" w:rsidRDefault="00EF2564">
      <w:pPr>
        <w:jc w:val="both"/>
        <w:rPr>
          <w:rFonts w:ascii="Times New Roman" w:hAnsi="Times New Roman"/>
          <w:noProof/>
          <w:sz w:val="20"/>
          <w:szCs w:val="20"/>
          <w:lang w:val="en-GB"/>
        </w:rPr>
      </w:pPr>
      <w:r>
        <w:rPr>
          <w:rFonts w:ascii="Times New Roman" w:hAnsi="Times New Roman"/>
          <w:noProof/>
          <w:sz w:val="20"/>
          <w:lang w:val="en-GB"/>
        </w:rPr>
        <w:t>Source: Eurostat, LFS.</w:t>
      </w:r>
    </w:p>
    <w:p w:rsidR="00EF5220" w:rsidRDefault="00EF5220">
      <w:pPr>
        <w:jc w:val="both"/>
        <w:rPr>
          <w:rFonts w:ascii="Times New Roman" w:hAnsi="Times New Roman"/>
          <w:noProof/>
          <w:sz w:val="24"/>
          <w:szCs w:val="24"/>
          <w:lang w:val="en-GB"/>
        </w:rPr>
      </w:pPr>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 xml:space="preserve">A high proportion of self-employed workers may also be a </w:t>
      </w:r>
      <w:r>
        <w:rPr>
          <w:rFonts w:ascii="Times New Roman" w:hAnsi="Times New Roman"/>
          <w:b/>
          <w:noProof/>
          <w:sz w:val="24"/>
          <w:lang w:val="en-GB"/>
        </w:rPr>
        <w:t>sign of labour market segmentation.</w:t>
      </w:r>
      <w:r>
        <w:rPr>
          <w:rFonts w:ascii="Times New Roman" w:hAnsi="Times New Roman"/>
          <w:noProof/>
          <w:sz w:val="24"/>
          <w:lang w:val="en-GB"/>
        </w:rPr>
        <w:t xml:space="preserve"> While self-employment is normally voluntary, it may conceal dependent employment relationships (so-called 'bogus' self-employment). In addition, often social security systems are not adapted to include the self-employed </w:t>
      </w:r>
      <w:r>
        <w:rPr>
          <w:rFonts w:ascii="Times New Roman" w:hAnsi="Times New Roman"/>
          <w:noProof/>
          <w:sz w:val="24"/>
          <w:lang w:val="en-GB"/>
        </w:rPr>
        <w:t>(this issue is discussed in Chapter 3.4). The degree of autonomy of self-employed workers cannot be measured with comparable Eurostat statistics across Member States</w:t>
      </w:r>
      <w:r>
        <w:rPr>
          <w:rStyle w:val="FootnoteReference"/>
          <w:rFonts w:ascii="Times New Roman" w:hAnsi="Times New Roman"/>
          <w:noProof/>
          <w:sz w:val="24"/>
          <w:lang w:val="en-GB"/>
        </w:rPr>
        <w:footnoteReference w:id="65"/>
      </w:r>
      <w:r>
        <w:rPr>
          <w:rFonts w:ascii="Times New Roman" w:hAnsi="Times New Roman"/>
          <w:noProof/>
          <w:sz w:val="24"/>
          <w:lang w:val="en-GB"/>
        </w:rPr>
        <w:t>. However, some proxy information can be obtained by looking at the share of self-employed</w:t>
      </w:r>
      <w:r>
        <w:rPr>
          <w:rFonts w:ascii="Times New Roman" w:hAnsi="Times New Roman"/>
          <w:noProof/>
          <w:sz w:val="24"/>
          <w:lang w:val="en-GB"/>
        </w:rPr>
        <w:t xml:space="preserve"> without employees ('own account workers') over total employment – when high, it could signal the need for further country-specific assessment. The ranking shows Greece (22.3%), Romania (15.3%) and Italy (15.1%) on top in 2017, followed by Poland, Czech Re</w:t>
      </w:r>
      <w:r>
        <w:rPr>
          <w:rFonts w:ascii="Times New Roman" w:hAnsi="Times New Roman"/>
          <w:noProof/>
          <w:sz w:val="24"/>
          <w:lang w:val="en-GB"/>
        </w:rPr>
        <w:t xml:space="preserve">public, Slovakia, the United Kingdom and the Netherlands with rates above 11% (Figure </w:t>
      </w:r>
      <w:r>
        <w:rPr>
          <w:rFonts w:ascii="Times New Roman" w:hAnsi="Times New Roman"/>
          <w:noProof/>
          <w:sz w:val="24"/>
          <w:szCs w:val="24"/>
          <w:lang w:val="en-GB"/>
        </w:rPr>
        <w:t>42</w:t>
      </w:r>
      <w:r>
        <w:rPr>
          <w:rFonts w:ascii="Times New Roman" w:hAnsi="Times New Roman"/>
          <w:noProof/>
          <w:sz w:val="24"/>
          <w:lang w:val="en-GB"/>
        </w:rPr>
        <w:t>). At the lower end, Denmark, Germany, Sweden and Hungary show rates below or close to 5%. Since 2008 the share of own account workers has remained stable on average in</w:t>
      </w:r>
      <w:r>
        <w:rPr>
          <w:rFonts w:ascii="Times New Roman" w:hAnsi="Times New Roman"/>
          <w:noProof/>
          <w:sz w:val="24"/>
          <w:lang w:val="en-GB"/>
        </w:rPr>
        <w:t xml:space="preserve"> the EU, but significant increases were recorded in some countries, notably in the Netherlands (from 8.4% in 2008 to 11.5% in 2017) and in the United Kingdom (from 9.8% to 11.8%). On the contrary, it has decreased markedly in Croatia (from 11.7% to 5.7%) a</w:t>
      </w:r>
      <w:r>
        <w:rPr>
          <w:rFonts w:ascii="Times New Roman" w:hAnsi="Times New Roman"/>
          <w:noProof/>
          <w:sz w:val="24"/>
          <w:lang w:val="en-GB"/>
        </w:rPr>
        <w:t>nd Portugal (from 13.5% to 8.9%). According to Eurofound</w:t>
      </w:r>
      <w:r>
        <w:rPr>
          <w:rStyle w:val="FootnoteReference"/>
          <w:rFonts w:ascii="Times New Roman" w:hAnsi="Times New Roman"/>
          <w:noProof/>
          <w:sz w:val="24"/>
          <w:lang w:val="en-GB"/>
        </w:rPr>
        <w:footnoteReference w:id="66"/>
      </w:r>
      <w:r>
        <w:rPr>
          <w:rFonts w:ascii="Times New Roman" w:hAnsi="Times New Roman"/>
          <w:noProof/>
          <w:sz w:val="24"/>
          <w:lang w:val="en-GB"/>
        </w:rPr>
        <w:t>, in 2015 around one quarter of all self-employed workers in the EU could be classified as "vulnerable" or "concealed"</w:t>
      </w:r>
      <w:r>
        <w:rPr>
          <w:rStyle w:val="FootnoteReference"/>
          <w:rFonts w:ascii="Times New Roman" w:hAnsi="Times New Roman"/>
          <w:noProof/>
          <w:sz w:val="24"/>
          <w:lang w:val="en-GB"/>
        </w:rPr>
        <w:footnoteReference w:id="67"/>
      </w:r>
      <w:r>
        <w:rPr>
          <w:rFonts w:ascii="Times New Roman" w:hAnsi="Times New Roman"/>
          <w:noProof/>
          <w:sz w:val="24"/>
          <w:lang w:val="en-GB"/>
        </w:rPr>
        <w:t>, with substantial differences among Member States. These workers are characteri</w:t>
      </w:r>
      <w:r>
        <w:rPr>
          <w:rFonts w:ascii="Times New Roman" w:hAnsi="Times New Roman"/>
          <w:noProof/>
          <w:sz w:val="24"/>
          <w:lang w:val="en-GB"/>
        </w:rPr>
        <w:t xml:space="preserve">sed by economic dependence, low levels of autonomy and financial vulnerability; therefore, ‘bogus self-employed’ are most likely to be found in these groups. Figure </w:t>
      </w:r>
      <w:r>
        <w:rPr>
          <w:rFonts w:ascii="Times New Roman" w:hAnsi="Times New Roman"/>
          <w:noProof/>
          <w:sz w:val="24"/>
          <w:szCs w:val="24"/>
          <w:lang w:val="en-GB"/>
        </w:rPr>
        <w:t>43</w:t>
      </w:r>
      <w:r>
        <w:rPr>
          <w:rFonts w:ascii="Times New Roman" w:hAnsi="Times New Roman"/>
          <w:noProof/>
          <w:sz w:val="24"/>
          <w:lang w:val="en-GB"/>
        </w:rPr>
        <w:t xml:space="preserve"> shows the distribution of self-employed workers in these two categories as a share of to</w:t>
      </w:r>
      <w:r>
        <w:rPr>
          <w:rFonts w:ascii="Times New Roman" w:hAnsi="Times New Roman"/>
          <w:noProof/>
          <w:sz w:val="24"/>
          <w:lang w:val="en-GB"/>
        </w:rPr>
        <w:t>tal employment, by Member State.</w:t>
      </w:r>
    </w:p>
    <w:p w:rsidR="00EF5220" w:rsidRDefault="00EF5220">
      <w:pPr>
        <w:spacing w:line="360" w:lineRule="auto"/>
        <w:jc w:val="both"/>
        <w:rPr>
          <w:rFonts w:ascii="Times New Roman" w:hAnsi="Times New Roman"/>
          <w:noProof/>
          <w:sz w:val="24"/>
          <w:szCs w:val="24"/>
          <w:lang w:val="en-GB"/>
        </w:rPr>
      </w:pPr>
    </w:p>
    <w:p w:rsidR="00EF5220" w:rsidRDefault="00EF2564">
      <w:pPr>
        <w:keepNext/>
        <w:jc w:val="both"/>
        <w:rPr>
          <w:rFonts w:ascii="Times New Roman" w:hAnsi="Times New Roman"/>
          <w:noProof/>
          <w:sz w:val="24"/>
          <w:szCs w:val="24"/>
          <w:lang w:val="en-GB"/>
        </w:rPr>
      </w:pPr>
      <w:bookmarkStart w:id="50" w:name="_Ref528664773"/>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42</w:t>
      </w:r>
      <w:r>
        <w:rPr>
          <w:rFonts w:ascii="Times New Roman" w:hAnsi="Times New Roman"/>
          <w:b/>
          <w:noProof/>
          <w:sz w:val="24"/>
          <w:szCs w:val="24"/>
          <w:lang w:val="en-GB"/>
        </w:rPr>
        <w:fldChar w:fldCharType="end"/>
      </w:r>
      <w:bookmarkEnd w:id="50"/>
      <w:r>
        <w:rPr>
          <w:rFonts w:ascii="Times New Roman" w:hAnsi="Times New Roman"/>
          <w:b/>
          <w:noProof/>
          <w:sz w:val="24"/>
          <w:lang w:val="en-GB"/>
        </w:rPr>
        <w:t>: Self-employed without employees as percentage of total employment.</w:t>
      </w:r>
      <w:r>
        <w:rPr>
          <w:rFonts w:ascii="Times New Roman" w:hAnsi="Times New Roman"/>
          <w:noProof/>
          <w:sz w:val="24"/>
          <w:lang w:val="en-GB"/>
        </w:rPr>
        <w:t xml:space="preserve"> </w:t>
      </w:r>
    </w:p>
    <w:p w:rsidR="00EF5220" w:rsidRDefault="00EF2564">
      <w:pPr>
        <w:keepNext/>
        <w:jc w:val="both"/>
        <w:rPr>
          <w:rFonts w:ascii="Times New Roman" w:hAnsi="Times New Roman"/>
          <w:noProof/>
          <w:sz w:val="24"/>
          <w:szCs w:val="24"/>
          <w:lang w:val="en-GB"/>
        </w:rPr>
      </w:pPr>
      <w:r>
        <w:rPr>
          <w:rFonts w:ascii="Times New Roman" w:hAnsi="Times New Roman"/>
          <w:noProof/>
          <w:sz w:val="24"/>
          <w:szCs w:val="24"/>
          <w:lang w:val="en-GB" w:eastAsia="en-GB" w:bidi="ar-SA"/>
        </w:rPr>
        <w:drawing>
          <wp:inline distT="0" distB="0" distL="0" distR="0">
            <wp:extent cx="5452446" cy="286024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451801" cy="2859905"/>
                    </a:xfrm>
                    <a:prstGeom prst="rect">
                      <a:avLst/>
                    </a:prstGeom>
                    <a:noFill/>
                  </pic:spPr>
                </pic:pic>
              </a:graphicData>
            </a:graphic>
          </wp:inline>
        </w:drawing>
      </w:r>
    </w:p>
    <w:p w:rsidR="00EF5220" w:rsidRDefault="00EF2564">
      <w:pPr>
        <w:jc w:val="both"/>
        <w:rPr>
          <w:rFonts w:ascii="Times New Roman" w:hAnsi="Times New Roman"/>
          <w:noProof/>
          <w:sz w:val="20"/>
          <w:szCs w:val="20"/>
          <w:lang w:val="en-GB"/>
        </w:rPr>
      </w:pPr>
      <w:r>
        <w:rPr>
          <w:rFonts w:ascii="Times New Roman" w:hAnsi="Times New Roman"/>
          <w:noProof/>
          <w:sz w:val="20"/>
          <w:lang w:val="en-GB"/>
        </w:rPr>
        <w:t>Source: Eurostat, LFS – own calculations.</w:t>
      </w:r>
    </w:p>
    <w:p w:rsidR="00EF5220" w:rsidRDefault="00EF5220">
      <w:pPr>
        <w:jc w:val="both"/>
        <w:rPr>
          <w:rFonts w:ascii="Times New Roman" w:hAnsi="Times New Roman"/>
          <w:b/>
          <w:noProof/>
          <w:sz w:val="24"/>
          <w:szCs w:val="24"/>
          <w:lang w:val="en-GB"/>
        </w:rPr>
      </w:pPr>
    </w:p>
    <w:p w:rsidR="00EF5220" w:rsidRDefault="00EF2564">
      <w:pPr>
        <w:keepNext/>
        <w:jc w:val="both"/>
        <w:rPr>
          <w:rFonts w:ascii="Times New Roman" w:hAnsi="Times New Roman"/>
          <w:b/>
          <w:noProof/>
          <w:sz w:val="24"/>
          <w:lang w:val="en-GB"/>
        </w:rPr>
      </w:pPr>
      <w:bookmarkStart w:id="51" w:name="_Ref528664800"/>
      <w:r>
        <w:rPr>
          <w:rFonts w:ascii="Times New Roman" w:hAnsi="Times New Roman"/>
          <w:b/>
          <w:noProof/>
          <w:sz w:val="24"/>
          <w:lang w:val="en-GB"/>
        </w:rPr>
        <w:t xml:space="preserve">Figure </w:t>
      </w:r>
      <w:r>
        <w:rPr>
          <w:rFonts w:ascii="Times New Roman" w:hAnsi="Times New Roman"/>
          <w:b/>
          <w:noProof/>
          <w:sz w:val="24"/>
          <w:lang w:val="en-GB"/>
        </w:rPr>
        <w:fldChar w:fldCharType="begin"/>
      </w:r>
      <w:r>
        <w:rPr>
          <w:rFonts w:ascii="Times New Roman" w:hAnsi="Times New Roman"/>
          <w:b/>
          <w:noProof/>
          <w:sz w:val="24"/>
          <w:lang w:val="en-GB"/>
        </w:rPr>
        <w:instrText xml:space="preserve"> SEQ Figure \* ARABIC </w:instrText>
      </w:r>
      <w:r>
        <w:rPr>
          <w:rFonts w:ascii="Times New Roman" w:hAnsi="Times New Roman"/>
          <w:b/>
          <w:noProof/>
          <w:sz w:val="24"/>
          <w:lang w:val="en-GB"/>
        </w:rPr>
        <w:fldChar w:fldCharType="separate"/>
      </w:r>
      <w:r>
        <w:rPr>
          <w:rFonts w:ascii="Times New Roman" w:hAnsi="Times New Roman"/>
          <w:b/>
          <w:noProof/>
          <w:sz w:val="24"/>
          <w:lang w:val="en-GB"/>
        </w:rPr>
        <w:t>43</w:t>
      </w:r>
      <w:r>
        <w:rPr>
          <w:rFonts w:ascii="Times New Roman" w:hAnsi="Times New Roman"/>
          <w:b/>
          <w:noProof/>
          <w:sz w:val="24"/>
          <w:lang w:val="en-GB"/>
        </w:rPr>
        <w:fldChar w:fldCharType="end"/>
      </w:r>
      <w:bookmarkEnd w:id="51"/>
      <w:r>
        <w:rPr>
          <w:rFonts w:ascii="Times New Roman" w:hAnsi="Times New Roman"/>
          <w:b/>
          <w:noProof/>
          <w:sz w:val="24"/>
          <w:lang w:val="en-GB"/>
        </w:rPr>
        <w:t xml:space="preserve">: "Vulnerable" and "concealed" self-employed workers as a proportion of total employment. </w:t>
      </w:r>
    </w:p>
    <w:p w:rsidR="00EF5220" w:rsidRDefault="00EF2564">
      <w:pPr>
        <w:keepNext/>
        <w:jc w:val="both"/>
        <w:rPr>
          <w:rFonts w:ascii="Times New Roman" w:hAnsi="Times New Roman"/>
          <w:b/>
          <w:noProof/>
          <w:sz w:val="24"/>
          <w:lang w:val="en-GB"/>
        </w:rPr>
      </w:pPr>
      <w:r>
        <w:rPr>
          <w:rFonts w:ascii="Times New Roman" w:hAnsi="Times New Roman"/>
          <w:b/>
          <w:noProof/>
          <w:sz w:val="24"/>
          <w:lang w:val="en-GB" w:eastAsia="en-GB" w:bidi="ar-SA"/>
        </w:rPr>
        <w:drawing>
          <wp:inline distT="0" distB="0" distL="0" distR="0">
            <wp:extent cx="5224302" cy="2524836"/>
            <wp:effectExtent l="0" t="0" r="0" b="889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226505" cy="2525901"/>
                    </a:xfrm>
                    <a:prstGeom prst="rect">
                      <a:avLst/>
                    </a:prstGeom>
                    <a:noFill/>
                  </pic:spPr>
                </pic:pic>
              </a:graphicData>
            </a:graphic>
          </wp:inline>
        </w:drawing>
      </w:r>
    </w:p>
    <w:p w:rsidR="00EF5220" w:rsidRDefault="00EF2564">
      <w:pPr>
        <w:jc w:val="both"/>
        <w:rPr>
          <w:rFonts w:ascii="Times New Roman" w:hAnsi="Times New Roman"/>
          <w:noProof/>
          <w:sz w:val="20"/>
          <w:szCs w:val="20"/>
          <w:lang w:val="en-GB"/>
        </w:rPr>
      </w:pPr>
      <w:r>
        <w:rPr>
          <w:rFonts w:ascii="Times New Roman" w:hAnsi="Times New Roman"/>
          <w:noProof/>
          <w:sz w:val="20"/>
          <w:lang w:val="en-GB"/>
        </w:rPr>
        <w:t>Source: Eurofound (2017) – based on sixth European Working Conditions Survey (2015).</w:t>
      </w:r>
    </w:p>
    <w:p w:rsidR="00EF5220" w:rsidRDefault="00EF2564">
      <w:pPr>
        <w:jc w:val="both"/>
        <w:rPr>
          <w:rFonts w:ascii="Times New Roman" w:hAnsi="Times New Roman"/>
          <w:noProof/>
          <w:sz w:val="20"/>
          <w:szCs w:val="20"/>
          <w:lang w:val="en-GB"/>
        </w:rPr>
      </w:pPr>
      <w:r>
        <w:rPr>
          <w:rFonts w:ascii="Times New Roman" w:hAnsi="Times New Roman"/>
          <w:noProof/>
          <w:sz w:val="24"/>
          <w:highlight w:val="yellow"/>
          <w:lang w:val="en-GB"/>
        </w:rPr>
        <w:t xml:space="preserve"> </w:t>
      </w:r>
    </w:p>
    <w:p w:rsidR="00EF5220" w:rsidRDefault="00EF2564">
      <w:pPr>
        <w:spacing w:line="360" w:lineRule="auto"/>
        <w:jc w:val="both"/>
        <w:rPr>
          <w:rFonts w:ascii="Times New Roman" w:hAnsi="Times New Roman" w:cs="Times New Roman"/>
          <w:b/>
          <w:noProof/>
          <w:sz w:val="24"/>
          <w:szCs w:val="24"/>
          <w:lang w:val="en-GB"/>
        </w:rPr>
      </w:pPr>
      <w:r>
        <w:rPr>
          <w:rFonts w:ascii="Times New Roman" w:hAnsi="Times New Roman"/>
          <w:b/>
          <w:noProof/>
          <w:sz w:val="24"/>
          <w:lang w:val="en-GB"/>
        </w:rPr>
        <w:t>"Platform work", though currently limited to small parts of the workforce, m</w:t>
      </w:r>
      <w:r>
        <w:rPr>
          <w:rFonts w:ascii="Times New Roman" w:hAnsi="Times New Roman"/>
          <w:b/>
          <w:noProof/>
          <w:sz w:val="24"/>
          <w:lang w:val="en-GB"/>
        </w:rPr>
        <w:t xml:space="preserve">ay have a significant impact on working conditions and patterns. </w:t>
      </w:r>
      <w:r>
        <w:rPr>
          <w:rFonts w:ascii="Times New Roman" w:hAnsi="Times New Roman"/>
          <w:noProof/>
          <w:sz w:val="24"/>
          <w:lang w:val="en-GB"/>
        </w:rPr>
        <w:t>Recently, the European Commission's COLLEEM online survey</w:t>
      </w:r>
      <w:r>
        <w:rPr>
          <w:rStyle w:val="FootnoteReference"/>
          <w:rFonts w:ascii="Times New Roman" w:hAnsi="Times New Roman"/>
          <w:noProof/>
          <w:sz w:val="24"/>
          <w:lang w:val="en-GB"/>
        </w:rPr>
        <w:footnoteReference w:id="68"/>
      </w:r>
      <w:r>
        <w:rPr>
          <w:rFonts w:ascii="Times New Roman" w:hAnsi="Times New Roman"/>
          <w:noProof/>
          <w:sz w:val="24"/>
          <w:lang w:val="en-GB"/>
        </w:rPr>
        <w:t xml:space="preserve"> investigated the utilisation of online platforms among frequent internet users aged 16-74 in 14 EU countries, providing some initial</w:t>
      </w:r>
      <w:r>
        <w:rPr>
          <w:rFonts w:ascii="Times New Roman" w:hAnsi="Times New Roman"/>
          <w:noProof/>
          <w:sz w:val="24"/>
          <w:lang w:val="en-GB"/>
        </w:rPr>
        <w:t xml:space="preserve"> tentative evidence on the situation of platform workers. According to European Commission (2018)</w:t>
      </w:r>
      <w:r>
        <w:rPr>
          <w:rStyle w:val="FootnoteReference"/>
          <w:rFonts w:ascii="Times New Roman" w:hAnsi="Times New Roman"/>
          <w:noProof/>
          <w:sz w:val="24"/>
          <w:lang w:val="en-GB"/>
        </w:rPr>
        <w:footnoteReference w:id="69"/>
      </w:r>
      <w:r>
        <w:rPr>
          <w:rFonts w:ascii="Times New Roman" w:hAnsi="Times New Roman"/>
          <w:noProof/>
          <w:sz w:val="24"/>
          <w:lang w:val="en-GB"/>
        </w:rPr>
        <w:t xml:space="preserve">, based on the survey results, the proportion of people earning more than half of their income from platform work hovered slightly above 2% in 2017, with the </w:t>
      </w:r>
      <w:r>
        <w:rPr>
          <w:rFonts w:ascii="Times New Roman" w:hAnsi="Times New Roman"/>
          <w:noProof/>
          <w:sz w:val="24"/>
          <w:lang w:val="en-GB"/>
        </w:rPr>
        <w:t>highest levels recorded in United Kingdom (4.3%) and the Netherlands (2.9%). Around half of those for whom platform work is the main activity regard themselves as fully or partly self-employed, although a significant share (38%) see themselves as employees</w:t>
      </w:r>
      <w:r>
        <w:rPr>
          <w:rFonts w:ascii="Times New Roman" w:hAnsi="Times New Roman"/>
          <w:noProof/>
          <w:sz w:val="24"/>
          <w:lang w:val="en-GB"/>
        </w:rPr>
        <w:t>. This suggests that many platform workers may not be covered by social protection – an issue which is complicated by the fact that often their employment status is not clear for regulatory purposes.</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Temporary workers experience lower job quality, over a </w:t>
      </w:r>
      <w:r>
        <w:rPr>
          <w:rFonts w:ascii="Times New Roman" w:hAnsi="Times New Roman"/>
          <w:b/>
          <w:noProof/>
          <w:sz w:val="24"/>
          <w:lang w:val="en-GB"/>
        </w:rPr>
        <w:t>number of different dimensions.</w:t>
      </w:r>
      <w:r>
        <w:rPr>
          <w:rFonts w:ascii="Times New Roman" w:hAnsi="Times New Roman"/>
          <w:noProof/>
          <w:sz w:val="24"/>
          <w:lang w:val="en-GB"/>
        </w:rPr>
        <w:t xml:space="preserve"> The sixth European Working Conditions Survey (2015) provides information on a number of key dimensions of job quality. Based on this survey, Eurofound</w:t>
      </w:r>
      <w:r>
        <w:rPr>
          <w:rStyle w:val="FootnoteReference"/>
          <w:rFonts w:ascii="Times New Roman" w:hAnsi="Times New Roman"/>
          <w:noProof/>
          <w:sz w:val="24"/>
          <w:lang w:val="en-GB"/>
        </w:rPr>
        <w:footnoteReference w:id="70"/>
      </w:r>
      <w:r>
        <w:rPr>
          <w:rFonts w:ascii="Times New Roman" w:hAnsi="Times New Roman"/>
          <w:noProof/>
          <w:sz w:val="24"/>
          <w:lang w:val="en-GB"/>
        </w:rPr>
        <w:t xml:space="preserve"> has computed seven job quality indexes (concerning respectively physical</w:t>
      </w:r>
      <w:r>
        <w:rPr>
          <w:rFonts w:ascii="Times New Roman" w:hAnsi="Times New Roman"/>
          <w:noProof/>
          <w:sz w:val="24"/>
          <w:lang w:val="en-GB"/>
        </w:rPr>
        <w:t xml:space="preserve"> environment; social environment; work intensity; skills and discretion; working time quality; prospects; and earnings). Looking at differences in the scores for six of the seven job quality indices</w:t>
      </w:r>
      <w:r>
        <w:rPr>
          <w:rStyle w:val="FootnoteReference"/>
          <w:rFonts w:ascii="Times New Roman" w:hAnsi="Times New Roman"/>
          <w:noProof/>
          <w:sz w:val="24"/>
          <w:lang w:val="en-GB"/>
        </w:rPr>
        <w:footnoteReference w:id="71"/>
      </w:r>
      <w:r>
        <w:rPr>
          <w:rFonts w:ascii="Times New Roman" w:hAnsi="Times New Roman"/>
          <w:noProof/>
          <w:sz w:val="24"/>
          <w:lang w:val="en-GB"/>
        </w:rPr>
        <w:t xml:space="preserve"> (Table 3) workers on short-term temporary contracts scor</w:t>
      </w:r>
      <w:r>
        <w:rPr>
          <w:rFonts w:ascii="Times New Roman" w:hAnsi="Times New Roman"/>
          <w:noProof/>
          <w:sz w:val="24"/>
          <w:lang w:val="en-GB"/>
        </w:rPr>
        <w:t xml:space="preserve">e below average in four of them, of which </w:t>
      </w:r>
      <w:r>
        <w:rPr>
          <w:rFonts w:ascii="Times New Roman" w:hAnsi="Times New Roman"/>
          <w:i/>
          <w:noProof/>
          <w:sz w:val="24"/>
          <w:lang w:val="en-GB"/>
        </w:rPr>
        <w:t xml:space="preserve">prospects </w:t>
      </w:r>
      <w:r>
        <w:rPr>
          <w:rFonts w:ascii="Times New Roman" w:hAnsi="Times New Roman"/>
          <w:noProof/>
          <w:sz w:val="24"/>
          <w:lang w:val="en-GB"/>
        </w:rPr>
        <w:t xml:space="preserve">(including job security and career advancement) and </w:t>
      </w:r>
      <w:r>
        <w:rPr>
          <w:rFonts w:ascii="Times New Roman" w:hAnsi="Times New Roman"/>
          <w:i/>
          <w:noProof/>
          <w:sz w:val="24"/>
          <w:lang w:val="en-GB"/>
        </w:rPr>
        <w:t>skills and discretion</w:t>
      </w:r>
      <w:r>
        <w:rPr>
          <w:rFonts w:ascii="Times New Roman" w:hAnsi="Times New Roman"/>
          <w:noProof/>
          <w:sz w:val="24"/>
          <w:lang w:val="en-GB"/>
        </w:rPr>
        <w:t xml:space="preserve"> (which includes, for instance, access to training and decision autonomy) are the most challenging. On the other hand, as regards t</w:t>
      </w:r>
      <w:r>
        <w:rPr>
          <w:rFonts w:ascii="Times New Roman" w:hAnsi="Times New Roman"/>
          <w:noProof/>
          <w:sz w:val="24"/>
          <w:lang w:val="en-GB"/>
        </w:rPr>
        <w:t xml:space="preserve">he social environment, they have a slightly higher score than the average. Longer-term temporary contracts show a similar pattern, but their job quality scores are closer to the average; in addition, they find themselves in less favourable </w:t>
      </w:r>
      <w:r>
        <w:rPr>
          <w:rFonts w:ascii="Times New Roman" w:hAnsi="Times New Roman"/>
          <w:i/>
          <w:noProof/>
          <w:sz w:val="24"/>
          <w:lang w:val="en-GB"/>
        </w:rPr>
        <w:t>social environme</w:t>
      </w:r>
      <w:r>
        <w:rPr>
          <w:rFonts w:ascii="Times New Roman" w:hAnsi="Times New Roman"/>
          <w:i/>
          <w:noProof/>
          <w:sz w:val="24"/>
          <w:lang w:val="en-GB"/>
        </w:rPr>
        <w:t>nts</w:t>
      </w:r>
      <w:r>
        <w:rPr>
          <w:rFonts w:ascii="Times New Roman" w:hAnsi="Times New Roman"/>
          <w:noProof/>
          <w:sz w:val="24"/>
          <w:lang w:val="en-GB"/>
        </w:rPr>
        <w:t xml:space="preserve"> compared to the average. Differences remain after statistically controlling for factors such as individual or job-related characteristics (</w:t>
      </w:r>
      <w:r>
        <w:rPr>
          <w:rFonts w:ascii="Times New Roman" w:hAnsi="Times New Roman" w:cs="Times New Roman"/>
          <w:noProof/>
          <w:sz w:val="24"/>
          <w:lang w:val="en-GB"/>
        </w:rPr>
        <w:t xml:space="preserve">Figure </w:t>
      </w:r>
      <w:r>
        <w:rPr>
          <w:rFonts w:ascii="Times New Roman" w:hAnsi="Times New Roman" w:cs="Times New Roman"/>
          <w:noProof/>
          <w:sz w:val="24"/>
          <w:szCs w:val="24"/>
          <w:lang w:val="en-GB"/>
        </w:rPr>
        <w:t>44</w:t>
      </w:r>
      <w:r>
        <w:rPr>
          <w:rFonts w:ascii="Times New Roman" w:hAnsi="Times New Roman"/>
          <w:noProof/>
          <w:sz w:val="24"/>
          <w:lang w:val="en-GB"/>
        </w:rPr>
        <w:t>). Workers on temporary contracts are also more than three times as likely to be at risk of poverty as t</w:t>
      </w:r>
      <w:r>
        <w:rPr>
          <w:rFonts w:ascii="Times New Roman" w:hAnsi="Times New Roman"/>
          <w:noProof/>
          <w:sz w:val="24"/>
          <w:lang w:val="en-GB"/>
        </w:rPr>
        <w:t>hose in permanent employment (16.3% of temporary workers, versus 5.8% of permanent workers in 2017); a gap which has been growing steadily since the crisis.</w:t>
      </w:r>
    </w:p>
    <w:p w:rsidR="00EF5220" w:rsidRDefault="00EF5220">
      <w:pPr>
        <w:spacing w:line="360" w:lineRule="auto"/>
        <w:jc w:val="both"/>
        <w:rPr>
          <w:rFonts w:ascii="Times New Roman" w:hAnsi="Times New Roman" w:cs="Times New Roman"/>
          <w:noProof/>
          <w:sz w:val="24"/>
          <w:szCs w:val="24"/>
          <w:lang w:val="en-GB"/>
        </w:rPr>
      </w:pPr>
    </w:p>
    <w:p w:rsidR="00EF5220" w:rsidRDefault="00EF2564">
      <w:pPr>
        <w:keepNext/>
        <w:jc w:val="both"/>
        <w:rPr>
          <w:rFonts w:ascii="Times New Roman" w:hAnsi="Times New Roman"/>
          <w:b/>
          <w:noProof/>
          <w:sz w:val="24"/>
          <w:lang w:val="en-GB"/>
        </w:rPr>
      </w:pPr>
      <w:r>
        <w:rPr>
          <w:rFonts w:ascii="Times New Roman" w:hAnsi="Times New Roman"/>
          <w:b/>
          <w:noProof/>
          <w:sz w:val="24"/>
          <w:lang w:val="en-GB"/>
        </w:rPr>
        <w:t xml:space="preserve">Table </w:t>
      </w:r>
      <w:r>
        <w:rPr>
          <w:rFonts w:ascii="Times New Roman" w:hAnsi="Times New Roman"/>
          <w:b/>
          <w:noProof/>
          <w:sz w:val="24"/>
          <w:lang w:val="en-GB"/>
        </w:rPr>
        <w:fldChar w:fldCharType="begin"/>
      </w:r>
      <w:r>
        <w:rPr>
          <w:rFonts w:ascii="Times New Roman" w:hAnsi="Times New Roman"/>
          <w:b/>
          <w:noProof/>
          <w:sz w:val="24"/>
          <w:lang w:val="en-GB"/>
        </w:rPr>
        <w:instrText xml:space="preserve"> SEQ Table \* ARABIC </w:instrText>
      </w:r>
      <w:r>
        <w:rPr>
          <w:rFonts w:ascii="Times New Roman" w:hAnsi="Times New Roman"/>
          <w:b/>
          <w:noProof/>
          <w:sz w:val="24"/>
          <w:lang w:val="en-GB"/>
        </w:rPr>
        <w:fldChar w:fldCharType="separate"/>
      </w:r>
      <w:r>
        <w:rPr>
          <w:rFonts w:ascii="Times New Roman" w:hAnsi="Times New Roman"/>
          <w:b/>
          <w:noProof/>
          <w:sz w:val="24"/>
          <w:lang w:val="en-GB"/>
        </w:rPr>
        <w:t>3</w:t>
      </w:r>
      <w:r>
        <w:rPr>
          <w:rFonts w:ascii="Times New Roman" w:hAnsi="Times New Roman"/>
          <w:b/>
          <w:noProof/>
          <w:sz w:val="24"/>
          <w:lang w:val="en-GB"/>
        </w:rPr>
        <w:fldChar w:fldCharType="end"/>
      </w:r>
      <w:r>
        <w:rPr>
          <w:rFonts w:ascii="Times New Roman" w:hAnsi="Times New Roman"/>
          <w:b/>
          <w:noProof/>
          <w:sz w:val="24"/>
          <w:lang w:val="en-GB"/>
        </w:rPr>
        <w:t>: Job quality scores by employment status (2015)</w:t>
      </w:r>
    </w:p>
    <w:p w:rsidR="00EF5220" w:rsidRDefault="00EF2564">
      <w:pPr>
        <w:pStyle w:val="p1"/>
        <w:spacing w:after="200"/>
        <w:jc w:val="both"/>
        <w:rPr>
          <w:rFonts w:ascii="Times New Roman" w:hAnsi="Times New Roman" w:cs="Times New Roman"/>
          <w:noProof/>
          <w:sz w:val="24"/>
          <w:szCs w:val="24"/>
          <w:lang w:val="en-GB"/>
        </w:rPr>
      </w:pPr>
      <w:r>
        <w:rPr>
          <w:noProof/>
          <w:lang w:val="en-GB" w:eastAsia="en-GB" w:bidi="ar-SA"/>
        </w:rPr>
        <w:drawing>
          <wp:inline distT="0" distB="0" distL="0" distR="0">
            <wp:extent cx="5760720" cy="190051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760720" cy="1900519"/>
                    </a:xfrm>
                    <a:prstGeom prst="rect">
                      <a:avLst/>
                    </a:prstGeom>
                    <a:noFill/>
                    <a:ln>
                      <a:noFill/>
                    </a:ln>
                  </pic:spPr>
                </pic:pic>
              </a:graphicData>
            </a:graphic>
          </wp:inline>
        </w:drawing>
      </w:r>
      <w:r>
        <w:rPr>
          <w:rFonts w:ascii="Times New Roman" w:hAnsi="Times New Roman"/>
          <w:noProof/>
          <w:sz w:val="20"/>
          <w:lang w:val="en-GB"/>
        </w:rPr>
        <w:t>Source: Eurofound</w:t>
      </w:r>
      <w:r>
        <w:rPr>
          <w:rFonts w:ascii="Times New Roman" w:hAnsi="Times New Roman"/>
          <w:noProof/>
          <w:sz w:val="20"/>
          <w:lang w:val="en-GB"/>
        </w:rPr>
        <w:t xml:space="preserve"> computation on EWCS 2015. Green marks “better than average”, red “worse than average”. The shade of the colour indicates the deviation from the average (darker shades have more distance to average).</w:t>
      </w:r>
      <w:r>
        <w:rPr>
          <w:rFonts w:ascii="Times New Roman" w:hAnsi="Times New Roman"/>
          <w:i/>
          <w:noProof/>
          <w:sz w:val="24"/>
          <w:lang w:val="en-GB"/>
        </w:rPr>
        <w:t xml:space="preserve"> </w:t>
      </w:r>
    </w:p>
    <w:p w:rsidR="00EF5220" w:rsidRDefault="00EF5220">
      <w:pPr>
        <w:pStyle w:val="Tables"/>
        <w:spacing w:after="200" w:line="360" w:lineRule="auto"/>
        <w:jc w:val="both"/>
        <w:rPr>
          <w:b/>
          <w:noProof/>
          <w:sz w:val="24"/>
          <w:szCs w:val="24"/>
          <w:lang w:val="en-GB"/>
        </w:rPr>
      </w:pPr>
    </w:p>
    <w:p w:rsidR="00EF5220" w:rsidRDefault="00EF2564">
      <w:pPr>
        <w:pStyle w:val="Tables"/>
        <w:keepNext/>
        <w:spacing w:after="200" w:line="360" w:lineRule="auto"/>
        <w:jc w:val="both"/>
        <w:rPr>
          <w:b/>
          <w:i w:val="0"/>
          <w:noProof/>
          <w:sz w:val="24"/>
          <w:szCs w:val="24"/>
          <w:lang w:val="en-GB"/>
        </w:rPr>
      </w:pPr>
      <w:bookmarkStart w:id="52" w:name="_Ref528664820"/>
      <w:r>
        <w:rPr>
          <w:b/>
          <w:i w:val="0"/>
          <w:noProof/>
          <w:sz w:val="24"/>
          <w:lang w:val="en-GB"/>
        </w:rPr>
        <w:t xml:space="preserve">Figure </w:t>
      </w:r>
      <w:r>
        <w:rPr>
          <w:b/>
          <w:i w:val="0"/>
          <w:noProof/>
          <w:sz w:val="24"/>
          <w:szCs w:val="24"/>
          <w:lang w:val="en-GB"/>
        </w:rPr>
        <w:fldChar w:fldCharType="begin"/>
      </w:r>
      <w:r>
        <w:rPr>
          <w:b/>
          <w:i w:val="0"/>
          <w:noProof/>
          <w:sz w:val="24"/>
          <w:szCs w:val="24"/>
          <w:lang w:val="en-GB"/>
        </w:rPr>
        <w:instrText xml:space="preserve"> SEQ Figure \* ARABIC </w:instrText>
      </w:r>
      <w:r>
        <w:rPr>
          <w:b/>
          <w:i w:val="0"/>
          <w:noProof/>
          <w:sz w:val="24"/>
          <w:szCs w:val="24"/>
          <w:lang w:val="en-GB"/>
        </w:rPr>
        <w:fldChar w:fldCharType="separate"/>
      </w:r>
      <w:r>
        <w:rPr>
          <w:b/>
          <w:i w:val="0"/>
          <w:noProof/>
          <w:sz w:val="24"/>
          <w:szCs w:val="24"/>
          <w:lang w:val="en-GB"/>
        </w:rPr>
        <w:t>44</w:t>
      </w:r>
      <w:r>
        <w:rPr>
          <w:b/>
          <w:i w:val="0"/>
          <w:noProof/>
          <w:sz w:val="24"/>
          <w:szCs w:val="24"/>
          <w:lang w:val="en-GB"/>
        </w:rPr>
        <w:fldChar w:fldCharType="end"/>
      </w:r>
      <w:bookmarkEnd w:id="52"/>
      <w:r>
        <w:rPr>
          <w:b/>
          <w:i w:val="0"/>
          <w:noProof/>
          <w:sz w:val="24"/>
          <w:lang w:val="en-GB"/>
        </w:rPr>
        <w:t xml:space="preserve">: Effects of </w:t>
      </w:r>
      <w:r>
        <w:rPr>
          <w:b/>
          <w:i w:val="0"/>
          <w:noProof/>
          <w:sz w:val="24"/>
          <w:lang w:val="en-GB"/>
        </w:rPr>
        <w:t>employment status on specific aspects of job quality, controlling for individual and job-related characteristics (2015)</w:t>
      </w:r>
    </w:p>
    <w:p w:rsidR="00EF5220" w:rsidRDefault="00EF2564">
      <w:pPr>
        <w:keepNext/>
        <w:spacing w:after="0"/>
        <w:jc w:val="both"/>
        <w:rPr>
          <w:rFonts w:ascii="Times New Roman" w:hAnsi="Times New Roman"/>
          <w:b/>
          <w:bCs/>
          <w:noProof/>
          <w:sz w:val="20"/>
          <w:szCs w:val="20"/>
          <w:lang w:val="en-GB"/>
        </w:rPr>
      </w:pPr>
      <w:r>
        <w:rPr>
          <w:rFonts w:ascii="Times New Roman" w:hAnsi="Times New Roman"/>
          <w:b/>
          <w:noProof/>
          <w:sz w:val="24"/>
          <w:lang w:val="en-GB" w:eastAsia="en-GB" w:bidi="ar-SA"/>
        </w:rPr>
        <w:drawing>
          <wp:inline distT="0" distB="0" distL="0" distR="0">
            <wp:extent cx="5760720" cy="220141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760720" cy="2201418"/>
                    </a:xfrm>
                    <a:prstGeom prst="rect">
                      <a:avLst/>
                    </a:prstGeom>
                    <a:noFill/>
                    <a:ln>
                      <a:noFill/>
                    </a:ln>
                  </pic:spPr>
                </pic:pic>
              </a:graphicData>
            </a:graphic>
          </wp:inline>
        </w:drawing>
      </w:r>
      <w:r>
        <w:rPr>
          <w:rFonts w:ascii="Times New Roman" w:hAnsi="Times New Roman"/>
          <w:noProof/>
          <w:sz w:val="20"/>
          <w:lang w:val="en-GB"/>
        </w:rPr>
        <w:t>Source: Eurofound computation on EWCS, 2015</w:t>
      </w:r>
    </w:p>
    <w:p w:rsidR="00EF5220" w:rsidRDefault="00EF2564">
      <w:pPr>
        <w:pStyle w:val="caption1"/>
        <w:spacing w:line="240" w:lineRule="auto"/>
        <w:jc w:val="both"/>
        <w:rPr>
          <w:rFonts w:ascii="Times New Roman" w:hAnsi="Times New Roman"/>
          <w:b w:val="0"/>
          <w:i/>
          <w:noProof/>
          <w:sz w:val="24"/>
          <w:szCs w:val="24"/>
          <w:lang w:val="en-GB"/>
        </w:rPr>
      </w:pPr>
      <w:r>
        <w:rPr>
          <w:rFonts w:ascii="Times New Roman" w:eastAsiaTheme="minorHAnsi" w:hAnsi="Times New Roman"/>
          <w:b w:val="0"/>
          <w:noProof/>
          <w:sz w:val="20"/>
          <w:lang w:val="en-GB"/>
        </w:rPr>
        <w:t>Note: The colours represent the relative association between each job quality indicator and</w:t>
      </w:r>
      <w:r>
        <w:rPr>
          <w:rFonts w:ascii="Times New Roman" w:eastAsiaTheme="minorHAnsi" w:hAnsi="Times New Roman"/>
          <w:b w:val="0"/>
          <w:noProof/>
          <w:sz w:val="20"/>
          <w:lang w:val="en-GB"/>
        </w:rPr>
        <w:t xml:space="preserve"> the employment status as compared to the reference group of employees with indefinite contracts. Results stem from multi-level regressions controlling for individual characteristics, occupation, sector and others.</w:t>
      </w:r>
    </w:p>
    <w:p w:rsidR="00EF5220" w:rsidRDefault="00EF5220">
      <w:pPr>
        <w:jc w:val="both"/>
        <w:rPr>
          <w:rFonts w:ascii="Times New Roman" w:hAnsi="Times New Roman"/>
          <w:noProof/>
          <w:sz w:val="24"/>
          <w:szCs w:val="24"/>
          <w:lang w:val="en-GB"/>
        </w:rPr>
      </w:pPr>
    </w:p>
    <w:p w:rsidR="00EF5220" w:rsidRDefault="00EF2564">
      <w:pPr>
        <w:pStyle w:val="caption1"/>
        <w:keepNext/>
        <w:spacing w:line="360" w:lineRule="auto"/>
        <w:jc w:val="both"/>
        <w:rPr>
          <w:rFonts w:ascii="Times New Roman" w:hAnsi="Times New Roman"/>
          <w:b w:val="0"/>
          <w:noProof/>
          <w:sz w:val="24"/>
          <w:lang w:val="en-GB"/>
        </w:rPr>
      </w:pPr>
      <w:r>
        <w:rPr>
          <w:rFonts w:ascii="Times New Roman" w:hAnsi="Times New Roman"/>
          <w:noProof/>
          <w:sz w:val="24"/>
          <w:lang w:val="en-GB"/>
        </w:rPr>
        <w:t xml:space="preserve">Effective active labour market policies </w:t>
      </w:r>
      <w:r>
        <w:rPr>
          <w:rFonts w:ascii="Times New Roman" w:hAnsi="Times New Roman"/>
          <w:noProof/>
          <w:sz w:val="24"/>
          <w:lang w:val="en-GB"/>
        </w:rPr>
        <w:t xml:space="preserve">(ALMPs) are a key component of well-functioning labour markets. </w:t>
      </w:r>
      <w:r>
        <w:rPr>
          <w:rFonts w:ascii="Times New Roman" w:hAnsi="Times New Roman"/>
          <w:b w:val="0"/>
          <w:noProof/>
          <w:sz w:val="24"/>
          <w:lang w:val="en-GB"/>
        </w:rPr>
        <w:t>They</w:t>
      </w:r>
      <w:r>
        <w:rPr>
          <w:rFonts w:ascii="Times New Roman" w:hAnsi="Times New Roman"/>
          <w:noProof/>
          <w:sz w:val="24"/>
          <w:lang w:val="en-GB"/>
        </w:rPr>
        <w:t xml:space="preserve"> </w:t>
      </w:r>
      <w:r>
        <w:rPr>
          <w:rFonts w:ascii="Times New Roman" w:hAnsi="Times New Roman"/>
          <w:b w:val="0"/>
          <w:noProof/>
          <w:sz w:val="24"/>
          <w:lang w:val="en-GB"/>
        </w:rPr>
        <w:t>increase the opportunities of job-seekers to find a new job and improve labour market matching. The main challenge that ALMPs seek to address is unemployment, notably long-term unemployme</w:t>
      </w:r>
      <w:r>
        <w:rPr>
          <w:rFonts w:ascii="Times New Roman" w:hAnsi="Times New Roman"/>
          <w:b w:val="0"/>
          <w:noProof/>
          <w:sz w:val="24"/>
          <w:lang w:val="en-GB"/>
        </w:rPr>
        <w:t>nt (i.e. of duration longer than one year). Evidence shows that the longer the spell a job-seeker spends in unemployment, the higher is the risk of skills depreciation, discouragement and overall detachment from the labour market. Therefore, long-term unem</w:t>
      </w:r>
      <w:r>
        <w:rPr>
          <w:rFonts w:ascii="Times New Roman" w:hAnsi="Times New Roman"/>
          <w:b w:val="0"/>
          <w:noProof/>
          <w:sz w:val="24"/>
          <w:lang w:val="en-GB"/>
        </w:rPr>
        <w:t>ployment is both an indicator of the effectiveness of ALMPs and a measure of the challenge faced by a country in terms of activation of its unemployed population</w:t>
      </w:r>
      <w:r>
        <w:rPr>
          <w:rStyle w:val="FootnoteReference"/>
          <w:rFonts w:ascii="Times New Roman" w:hAnsi="Times New Roman"/>
          <w:b w:val="0"/>
          <w:noProof/>
          <w:sz w:val="24"/>
          <w:lang w:val="en-GB"/>
        </w:rPr>
        <w:footnoteReference w:id="72"/>
      </w:r>
      <w:r>
        <w:rPr>
          <w:rFonts w:ascii="Times New Roman" w:hAnsi="Times New Roman"/>
          <w:b w:val="0"/>
          <w:noProof/>
          <w:sz w:val="24"/>
          <w:lang w:val="en-GB"/>
        </w:rPr>
        <w:t xml:space="preserve">. Figure </w:t>
      </w:r>
      <w:r>
        <w:rPr>
          <w:rFonts w:ascii="Times New Roman" w:hAnsi="Times New Roman"/>
          <w:b w:val="0"/>
          <w:noProof/>
          <w:sz w:val="24"/>
          <w:szCs w:val="24"/>
          <w:lang w:val="en-GB"/>
        </w:rPr>
        <w:t>45</w:t>
      </w:r>
      <w:r>
        <w:rPr>
          <w:rFonts w:ascii="Times New Roman" w:hAnsi="Times New Roman"/>
          <w:b w:val="0"/>
          <w:noProof/>
          <w:sz w:val="24"/>
          <w:lang w:val="en-GB"/>
        </w:rPr>
        <w:t xml:space="preserve"> shows the long-term unemployment rate (i.e. the ratio between the number of people unemployed for more than one year and the active population) in 2017 and its change compared to 2016. As also mentioned in Chapter 1, long-term unemployment has been reduci</w:t>
      </w:r>
      <w:r>
        <w:rPr>
          <w:rFonts w:ascii="Times New Roman" w:hAnsi="Times New Roman"/>
          <w:b w:val="0"/>
          <w:noProof/>
          <w:sz w:val="24"/>
          <w:lang w:val="en-GB"/>
        </w:rPr>
        <w:t>ng in all Member States in 2017, on the back of the labour market recovery. In spite of a broadly converging trend (as highlighted by the negative slope of the regression line) there remain significant discrepancies across Member States, with rates ranging</w:t>
      </w:r>
      <w:r>
        <w:rPr>
          <w:rFonts w:ascii="Times New Roman" w:hAnsi="Times New Roman"/>
          <w:b w:val="0"/>
          <w:noProof/>
          <w:sz w:val="24"/>
          <w:lang w:val="en-GB"/>
        </w:rPr>
        <w:t xml:space="preserve"> in 2017 from 1% in Czech Republic to 15.6% in Greece. Together with Spain (which shows a rate of 7.7%), Greece is flagged as "weak but improving", as it combines a much higher than average level with a fast rate of reduction over the last year. Italy, whi</w:t>
      </w:r>
      <w:r>
        <w:rPr>
          <w:rFonts w:ascii="Times New Roman" w:hAnsi="Times New Roman"/>
          <w:b w:val="0"/>
          <w:noProof/>
          <w:sz w:val="24"/>
          <w:lang w:val="en-GB"/>
        </w:rPr>
        <w:t>ch recorded a comparatively lower long-term unemployment rate (6.5%), is flagged as a "critical situation", in consideration of its limited improvement in 2017 compared to the previous year. The situation of Slovakia is considered "to watch" with a rate of</w:t>
      </w:r>
      <w:r>
        <w:rPr>
          <w:rFonts w:ascii="Times New Roman" w:hAnsi="Times New Roman"/>
          <w:b w:val="0"/>
          <w:noProof/>
          <w:sz w:val="24"/>
          <w:lang w:val="en-GB"/>
        </w:rPr>
        <w:t xml:space="preserve"> 5.1%. Among the countries marked as "better than average", it is worth mentioning Cyprus, Portugal and Croatia, which are classified in this group because of their performance on the yearly change, pointing to a significant improvement in 2017 (the level </w:t>
      </w:r>
      <w:r>
        <w:rPr>
          <w:rFonts w:ascii="Times New Roman" w:hAnsi="Times New Roman"/>
          <w:b w:val="0"/>
          <w:noProof/>
          <w:sz w:val="24"/>
          <w:lang w:val="en-GB"/>
        </w:rPr>
        <w:t>being close but still above the EU average).</w:t>
      </w:r>
    </w:p>
    <w:p w:rsidR="00EF5220" w:rsidRDefault="00EF5220">
      <w:pPr>
        <w:rPr>
          <w:noProof/>
          <w:lang w:val="en-GB"/>
        </w:rPr>
      </w:pPr>
    </w:p>
    <w:p w:rsidR="00EF5220" w:rsidRDefault="00EF2564">
      <w:pPr>
        <w:keepNext/>
        <w:jc w:val="both"/>
        <w:rPr>
          <w:rFonts w:ascii="Times New Roman" w:hAnsi="Times New Roman"/>
          <w:b/>
          <w:noProof/>
          <w:sz w:val="24"/>
          <w:lang w:val="en-GB"/>
        </w:rPr>
      </w:pPr>
      <w:bookmarkStart w:id="53" w:name="_Ref528664830"/>
      <w:r>
        <w:rPr>
          <w:rFonts w:ascii="Times New Roman" w:hAnsi="Times New Roman"/>
          <w:b/>
          <w:noProof/>
          <w:sz w:val="24"/>
          <w:lang w:val="en-GB"/>
        </w:rPr>
        <w:t xml:space="preserve">Figure </w:t>
      </w:r>
      <w:r>
        <w:rPr>
          <w:rFonts w:ascii="Times New Roman" w:hAnsi="Times New Roman"/>
          <w:b/>
          <w:noProof/>
          <w:sz w:val="24"/>
          <w:lang w:val="en-GB"/>
        </w:rPr>
        <w:fldChar w:fldCharType="begin"/>
      </w:r>
      <w:r>
        <w:rPr>
          <w:rFonts w:ascii="Times New Roman" w:hAnsi="Times New Roman"/>
          <w:b/>
          <w:noProof/>
          <w:sz w:val="24"/>
          <w:lang w:val="en-GB"/>
        </w:rPr>
        <w:instrText xml:space="preserve"> SEQ Figure \* ARABIC </w:instrText>
      </w:r>
      <w:r>
        <w:rPr>
          <w:rFonts w:ascii="Times New Roman" w:hAnsi="Times New Roman"/>
          <w:b/>
          <w:noProof/>
          <w:sz w:val="24"/>
          <w:lang w:val="en-GB"/>
        </w:rPr>
        <w:fldChar w:fldCharType="separate"/>
      </w:r>
      <w:r>
        <w:rPr>
          <w:rFonts w:ascii="Times New Roman" w:hAnsi="Times New Roman"/>
          <w:b/>
          <w:noProof/>
          <w:sz w:val="24"/>
          <w:lang w:val="en-GB"/>
        </w:rPr>
        <w:t>45</w:t>
      </w:r>
      <w:r>
        <w:rPr>
          <w:rFonts w:ascii="Times New Roman" w:hAnsi="Times New Roman"/>
          <w:b/>
          <w:noProof/>
          <w:sz w:val="24"/>
          <w:lang w:val="en-GB"/>
        </w:rPr>
        <w:fldChar w:fldCharType="end"/>
      </w:r>
      <w:bookmarkEnd w:id="53"/>
      <w:r>
        <w:rPr>
          <w:rFonts w:ascii="Times New Roman" w:hAnsi="Times New Roman"/>
          <w:b/>
          <w:noProof/>
          <w:sz w:val="24"/>
          <w:lang w:val="en-GB"/>
        </w:rPr>
        <w:t>: Long-term unemployment rate (Social Scoreboard headline indicator)</w:t>
      </w:r>
    </w:p>
    <w:p w:rsidR="00EF5220" w:rsidRDefault="00EF2564">
      <w:pPr>
        <w:keepNext/>
        <w:jc w:val="both"/>
        <w:rPr>
          <w:rFonts w:ascii="Times New Roman" w:hAnsi="Times New Roman"/>
          <w:b/>
          <w:noProof/>
          <w:sz w:val="24"/>
          <w:lang w:val="en-GB"/>
        </w:rPr>
      </w:pPr>
      <w:r>
        <w:rPr>
          <w:rFonts w:ascii="Times New Roman" w:hAnsi="Times New Roman"/>
          <w:b/>
          <w:noProof/>
          <w:sz w:val="24"/>
          <w:lang w:val="en-GB" w:eastAsia="en-GB" w:bidi="ar-SA"/>
        </w:rPr>
        <w:drawing>
          <wp:inline distT="0" distB="0" distL="0" distR="0">
            <wp:extent cx="5451895" cy="431317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453941" cy="4314792"/>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Eurostat, LFS. Period: 2017 levels and yearly changes with respect to 2016. Note: Axes are centred on the unweighted EU average. The legend is presented in the Annex. </w:t>
      </w:r>
    </w:p>
    <w:p w:rsidR="00EF5220" w:rsidRDefault="00EF5220">
      <w:pPr>
        <w:pStyle w:val="caption1"/>
        <w:spacing w:line="360" w:lineRule="auto"/>
        <w:jc w:val="both"/>
        <w:rPr>
          <w:rFonts w:ascii="Times New Roman" w:hAnsi="Times New Roman"/>
          <w:noProof/>
          <w:sz w:val="24"/>
          <w:szCs w:val="24"/>
          <w:lang w:val="en-GB"/>
        </w:rPr>
      </w:pPr>
    </w:p>
    <w:p w:rsidR="00EF5220" w:rsidRDefault="00EF2564">
      <w:pPr>
        <w:pStyle w:val="caption1"/>
        <w:spacing w:line="360" w:lineRule="auto"/>
        <w:jc w:val="both"/>
        <w:rPr>
          <w:rFonts w:ascii="Times New Roman" w:hAnsi="Times New Roman"/>
          <w:b w:val="0"/>
          <w:noProof/>
          <w:sz w:val="24"/>
          <w:szCs w:val="24"/>
          <w:lang w:val="en-GB"/>
        </w:rPr>
      </w:pPr>
      <w:r>
        <w:rPr>
          <w:rFonts w:ascii="Times New Roman" w:hAnsi="Times New Roman"/>
          <w:noProof/>
          <w:sz w:val="24"/>
          <w:lang w:val="en-GB"/>
        </w:rPr>
        <w:t>In most Member States, the long-term unemployment rate has not recovered yet to</w:t>
      </w:r>
      <w:r>
        <w:rPr>
          <w:rFonts w:ascii="Times New Roman" w:hAnsi="Times New Roman"/>
          <w:noProof/>
          <w:sz w:val="24"/>
          <w:lang w:val="en-GB"/>
        </w:rPr>
        <w:t xml:space="preserve"> pre-crisis levels. </w:t>
      </w:r>
      <w:r>
        <w:rPr>
          <w:rFonts w:ascii="Times New Roman" w:hAnsi="Times New Roman"/>
          <w:b w:val="0"/>
          <w:noProof/>
          <w:sz w:val="24"/>
          <w:lang w:val="en-GB"/>
        </w:rPr>
        <w:t>The improvement with respect to 2013 (reference as peak year of the crisis) has been especially relevant (by more than 4 pps) in Croatia, Spain, Slovakia, Portugal, Ireland and Bulgaria. Still, in few Member States the long-term unemplo</w:t>
      </w:r>
      <w:r>
        <w:rPr>
          <w:rFonts w:ascii="Times New Roman" w:hAnsi="Times New Roman"/>
          <w:b w:val="0"/>
          <w:noProof/>
          <w:sz w:val="24"/>
          <w:lang w:val="en-GB"/>
        </w:rPr>
        <w:t>yment rate in 2017 is equal or higher than in 2013, notably for France (same rate), Austria (+0.5 pps), Finland (+0.4 pps) and Luxembourg (+0.3 pps). In addition, for 21 Member States the long-term unemployment rate remains higher than in 2008, the largest</w:t>
      </w:r>
      <w:r>
        <w:rPr>
          <w:rFonts w:ascii="Times New Roman" w:hAnsi="Times New Roman"/>
          <w:b w:val="0"/>
          <w:noProof/>
          <w:sz w:val="24"/>
          <w:lang w:val="en-GB"/>
        </w:rPr>
        <w:t xml:space="preserve"> gaps being recorded for Greece (+11.9 pps), Spain (+5.7 pps), Cyprus (+4 pps) and Italy (+3.5 pps). This is an indication of the intensity of the recession suffered by these countries in past years, and the impact it keeps showing on labour market outcome</w:t>
      </w:r>
      <w:r>
        <w:rPr>
          <w:rFonts w:ascii="Times New Roman" w:hAnsi="Times New Roman"/>
          <w:b w:val="0"/>
          <w:noProof/>
          <w:sz w:val="24"/>
          <w:lang w:val="en-GB"/>
        </w:rPr>
        <w:t>s – but, at the same time, of the challenges faced by the public employment services and active labour market policies systems, which in many cases were put under severe stress by the suddenly increasing number of job-seekers.</w:t>
      </w:r>
    </w:p>
    <w:p w:rsidR="00EF5220" w:rsidRDefault="00EF5220">
      <w:pPr>
        <w:spacing w:line="240" w:lineRule="auto"/>
        <w:jc w:val="both"/>
        <w:rPr>
          <w:rFonts w:ascii="Times New Roman" w:hAnsi="Times New Roman" w:cs="Times New Roman"/>
          <w:noProof/>
          <w:sz w:val="20"/>
          <w:szCs w:val="20"/>
          <w:lang w:val="en-GB"/>
        </w:rPr>
      </w:pPr>
    </w:p>
    <w:p w:rsidR="00EF5220" w:rsidRDefault="00EF2564">
      <w:pPr>
        <w:pStyle w:val="caption1"/>
        <w:keepNext/>
        <w:rPr>
          <w:rFonts w:ascii="Times New Roman" w:hAnsi="Times New Roman"/>
          <w:noProof/>
          <w:sz w:val="24"/>
          <w:szCs w:val="24"/>
          <w:lang w:val="en-GB"/>
        </w:rPr>
      </w:pPr>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46</w:t>
      </w:r>
      <w:r>
        <w:rPr>
          <w:rFonts w:ascii="Times New Roman" w:hAnsi="Times New Roman"/>
          <w:noProof/>
          <w:sz w:val="24"/>
          <w:szCs w:val="24"/>
          <w:lang w:val="en-GB"/>
        </w:rPr>
        <w:fldChar w:fldCharType="end"/>
      </w:r>
      <w:r>
        <w:rPr>
          <w:rFonts w:ascii="Times New Roman" w:hAnsi="Times New Roman"/>
          <w:noProof/>
          <w:sz w:val="24"/>
          <w:lang w:val="en-GB"/>
        </w:rPr>
        <w:t>: Long-term unemployment as a percentage of active population</w:t>
      </w:r>
    </w:p>
    <w:p w:rsidR="00EF5220" w:rsidRDefault="00EF2564">
      <w:pPr>
        <w:keepNext/>
        <w:spacing w:line="360" w:lineRule="auto"/>
        <w:rPr>
          <w:rFonts w:ascii="Times New Roman" w:hAnsi="Times New Roman" w:cs="Times New Roman"/>
          <w:b/>
          <w:iCs/>
          <w:noProof/>
          <w:sz w:val="24"/>
          <w:szCs w:val="24"/>
          <w:lang w:val="en-GB"/>
        </w:rPr>
      </w:pPr>
      <w:r>
        <w:rPr>
          <w:rFonts w:ascii="Times New Roman" w:hAnsi="Times New Roman" w:cs="Times New Roman"/>
          <w:b/>
          <w:iCs/>
          <w:noProof/>
          <w:sz w:val="24"/>
          <w:szCs w:val="24"/>
          <w:lang w:val="en-GB" w:eastAsia="en-GB" w:bidi="ar-SA"/>
        </w:rPr>
        <w:drawing>
          <wp:inline distT="0" distB="0" distL="0" distR="0">
            <wp:extent cx="5728730" cy="2662733"/>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729277" cy="2662987"/>
                    </a:xfrm>
                    <a:prstGeom prst="rect">
                      <a:avLst/>
                    </a:prstGeom>
                    <a:noFill/>
                  </pic:spPr>
                </pic:pic>
              </a:graphicData>
            </a:graphic>
          </wp:inline>
        </w:drawing>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LFS.</w:t>
      </w:r>
    </w:p>
    <w:p w:rsidR="00EF5220" w:rsidRDefault="00EF5220">
      <w:pPr>
        <w:jc w:val="both"/>
        <w:rPr>
          <w:rFonts w:ascii="Times New Roman" w:hAnsi="Times New Roman"/>
          <w:noProof/>
          <w:sz w:val="24"/>
          <w:szCs w:val="24"/>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Participation in active labour market policies still differs significantly across the EU. </w:t>
      </w:r>
      <w:r>
        <w:rPr>
          <w:rFonts w:ascii="Times New Roman" w:hAnsi="Times New Roman"/>
          <w:noProof/>
          <w:sz w:val="24"/>
          <w:lang w:val="en-GB"/>
        </w:rPr>
        <w:t>Active labour market policies (ALMPs) represent one</w:t>
      </w:r>
      <w:r>
        <w:rPr>
          <w:rFonts w:ascii="Times New Roman" w:hAnsi="Times New Roman"/>
          <w:noProof/>
          <w:sz w:val="24"/>
          <w:lang w:val="en-GB"/>
        </w:rPr>
        <w:t xml:space="preserve"> of the cornerstones in ensuring effective labour market transitions and high performing labour markets. Together with an effective lifelong learning infrastructure, ALMPs constitute the actual support (and security) dimension of a well-balanced flexicurit</w:t>
      </w:r>
      <w:r>
        <w:rPr>
          <w:rFonts w:ascii="Times New Roman" w:hAnsi="Times New Roman"/>
          <w:noProof/>
          <w:sz w:val="24"/>
          <w:lang w:val="en-GB"/>
        </w:rPr>
        <w:t>y set-up, which is recognised as a factor improving labour market performance. In this light, disparities among Member States in participation to activation measures are striking. On the one hand, there is a large group of Member States (Greece, Romania, B</w:t>
      </w:r>
      <w:r>
        <w:rPr>
          <w:rFonts w:ascii="Times New Roman" w:hAnsi="Times New Roman"/>
          <w:noProof/>
          <w:sz w:val="24"/>
          <w:lang w:val="en-GB"/>
        </w:rPr>
        <w:t>ulgaria, Latvia, Slovenia, Croatia, Cyprus and Malta) where less than 10% of those wanting to work participated in ALMPs in 2016. Moreover, this share in most cases has decreased in recent years. On the other hand, there is another group of countries recor</w:t>
      </w:r>
      <w:r>
        <w:rPr>
          <w:rFonts w:ascii="Times New Roman" w:hAnsi="Times New Roman"/>
          <w:noProof/>
          <w:sz w:val="24"/>
          <w:lang w:val="en-GB"/>
        </w:rPr>
        <w:t>ding participation rates beyond 40% (Sweden, France, Denmark, Hungary, Luxembourg and Belgium); for this group of countries the trend is generally positive or constant since 2013. This seems to indicate that convergence is not taking place on this policy i</w:t>
      </w:r>
      <w:r>
        <w:rPr>
          <w:rFonts w:ascii="Times New Roman" w:hAnsi="Times New Roman"/>
          <w:noProof/>
          <w:sz w:val="24"/>
          <w:lang w:val="en-GB"/>
        </w:rPr>
        <w:t>ndicator</w:t>
      </w:r>
      <w:r>
        <w:rPr>
          <w:rStyle w:val="FootnoteReference"/>
          <w:rFonts w:ascii="Times New Roman" w:hAnsi="Times New Roman"/>
          <w:noProof/>
          <w:sz w:val="24"/>
          <w:lang w:val="en-GB"/>
        </w:rPr>
        <w:footnoteReference w:id="73"/>
      </w:r>
      <w:r>
        <w:rPr>
          <w:rFonts w:ascii="Times New Roman" w:hAnsi="Times New Roman"/>
          <w:noProof/>
          <w:sz w:val="24"/>
          <w:lang w:val="en-GB"/>
        </w:rPr>
        <w:t>. In most countries, participation rates have dropped after the crisis (with the notable exceptions of Belgium, Hungary, Sweden, Czech Republic and Estonia) indicating that the increase in the number of people looking for a job has not been follow</w:t>
      </w:r>
      <w:r>
        <w:rPr>
          <w:rFonts w:ascii="Times New Roman" w:hAnsi="Times New Roman"/>
          <w:noProof/>
          <w:sz w:val="24"/>
          <w:lang w:val="en-GB"/>
        </w:rPr>
        <w:t>ed by a proportional increase in participation to ALMPs.</w:t>
      </w:r>
    </w:p>
    <w:p w:rsidR="00EF5220" w:rsidRDefault="00EF5220">
      <w:pPr>
        <w:spacing w:line="360" w:lineRule="auto"/>
        <w:jc w:val="both"/>
        <w:rPr>
          <w:noProof/>
          <w:lang w:val="en-GB"/>
        </w:rPr>
      </w:pPr>
    </w:p>
    <w:p w:rsidR="00EF5220" w:rsidRDefault="00EF2564">
      <w:pPr>
        <w:pStyle w:val="caption1"/>
        <w:keepNext/>
        <w:spacing w:after="0" w:line="240" w:lineRule="auto"/>
        <w:rPr>
          <w:rFonts w:ascii="Times New Roman" w:hAnsi="Times New Roman"/>
          <w:noProof/>
          <w:sz w:val="24"/>
          <w:szCs w:val="24"/>
          <w:lang w:val="en-GB"/>
        </w:rPr>
      </w:pPr>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47</w:t>
      </w:r>
      <w:r>
        <w:rPr>
          <w:rFonts w:ascii="Times New Roman" w:hAnsi="Times New Roman"/>
          <w:noProof/>
          <w:sz w:val="24"/>
          <w:szCs w:val="24"/>
          <w:lang w:val="en-GB"/>
        </w:rPr>
        <w:fldChar w:fldCharType="end"/>
      </w:r>
      <w:r>
        <w:rPr>
          <w:rFonts w:ascii="Times New Roman" w:hAnsi="Times New Roman"/>
          <w:noProof/>
          <w:sz w:val="24"/>
          <w:lang w:val="en-GB"/>
        </w:rPr>
        <w:t>: Participants in ALMPs per 100 persons wanting to work</w:t>
      </w:r>
    </w:p>
    <w:p w:rsidR="00EF5220" w:rsidRDefault="00EF2564">
      <w:pPr>
        <w:keepNext/>
        <w:spacing w:after="0" w:line="240" w:lineRule="auto"/>
        <w:rPr>
          <w:rFonts w:ascii="Times New Roman" w:hAnsi="Times New Roman" w:cs="Times New Roman"/>
          <w:b/>
          <w:iCs/>
          <w:noProof/>
          <w:sz w:val="24"/>
          <w:szCs w:val="24"/>
          <w:lang w:val="en-GB"/>
        </w:rPr>
      </w:pPr>
      <w:r>
        <w:rPr>
          <w:rFonts w:ascii="Times New Roman" w:hAnsi="Times New Roman" w:cs="Times New Roman"/>
          <w:b/>
          <w:iCs/>
          <w:noProof/>
          <w:sz w:val="24"/>
          <w:szCs w:val="24"/>
          <w:lang w:val="en-GB" w:eastAsia="en-GB" w:bidi="ar-SA"/>
        </w:rPr>
        <w:drawing>
          <wp:inline distT="0" distB="0" distL="0" distR="0">
            <wp:extent cx="5636767" cy="2490717"/>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640756" cy="2492480"/>
                    </a:xfrm>
                    <a:prstGeom prst="rect">
                      <a:avLst/>
                    </a:prstGeom>
                    <a:noFill/>
                  </pic:spPr>
                </pic:pic>
              </a:graphicData>
            </a:graphic>
          </wp:inline>
        </w:drawing>
      </w:r>
    </w:p>
    <w:p w:rsidR="00EF5220" w:rsidRDefault="00EF2564">
      <w:pPr>
        <w:spacing w:after="0"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LMP database and LFS. No recent data available for UK; no figures for 2016 for IT.</w:t>
      </w:r>
    </w:p>
    <w:p w:rsidR="00EF5220" w:rsidRDefault="00EF5220">
      <w:pPr>
        <w:spacing w:line="360" w:lineRule="auto"/>
        <w:jc w:val="both"/>
        <w:rPr>
          <w:rFonts w:ascii="Times New Roman" w:hAnsi="Times New Roman" w:cs="Times New Roman"/>
          <w:b/>
          <w:noProof/>
          <w:sz w:val="24"/>
          <w:szCs w:val="24"/>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Total investment in active labour market policies also seems to diverge greatly among Member States. </w:t>
      </w:r>
      <w:r>
        <w:rPr>
          <w:rFonts w:ascii="Times New Roman" w:hAnsi="Times New Roman"/>
          <w:noProof/>
          <w:sz w:val="24"/>
          <w:lang w:val="en-GB"/>
        </w:rPr>
        <w:t>If the share of long-term unemployed is a rough approximation for the effectiveness of active labour market policies, this divergence is a matter of concer</w:t>
      </w:r>
      <w:r>
        <w:rPr>
          <w:rFonts w:ascii="Times New Roman" w:hAnsi="Times New Roman"/>
          <w:noProof/>
          <w:sz w:val="24"/>
          <w:lang w:val="en-GB"/>
        </w:rPr>
        <w:t>n as well. Although spending on labour market services and measures to some extent is related to the unemployment and competitiveness situation in a given Member State, the figures illustrate large differences in the commitment to building effective system</w:t>
      </w:r>
      <w:r>
        <w:rPr>
          <w:rFonts w:ascii="Times New Roman" w:hAnsi="Times New Roman"/>
          <w:noProof/>
          <w:sz w:val="24"/>
          <w:lang w:val="en-GB"/>
        </w:rPr>
        <w:t xml:space="preserve">s for active labour market policies. The spending on labour market services and measures varies from 1.5% of GDP to less than 0.1% in some of the less committed Member States (Figure </w:t>
      </w:r>
      <w:r>
        <w:rPr>
          <w:rFonts w:ascii="Times New Roman" w:hAnsi="Times New Roman"/>
          <w:noProof/>
          <w:sz w:val="24"/>
          <w:szCs w:val="24"/>
          <w:lang w:val="en-GB"/>
        </w:rPr>
        <w:t>48</w:t>
      </w:r>
      <w:r>
        <w:rPr>
          <w:rFonts w:ascii="Times New Roman" w:hAnsi="Times New Roman"/>
          <w:noProof/>
          <w:sz w:val="24"/>
          <w:lang w:val="en-GB"/>
        </w:rPr>
        <w:t>). Moreover, the Member States with the lowest investments in ALMPs als</w:t>
      </w:r>
      <w:r>
        <w:rPr>
          <w:rFonts w:ascii="Times New Roman" w:hAnsi="Times New Roman"/>
          <w:noProof/>
          <w:sz w:val="24"/>
          <w:lang w:val="en-GB"/>
        </w:rPr>
        <w:t xml:space="preserve">o tend to be those where a significant part of the ALMP system is co-financed by the ESF and where the long-term sustainability of the system is in question. </w:t>
      </w:r>
    </w:p>
    <w:p w:rsidR="00EF5220" w:rsidRDefault="00EF5220">
      <w:pPr>
        <w:spacing w:line="360" w:lineRule="auto"/>
        <w:jc w:val="both"/>
        <w:rPr>
          <w:rFonts w:ascii="Times New Roman" w:hAnsi="Times New Roman" w:cs="Times New Roman"/>
          <w:noProof/>
          <w:sz w:val="24"/>
          <w:szCs w:val="24"/>
          <w:lang w:val="en-GB"/>
        </w:rPr>
      </w:pPr>
    </w:p>
    <w:p w:rsidR="00EF5220" w:rsidRDefault="00EF2564">
      <w:pPr>
        <w:pStyle w:val="caption1"/>
        <w:keepNext/>
        <w:spacing w:after="0" w:line="240" w:lineRule="auto"/>
        <w:rPr>
          <w:rFonts w:ascii="Times New Roman" w:eastAsiaTheme="minorHAnsi" w:hAnsi="Times New Roman"/>
          <w:noProof/>
          <w:sz w:val="24"/>
          <w:szCs w:val="24"/>
          <w:lang w:val="en-GB"/>
        </w:rPr>
      </w:pPr>
      <w:bookmarkStart w:id="54" w:name="_Ref529471989"/>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48</w:t>
      </w:r>
      <w:r>
        <w:rPr>
          <w:rFonts w:ascii="Times New Roman" w:hAnsi="Times New Roman"/>
          <w:noProof/>
          <w:sz w:val="24"/>
          <w:szCs w:val="24"/>
          <w:lang w:val="en-GB"/>
        </w:rPr>
        <w:fldChar w:fldCharType="end"/>
      </w:r>
      <w:bookmarkEnd w:id="54"/>
      <w:r>
        <w:rPr>
          <w:rFonts w:ascii="Times New Roman" w:hAnsi="Times New Roman"/>
          <w:noProof/>
          <w:sz w:val="24"/>
          <w:lang w:val="en-GB"/>
        </w:rPr>
        <w:t xml:space="preserve">: Spending on labour market services and measures (2016) and share of long-term unemployed (2017)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772647" cy="325131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777728" cy="3254178"/>
                    </a:xfrm>
                    <a:prstGeom prst="rect">
                      <a:avLst/>
                    </a:prstGeom>
                    <a:noFill/>
                  </pic:spPr>
                </pic:pic>
              </a:graphicData>
            </a:graphic>
          </wp:inline>
        </w:drawing>
      </w:r>
    </w:p>
    <w:p w:rsidR="00EF5220" w:rsidRDefault="00EF2564">
      <w:pPr>
        <w:spacing w:line="360" w:lineRule="auto"/>
        <w:jc w:val="both"/>
        <w:rPr>
          <w:rFonts w:ascii="Times New Roman" w:eastAsia="Calibri" w:hAnsi="Times New Roman"/>
          <w:noProof/>
          <w:sz w:val="24"/>
          <w:lang w:val="en-GB"/>
        </w:rPr>
      </w:pPr>
      <w:r>
        <w:rPr>
          <w:rFonts w:ascii="Times New Roman" w:hAnsi="Times New Roman"/>
          <w:b/>
          <w:noProof/>
          <w:sz w:val="24"/>
          <w:lang w:val="en-GB"/>
        </w:rPr>
        <w:t>Public Employment Services (PES) are the main labour market institutions in charge of job search support and referral of job-seekers to activation measures</w:t>
      </w:r>
      <w:r>
        <w:rPr>
          <w:rFonts w:ascii="Times New Roman" w:hAnsi="Times New Roman"/>
          <w:b/>
          <w:noProof/>
          <w:sz w:val="24"/>
          <w:lang w:val="en-GB"/>
        </w:rPr>
        <w:t>.</w:t>
      </w:r>
      <w:r>
        <w:rPr>
          <w:rFonts w:ascii="Times New Roman" w:hAnsi="Times New Roman"/>
          <w:noProof/>
          <w:sz w:val="24"/>
          <w:lang w:val="en-GB"/>
        </w:rPr>
        <w:t xml:space="preserve"> Although structured differently in each country, all PES aim at matching supply and demand in the labour market by providing services to both registered unemployed and employers. In particular, they are in charge for profiling clients, providing them cou</w:t>
      </w:r>
      <w:r>
        <w:rPr>
          <w:rFonts w:ascii="Times New Roman" w:hAnsi="Times New Roman"/>
          <w:noProof/>
          <w:sz w:val="24"/>
          <w:lang w:val="en-GB"/>
        </w:rPr>
        <w:t xml:space="preserve">nselling and individualised support, referring them to training and activation measures, and (in many countries) paying unemployment and/or welfare benefits.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Nonetheless, the effectiveness of Public Employment Services in providing job search support is u</w:t>
      </w:r>
      <w:r>
        <w:rPr>
          <w:rFonts w:ascii="Times New Roman" w:hAnsi="Times New Roman"/>
          <w:b/>
          <w:noProof/>
          <w:sz w:val="24"/>
          <w:lang w:val="en-GB"/>
        </w:rPr>
        <w:t>nequal among Member States,</w:t>
      </w:r>
      <w:r>
        <w:rPr>
          <w:rFonts w:ascii="Times New Roman" w:hAnsi="Times New Roman"/>
          <w:noProof/>
          <w:sz w:val="24"/>
          <w:lang w:val="en-GB"/>
        </w:rPr>
        <w:t xml:space="preserve"> depending inter alia on their capacity, quality of services offered and coordination with other actors. Such discrepancies reflect, in many cases, the use of PES made by unemployed people for job search (beyond formal registrati</w:t>
      </w:r>
      <w:r>
        <w:rPr>
          <w:rFonts w:ascii="Times New Roman" w:hAnsi="Times New Roman"/>
          <w:noProof/>
          <w:sz w:val="24"/>
          <w:lang w:val="en-GB"/>
        </w:rPr>
        <w:t xml:space="preserve">on requirements, which are generally necessary to access unemployment and other welfare benefits). Figure </w:t>
      </w:r>
      <w:r>
        <w:rPr>
          <w:rFonts w:ascii="Times New Roman" w:hAnsi="Times New Roman"/>
          <w:noProof/>
          <w:sz w:val="24"/>
          <w:szCs w:val="24"/>
          <w:lang w:val="en-GB"/>
        </w:rPr>
        <w:t>49</w:t>
      </w:r>
      <w:r>
        <w:rPr>
          <w:rFonts w:ascii="Times New Roman" w:hAnsi="Times New Roman"/>
          <w:noProof/>
          <w:sz w:val="24"/>
          <w:lang w:val="en-GB"/>
        </w:rPr>
        <w:t xml:space="preserve"> shows the share of unemployed people using public employment services for job search. The values do not differ significantly from those published i</w:t>
      </w:r>
      <w:r>
        <w:rPr>
          <w:rFonts w:ascii="Times New Roman" w:hAnsi="Times New Roman"/>
          <w:noProof/>
          <w:sz w:val="24"/>
          <w:lang w:val="en-GB"/>
        </w:rPr>
        <w:t xml:space="preserve">n the 2018 Joint Employment Report. At the bottom of the distribution, Spain, Italy and Romania show the lowest shares in 2017 (less than 30%), followed by the Netherlands, the United Kingdom and Portugal (with a share between 30% and 40%). Conversely, in </w:t>
      </w:r>
      <w:r>
        <w:rPr>
          <w:rFonts w:ascii="Times New Roman" w:hAnsi="Times New Roman"/>
          <w:noProof/>
          <w:sz w:val="24"/>
          <w:lang w:val="en-GB"/>
        </w:rPr>
        <w:t>Member States such as Lithuania, Slovakia, the Czech Republic, Austria, Slovenia, Germany and Greece, the share of unemployed people who declare using Public Employment Services to search for a job is above 70%. On average, the use of PES by unemployed has</w:t>
      </w:r>
      <w:r>
        <w:rPr>
          <w:rFonts w:ascii="Times New Roman" w:hAnsi="Times New Roman"/>
          <w:noProof/>
          <w:sz w:val="24"/>
          <w:lang w:val="en-GB"/>
        </w:rPr>
        <w:t xml:space="preserve"> constantly decreased since the onset of the crisis, dropping from 58.1% in 2008 to 45.2% in 2017 (1 pp less than in 2016). Nonetheless, an opposite trend is recorded in few Member States, with notable increases in Latvia and Cyprus (by more than 30 pps), </w:t>
      </w:r>
      <w:r>
        <w:rPr>
          <w:rFonts w:ascii="Times New Roman" w:hAnsi="Times New Roman"/>
          <w:noProof/>
          <w:sz w:val="24"/>
          <w:lang w:val="en-GB"/>
        </w:rPr>
        <w:t xml:space="preserve">Estonia and Greece (by around 15 pps), Romania and Slovenia (by around 9 pps). In some of these countries, though, increased rates may be due to stronger obligations to register in order to access benefits. Figure </w:t>
      </w:r>
      <w:r>
        <w:rPr>
          <w:rFonts w:ascii="Times New Roman" w:hAnsi="Times New Roman"/>
          <w:noProof/>
          <w:sz w:val="24"/>
          <w:szCs w:val="24"/>
          <w:lang w:val="en-GB"/>
        </w:rPr>
        <w:t>50</w:t>
      </w:r>
      <w:r>
        <w:rPr>
          <w:rFonts w:ascii="Times New Roman" w:hAnsi="Times New Roman"/>
          <w:noProof/>
          <w:sz w:val="24"/>
          <w:lang w:val="en-GB"/>
        </w:rPr>
        <w:t xml:space="preserve"> provides a hint to the use made of sele</w:t>
      </w:r>
      <w:r>
        <w:rPr>
          <w:rFonts w:ascii="Times New Roman" w:hAnsi="Times New Roman"/>
          <w:noProof/>
          <w:sz w:val="24"/>
          <w:lang w:val="en-GB"/>
        </w:rPr>
        <w:t>cted alternative job search methods by unemployed people, including private employment offices, direct applications to employers and informal methods such as asking friends, relatives and trade unions. While it is difficult to find general patterns, it app</w:t>
      </w:r>
      <w:r>
        <w:rPr>
          <w:rFonts w:ascii="Times New Roman" w:hAnsi="Times New Roman"/>
          <w:noProof/>
          <w:sz w:val="24"/>
          <w:lang w:val="en-GB"/>
        </w:rPr>
        <w:t>ears that in Member States where usage of public employment services is low, informal methods are the most frequently used.</w:t>
      </w:r>
    </w:p>
    <w:p w:rsidR="00EF5220" w:rsidRDefault="00EF2564">
      <w:pPr>
        <w:pStyle w:val="caption1"/>
        <w:keepNext/>
        <w:spacing w:line="360" w:lineRule="auto"/>
        <w:rPr>
          <w:rFonts w:ascii="Times New Roman" w:hAnsi="Times New Roman"/>
          <w:noProof/>
          <w:sz w:val="24"/>
          <w:szCs w:val="24"/>
          <w:lang w:val="en-GB"/>
        </w:rPr>
      </w:pPr>
      <w:bookmarkStart w:id="55" w:name="_Ref528664855"/>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49</w:t>
      </w:r>
      <w:r>
        <w:rPr>
          <w:rFonts w:ascii="Times New Roman" w:hAnsi="Times New Roman"/>
          <w:noProof/>
          <w:sz w:val="24"/>
          <w:szCs w:val="24"/>
          <w:lang w:val="en-GB"/>
        </w:rPr>
        <w:fldChar w:fldCharType="end"/>
      </w:r>
      <w:bookmarkEnd w:id="55"/>
      <w:r>
        <w:rPr>
          <w:rFonts w:ascii="Times New Roman" w:hAnsi="Times New Roman"/>
          <w:noProof/>
          <w:sz w:val="24"/>
          <w:lang w:val="en-GB"/>
        </w:rPr>
        <w:t>: Share of unemployed people using public employment services for job search</w:t>
      </w:r>
    </w:p>
    <w:p w:rsidR="00EF5220" w:rsidRDefault="00EF2564">
      <w:pPr>
        <w:rPr>
          <w:noProof/>
          <w:lang w:val="en-GB"/>
        </w:rPr>
      </w:pPr>
      <w:r>
        <w:rPr>
          <w:noProof/>
          <w:lang w:val="en-GB" w:eastAsia="en-GB" w:bidi="ar-SA"/>
        </w:rPr>
        <w:drawing>
          <wp:inline distT="0" distB="0" distL="0" distR="0">
            <wp:extent cx="5526157" cy="254405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532271" cy="2546866"/>
                    </a:xfrm>
                    <a:prstGeom prst="rect">
                      <a:avLst/>
                    </a:prstGeom>
                    <a:noFill/>
                  </pic:spPr>
                </pic:pic>
              </a:graphicData>
            </a:graphic>
          </wp:inline>
        </w:drawing>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Eurostat, </w:t>
      </w:r>
      <w:r>
        <w:rPr>
          <w:rFonts w:ascii="Times New Roman" w:hAnsi="Times New Roman"/>
          <w:noProof/>
          <w:sz w:val="20"/>
          <w:lang w:val="en-GB"/>
        </w:rPr>
        <w:t>LFS.</w:t>
      </w:r>
    </w:p>
    <w:p w:rsidR="00EF5220" w:rsidRDefault="00EF5220">
      <w:pPr>
        <w:autoSpaceDE w:val="0"/>
        <w:autoSpaceDN w:val="0"/>
        <w:adjustRightInd w:val="0"/>
        <w:spacing w:line="360" w:lineRule="auto"/>
        <w:jc w:val="both"/>
        <w:rPr>
          <w:rFonts w:ascii="Times New Roman" w:hAnsi="Times New Roman" w:cs="Times New Roman"/>
          <w:b/>
          <w:bCs/>
          <w:noProof/>
          <w:sz w:val="24"/>
          <w:szCs w:val="24"/>
          <w:lang w:val="en-GB"/>
        </w:rPr>
      </w:pPr>
    </w:p>
    <w:p w:rsidR="00EF5220" w:rsidRDefault="00EF2564">
      <w:pPr>
        <w:pStyle w:val="caption1"/>
        <w:keepNext/>
        <w:spacing w:line="360" w:lineRule="auto"/>
        <w:rPr>
          <w:rFonts w:ascii="Times New Roman" w:hAnsi="Times New Roman"/>
          <w:noProof/>
          <w:sz w:val="24"/>
          <w:szCs w:val="24"/>
          <w:lang w:val="en-GB"/>
        </w:rPr>
      </w:pPr>
      <w:bookmarkStart w:id="56" w:name="_Ref528664868"/>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50</w:t>
      </w:r>
      <w:r>
        <w:rPr>
          <w:rFonts w:ascii="Times New Roman" w:hAnsi="Times New Roman"/>
          <w:noProof/>
          <w:sz w:val="24"/>
          <w:szCs w:val="24"/>
          <w:lang w:val="en-GB"/>
        </w:rPr>
        <w:fldChar w:fldCharType="end"/>
      </w:r>
      <w:bookmarkEnd w:id="56"/>
      <w:r>
        <w:rPr>
          <w:rFonts w:ascii="Times New Roman" w:hAnsi="Times New Roman"/>
          <w:noProof/>
          <w:sz w:val="24"/>
          <w:lang w:val="en-GB"/>
        </w:rPr>
        <w:t>: Share of unemployed people using selected job search methods (2017)</w:t>
      </w:r>
    </w:p>
    <w:p w:rsidR="00EF5220" w:rsidRDefault="00EF2564">
      <w:pPr>
        <w:autoSpaceDE w:val="0"/>
        <w:autoSpaceDN w:val="0"/>
        <w:adjustRightInd w:val="0"/>
        <w:spacing w:line="360" w:lineRule="auto"/>
        <w:jc w:val="both"/>
        <w:rPr>
          <w:rFonts w:ascii="Times New Roman" w:hAnsi="Times New Roman" w:cs="Times New Roman"/>
          <w:b/>
          <w:bCs/>
          <w:noProof/>
          <w:sz w:val="24"/>
          <w:szCs w:val="24"/>
          <w:lang w:val="en-GB"/>
        </w:rPr>
      </w:pPr>
      <w:r>
        <w:rPr>
          <w:rFonts w:ascii="Times New Roman" w:hAnsi="Times New Roman" w:cs="Times New Roman"/>
          <w:b/>
          <w:bCs/>
          <w:noProof/>
          <w:sz w:val="24"/>
          <w:szCs w:val="24"/>
          <w:lang w:val="en-GB" w:eastAsia="en-GB" w:bidi="ar-SA"/>
        </w:rPr>
        <w:drawing>
          <wp:inline distT="0" distB="0" distL="0" distR="0">
            <wp:extent cx="5797363" cy="207529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795658" cy="2074681"/>
                    </a:xfrm>
                    <a:prstGeom prst="rect">
                      <a:avLst/>
                    </a:prstGeom>
                    <a:noFill/>
                  </pic:spPr>
                </pic:pic>
              </a:graphicData>
            </a:graphic>
          </wp:inline>
        </w:drawing>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LFS.</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The provision of adequate unemployment benefits of reasonable duration, accessible to all workers and accompanied by </w:t>
      </w:r>
      <w:r>
        <w:rPr>
          <w:rFonts w:ascii="Times New Roman" w:hAnsi="Times New Roman"/>
          <w:b/>
          <w:noProof/>
          <w:sz w:val="24"/>
          <w:lang w:val="en-GB"/>
        </w:rPr>
        <w:t>effective active labour market policies is key to support jobseekers during transitions in the labour market.</w:t>
      </w:r>
      <w:r>
        <w:rPr>
          <w:rFonts w:ascii="Times New Roman" w:hAnsi="Times New Roman"/>
          <w:noProof/>
          <w:sz w:val="24"/>
          <w:lang w:val="en-GB"/>
        </w:rPr>
        <w:t xml:space="preserve"> The 2018 Joint Employment Report presented an extensive comparative analysis of the main design features of unemployment benefit systems across th</w:t>
      </w:r>
      <w:r>
        <w:rPr>
          <w:rFonts w:ascii="Times New Roman" w:hAnsi="Times New Roman"/>
          <w:noProof/>
          <w:sz w:val="24"/>
          <w:lang w:val="en-GB"/>
        </w:rPr>
        <w:t>e EU, based on the results of the benchmarking exercise of unemployment benefits and ALMPs conducted within the Employment Committee (EMCO). The analysis, which looked into a number of performance and policy lever indicators (for year 2016 or 2017 dependin</w:t>
      </w:r>
      <w:r>
        <w:rPr>
          <w:rFonts w:ascii="Times New Roman" w:hAnsi="Times New Roman"/>
          <w:noProof/>
          <w:sz w:val="24"/>
          <w:lang w:val="en-GB"/>
        </w:rPr>
        <w:t>g on data availability) remains overall valid, in view of the limited policy changes occurred during the reference period for this report (for details on the reforms taken by Member States in this domain, see Section 3.3.2; for a long-term overview of refo</w:t>
      </w:r>
      <w:r>
        <w:rPr>
          <w:rFonts w:ascii="Times New Roman" w:hAnsi="Times New Roman"/>
          <w:noProof/>
          <w:sz w:val="24"/>
          <w:lang w:val="en-GB"/>
        </w:rPr>
        <w:t>rms by Member States, see European Commission, 2018</w:t>
      </w:r>
      <w:r>
        <w:rPr>
          <w:rStyle w:val="FootnoteReference"/>
          <w:rFonts w:ascii="Times New Roman" w:hAnsi="Times New Roman"/>
          <w:noProof/>
          <w:sz w:val="24"/>
          <w:lang w:val="en-GB"/>
        </w:rPr>
        <w:footnoteReference w:id="74"/>
      </w:r>
      <w:r>
        <w:rPr>
          <w:rFonts w:ascii="Times New Roman" w:hAnsi="Times New Roman"/>
          <w:noProof/>
          <w:sz w:val="24"/>
          <w:lang w:val="en-GB"/>
        </w:rPr>
        <w:t>). This section provides an update of the exercise, notably of policy lever indicators. Furthermore, it looks into the additional indicators of strictness of job-search requirements for unemployed jobseek</w:t>
      </w:r>
      <w:r>
        <w:rPr>
          <w:rFonts w:ascii="Times New Roman" w:hAnsi="Times New Roman"/>
          <w:noProof/>
          <w:sz w:val="24"/>
          <w:lang w:val="en-GB"/>
        </w:rPr>
        <w:t xml:space="preserve">ers which have been agreed by the Employment Committee in 2018.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The share of short-term unemployed people</w:t>
      </w:r>
      <w:r>
        <w:rPr>
          <w:rStyle w:val="FootnoteReference"/>
          <w:rFonts w:ascii="Times New Roman" w:hAnsi="Times New Roman" w:cs="Times New Roman"/>
          <w:b/>
          <w:noProof/>
          <w:sz w:val="24"/>
          <w:szCs w:val="24"/>
          <w:lang w:val="en-GB"/>
        </w:rPr>
        <w:footnoteReference w:id="75"/>
      </w:r>
      <w:r>
        <w:rPr>
          <w:rFonts w:ascii="Times New Roman" w:hAnsi="Times New Roman" w:cs="Times New Roman"/>
          <w:b/>
          <w:noProof/>
          <w:sz w:val="24"/>
          <w:szCs w:val="24"/>
          <w:lang w:val="en-GB"/>
        </w:rPr>
        <w:t xml:space="preserve"> covered by unemployment benefits amounts to around one third, on average.</w:t>
      </w:r>
      <w:r>
        <w:rPr>
          <w:rFonts w:ascii="Times New Roman" w:hAnsi="Times New Roman" w:cs="Times New Roman"/>
          <w:noProof/>
          <w:sz w:val="24"/>
          <w:szCs w:val="24"/>
          <w:lang w:val="en-GB"/>
        </w:rPr>
        <w:t xml:space="preserve"> This share slightly decreased in the aftermath of the crisis (from 34.4% in 2008 to 32.7% in 2017), remaining stable over the most recent years. However, significant differences across countries persist (Figure 51). These differences depend on the policy </w:t>
      </w:r>
      <w:r>
        <w:rPr>
          <w:rFonts w:ascii="Times New Roman" w:hAnsi="Times New Roman" w:cs="Times New Roman"/>
          <w:noProof/>
          <w:sz w:val="24"/>
          <w:szCs w:val="24"/>
          <w:lang w:val="en-GB"/>
        </w:rPr>
        <w:t>design of the unemployment benefits systems (notably on eligibility conditions, maximum duration, strictness of job search requirements, overlaps with other social protection schemes) as well as on the cyclical position of different countries. In a long te</w:t>
      </w:r>
      <w:r>
        <w:rPr>
          <w:rFonts w:ascii="Times New Roman" w:hAnsi="Times New Roman" w:cs="Times New Roman"/>
          <w:noProof/>
          <w:sz w:val="24"/>
          <w:szCs w:val="24"/>
          <w:lang w:val="en-GB"/>
        </w:rPr>
        <w:t>rm perspective, between 2008 and 2017 the largest increases in coverage were recorded in Latvia (by almost 16 pps), Italy (10 pps) and France (9 pps). On the other hand, the largest drops were recorded in Hungary (-15 pps), Luxembourg (-12 pps), Croatia an</w:t>
      </w:r>
      <w:r>
        <w:rPr>
          <w:rFonts w:ascii="Times New Roman" w:hAnsi="Times New Roman" w:cs="Times New Roman"/>
          <w:noProof/>
          <w:sz w:val="24"/>
          <w:szCs w:val="24"/>
          <w:lang w:val="en-GB"/>
        </w:rPr>
        <w:t>d Germany (-10 pps). The latter, however, still shows the highest coverage rate (62.8%) – followed by Finland, Austria, Belgium and France with rates above 50%. On the contrary, the lowest coverage can be observed in Malta, Croatia, Poland, Romania and Bul</w:t>
      </w:r>
      <w:r>
        <w:rPr>
          <w:rFonts w:ascii="Times New Roman" w:hAnsi="Times New Roman" w:cs="Times New Roman"/>
          <w:noProof/>
          <w:sz w:val="24"/>
          <w:szCs w:val="24"/>
          <w:lang w:val="en-GB"/>
        </w:rPr>
        <w:t xml:space="preserve">garia, with rates significantly below 15% and no sign of improvement. </w:t>
      </w:r>
    </w:p>
    <w:p w:rsidR="00EF5220" w:rsidRDefault="00EF2564">
      <w:pPr>
        <w:pStyle w:val="caption2"/>
        <w:keepNext/>
        <w:jc w:val="both"/>
        <w:rPr>
          <w:rFonts w:ascii="Times New Roman" w:hAnsi="Times New Roman" w:cs="Times New Roman"/>
          <w:noProof/>
          <w:color w:val="auto"/>
          <w:sz w:val="24"/>
          <w:szCs w:val="24"/>
          <w:lang w:val="en-GB"/>
        </w:rPr>
      </w:pPr>
      <w:bookmarkStart w:id="57" w:name="_Ref529472440"/>
      <w:r>
        <w:rPr>
          <w:rFonts w:ascii="Times New Roman" w:hAnsi="Times New Roman" w:cs="Times New Roman"/>
          <w:noProof/>
          <w:color w:val="auto"/>
          <w:sz w:val="24"/>
          <w:szCs w:val="24"/>
          <w:lang w:val="en-GB"/>
        </w:rPr>
        <w:t xml:space="preserve">Figure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51</w:t>
      </w:r>
      <w:r>
        <w:rPr>
          <w:rFonts w:ascii="Times New Roman" w:hAnsi="Times New Roman" w:cs="Times New Roman"/>
          <w:noProof/>
          <w:color w:val="auto"/>
          <w:sz w:val="24"/>
          <w:szCs w:val="24"/>
          <w:lang w:val="en-GB"/>
        </w:rPr>
        <w:fldChar w:fldCharType="end"/>
      </w:r>
      <w:bookmarkEnd w:id="57"/>
      <w:r>
        <w:rPr>
          <w:rFonts w:ascii="Times New Roman" w:hAnsi="Times New Roman" w:cs="Times New Roman"/>
          <w:noProof/>
          <w:color w:val="auto"/>
          <w:sz w:val="24"/>
          <w:szCs w:val="24"/>
          <w:lang w:val="en-GB"/>
        </w:rPr>
        <w:t>: coverage of unemployment benefits</w:t>
      </w:r>
      <w:r>
        <w:rPr>
          <w:rFonts w:ascii="Times New Roman" w:hAnsi="Times New Roman"/>
          <w:noProof/>
          <w:color w:val="auto"/>
          <w:sz w:val="24"/>
          <w:szCs w:val="24"/>
          <w:lang w:val="en-GB"/>
        </w:rPr>
        <w:t xml:space="preserve"> for the short-term unemployed</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383987" cy="2817416"/>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384568" cy="2817720"/>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Source: computation on Eurostat, LFS data. Note: data not available for IE and NL.</w:t>
      </w:r>
    </w:p>
    <w:p w:rsidR="00EF5220" w:rsidRDefault="00EF5220">
      <w:pPr>
        <w:spacing w:line="360" w:lineRule="auto"/>
        <w:jc w:val="both"/>
        <w:rPr>
          <w:rFonts w:ascii="Times New Roman" w:hAnsi="Times New Roman" w:cs="Times New Roman"/>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There have been no major changes between 2016 and 2018 in the design of unemployment benefits in Member States.</w:t>
      </w:r>
      <w:r>
        <w:rPr>
          <w:rFonts w:ascii="Times New Roman" w:hAnsi="Times New Roman"/>
          <w:noProof/>
          <w:sz w:val="24"/>
          <w:lang w:val="en-GB"/>
        </w:rPr>
        <w:t xml:space="preserve"> To be entitled to unemployment benefits, unemployed people are generally required to have a minimum work record and/or have paid insurance cont</w:t>
      </w:r>
      <w:r>
        <w:rPr>
          <w:rFonts w:ascii="Times New Roman" w:hAnsi="Times New Roman"/>
          <w:noProof/>
          <w:sz w:val="24"/>
          <w:lang w:val="en-GB"/>
        </w:rPr>
        <w:t xml:space="preserve">ributions during a period of time. As shown in </w:t>
      </w:r>
      <w:r>
        <w:rPr>
          <w:rFonts w:ascii="Times New Roman" w:hAnsi="Times New Roman" w:cs="Times New Roman"/>
          <w:noProof/>
          <w:sz w:val="24"/>
          <w:szCs w:val="24"/>
          <w:lang w:val="en-GB"/>
        </w:rPr>
        <w:t>Figure 52</w:t>
      </w:r>
      <w:r>
        <w:rPr>
          <w:rFonts w:ascii="Times New Roman" w:hAnsi="Times New Roman"/>
          <w:noProof/>
          <w:sz w:val="24"/>
          <w:lang w:val="en-GB"/>
        </w:rPr>
        <w:t>, this minimum period ranges from less than 20 weeks in France and Italy to a year (52 weeks) or more in Poland, Romania and Slovakia. Almost no variations are recorded between 2016 and 2018, with thr</w:t>
      </w:r>
      <w:r>
        <w:rPr>
          <w:rFonts w:ascii="Times New Roman" w:hAnsi="Times New Roman"/>
          <w:noProof/>
          <w:sz w:val="24"/>
          <w:lang w:val="en-GB"/>
        </w:rPr>
        <w:t>ee exceptions. In the case of Austria, an insurance record of 52 weeks within the last 24 months is still required for first-time applications. However, for subsequent applications, this period has been reduced to 28 weeks. In Bulgaria, the length of the r</w:t>
      </w:r>
      <w:r>
        <w:rPr>
          <w:rFonts w:ascii="Times New Roman" w:hAnsi="Times New Roman"/>
          <w:noProof/>
          <w:sz w:val="24"/>
          <w:lang w:val="en-GB"/>
        </w:rPr>
        <w:t xml:space="preserve">equired qualifying period has increased from 9 months of insurance during the 15 months prior to unemployment, to at least 12 months of insurance during the 18 months before unemployment. A similar reduction has taken place in Latvia where the requirement </w:t>
      </w:r>
      <w:r>
        <w:rPr>
          <w:rFonts w:ascii="Times New Roman" w:hAnsi="Times New Roman"/>
          <w:noProof/>
          <w:sz w:val="24"/>
          <w:lang w:val="en-GB"/>
        </w:rPr>
        <w:t>increased from having paid at least 9 months of contributions in the 12 months prior to unemployment to having paid at least 12 months of insurance in the 16 months prior to unemployment. As concerns the maximum duration of benefits (</w:t>
      </w:r>
      <w:r>
        <w:rPr>
          <w:rFonts w:ascii="Times New Roman" w:hAnsi="Times New Roman" w:cs="Times New Roman"/>
          <w:noProof/>
          <w:sz w:val="24"/>
          <w:szCs w:val="24"/>
          <w:lang w:val="en-GB"/>
        </w:rPr>
        <w:t>Figure 53</w:t>
      </w:r>
      <w:r>
        <w:rPr>
          <w:rFonts w:ascii="Times New Roman" w:hAnsi="Times New Roman"/>
          <w:noProof/>
          <w:sz w:val="24"/>
          <w:lang w:val="en-GB"/>
        </w:rPr>
        <w:t xml:space="preserve">), there has </w:t>
      </w:r>
      <w:r>
        <w:rPr>
          <w:rFonts w:ascii="Times New Roman" w:hAnsi="Times New Roman"/>
          <w:noProof/>
          <w:sz w:val="24"/>
          <w:lang w:val="en-GB"/>
        </w:rPr>
        <w:t>been no change between 2017 and 2018. Belgium remains at the higher end with unlimited benefit duration – which should be seen in the context of the absence of an unemployment assistance scheme. On the opposite side are Hungary and Malta. The maximum durat</w:t>
      </w:r>
      <w:r>
        <w:rPr>
          <w:rFonts w:ascii="Times New Roman" w:hAnsi="Times New Roman"/>
          <w:noProof/>
          <w:sz w:val="24"/>
          <w:lang w:val="en-GB"/>
        </w:rPr>
        <w:t xml:space="preserve">ion continues to be shorter than the contribution periods in most Member States; only in four they are equal (France, Netherlands, Greece, Luxembourg) and in three cases higher (Finland, Denmark, Belgium). As concerns </w:t>
      </w:r>
      <w:r>
        <w:rPr>
          <w:rFonts w:ascii="Times New Roman" w:hAnsi="Times New Roman" w:cs="Times New Roman"/>
          <w:noProof/>
          <w:sz w:val="24"/>
          <w:szCs w:val="24"/>
          <w:lang w:val="en-GB"/>
        </w:rPr>
        <w:t>level and adequacy of unemployment ben</w:t>
      </w:r>
      <w:r>
        <w:rPr>
          <w:rFonts w:ascii="Times New Roman" w:hAnsi="Times New Roman" w:cs="Times New Roman"/>
          <w:noProof/>
          <w:sz w:val="24"/>
          <w:szCs w:val="24"/>
          <w:lang w:val="en-GB"/>
        </w:rPr>
        <w:t>efits Member States also present significant disparities.</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Net replacement rates for a low-wage worker with a short work history (1 year) range from less than 20% of previous (net) earnings in Hungary to around 90% in Luxembourg (</w:t>
      </w:r>
      <w:r>
        <w:rPr>
          <w:rFonts w:ascii="Times New Roman" w:hAnsi="Times New Roman"/>
          <w:noProof/>
          <w:sz w:val="24"/>
          <w:szCs w:val="24"/>
        </w:rPr>
        <w:t>Figure 54</w:t>
      </w:r>
      <w:r>
        <w:rPr>
          <w:rFonts w:ascii="Times New Roman" w:hAnsi="Times New Roman" w:cs="Times New Roman"/>
          <w:noProof/>
          <w:sz w:val="24"/>
          <w:szCs w:val="24"/>
          <w:lang w:val="en-GB"/>
        </w:rPr>
        <w:t xml:space="preserve">). The comparison </w:t>
      </w:r>
      <w:r>
        <w:rPr>
          <w:rFonts w:ascii="Times New Roman" w:hAnsi="Times New Roman" w:cs="Times New Roman"/>
          <w:noProof/>
          <w:sz w:val="24"/>
          <w:szCs w:val="24"/>
          <w:lang w:val="en-GB"/>
        </w:rPr>
        <w:t>between the net replacement rates at the 2</w:t>
      </w:r>
      <w:r>
        <w:rPr>
          <w:rFonts w:ascii="Times New Roman" w:hAnsi="Times New Roman" w:cs="Times New Roman"/>
          <w:noProof/>
          <w:sz w:val="24"/>
          <w:szCs w:val="24"/>
          <w:vertAlign w:val="superscript"/>
          <w:lang w:val="en-GB"/>
        </w:rPr>
        <w:t>nd</w:t>
      </w:r>
      <w:r>
        <w:rPr>
          <w:rFonts w:ascii="Times New Roman" w:hAnsi="Times New Roman" w:cs="Times New Roman"/>
          <w:noProof/>
          <w:sz w:val="24"/>
          <w:szCs w:val="24"/>
          <w:lang w:val="en-GB"/>
        </w:rPr>
        <w:t xml:space="preserve"> and the 12</w:t>
      </w:r>
      <w:r>
        <w:rPr>
          <w:rFonts w:ascii="Times New Roman" w:hAnsi="Times New Roman" w:cs="Times New Roman"/>
          <w:noProof/>
          <w:sz w:val="24"/>
          <w:szCs w:val="24"/>
          <w:vertAlign w:val="superscript"/>
          <w:lang w:val="en-GB"/>
        </w:rPr>
        <w:t>th</w:t>
      </w:r>
      <w:r>
        <w:rPr>
          <w:rFonts w:ascii="Times New Roman" w:hAnsi="Times New Roman" w:cs="Times New Roman"/>
          <w:noProof/>
          <w:sz w:val="24"/>
          <w:szCs w:val="24"/>
          <w:lang w:val="en-GB"/>
        </w:rPr>
        <w:t xml:space="preserve"> month of the unemployment spell shows the effect of either the expiration of the benefits (with individuals falling into other schemes, such as unemployment or social assistance), or the reduction i</w:t>
      </w:r>
      <w:r>
        <w:rPr>
          <w:rFonts w:ascii="Times New Roman" w:hAnsi="Times New Roman" w:cs="Times New Roman"/>
          <w:noProof/>
          <w:sz w:val="24"/>
          <w:szCs w:val="24"/>
          <w:lang w:val="en-GB"/>
        </w:rPr>
        <w:t>n benefit generosity over time</w:t>
      </w:r>
      <w:bookmarkStart w:id="58" w:name="_Ref529472960"/>
      <w:r>
        <w:rPr>
          <w:rStyle w:val="FootnoteReference"/>
          <w:rFonts w:ascii="Times New Roman" w:hAnsi="Times New Roman" w:cs="Times New Roman"/>
          <w:noProof/>
          <w:sz w:val="24"/>
          <w:szCs w:val="24"/>
          <w:lang w:val="en-GB"/>
        </w:rPr>
        <w:footnoteReference w:id="76"/>
      </w:r>
      <w:bookmarkEnd w:id="58"/>
      <w:r>
        <w:rPr>
          <w:rFonts w:ascii="Times New Roman" w:hAnsi="Times New Roman" w:cs="Times New Roman"/>
          <w:noProof/>
          <w:sz w:val="24"/>
          <w:szCs w:val="24"/>
          <w:lang w:val="en-GB"/>
        </w:rPr>
        <w:t>.</w:t>
      </w: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5220">
      <w:pPr>
        <w:rPr>
          <w:noProof/>
          <w:lang w:val="en-GB"/>
        </w:rPr>
      </w:pPr>
    </w:p>
    <w:p w:rsidR="00EF5220" w:rsidRDefault="00EF2564">
      <w:pPr>
        <w:pStyle w:val="caption2"/>
        <w:keepNext/>
        <w:jc w:val="both"/>
        <w:rPr>
          <w:rFonts w:ascii="Times New Roman" w:hAnsi="Times New Roman" w:cs="Times New Roman"/>
          <w:b w:val="0"/>
          <w:noProof/>
          <w:color w:val="auto"/>
          <w:sz w:val="24"/>
          <w:szCs w:val="24"/>
          <w:lang w:val="en-GB"/>
        </w:rPr>
      </w:pPr>
      <w:bookmarkStart w:id="59" w:name="_Ref527621010"/>
      <w:r>
        <w:rPr>
          <w:rFonts w:ascii="Times New Roman" w:hAnsi="Times New Roman" w:cs="Times New Roman"/>
          <w:noProof/>
          <w:color w:val="auto"/>
          <w:sz w:val="24"/>
          <w:szCs w:val="24"/>
          <w:lang w:val="en-GB"/>
        </w:rPr>
        <w:t xml:space="preserve">Figure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52</w:t>
      </w:r>
      <w:r>
        <w:rPr>
          <w:rFonts w:ascii="Times New Roman" w:hAnsi="Times New Roman" w:cs="Times New Roman"/>
          <w:noProof/>
          <w:color w:val="auto"/>
          <w:sz w:val="24"/>
          <w:szCs w:val="24"/>
          <w:lang w:val="en-GB"/>
        </w:rPr>
        <w:fldChar w:fldCharType="end"/>
      </w:r>
      <w:bookmarkEnd w:id="59"/>
      <w:r>
        <w:rPr>
          <w:rFonts w:ascii="Times New Roman" w:hAnsi="Times New Roman" w:cs="Times New Roman"/>
          <w:noProof/>
          <w:color w:val="auto"/>
          <w:sz w:val="24"/>
          <w:szCs w:val="24"/>
          <w:lang w:val="en-GB"/>
        </w:rPr>
        <w:t>: Length of the required qualifying period, 2016 and 2018 (in weeks)</w:t>
      </w:r>
    </w:p>
    <w:p w:rsidR="00EF5220" w:rsidRDefault="00EF2564">
      <w:pPr>
        <w:spacing w:line="360" w:lineRule="auto"/>
        <w:jc w:val="center"/>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4579620" cy="299466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4579620" cy="2994660"/>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MISSOC (Mutual Information System on Social Protection) database, and national legislation. Note: </w:t>
      </w:r>
      <w:r>
        <w:rPr>
          <w:rFonts w:ascii="Times New Roman" w:hAnsi="Times New Roman"/>
          <w:noProof/>
          <w:sz w:val="20"/>
          <w:lang w:val="en-GB"/>
        </w:rPr>
        <w:t>In Malta (2018), the minimum qualifying criteria are 50 weeks of paid contributions of which at least 20 paid or credited in the previous 2 calendar years; in Ireland (2016 and 2018), at least 104 weekly contributions must have been paid since the person f</w:t>
      </w:r>
      <w:r>
        <w:rPr>
          <w:rFonts w:ascii="Times New Roman" w:hAnsi="Times New Roman"/>
          <w:noProof/>
          <w:sz w:val="20"/>
          <w:lang w:val="en-GB"/>
        </w:rPr>
        <w:t>irst started work.</w:t>
      </w:r>
    </w:p>
    <w:p w:rsidR="00EF5220" w:rsidRDefault="00EF5220">
      <w:pPr>
        <w:pStyle w:val="caption2"/>
        <w:keepNext/>
        <w:jc w:val="both"/>
        <w:rPr>
          <w:rFonts w:ascii="Times New Roman" w:hAnsi="Times New Roman" w:cs="Times New Roman"/>
          <w:noProof/>
          <w:color w:val="auto"/>
          <w:sz w:val="24"/>
          <w:szCs w:val="24"/>
          <w:lang w:val="en-GB"/>
        </w:rPr>
      </w:pPr>
      <w:bookmarkStart w:id="60" w:name="_Ref527621296"/>
    </w:p>
    <w:p w:rsidR="00EF5220" w:rsidRDefault="00EF2564">
      <w:pPr>
        <w:pStyle w:val="caption2"/>
        <w:keepNext/>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Figure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53</w:t>
      </w:r>
      <w:r>
        <w:rPr>
          <w:rFonts w:ascii="Times New Roman" w:hAnsi="Times New Roman" w:cs="Times New Roman"/>
          <w:noProof/>
          <w:color w:val="auto"/>
          <w:sz w:val="24"/>
          <w:szCs w:val="24"/>
          <w:lang w:val="en-GB"/>
        </w:rPr>
        <w:fldChar w:fldCharType="end"/>
      </w:r>
      <w:bookmarkEnd w:id="60"/>
      <w:r>
        <w:rPr>
          <w:rFonts w:ascii="Times New Roman" w:hAnsi="Times New Roman" w:cs="Times New Roman"/>
          <w:noProof/>
          <w:color w:val="auto"/>
          <w:sz w:val="24"/>
          <w:szCs w:val="24"/>
          <w:lang w:val="en-GB"/>
        </w:rPr>
        <w:t>: Maximum duration of benefits with a 1-year work record, 2017, and 2018</w:t>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eastAsia="en-GB" w:bidi="ar-SA"/>
        </w:rPr>
        <w:drawing>
          <wp:inline distT="0" distB="0" distL="0" distR="0">
            <wp:extent cx="4250131" cy="2588267"/>
            <wp:effectExtent l="0" t="0" r="0" b="254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4251932" cy="2589364"/>
                    </a:xfrm>
                    <a:prstGeom prst="rect">
                      <a:avLst/>
                    </a:prstGeom>
                    <a:noFill/>
                  </pic:spPr>
                </pic:pic>
              </a:graphicData>
            </a:graphic>
          </wp:inline>
        </w:drawing>
      </w:r>
    </w:p>
    <w:p w:rsidR="00EF5220" w:rsidRDefault="00EF2564">
      <w:pPr>
        <w:spacing w:line="240" w:lineRule="auto"/>
        <w:jc w:val="both"/>
        <w:rPr>
          <w:rFonts w:ascii="Times New Roman" w:hAnsi="Times New Roman"/>
          <w:noProof/>
          <w:sz w:val="20"/>
          <w:lang w:val="en-GB"/>
        </w:rPr>
      </w:pPr>
      <w:r>
        <w:rPr>
          <w:rFonts w:ascii="Times New Roman" w:hAnsi="Times New Roman"/>
          <w:noProof/>
          <w:sz w:val="20"/>
          <w:lang w:val="en-GB"/>
        </w:rPr>
        <w:t>Source: MISSOC (Mutual Information System on Social Protection) database  and national legislation (January 2017 and January 20</w:t>
      </w:r>
      <w:r>
        <w:rPr>
          <w:rFonts w:ascii="Times New Roman" w:hAnsi="Times New Roman"/>
          <w:noProof/>
          <w:sz w:val="20"/>
          <w:lang w:val="en-GB"/>
        </w:rPr>
        <w:t>18). Note: in Belgium there is no limit on the duration of benefits. In Cyprus, weeks are calculated on the basis of 6 working days per week. In Ireland, benefit is paid for 39 weeks (234 days) only for people with 260 or more weekly PRSI contributions pai</w:t>
      </w:r>
      <w:r>
        <w:rPr>
          <w:rFonts w:ascii="Times New Roman" w:hAnsi="Times New Roman"/>
          <w:noProof/>
          <w:sz w:val="20"/>
          <w:lang w:val="en-GB"/>
        </w:rPr>
        <w:t>d. In Slovakia, a person with a one-year record cannot qualify for unemployment benefits (at least 2 years of unemployment insurance contributions during the last 3 years are required. In Poland, duration varies depending on the level of the unemployment r</w:t>
      </w:r>
      <w:r>
        <w:rPr>
          <w:rFonts w:ascii="Times New Roman" w:hAnsi="Times New Roman"/>
          <w:noProof/>
          <w:sz w:val="20"/>
          <w:lang w:val="en-GB"/>
        </w:rPr>
        <w:t>ate of the region relative to the national average.</w:t>
      </w:r>
    </w:p>
    <w:p w:rsidR="00EF5220" w:rsidRDefault="00EF5220">
      <w:pPr>
        <w:spacing w:line="240" w:lineRule="auto"/>
        <w:jc w:val="both"/>
        <w:rPr>
          <w:rFonts w:ascii="Times New Roman" w:hAnsi="Times New Roman" w:cs="Times New Roman"/>
          <w:noProof/>
          <w:sz w:val="20"/>
          <w:szCs w:val="20"/>
          <w:lang w:val="en-GB"/>
        </w:rPr>
      </w:pPr>
    </w:p>
    <w:p w:rsidR="00EF5220" w:rsidRDefault="00EF2564">
      <w:pPr>
        <w:pStyle w:val="caption3"/>
        <w:keepNext/>
        <w:spacing w:line="240" w:lineRule="auto"/>
        <w:rPr>
          <w:rFonts w:ascii="Times New Roman" w:hAnsi="Times New Roman"/>
          <w:noProof/>
          <w:sz w:val="24"/>
          <w:szCs w:val="24"/>
        </w:rPr>
      </w:pPr>
      <w:bookmarkStart w:id="61" w:name="_Ref529005712"/>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54</w:t>
      </w:r>
      <w:r>
        <w:rPr>
          <w:rFonts w:ascii="Times New Roman" w:hAnsi="Times New Roman"/>
          <w:noProof/>
          <w:sz w:val="24"/>
          <w:szCs w:val="24"/>
        </w:rPr>
        <w:fldChar w:fldCharType="end"/>
      </w:r>
      <w:bookmarkEnd w:id="61"/>
      <w:r>
        <w:rPr>
          <w:rFonts w:ascii="Times New Roman" w:hAnsi="Times New Roman"/>
          <w:noProof/>
          <w:sz w:val="24"/>
          <w:szCs w:val="24"/>
        </w:rPr>
        <w:t xml:space="preserve">: Net replacement rate of unemployment benefits at 67% of the average wage, at the 2nd and 12th month of unemployment (2018) </w:t>
      </w:r>
    </w:p>
    <w:p w:rsidR="00EF5220" w:rsidRDefault="00EF2564">
      <w:pPr>
        <w:pStyle w:val="caption2"/>
        <w:rPr>
          <w:rFonts w:ascii="Times New Roman" w:hAnsi="Times New Roman"/>
          <w:noProof/>
          <w:sz w:val="24"/>
          <w:szCs w:val="24"/>
        </w:rPr>
      </w:pPr>
      <w:r>
        <w:rPr>
          <w:rFonts w:ascii="Times New Roman" w:hAnsi="Times New Roman" w:cs="Times New Roman"/>
          <w:noProof/>
          <w:color w:val="auto"/>
          <w:sz w:val="24"/>
          <w:szCs w:val="24"/>
          <w:lang w:val="en-GB"/>
        </w:rPr>
        <w:t xml:space="preserve"> </w:t>
      </w:r>
      <w:r>
        <w:rPr>
          <w:rFonts w:ascii="Times New Roman" w:hAnsi="Times New Roman" w:cs="Times New Roman"/>
          <w:noProof/>
          <w:color w:val="auto"/>
          <w:sz w:val="24"/>
          <w:szCs w:val="24"/>
          <w:lang w:val="en-GB" w:eastAsia="en-GB" w:bidi="ar-SA"/>
        </w:rPr>
        <w:drawing>
          <wp:inline distT="0" distB="0" distL="0" distR="0">
            <wp:extent cx="4542739" cy="22817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4540861" cy="2280807"/>
                    </a:xfrm>
                    <a:prstGeom prst="rect">
                      <a:avLst/>
                    </a:prstGeom>
                    <a:noFill/>
                  </pic:spPr>
                </pic:pic>
              </a:graphicData>
            </a:graphic>
          </wp:inline>
        </w:drawing>
      </w:r>
    </w:p>
    <w:p w:rsidR="00EF5220" w:rsidRDefault="00EF2564">
      <w:pPr>
        <w:keepNext/>
        <w:spacing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 xml:space="preserve">Source: European Commission based on </w:t>
      </w:r>
      <w:r>
        <w:rPr>
          <w:rFonts w:ascii="Times New Roman" w:hAnsi="Times New Roman" w:cs="Times New Roman"/>
          <w:noProof/>
          <w:sz w:val="20"/>
          <w:szCs w:val="20"/>
          <w:lang w:val="en-GB" w:eastAsia="en-GB"/>
        </w:rPr>
        <w:t>OECD Tax-Benefit Model.</w:t>
      </w:r>
      <w:r>
        <w:rPr>
          <w:noProof/>
        </w:rPr>
        <w:t xml:space="preserve"> </w:t>
      </w:r>
      <w:r>
        <w:rPr>
          <w:rFonts w:ascii="Times New Roman" w:hAnsi="Times New Roman" w:cs="Times New Roman"/>
          <w:noProof/>
          <w:sz w:val="20"/>
          <w:szCs w:val="20"/>
          <w:lang w:val="en-GB" w:eastAsia="en-GB"/>
        </w:rPr>
        <w:t xml:space="preserve">Note: The indicator is calculated for the case of a single person without children with a short work history (1 year) and aged 20. Further methodological details in footnote </w:t>
      </w:r>
      <w:r>
        <w:rPr>
          <w:rFonts w:ascii="Times New Roman" w:hAnsi="Times New Roman" w:cs="Times New Roman"/>
          <w:noProof/>
          <w:sz w:val="20"/>
          <w:szCs w:val="20"/>
          <w:lang w:val="en-GB" w:eastAsia="en-GB"/>
        </w:rPr>
        <w:fldChar w:fldCharType="begin"/>
      </w:r>
      <w:r>
        <w:rPr>
          <w:rFonts w:ascii="Times New Roman" w:hAnsi="Times New Roman" w:cs="Times New Roman"/>
          <w:noProof/>
          <w:sz w:val="20"/>
          <w:szCs w:val="20"/>
          <w:lang w:val="en-GB" w:eastAsia="en-GB"/>
        </w:rPr>
        <w:instrText xml:space="preserve"> NOTEREF _Ref529472960 \h  \* MERGEFORMAT </w:instrText>
      </w:r>
      <w:r>
        <w:rPr>
          <w:rFonts w:ascii="Times New Roman" w:hAnsi="Times New Roman" w:cs="Times New Roman"/>
          <w:noProof/>
          <w:sz w:val="20"/>
          <w:szCs w:val="20"/>
          <w:lang w:val="en-GB" w:eastAsia="en-GB"/>
        </w:rPr>
      </w:r>
      <w:r>
        <w:rPr>
          <w:rFonts w:ascii="Times New Roman" w:hAnsi="Times New Roman" w:cs="Times New Roman"/>
          <w:noProof/>
          <w:sz w:val="20"/>
          <w:szCs w:val="20"/>
          <w:lang w:val="en-GB" w:eastAsia="en-GB"/>
        </w:rPr>
        <w:fldChar w:fldCharType="separate"/>
      </w:r>
      <w:r>
        <w:rPr>
          <w:rFonts w:ascii="Times New Roman" w:hAnsi="Times New Roman" w:cs="Times New Roman"/>
          <w:noProof/>
          <w:sz w:val="20"/>
          <w:szCs w:val="20"/>
          <w:lang w:val="en-GB" w:eastAsia="en-GB"/>
        </w:rPr>
        <w:t>76</w:t>
      </w:r>
      <w:r>
        <w:rPr>
          <w:rFonts w:ascii="Times New Roman" w:hAnsi="Times New Roman" w:cs="Times New Roman"/>
          <w:noProof/>
          <w:sz w:val="20"/>
          <w:szCs w:val="20"/>
          <w:lang w:val="en-GB" w:eastAsia="en-GB"/>
        </w:rPr>
        <w:fldChar w:fldCharType="end"/>
      </w:r>
      <w:r>
        <w:rPr>
          <w:rFonts w:ascii="Times New Roman" w:hAnsi="Times New Roman" w:cs="Times New Roman"/>
          <w:noProof/>
          <w:sz w:val="20"/>
          <w:szCs w:val="20"/>
          <w:lang w:val="en-GB" w:eastAsia="en-GB"/>
        </w:rPr>
        <w:t>.</w:t>
      </w:r>
    </w:p>
    <w:p w:rsidR="00EF5220" w:rsidRDefault="00EF5220">
      <w:pPr>
        <w:pStyle w:val="caption2"/>
        <w:rPr>
          <w:rFonts w:ascii="Times New Roman" w:hAnsi="Times New Roman" w:cs="Times New Roman"/>
          <w:noProof/>
          <w:color w:val="auto"/>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Member States have developed several strategies to activate recipients of unemployment benefits. </w:t>
      </w:r>
      <w:r>
        <w:rPr>
          <w:rFonts w:ascii="Times New Roman" w:hAnsi="Times New Roman"/>
          <w:noProof/>
          <w:sz w:val="24"/>
          <w:lang w:val="en-GB"/>
        </w:rPr>
        <w:t>The adopted policy instruments follow the principle of mutual obligation. In particular, recipients of</w:t>
      </w:r>
      <w:r>
        <w:rPr>
          <w:rFonts w:ascii="Times New Roman" w:hAnsi="Times New Roman"/>
          <w:noProof/>
          <w:sz w:val="24"/>
          <w:lang w:val="en-GB"/>
        </w:rPr>
        <w:t xml:space="preserve"> unemployment benefits are required to engage in job-search activities; at the same time, public authorities have to support them in their job search and in overcoming the obstacles that may prevent them from regaining employment while monitoring their com</w:t>
      </w:r>
      <w:r>
        <w:rPr>
          <w:rFonts w:ascii="Times New Roman" w:hAnsi="Times New Roman"/>
          <w:noProof/>
          <w:sz w:val="24"/>
          <w:lang w:val="en-GB"/>
        </w:rPr>
        <w:t>pliance with availability-to-work conditions (and implementing sanctions when needed). The principle of early intervention and tailor-made services to unemployed jobseekers has also been widely embraced by Member States with the aim of shortening unemploym</w:t>
      </w:r>
      <w:r>
        <w:rPr>
          <w:rFonts w:ascii="Times New Roman" w:hAnsi="Times New Roman"/>
          <w:noProof/>
          <w:sz w:val="24"/>
          <w:lang w:val="en-GB"/>
        </w:rPr>
        <w:t>ent spells, fostering quality matches and preventing long-term unemployment and discouragement. Indeed, mandatory requirements for Public Employment Services to provide certain types of early support for jobseekers (profiling, design of individual action p</w:t>
      </w:r>
      <w:r>
        <w:rPr>
          <w:rFonts w:ascii="Times New Roman" w:hAnsi="Times New Roman"/>
          <w:noProof/>
          <w:sz w:val="24"/>
          <w:lang w:val="en-GB"/>
        </w:rPr>
        <w:t>lans, personalised counselling) exist in most Member States.</w:t>
      </w:r>
      <w:r>
        <w:rPr>
          <w:rFonts w:ascii="Times New Roman" w:hAnsi="Times New Roman"/>
          <w:b/>
          <w:noProof/>
          <w:sz w:val="24"/>
          <w:lang w:val="en-GB"/>
        </w:rPr>
        <w:t xml:space="preserv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There is a large diversity in the strictness of availability-to-work conditions and job-search requirements</w:t>
      </w:r>
      <w:r>
        <w:rPr>
          <w:rStyle w:val="FootnoteReference"/>
          <w:rFonts w:ascii="Times New Roman" w:hAnsi="Times New Roman"/>
          <w:b/>
          <w:noProof/>
          <w:sz w:val="24"/>
          <w:lang w:val="en-GB"/>
        </w:rPr>
        <w:footnoteReference w:id="77"/>
      </w:r>
      <w:r>
        <w:rPr>
          <w:rFonts w:ascii="Times New Roman" w:hAnsi="Times New Roman"/>
          <w:b/>
          <w:noProof/>
          <w:sz w:val="24"/>
          <w:lang w:val="en-GB"/>
        </w:rPr>
        <w:t xml:space="preserve"> attached to unemployment benefits. </w:t>
      </w:r>
      <w:r>
        <w:rPr>
          <w:rFonts w:ascii="Times New Roman" w:hAnsi="Times New Roman"/>
          <w:noProof/>
          <w:sz w:val="24"/>
          <w:lang w:val="en-GB"/>
        </w:rPr>
        <w:t xml:space="preserve">Figure </w:t>
      </w:r>
      <w:r>
        <w:rPr>
          <w:rFonts w:ascii="Times New Roman" w:hAnsi="Times New Roman"/>
          <w:noProof/>
          <w:sz w:val="24"/>
          <w:szCs w:val="24"/>
          <w:lang w:val="en-GB"/>
        </w:rPr>
        <w:t>55</w:t>
      </w:r>
      <w:r>
        <w:rPr>
          <w:rFonts w:ascii="Times New Roman" w:hAnsi="Times New Roman"/>
          <w:noProof/>
          <w:sz w:val="24"/>
          <w:lang w:val="en-GB"/>
        </w:rPr>
        <w:t xml:space="preserve"> shows the severity of availability requi</w:t>
      </w:r>
      <w:r>
        <w:rPr>
          <w:rFonts w:ascii="Times New Roman" w:hAnsi="Times New Roman"/>
          <w:noProof/>
          <w:sz w:val="24"/>
          <w:lang w:val="en-GB"/>
        </w:rPr>
        <w:t xml:space="preserve">rements and suitable work criteria for unemployment benefits recipients. They appear to be the strictest in Poland, Denmark, Malta and Croatia, while they are the least strict in Belgium, Lithuania, Bulgaria, Cyprus, Finland and Spain. Figure </w:t>
      </w:r>
      <w:r>
        <w:rPr>
          <w:rFonts w:ascii="Times New Roman" w:hAnsi="Times New Roman"/>
          <w:noProof/>
          <w:sz w:val="24"/>
          <w:szCs w:val="24"/>
          <w:lang w:val="en-GB"/>
        </w:rPr>
        <w:t>56</w:t>
      </w:r>
      <w:r>
        <w:rPr>
          <w:rFonts w:ascii="Times New Roman" w:hAnsi="Times New Roman"/>
          <w:noProof/>
          <w:sz w:val="24"/>
          <w:lang w:val="en-GB"/>
        </w:rPr>
        <w:t xml:space="preserve"> shows a gr</w:t>
      </w:r>
      <w:r>
        <w:rPr>
          <w:rFonts w:ascii="Times New Roman" w:hAnsi="Times New Roman"/>
          <w:noProof/>
          <w:sz w:val="24"/>
          <w:lang w:val="en-GB"/>
        </w:rPr>
        <w:t xml:space="preserve">eat variation in the strictness of job-search and monitoring requirements. In particular, stricter requirements exist in Malta, the United Kingdom and Luxembourg, while the least strict are observed in Cyprus, Greece and Poland. Finally, Figure </w:t>
      </w:r>
      <w:r>
        <w:rPr>
          <w:rFonts w:ascii="Times New Roman" w:hAnsi="Times New Roman"/>
          <w:noProof/>
          <w:sz w:val="24"/>
          <w:szCs w:val="24"/>
          <w:lang w:val="en-GB"/>
        </w:rPr>
        <w:t>57</w:t>
      </w:r>
      <w:r>
        <w:rPr>
          <w:rFonts w:ascii="Times New Roman" w:hAnsi="Times New Roman"/>
          <w:noProof/>
          <w:sz w:val="24"/>
          <w:lang w:val="en-GB"/>
        </w:rPr>
        <w:t xml:space="preserve"> also sho</w:t>
      </w:r>
      <w:r>
        <w:rPr>
          <w:rFonts w:ascii="Times New Roman" w:hAnsi="Times New Roman"/>
          <w:noProof/>
          <w:sz w:val="24"/>
          <w:lang w:val="en-GB"/>
        </w:rPr>
        <w:t>ws a large diversity in the severity of sanctions applied when unemployment benefits recipients do not comply with availability and job-search requirements. Sanctions appear to be the strictest in Slovenia, Romania, Luxembourg, Greece, Croatia and Portugal</w:t>
      </w:r>
      <w:r>
        <w:rPr>
          <w:rFonts w:ascii="Times New Roman" w:hAnsi="Times New Roman"/>
          <w:noProof/>
          <w:sz w:val="24"/>
          <w:lang w:val="en-GB"/>
        </w:rPr>
        <w:t>, while they are the least strict in Austria, Hungary, Cyprus, Ireland, Denmark and Germany (in some cases however this goes along with a short duration of benefits). Malta, Croatia and Estonia appear to have more stringent provisions in all dimensions. Ye</w:t>
      </w:r>
      <w:r>
        <w:rPr>
          <w:rFonts w:ascii="Times New Roman" w:hAnsi="Times New Roman"/>
          <w:noProof/>
          <w:sz w:val="24"/>
          <w:lang w:val="en-GB"/>
        </w:rPr>
        <w:t>t, several Member States display a combination of stringent provisions for certain components and less stringent for others. For instance, Denmark has the second most stringent provisions for availability requirements and suitable work criteria, but one of</w:t>
      </w:r>
      <w:r>
        <w:rPr>
          <w:rFonts w:ascii="Times New Roman" w:hAnsi="Times New Roman"/>
          <w:noProof/>
          <w:sz w:val="24"/>
          <w:lang w:val="en-GB"/>
        </w:rPr>
        <w:t xml:space="preserve"> the least strict for benefit sanctions. These different approaches provide an insight on how national systems tackle the issue of moral hazard inherent to unemployment insurance benefits. For instance, more strict job-search and availability requirements </w:t>
      </w:r>
      <w:r>
        <w:rPr>
          <w:rFonts w:ascii="Times New Roman" w:hAnsi="Times New Roman"/>
          <w:noProof/>
          <w:sz w:val="24"/>
          <w:lang w:val="en-GB"/>
        </w:rPr>
        <w:t>are expected to encourage higher job-search efforts and faster acceptance of job offers, thus counterbalancing the possible financial disincentives created by unemployment benefit systems and reducing unemployment duration. At the same time, overly stringe</w:t>
      </w:r>
      <w:r>
        <w:rPr>
          <w:rFonts w:ascii="Times New Roman" w:hAnsi="Times New Roman"/>
          <w:noProof/>
          <w:sz w:val="24"/>
          <w:lang w:val="en-GB"/>
        </w:rPr>
        <w:t>nt requirements may have counterproductive effects, for instance as concerns a reduction in the coverage of benefits or a detriment in the quality of matches, which may not be long-lasting (with more people falling back into unemployment more frequently).</w:t>
      </w:r>
      <w:r>
        <w:rPr>
          <w:rFonts w:ascii="Times New Roman" w:hAnsi="Times New Roman"/>
          <w:noProof/>
          <w:sz w:val="24"/>
          <w:highlight w:val="yellow"/>
          <w:lang w:val="en-GB"/>
        </w:rPr>
        <w:t xml:space="preserve"> </w:t>
      </w:r>
    </w:p>
    <w:p w:rsidR="00EF5220" w:rsidRDefault="00EF2564">
      <w:pPr>
        <w:pStyle w:val="caption1"/>
        <w:keepNext/>
        <w:spacing w:line="360" w:lineRule="auto"/>
        <w:rPr>
          <w:rFonts w:ascii="Times New Roman" w:hAnsi="Times New Roman"/>
          <w:noProof/>
          <w:sz w:val="24"/>
          <w:szCs w:val="24"/>
          <w:lang w:val="en-GB"/>
        </w:rPr>
      </w:pPr>
      <w:bookmarkStart w:id="62" w:name="_Ref528664978"/>
      <w:r>
        <w:rPr>
          <w:rFonts w:ascii="Times New Roman" w:hAnsi="Times New Roman"/>
          <w:noProof/>
          <w:sz w:val="24"/>
          <w:lang w:val="en-GB"/>
        </w:rPr>
        <w:t xml:space="preserve">Figure </w:t>
      </w:r>
      <w:r>
        <w:rPr>
          <w:rFonts w:ascii="Times New Roman" w:hAnsi="Times New Roman"/>
          <w:noProof/>
          <w:sz w:val="24"/>
          <w:szCs w:val="24"/>
          <w:lang w:val="en-GB"/>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55</w:t>
      </w:r>
      <w:r>
        <w:rPr>
          <w:rFonts w:ascii="Times New Roman" w:hAnsi="Times New Roman"/>
          <w:noProof/>
          <w:sz w:val="24"/>
          <w:szCs w:val="24"/>
          <w:lang w:val="en-GB"/>
        </w:rPr>
        <w:fldChar w:fldCharType="end"/>
      </w:r>
      <w:bookmarkEnd w:id="62"/>
      <w:r>
        <w:rPr>
          <w:rFonts w:ascii="Times New Roman" w:hAnsi="Times New Roman"/>
          <w:noProof/>
          <w:sz w:val="24"/>
          <w:lang w:val="en-GB"/>
        </w:rPr>
        <w:t>: Availability requirements and suitable work criteria, 2017</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747038" cy="312486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5758990" cy="3131362"/>
                    </a:xfrm>
                    <a:prstGeom prst="rect">
                      <a:avLst/>
                    </a:prstGeom>
                    <a:noFill/>
                  </pic:spPr>
                </pic:pic>
              </a:graphicData>
            </a:graphic>
          </wp:inline>
        </w:drawing>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OECD. Note: Scored from 1 (most lenient) to 5 (most strict). </w:t>
      </w:r>
    </w:p>
    <w:p w:rsidR="00EF5220" w:rsidRDefault="00EF2564">
      <w:pPr>
        <w:keepNext/>
        <w:spacing w:line="360" w:lineRule="auto"/>
        <w:jc w:val="both"/>
        <w:rPr>
          <w:rFonts w:ascii="Times New Roman" w:hAnsi="Times New Roman" w:cs="Times New Roman"/>
          <w:b/>
          <w:noProof/>
          <w:sz w:val="24"/>
          <w:szCs w:val="24"/>
          <w:lang w:val="en-GB"/>
        </w:rPr>
      </w:pPr>
      <w:bookmarkStart w:id="63" w:name="_Ref528664987"/>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56</w:t>
      </w:r>
      <w:r>
        <w:rPr>
          <w:rFonts w:ascii="Times New Roman" w:hAnsi="Times New Roman"/>
          <w:b/>
          <w:noProof/>
          <w:sz w:val="24"/>
          <w:szCs w:val="24"/>
          <w:lang w:val="en-GB"/>
        </w:rPr>
        <w:fldChar w:fldCharType="end"/>
      </w:r>
      <w:bookmarkEnd w:id="63"/>
      <w:r>
        <w:rPr>
          <w:rFonts w:ascii="Times New Roman" w:hAnsi="Times New Roman"/>
          <w:b/>
          <w:noProof/>
          <w:sz w:val="24"/>
          <w:lang w:val="en-GB"/>
        </w:rPr>
        <w:t>: Job-search and monitoring requirements, 2017</w:t>
      </w:r>
      <w:r>
        <w:rPr>
          <w:rFonts w:ascii="Times New Roman" w:hAnsi="Times New Roman"/>
          <w:noProof/>
          <w:sz w:val="24"/>
          <w:highlight w:val="yellow"/>
          <w:lang w:val="en-GB"/>
        </w:rPr>
        <w:t xml:space="preserve"> </w:t>
      </w:r>
    </w:p>
    <w:p w:rsidR="00EF5220" w:rsidRDefault="00EF2564">
      <w:pPr>
        <w:spacing w:line="360" w:lineRule="auto"/>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GB" w:eastAsia="en-GB" w:bidi="ar-SA"/>
        </w:rPr>
        <w:drawing>
          <wp:inline distT="0" distB="0" distL="0" distR="0">
            <wp:extent cx="5392269" cy="26246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5396045" cy="2626438"/>
                    </a:xfrm>
                    <a:prstGeom prst="rect">
                      <a:avLst/>
                    </a:prstGeom>
                    <a:noFill/>
                  </pic:spPr>
                </pic:pic>
              </a:graphicData>
            </a:graphic>
          </wp:inline>
        </w:drawing>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noProof/>
          <w:sz w:val="20"/>
          <w:lang w:val="en-GB"/>
        </w:rPr>
        <w:t xml:space="preserve">Source: OECD. Note: Scored from 1 (most lenient) to 5 (most strict). </w:t>
      </w:r>
    </w:p>
    <w:p w:rsidR="00EF5220" w:rsidRDefault="00EF5220">
      <w:pPr>
        <w:spacing w:line="360" w:lineRule="auto"/>
        <w:jc w:val="both"/>
        <w:rPr>
          <w:rFonts w:ascii="Times New Roman" w:hAnsi="Times New Roman" w:cs="Times New Roman"/>
          <w:b/>
          <w:noProof/>
          <w:sz w:val="24"/>
          <w:szCs w:val="24"/>
          <w:lang w:val="en-GB"/>
        </w:rPr>
      </w:pPr>
    </w:p>
    <w:p w:rsidR="00EF5220" w:rsidRDefault="00EF5220">
      <w:pPr>
        <w:spacing w:line="360" w:lineRule="auto"/>
        <w:jc w:val="both"/>
        <w:rPr>
          <w:rFonts w:ascii="Times New Roman" w:hAnsi="Times New Roman" w:cs="Times New Roman"/>
          <w:b/>
          <w:noProof/>
          <w:sz w:val="24"/>
          <w:szCs w:val="24"/>
          <w:lang w:val="en-GB"/>
        </w:rPr>
      </w:pPr>
    </w:p>
    <w:p w:rsidR="00EF5220" w:rsidRDefault="00EF5220">
      <w:pPr>
        <w:spacing w:line="360" w:lineRule="auto"/>
        <w:jc w:val="both"/>
        <w:rPr>
          <w:rFonts w:ascii="Times New Roman" w:hAnsi="Times New Roman" w:cs="Times New Roman"/>
          <w:b/>
          <w:noProof/>
          <w:sz w:val="24"/>
          <w:szCs w:val="24"/>
          <w:lang w:val="en-GB"/>
        </w:rPr>
      </w:pPr>
    </w:p>
    <w:p w:rsidR="00EF5220" w:rsidRDefault="00EF2564">
      <w:pPr>
        <w:keepNext/>
        <w:spacing w:line="360" w:lineRule="auto"/>
        <w:jc w:val="both"/>
        <w:rPr>
          <w:rFonts w:ascii="Times New Roman" w:hAnsi="Times New Roman" w:cs="Times New Roman"/>
          <w:b/>
          <w:noProof/>
          <w:sz w:val="24"/>
          <w:szCs w:val="24"/>
          <w:lang w:val="en-GB"/>
        </w:rPr>
      </w:pPr>
      <w:bookmarkStart w:id="64" w:name="_Ref528665002"/>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57</w:t>
      </w:r>
      <w:r>
        <w:rPr>
          <w:rFonts w:ascii="Times New Roman" w:hAnsi="Times New Roman"/>
          <w:b/>
          <w:noProof/>
          <w:sz w:val="24"/>
          <w:szCs w:val="24"/>
          <w:lang w:val="en-GB"/>
        </w:rPr>
        <w:fldChar w:fldCharType="end"/>
      </w:r>
      <w:bookmarkEnd w:id="64"/>
      <w:r>
        <w:rPr>
          <w:rFonts w:ascii="Times New Roman" w:hAnsi="Times New Roman"/>
          <w:b/>
          <w:noProof/>
          <w:sz w:val="24"/>
          <w:lang w:val="en-GB"/>
        </w:rPr>
        <w:t>: Strictness of benefits sanctions, 2017</w:t>
      </w:r>
      <w:r>
        <w:rPr>
          <w:rFonts w:ascii="Times New Roman" w:hAnsi="Times New Roman"/>
          <w:noProof/>
          <w:sz w:val="24"/>
          <w:highlight w:val="yellow"/>
          <w:lang w:val="en-GB"/>
        </w:rPr>
        <w:t xml:space="preserv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788575" cy="287837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5792057" cy="2880103"/>
                    </a:xfrm>
                    <a:prstGeom prst="rect">
                      <a:avLst/>
                    </a:prstGeom>
                    <a:noFill/>
                  </pic:spPr>
                </pic:pic>
              </a:graphicData>
            </a:graphic>
          </wp:inline>
        </w:drawing>
      </w:r>
    </w:p>
    <w:p w:rsidR="00EF5220" w:rsidRDefault="00EF2564">
      <w:pPr>
        <w:spacing w:line="360" w:lineRule="auto"/>
        <w:jc w:val="both"/>
        <w:rPr>
          <w:rFonts w:ascii="Times New Roman" w:hAnsi="Times New Roman" w:cs="Times New Roman"/>
          <w:noProof/>
          <w:sz w:val="20"/>
          <w:szCs w:val="20"/>
          <w:lang w:val="en-GB"/>
        </w:rPr>
      </w:pPr>
      <w:r>
        <w:rPr>
          <w:rFonts w:ascii="Times New Roman" w:hAnsi="Times New Roman"/>
          <w:noProof/>
          <w:sz w:val="20"/>
          <w:lang w:val="en-GB"/>
        </w:rPr>
        <w:t>Source: OECD. Note: Scored from 1 (most lenient) to 5 (most strict)</w:t>
      </w:r>
    </w:p>
    <w:p w:rsidR="00EF5220" w:rsidRDefault="00EF5220">
      <w:pPr>
        <w:autoSpaceDE w:val="0"/>
        <w:autoSpaceDN w:val="0"/>
        <w:adjustRightInd w:val="0"/>
        <w:spacing w:line="360" w:lineRule="auto"/>
        <w:jc w:val="both"/>
        <w:rPr>
          <w:rFonts w:ascii="Times New Roman" w:hAnsi="Times New Roman" w:cs="Times New Roman"/>
          <w:b/>
          <w:bCs/>
          <w:noProof/>
          <w:sz w:val="24"/>
          <w:szCs w:val="24"/>
          <w:lang w:val="en-GB"/>
        </w:rPr>
      </w:pPr>
    </w:p>
    <w:p w:rsidR="00EF5220" w:rsidRDefault="00EF2564">
      <w:pPr>
        <w:autoSpaceDE w:val="0"/>
        <w:autoSpaceDN w:val="0"/>
        <w:adjustRightInd w:val="0"/>
        <w:spacing w:line="360" w:lineRule="auto"/>
        <w:jc w:val="both"/>
        <w:rPr>
          <w:rFonts w:ascii="Times New Roman" w:hAnsi="Times New Roman" w:cs="Times New Roman"/>
          <w:bCs/>
          <w:noProof/>
          <w:sz w:val="24"/>
          <w:szCs w:val="24"/>
          <w:lang w:val="en-GB"/>
        </w:rPr>
      </w:pPr>
      <w:r>
        <w:rPr>
          <w:rFonts w:ascii="Times New Roman" w:hAnsi="Times New Roman"/>
          <w:b/>
          <w:noProof/>
          <w:sz w:val="24"/>
          <w:lang w:val="en-GB"/>
        </w:rPr>
        <w:t xml:space="preserve">Tackling barriers to mobility of workers and learners can enhance employability and skills development, helping exploiting the full potential of the European labour market. </w:t>
      </w:r>
      <w:r>
        <w:rPr>
          <w:rFonts w:ascii="Times New Roman" w:hAnsi="Times New Roman"/>
          <w:noProof/>
          <w:sz w:val="24"/>
          <w:lang w:val="en-GB"/>
        </w:rPr>
        <w:t xml:space="preserve">In 2017, there were roughly 12.4 million EU citizens of working age (20-64) living </w:t>
      </w:r>
      <w:r>
        <w:rPr>
          <w:rFonts w:ascii="Times New Roman" w:hAnsi="Times New Roman"/>
          <w:noProof/>
          <w:sz w:val="24"/>
          <w:lang w:val="en-GB"/>
        </w:rPr>
        <w:t>in another country than their country of citizenship</w:t>
      </w:r>
      <w:r>
        <w:rPr>
          <w:rStyle w:val="FootnoteReference"/>
          <w:rFonts w:ascii="Times New Roman" w:hAnsi="Times New Roman"/>
          <w:noProof/>
          <w:sz w:val="24"/>
          <w:lang w:val="en-GB"/>
        </w:rPr>
        <w:footnoteReference w:id="78"/>
      </w:r>
      <w:r>
        <w:rPr>
          <w:rFonts w:ascii="Times New Roman" w:hAnsi="Times New Roman"/>
          <w:noProof/>
          <w:sz w:val="24"/>
          <w:lang w:val="en-GB"/>
        </w:rPr>
        <w:t>. This number has increased by 5% compared to 2016, at a similar pace as it had increased in the previous years. Germany and the United Kingdom were the main countries of residence in 2017, hosting respe</w:t>
      </w:r>
      <w:r>
        <w:rPr>
          <w:rFonts w:ascii="Times New Roman" w:hAnsi="Times New Roman"/>
          <w:noProof/>
          <w:sz w:val="24"/>
          <w:lang w:val="en-GB"/>
        </w:rPr>
        <w:t xml:space="preserve">ctively 3 million and 2.6 million people, followed by Spain (1.4 million), Italy (1.2 million) and France (around 1 million). While </w:t>
      </w:r>
      <w:r>
        <w:rPr>
          <w:rFonts w:ascii="Times New Roman" w:hAnsi="Times New Roman" w:cs="Times New Roman"/>
          <w:noProof/>
          <w:sz w:val="24"/>
          <w:szCs w:val="24"/>
        </w:rPr>
        <w:t xml:space="preserve">Germany </w:t>
      </w:r>
      <w:r>
        <w:rPr>
          <w:rFonts w:ascii="Times New Roman" w:hAnsi="Times New Roman" w:cs="Times New Roman"/>
          <w:noProof/>
          <w:sz w:val="24"/>
          <w:szCs w:val="24"/>
          <w:lang w:val="en-GB"/>
        </w:rPr>
        <w:t xml:space="preserve">and </w:t>
      </w:r>
      <w:r>
        <w:rPr>
          <w:rFonts w:ascii="Times New Roman" w:hAnsi="Times New Roman"/>
          <w:noProof/>
          <w:sz w:val="24"/>
          <w:lang w:val="en-GB"/>
        </w:rPr>
        <w:t xml:space="preserve">the United Kingdom </w:t>
      </w:r>
      <w:r>
        <w:rPr>
          <w:rFonts w:ascii="Times New Roman" w:hAnsi="Times New Roman" w:cs="Times New Roman"/>
          <w:noProof/>
          <w:sz w:val="24"/>
          <w:szCs w:val="24"/>
          <w:lang w:val="en-GB"/>
        </w:rPr>
        <w:t xml:space="preserve">show </w:t>
      </w:r>
      <w:r>
        <w:rPr>
          <w:rFonts w:ascii="Times New Roman" w:hAnsi="Times New Roman" w:cs="Times New Roman"/>
          <w:noProof/>
          <w:sz w:val="24"/>
          <w:szCs w:val="24"/>
        </w:rPr>
        <w:t>an upward trend going back to 2015</w:t>
      </w:r>
      <w:r>
        <w:rPr>
          <w:rFonts w:ascii="Times New Roman" w:hAnsi="Times New Roman" w:cs="Times New Roman"/>
          <w:noProof/>
          <w:sz w:val="24"/>
          <w:szCs w:val="24"/>
          <w:lang w:val="en-GB"/>
        </w:rPr>
        <w:t xml:space="preserve">, </w:t>
      </w:r>
      <w:r>
        <w:rPr>
          <w:rFonts w:ascii="Times New Roman" w:hAnsi="Times New Roman" w:cs="Times New Roman"/>
          <w:noProof/>
          <w:sz w:val="24"/>
          <w:szCs w:val="24"/>
        </w:rPr>
        <w:t xml:space="preserve">Italy and France </w:t>
      </w:r>
      <w:r>
        <w:rPr>
          <w:rFonts w:ascii="Times New Roman" w:hAnsi="Times New Roman" w:cs="Times New Roman"/>
          <w:noProof/>
          <w:sz w:val="24"/>
          <w:szCs w:val="24"/>
          <w:lang w:val="en-GB"/>
        </w:rPr>
        <w:t>show</w:t>
      </w:r>
      <w:r>
        <w:rPr>
          <w:rFonts w:ascii="Times New Roman" w:hAnsi="Times New Roman" w:cs="Times New Roman"/>
          <w:noProof/>
          <w:sz w:val="24"/>
          <w:szCs w:val="24"/>
        </w:rPr>
        <w:t xml:space="preserve"> a </w:t>
      </w:r>
      <w:r>
        <w:rPr>
          <w:rFonts w:ascii="Times New Roman" w:hAnsi="Times New Roman" w:cs="Times New Roman"/>
          <w:noProof/>
          <w:sz w:val="24"/>
          <w:szCs w:val="24"/>
          <w:lang w:val="en-GB"/>
        </w:rPr>
        <w:t xml:space="preserve">more moderate (and </w:t>
      </w:r>
      <w:r>
        <w:rPr>
          <w:rFonts w:ascii="Times New Roman" w:hAnsi="Times New Roman" w:cs="Times New Roman"/>
          <w:noProof/>
          <w:sz w:val="24"/>
          <w:szCs w:val="24"/>
        </w:rPr>
        <w:t>lower tha</w:t>
      </w:r>
      <w:r>
        <w:rPr>
          <w:rFonts w:ascii="Times New Roman" w:hAnsi="Times New Roman" w:cs="Times New Roman"/>
          <w:noProof/>
          <w:sz w:val="24"/>
          <w:szCs w:val="24"/>
        </w:rPr>
        <w:t>n average</w:t>
      </w:r>
      <w:r>
        <w:rPr>
          <w:rFonts w:ascii="Times New Roman" w:hAnsi="Times New Roman" w:cs="Times New Roman"/>
          <w:noProof/>
          <w:sz w:val="24"/>
          <w:szCs w:val="24"/>
          <w:lang w:val="en-GB"/>
        </w:rPr>
        <w:t>)</w:t>
      </w:r>
      <w:r>
        <w:rPr>
          <w:rFonts w:ascii="Times New Roman" w:hAnsi="Times New Roman" w:cs="Times New Roman"/>
          <w:noProof/>
          <w:sz w:val="24"/>
          <w:szCs w:val="24"/>
        </w:rPr>
        <w:t xml:space="preserve"> growth. </w:t>
      </w:r>
      <w:r>
        <w:rPr>
          <w:rFonts w:ascii="Times New Roman" w:hAnsi="Times New Roman" w:cs="Times New Roman"/>
          <w:noProof/>
          <w:sz w:val="24"/>
          <w:szCs w:val="24"/>
          <w:lang w:val="en-GB"/>
        </w:rPr>
        <w:t xml:space="preserve">On the contrary, Spain had an absolute lower number of EU28 movers, with a 1% decrease </w:t>
      </w:r>
      <w:r>
        <w:rPr>
          <w:rFonts w:ascii="Times New Roman" w:hAnsi="Times New Roman" w:cs="Times New Roman"/>
          <w:noProof/>
          <w:sz w:val="24"/>
          <w:szCs w:val="24"/>
        </w:rPr>
        <w:t>compared to 2016. This continues a (slowing) downward trend observed since 2014. The main countries of origin remain unchanged from 2016, with Romania</w:t>
      </w:r>
      <w:r>
        <w:rPr>
          <w:rFonts w:ascii="Times New Roman" w:hAnsi="Times New Roman" w:cs="Times New Roman"/>
          <w:noProof/>
          <w:sz w:val="24"/>
          <w:szCs w:val="24"/>
        </w:rPr>
        <w:t>n, Polish, Portuguese, Italian and Bulgarian nationals constituting the largest groups at EU level. Together their numbers reach around 6.6 million people, more than half of the total EU-28 movers in the EU.</w:t>
      </w:r>
      <w:r>
        <w:rPr>
          <w:rFonts w:ascii="Times New Roman" w:hAnsi="Times New Roman"/>
          <w:noProof/>
          <w:sz w:val="24"/>
          <w:lang w:val="en-GB"/>
        </w:rPr>
        <w:t xml:space="preserve"> In proportion to the population, the highest out</w:t>
      </w:r>
      <w:r>
        <w:rPr>
          <w:rFonts w:ascii="Times New Roman" w:hAnsi="Times New Roman"/>
          <w:noProof/>
          <w:sz w:val="24"/>
          <w:lang w:val="en-GB"/>
        </w:rPr>
        <w:t>flows are recorded in Lithuania, Romania and Latvia; a rising trend could be observed in Lithuania, Romaina, Latvia, Estonia and Croatia. The main countries of origin and countries of destination remain unchanged when focusing on economically active citize</w:t>
      </w:r>
      <w:r>
        <w:rPr>
          <w:rFonts w:ascii="Times New Roman" w:hAnsi="Times New Roman"/>
          <w:noProof/>
          <w:sz w:val="24"/>
          <w:lang w:val="en-GB"/>
        </w:rPr>
        <w:t>ns (i.e. employed persons and jobseekers).</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Studying abroad is beneficial for skills development and better future labour market prospects</w:t>
      </w:r>
      <w:r>
        <w:rPr>
          <w:rFonts w:ascii="Times New Roman" w:hAnsi="Times New Roman"/>
          <w:noProof/>
          <w:sz w:val="24"/>
          <w:lang w:val="en-GB"/>
        </w:rPr>
        <w:t>. Mobile students contribute to knowledge development, stronger cultural awareness, technology upgrading and capacity b</w:t>
      </w:r>
      <w:r>
        <w:rPr>
          <w:rFonts w:ascii="Times New Roman" w:hAnsi="Times New Roman"/>
          <w:noProof/>
          <w:sz w:val="24"/>
          <w:lang w:val="en-GB"/>
        </w:rPr>
        <w:t>uilding in their country when they return home after studying abroad. Moreover, students’ exchanges between countries enhance opportunities for collaboration between academic institutions, contributing to the European goal of opening up and modernising edu</w:t>
      </w:r>
      <w:r>
        <w:rPr>
          <w:rFonts w:ascii="Times New Roman" w:hAnsi="Times New Roman"/>
          <w:noProof/>
          <w:sz w:val="24"/>
          <w:lang w:val="en-GB"/>
        </w:rPr>
        <w:t>cation systems. Yet only small shares of Europeans are mobile graduates. In 2016, only 10.7 % of higher education graduates originating from EU Member States were mobile; 3.1 % were degree mobile and graduated in a different country from that in which they</w:t>
      </w:r>
      <w:r>
        <w:rPr>
          <w:rFonts w:ascii="Times New Roman" w:hAnsi="Times New Roman"/>
          <w:noProof/>
          <w:sz w:val="24"/>
          <w:lang w:val="en-GB"/>
        </w:rPr>
        <w:t xml:space="preserve"> got their diploma, while 7.6 % had a credit mobility stay and spent a temporary study period or/and work placement abroad.  The Member States with the highest shares of outward mobile graduates are Luxembourg (84.4%), the Netherlands (23.2%), and Finland </w:t>
      </w:r>
      <w:r>
        <w:rPr>
          <w:rFonts w:ascii="Times New Roman" w:hAnsi="Times New Roman"/>
          <w:noProof/>
          <w:sz w:val="24"/>
          <w:lang w:val="en-GB"/>
        </w:rPr>
        <w:t xml:space="preserve">(19.5%). Other four EU Member States have student mobility rates above 15 % (Germany, France, Cyprus and Lithuania). Mobility patterns between countries are explained by several factors, such as geographical proximity, language ties or the availability of </w:t>
      </w:r>
      <w:r>
        <w:rPr>
          <w:rFonts w:ascii="Times New Roman" w:hAnsi="Times New Roman"/>
          <w:noProof/>
          <w:sz w:val="24"/>
          <w:lang w:val="en-GB"/>
        </w:rPr>
        <w:t>English language programmes in non-English speaking countries. The teaching quality of universities and their reputation also represent strong attracting factors.</w:t>
      </w:r>
    </w:p>
    <w:p w:rsidR="00EF5220" w:rsidRDefault="00EF2564">
      <w:pPr>
        <w:autoSpaceDE w:val="0"/>
        <w:autoSpaceDN w:val="0"/>
        <w:adjustRightInd w:val="0"/>
        <w:spacing w:line="360" w:lineRule="auto"/>
        <w:jc w:val="both"/>
        <w:rPr>
          <w:rFonts w:ascii="Times New Roman" w:hAnsi="Times New Roman"/>
          <w:noProof/>
          <w:sz w:val="24"/>
          <w:lang w:val="en-GB"/>
        </w:rPr>
      </w:pPr>
      <w:r>
        <w:rPr>
          <w:rFonts w:ascii="Times New Roman" w:hAnsi="Times New Roman"/>
          <w:b/>
          <w:noProof/>
          <w:sz w:val="24"/>
          <w:lang w:val="en-GB"/>
        </w:rPr>
        <w:t>Social dialogue, whether bipartite or tripartite, is a key element of the European social mar</w:t>
      </w:r>
      <w:r>
        <w:rPr>
          <w:rFonts w:ascii="Times New Roman" w:hAnsi="Times New Roman"/>
          <w:b/>
          <w:noProof/>
          <w:sz w:val="24"/>
          <w:lang w:val="en-GB"/>
        </w:rPr>
        <w:t>ket economy.</w:t>
      </w:r>
      <w:r>
        <w:rPr>
          <w:rFonts w:ascii="Times New Roman" w:hAnsi="Times New Roman"/>
          <w:noProof/>
          <w:sz w:val="24"/>
          <w:lang w:val="en-GB"/>
        </w:rPr>
        <w:t xml:space="preserve"> It enables promoting agreements and policy measures that balance the interests of both sides of industry. Effective social dialogue finds solutions which are acceptable to the involved partners, and thus reduces conflicts in the society and st</w:t>
      </w:r>
      <w:r>
        <w:rPr>
          <w:rFonts w:ascii="Times New Roman" w:hAnsi="Times New Roman"/>
          <w:noProof/>
          <w:sz w:val="24"/>
          <w:lang w:val="en-GB"/>
        </w:rPr>
        <w:t>rengthens social cohesion. An important element for such dialogue is the mutual respect and trust between the partners, which comes along with the experience of previous good cooperation and the value added of such negotiated results. To allow for such neg</w:t>
      </w:r>
      <w:r>
        <w:rPr>
          <w:rFonts w:ascii="Times New Roman" w:hAnsi="Times New Roman"/>
          <w:noProof/>
          <w:sz w:val="24"/>
          <w:lang w:val="en-GB"/>
        </w:rPr>
        <w:t xml:space="preserve">otiations, the social partners need to be independent of each other and of the government (autonomy of social partners). Hence, social dialogue is to the advantage of workers, employers and governments. The </w:t>
      </w:r>
      <w:r>
        <w:rPr>
          <w:rFonts w:ascii="Times New Roman" w:hAnsi="Times New Roman" w:cs="Times New Roman"/>
          <w:noProof/>
          <w:color w:val="000000"/>
          <w:sz w:val="24"/>
          <w:szCs w:val="24"/>
        </w:rPr>
        <w:t>‘</w:t>
      </w:r>
      <w:r>
        <w:rPr>
          <w:rFonts w:ascii="Times New Roman" w:hAnsi="Times New Roman" w:cs="Times New Roman"/>
          <w:noProof/>
          <w:color w:val="000000"/>
          <w:sz w:val="24"/>
          <w:szCs w:val="24"/>
          <w:lang w:val="en-GB"/>
        </w:rPr>
        <w:t>N</w:t>
      </w:r>
      <w:r>
        <w:rPr>
          <w:rFonts w:ascii="Times New Roman" w:hAnsi="Times New Roman" w:cs="Times New Roman"/>
          <w:noProof/>
          <w:color w:val="000000"/>
          <w:sz w:val="24"/>
          <w:szCs w:val="24"/>
        </w:rPr>
        <w:t xml:space="preserve">ew </w:t>
      </w:r>
      <w:r>
        <w:rPr>
          <w:rFonts w:ascii="Times New Roman" w:hAnsi="Times New Roman" w:cs="Times New Roman"/>
          <w:noProof/>
          <w:color w:val="000000"/>
          <w:sz w:val="24"/>
          <w:szCs w:val="24"/>
          <w:lang w:val="en-GB"/>
        </w:rPr>
        <w:t>S</w:t>
      </w:r>
      <w:r>
        <w:rPr>
          <w:rFonts w:ascii="Times New Roman" w:hAnsi="Times New Roman" w:cs="Times New Roman"/>
          <w:noProof/>
          <w:color w:val="000000"/>
          <w:sz w:val="24"/>
          <w:szCs w:val="24"/>
        </w:rPr>
        <w:t xml:space="preserve">tart for </w:t>
      </w:r>
      <w:r>
        <w:rPr>
          <w:rFonts w:ascii="Times New Roman" w:hAnsi="Times New Roman" w:cs="Times New Roman"/>
          <w:noProof/>
          <w:color w:val="000000"/>
          <w:sz w:val="24"/>
          <w:szCs w:val="24"/>
          <w:lang w:val="en-GB"/>
        </w:rPr>
        <w:t>S</w:t>
      </w:r>
      <w:r>
        <w:rPr>
          <w:rFonts w:ascii="Times New Roman" w:hAnsi="Times New Roman" w:cs="Times New Roman"/>
          <w:noProof/>
          <w:color w:val="000000"/>
          <w:sz w:val="24"/>
          <w:szCs w:val="24"/>
        </w:rPr>
        <w:t xml:space="preserve">ocial </w:t>
      </w:r>
      <w:r>
        <w:rPr>
          <w:rFonts w:ascii="Times New Roman" w:hAnsi="Times New Roman" w:cs="Times New Roman"/>
          <w:noProof/>
          <w:color w:val="000000"/>
          <w:sz w:val="24"/>
          <w:szCs w:val="24"/>
          <w:lang w:val="en-GB"/>
        </w:rPr>
        <w:t>D</w:t>
      </w:r>
      <w:r>
        <w:rPr>
          <w:rFonts w:ascii="Times New Roman" w:hAnsi="Times New Roman" w:cs="Times New Roman"/>
          <w:noProof/>
          <w:color w:val="000000"/>
          <w:sz w:val="24"/>
          <w:szCs w:val="24"/>
        </w:rPr>
        <w:t>ialogue’</w:t>
      </w:r>
      <w:r>
        <w:rPr>
          <w:rFonts w:ascii="Times New Roman" w:hAnsi="Times New Roman" w:cs="Times New Roman"/>
          <w:noProof/>
          <w:color w:val="000000"/>
          <w:sz w:val="24"/>
          <w:szCs w:val="24"/>
          <w:lang w:val="en-GB"/>
        </w:rPr>
        <w:t xml:space="preserve"> initiative </w:t>
      </w:r>
      <w:r>
        <w:rPr>
          <w:rFonts w:ascii="Times New Roman" w:hAnsi="Times New Roman" w:cs="Times New Roman"/>
          <w:noProof/>
          <w:color w:val="000000"/>
          <w:sz w:val="24"/>
          <w:szCs w:val="24"/>
        </w:rPr>
        <w:t>launched in March 2015</w:t>
      </w:r>
      <w:r>
        <w:rPr>
          <w:rFonts w:ascii="Times New Roman" w:hAnsi="Times New Roman" w:cs="Times New Roman"/>
          <w:noProof/>
          <w:color w:val="000000"/>
          <w:sz w:val="24"/>
          <w:szCs w:val="24"/>
          <w:lang w:val="en-GB"/>
        </w:rPr>
        <w:t xml:space="preserve">, the </w:t>
      </w:r>
      <w:r>
        <w:rPr>
          <w:rFonts w:ascii="Times New Roman" w:hAnsi="Times New Roman" w:cs="Times New Roman"/>
          <w:noProof/>
          <w:color w:val="000000"/>
          <w:sz w:val="24"/>
          <w:szCs w:val="24"/>
        </w:rPr>
        <w:t xml:space="preserve">Council conclusions </w:t>
      </w:r>
      <w:r>
        <w:rPr>
          <w:rFonts w:ascii="Times New Roman" w:hAnsi="Times New Roman"/>
          <w:noProof/>
          <w:color w:val="000000"/>
          <w:sz w:val="24"/>
          <w:szCs w:val="24"/>
        </w:rPr>
        <w:t>and the Quadripar</w:t>
      </w:r>
      <w:r>
        <w:rPr>
          <w:rFonts w:ascii="Times New Roman" w:hAnsi="Times New Roman"/>
          <w:noProof/>
          <w:color w:val="000000"/>
          <w:sz w:val="24"/>
          <w:szCs w:val="24"/>
          <w:lang w:val="en-GB"/>
        </w:rPr>
        <w:t>t</w:t>
      </w:r>
      <w:r>
        <w:rPr>
          <w:rFonts w:ascii="Times New Roman" w:hAnsi="Times New Roman"/>
          <w:noProof/>
          <w:color w:val="000000"/>
          <w:sz w:val="24"/>
          <w:szCs w:val="24"/>
        </w:rPr>
        <w:t xml:space="preserve">ite Statement signed by the European social partners, the Commission and the Netherlands Presidency on behalf of the Council </w:t>
      </w:r>
      <w:r>
        <w:rPr>
          <w:rFonts w:ascii="Times New Roman" w:hAnsi="Times New Roman" w:cs="Times New Roman"/>
          <w:noProof/>
          <w:color w:val="000000"/>
          <w:sz w:val="24"/>
          <w:szCs w:val="24"/>
        </w:rPr>
        <w:t>on ‘A new start for a strong social dialogue’</w:t>
      </w:r>
      <w:r>
        <w:rPr>
          <w:rFonts w:ascii="Times New Roman" w:hAnsi="Times New Roman" w:cs="Times New Roman"/>
          <w:noProof/>
          <w:color w:val="000000"/>
          <w:sz w:val="24"/>
          <w:szCs w:val="24"/>
          <w:lang w:val="en-GB"/>
        </w:rPr>
        <w:t>, both</w:t>
      </w: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lang w:val="en-GB"/>
        </w:rPr>
        <w:t>adopted in Ju</w:t>
      </w:r>
      <w:r>
        <w:rPr>
          <w:rFonts w:ascii="Times New Roman" w:hAnsi="Times New Roman" w:cs="Times New Roman"/>
          <w:noProof/>
          <w:color w:val="000000"/>
          <w:sz w:val="24"/>
          <w:szCs w:val="24"/>
          <w:lang w:val="en-GB"/>
        </w:rPr>
        <w:t xml:space="preserve">ne 2016, </w:t>
      </w:r>
      <w:r>
        <w:rPr>
          <w:rFonts w:ascii="Times New Roman" w:hAnsi="Times New Roman" w:cs="Times New Roman"/>
          <w:noProof/>
          <w:color w:val="000000"/>
          <w:sz w:val="24"/>
          <w:szCs w:val="24"/>
        </w:rPr>
        <w:t>call on the Member States to closely involve social partners in the design and implementation of relevant reforms and policies, in line with national practices.</w:t>
      </w:r>
      <w:r>
        <w:rPr>
          <w:rFonts w:ascii="Times New Roman" w:hAnsi="Times New Roman" w:cs="Times New Roman"/>
          <w:noProof/>
          <w:color w:val="000000"/>
          <w:sz w:val="24"/>
          <w:szCs w:val="24"/>
          <w:lang w:val="en-GB"/>
        </w:rPr>
        <w:t xml:space="preserve"> </w:t>
      </w:r>
      <w:r>
        <w:rPr>
          <w:rFonts w:ascii="Times New Roman" w:hAnsi="Times New Roman"/>
          <w:noProof/>
          <w:sz w:val="24"/>
          <w:lang w:val="en-GB"/>
        </w:rPr>
        <w:t>The European Pillar of Social Rights and the new Employment Guideline 7 restate that s</w:t>
      </w:r>
      <w:r>
        <w:rPr>
          <w:rFonts w:ascii="Times New Roman" w:hAnsi="Times New Roman"/>
          <w:noProof/>
          <w:sz w:val="24"/>
          <w:lang w:val="en-GB"/>
        </w:rPr>
        <w:t xml:space="preserve">ocial dialogue is a core value of the European Union. </w:t>
      </w:r>
    </w:p>
    <w:p w:rsidR="00EF5220" w:rsidRDefault="00EF2564">
      <w:pPr>
        <w:autoSpaceDE w:val="0"/>
        <w:autoSpaceDN w:val="0"/>
        <w:adjustRightInd w:val="0"/>
        <w:spacing w:line="360" w:lineRule="auto"/>
        <w:jc w:val="both"/>
        <w:rPr>
          <w:rFonts w:ascii="Times New Roman" w:hAnsi="Times New Roman"/>
          <w:noProof/>
          <w:sz w:val="24"/>
          <w:lang w:val="en-GB"/>
        </w:rPr>
      </w:pPr>
      <w:r>
        <w:rPr>
          <w:rFonts w:ascii="Times New Roman" w:hAnsi="Times New Roman"/>
          <w:b/>
          <w:noProof/>
          <w:sz w:val="24"/>
          <w:lang w:val="en-GB"/>
        </w:rPr>
        <w:t>The European Union faces a diversity of national social dialogue systems.</w:t>
      </w:r>
      <w:r>
        <w:rPr>
          <w:rFonts w:ascii="Times New Roman" w:hAnsi="Times New Roman"/>
          <w:noProof/>
          <w:sz w:val="24"/>
          <w:lang w:val="en-GB"/>
        </w:rPr>
        <w:t xml:space="preserve"> These differences are mainly related to divergent institutional frameworks and operational capacities of social partner organis</w:t>
      </w:r>
      <w:r>
        <w:rPr>
          <w:rFonts w:ascii="Times New Roman" w:hAnsi="Times New Roman"/>
          <w:noProof/>
          <w:sz w:val="24"/>
          <w:lang w:val="en-GB"/>
        </w:rPr>
        <w:t>ations, contributing to important differentials in the quality of social dialogue. While there is no one-size-fits-all model, timely and meaningful involvement of social partners in policy design and implementation, including by providing support for incre</w:t>
      </w:r>
      <w:r>
        <w:rPr>
          <w:rFonts w:ascii="Times New Roman" w:hAnsi="Times New Roman"/>
          <w:noProof/>
          <w:sz w:val="24"/>
          <w:lang w:val="en-GB"/>
        </w:rPr>
        <w:t xml:space="preserve">ased capacity of social partners, should be considered as a common denominator for well performing and effective tripartite social dialogue systems,. The latter is equally true for bipartite social dialogue. </w:t>
      </w:r>
    </w:p>
    <w:p w:rsidR="00EF5220" w:rsidRDefault="00EF2564">
      <w:pPr>
        <w:spacing w:before="120" w:line="360" w:lineRule="auto"/>
        <w:jc w:val="both"/>
        <w:rPr>
          <w:rFonts w:ascii="Times New Roman" w:hAnsi="Times New Roman" w:cs="Times New Roman"/>
          <w:bCs/>
          <w:noProof/>
          <w:sz w:val="24"/>
          <w:szCs w:val="24"/>
          <w:lang w:val="en-GB"/>
        </w:rPr>
      </w:pPr>
      <w:r>
        <w:rPr>
          <w:rFonts w:ascii="Times New Roman" w:hAnsi="Times New Roman" w:cs="Times New Roman"/>
          <w:b/>
          <w:bCs/>
          <w:noProof/>
          <w:sz w:val="24"/>
          <w:szCs w:val="24"/>
          <w:lang w:val="en-GB"/>
        </w:rPr>
        <w:t>The capacity of social partners plays an import</w:t>
      </w:r>
      <w:r>
        <w:rPr>
          <w:rFonts w:ascii="Times New Roman" w:hAnsi="Times New Roman" w:cs="Times New Roman"/>
          <w:b/>
          <w:bCs/>
          <w:noProof/>
          <w:sz w:val="24"/>
          <w:szCs w:val="24"/>
          <w:lang w:val="en-GB"/>
        </w:rPr>
        <w:t>ant role in shaping the social dialogue</w:t>
      </w:r>
      <w:r>
        <w:rPr>
          <w:rFonts w:ascii="Times New Roman" w:hAnsi="Times New Roman" w:cs="Times New Roman"/>
          <w:bCs/>
          <w:noProof/>
          <w:sz w:val="24"/>
          <w:szCs w:val="24"/>
          <w:lang w:val="en-GB"/>
        </w:rPr>
        <w:t>.   Social partners' membership figures provide some indication of their capacity to represent the respective collective interests of either side of industry (</w:t>
      </w:r>
      <w:r>
        <w:rPr>
          <w:rFonts w:ascii="Times New Roman" w:hAnsi="Times New Roman" w:cs="Times New Roman"/>
          <w:noProof/>
          <w:sz w:val="24"/>
          <w:szCs w:val="24"/>
          <w:lang w:val="en-GB"/>
        </w:rPr>
        <w:t>Figure 58</w:t>
      </w:r>
      <w:r>
        <w:rPr>
          <w:rFonts w:ascii="Times New Roman" w:hAnsi="Times New Roman" w:cs="Times New Roman"/>
          <w:bCs/>
          <w:noProof/>
          <w:sz w:val="24"/>
          <w:szCs w:val="24"/>
          <w:lang w:val="en-GB"/>
        </w:rPr>
        <w:t>). The larger their membership and the more repre</w:t>
      </w:r>
      <w:r>
        <w:rPr>
          <w:rFonts w:ascii="Times New Roman" w:hAnsi="Times New Roman" w:cs="Times New Roman"/>
          <w:bCs/>
          <w:noProof/>
          <w:sz w:val="24"/>
          <w:szCs w:val="24"/>
          <w:lang w:val="en-GB"/>
        </w:rPr>
        <w:t>sentative, the stronger their voice and mandate arguably is. Still, these figures do not provide a full picture. For instance, in certain Member States with low measured union density (e.g. France), trade unions may enjoy fairly broad support also from non</w:t>
      </w:r>
      <w:r>
        <w:rPr>
          <w:rFonts w:ascii="Times New Roman" w:hAnsi="Times New Roman" w:cs="Times New Roman"/>
          <w:bCs/>
          <w:noProof/>
          <w:sz w:val="24"/>
          <w:szCs w:val="24"/>
          <w:lang w:val="en-GB"/>
        </w:rPr>
        <w:t>-members (see Eurobarometer data on trust in unions) and have a strong capacity to participate in policy developments. In most Member States, union density has been in decline since the 1980s, with employer density somewhat more stable. Beyond aggregate me</w:t>
      </w:r>
      <w:r>
        <w:rPr>
          <w:rFonts w:ascii="Times New Roman" w:hAnsi="Times New Roman" w:cs="Times New Roman"/>
          <w:bCs/>
          <w:noProof/>
          <w:sz w:val="24"/>
          <w:szCs w:val="24"/>
          <w:lang w:val="en-GB"/>
        </w:rPr>
        <w:t>mbership figures, representation structure – more or less fragmented – may also impact the capacity of social partners, especially when fragmented representation is weakly coordinated.</w:t>
      </w:r>
    </w:p>
    <w:p w:rsidR="00EF5220" w:rsidRDefault="00EF5220">
      <w:pPr>
        <w:pStyle w:val="caption2"/>
        <w:keepNext/>
        <w:rPr>
          <w:rFonts w:ascii="Times New Roman" w:hAnsi="Times New Roman" w:cs="Times New Roman"/>
          <w:noProof/>
          <w:color w:val="auto"/>
          <w:sz w:val="24"/>
          <w:szCs w:val="24"/>
          <w:lang w:val="en-GB"/>
        </w:rPr>
      </w:pPr>
      <w:bookmarkStart w:id="65" w:name="_Ref527565603"/>
    </w:p>
    <w:p w:rsidR="00EF5220" w:rsidRDefault="00EF5220">
      <w:pPr>
        <w:rPr>
          <w:noProof/>
          <w:lang w:val="en-GB"/>
        </w:rPr>
      </w:pPr>
    </w:p>
    <w:p w:rsidR="00EF5220" w:rsidRDefault="00EF2564">
      <w:pPr>
        <w:pStyle w:val="caption2"/>
        <w:keepNext/>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Figure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58</w:t>
      </w:r>
      <w:r>
        <w:rPr>
          <w:rFonts w:ascii="Times New Roman" w:hAnsi="Times New Roman" w:cs="Times New Roman"/>
          <w:noProof/>
          <w:color w:val="auto"/>
          <w:sz w:val="24"/>
          <w:szCs w:val="24"/>
          <w:lang w:val="en-GB"/>
        </w:rPr>
        <w:fldChar w:fldCharType="end"/>
      </w:r>
      <w:bookmarkEnd w:id="65"/>
      <w:r>
        <w:rPr>
          <w:rFonts w:ascii="Times New Roman" w:hAnsi="Times New Roman" w:cs="Times New Roman"/>
          <w:noProof/>
          <w:color w:val="auto"/>
          <w:sz w:val="24"/>
          <w:szCs w:val="24"/>
          <w:lang w:val="en-GB"/>
        </w:rPr>
        <w:t>: Trade union density rate</w:t>
      </w:r>
    </w:p>
    <w:p w:rsidR="00EF5220" w:rsidRDefault="00EF2564">
      <w:pPr>
        <w:spacing w:after="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bidi="ar-SA"/>
        </w:rPr>
        <w:drawing>
          <wp:inline distT="0" distB="0" distL="0" distR="0">
            <wp:extent cx="5829300" cy="2266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829907" cy="2267186"/>
                    </a:xfrm>
                    <a:prstGeom prst="rect">
                      <a:avLst/>
                    </a:prstGeom>
                    <a:noFill/>
                  </pic:spPr>
                </pic:pic>
              </a:graphicData>
            </a:graphic>
          </wp:inline>
        </w:drawing>
      </w:r>
    </w:p>
    <w:p w:rsidR="00EF5220" w:rsidRDefault="00EF2564">
      <w:pPr>
        <w:jc w:val="both"/>
        <w:rPr>
          <w:rFonts w:ascii="Times New Roman" w:hAnsi="Times New Roman" w:cs="Times New Roman"/>
          <w:noProof/>
          <w:sz w:val="18"/>
          <w:szCs w:val="24"/>
          <w:lang w:val="en-GB"/>
        </w:rPr>
      </w:pPr>
      <w:r>
        <w:rPr>
          <w:rFonts w:ascii="Times New Roman" w:hAnsi="Times New Roman" w:cs="Times New Roman"/>
          <w:noProof/>
          <w:sz w:val="18"/>
          <w:szCs w:val="24"/>
          <w:lang w:val="en-GB"/>
        </w:rPr>
        <w:t xml:space="preserve">Source: OECD and ICTWSS database (the source containing more recent data per MS was used). Note: calculated as a share of employees that are trade union members. Data years: 2017 for SE, 2016 for AT, CZ, DK,FI, DE, HU, IE, IT, LT, NL, UK; 2015 for BE, EE, </w:t>
      </w:r>
      <w:r>
        <w:rPr>
          <w:rFonts w:ascii="Times New Roman" w:hAnsi="Times New Roman" w:cs="Times New Roman"/>
          <w:noProof/>
          <w:sz w:val="18"/>
          <w:szCs w:val="24"/>
          <w:lang w:val="en-GB"/>
        </w:rPr>
        <w:t>FR, LV, LU, PT, SK, SI, ES; 2014 for PL; 2013 for CY, EL; 2012 for HR, MT, BG and RO. The data on employer density for a number of Member States have been updated less frequently in the recent years; therefore, it is not presented in a chart.</w:t>
      </w:r>
    </w:p>
    <w:p w:rsidR="00EF5220" w:rsidRDefault="00EF5220">
      <w:pPr>
        <w:autoSpaceDE w:val="0"/>
        <w:autoSpaceDN w:val="0"/>
        <w:adjustRightInd w:val="0"/>
        <w:spacing w:line="360" w:lineRule="auto"/>
        <w:jc w:val="both"/>
        <w:rPr>
          <w:rFonts w:ascii="Times New Roman" w:hAnsi="Times New Roman" w:cs="Times New Roman"/>
          <w:b/>
          <w:bCs/>
          <w:noProof/>
          <w:sz w:val="24"/>
          <w:szCs w:val="24"/>
          <w:lang w:val="en-GB"/>
        </w:rPr>
      </w:pPr>
    </w:p>
    <w:p w:rsidR="00EF5220" w:rsidRDefault="00EF2564">
      <w:pPr>
        <w:autoSpaceDE w:val="0"/>
        <w:autoSpaceDN w:val="0"/>
        <w:adjustRightInd w:val="0"/>
        <w:spacing w:line="360" w:lineRule="auto"/>
        <w:jc w:val="both"/>
        <w:rPr>
          <w:rFonts w:ascii="Times New Roman" w:hAnsi="Times New Roman" w:cs="Times New Roman"/>
          <w:bCs/>
          <w:noProof/>
          <w:sz w:val="24"/>
          <w:szCs w:val="24"/>
          <w:lang w:val="en-GB"/>
        </w:rPr>
      </w:pPr>
      <w:r>
        <w:rPr>
          <w:rFonts w:ascii="Times New Roman" w:hAnsi="Times New Roman" w:cs="Times New Roman"/>
          <w:b/>
          <w:bCs/>
          <w:noProof/>
          <w:sz w:val="24"/>
          <w:szCs w:val="24"/>
          <w:lang w:val="en-GB"/>
        </w:rPr>
        <w:t>The capacity</w:t>
      </w:r>
      <w:r>
        <w:rPr>
          <w:rFonts w:ascii="Times New Roman" w:hAnsi="Times New Roman" w:cs="Times New Roman"/>
          <w:b/>
          <w:bCs/>
          <w:noProof/>
          <w:sz w:val="24"/>
          <w:szCs w:val="24"/>
          <w:lang w:val="en-GB"/>
        </w:rPr>
        <w:t xml:space="preserve"> building measures are supported by the European Structural and Investment Funds in a number of Member States</w:t>
      </w:r>
      <w:r>
        <w:rPr>
          <w:rFonts w:ascii="Times New Roman" w:hAnsi="Times New Roman" w:cs="Times New Roman"/>
          <w:bCs/>
          <w:noProof/>
          <w:sz w:val="24"/>
          <w:szCs w:val="24"/>
          <w:lang w:val="en-GB"/>
        </w:rPr>
        <w:t>. Financial support has been allocated, among others, in Bulgaria, Cyprus, Czechia, Greece, France, Lithuania, Latvia, Poland, Slovakia and Portugal. In Portugal, the European Social Fund (ESF) supports the institutional capacity building of social partner</w:t>
      </w:r>
      <w:r>
        <w:rPr>
          <w:rFonts w:ascii="Times New Roman" w:hAnsi="Times New Roman" w:cs="Times New Roman"/>
          <w:bCs/>
          <w:noProof/>
          <w:sz w:val="24"/>
          <w:szCs w:val="24"/>
          <w:lang w:val="en-GB"/>
        </w:rPr>
        <w:t>s in view of their important role in the modernization of labour market institutions, including the management and implementation of active labour market policies and vocational education and training. In Latvia, the ESF supports strengthening of the bipar</w:t>
      </w:r>
      <w:r>
        <w:rPr>
          <w:rFonts w:ascii="Times New Roman" w:hAnsi="Times New Roman" w:cs="Times New Roman"/>
          <w:bCs/>
          <w:noProof/>
          <w:sz w:val="24"/>
          <w:szCs w:val="24"/>
          <w:lang w:val="en-GB"/>
        </w:rPr>
        <w:t xml:space="preserve">tite social dialogue. The goal of the projects is to develop a legal framework to facilitate social dialogue in different sectors. </w:t>
      </w:r>
      <w:r>
        <w:rPr>
          <w:rFonts w:ascii="Times New Roman" w:hAnsi="Times New Roman"/>
          <w:noProof/>
          <w:sz w:val="24"/>
          <w:lang w:val="en-GB"/>
        </w:rPr>
        <w:t>Yet, there is room for improving the take up of available EU funding in several Member States in order to increase the capaci</w:t>
      </w:r>
      <w:r>
        <w:rPr>
          <w:rFonts w:ascii="Times New Roman" w:hAnsi="Times New Roman"/>
          <w:noProof/>
          <w:sz w:val="24"/>
          <w:lang w:val="en-GB"/>
        </w:rPr>
        <w:t>ty of social partners.</w:t>
      </w:r>
    </w:p>
    <w:p w:rsidR="00EF5220" w:rsidRDefault="00EF2564">
      <w:pPr>
        <w:autoSpaceDE w:val="0"/>
        <w:autoSpaceDN w:val="0"/>
        <w:adjustRightInd w:val="0"/>
        <w:spacing w:line="36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 xml:space="preserve">The changing world of work offer new opportunities for social partner organisations but also poses new threats. </w:t>
      </w:r>
      <w:r>
        <w:rPr>
          <w:rFonts w:ascii="Times New Roman" w:hAnsi="Times New Roman" w:cs="Times New Roman"/>
          <w:noProof/>
          <w:sz w:val="24"/>
          <w:szCs w:val="24"/>
          <w:lang w:val="en-GB"/>
        </w:rPr>
        <w:t>Already now, workers under different contractual arrangements show very different representation patterns. In particular,</w:t>
      </w:r>
      <w:r>
        <w:rPr>
          <w:rFonts w:ascii="Times New Roman" w:hAnsi="Times New Roman" w:cs="Times New Roman"/>
          <w:noProof/>
          <w:sz w:val="24"/>
          <w:szCs w:val="24"/>
          <w:lang w:val="en-GB"/>
        </w:rPr>
        <w:t xml:space="preserve"> employees with permanent contracts are affiliated to a trade union to a significantly higher degree than workers on fixed-term contracts. In addition, most of the newer forms of employment suffer from a lack of representation. Research from the Netherland</w:t>
      </w:r>
      <w:r>
        <w:rPr>
          <w:rFonts w:ascii="Times New Roman" w:hAnsi="Times New Roman" w:cs="Times New Roman"/>
          <w:noProof/>
          <w:sz w:val="24"/>
          <w:szCs w:val="24"/>
          <w:lang w:val="en-GB"/>
        </w:rPr>
        <w:t>s suggests that these developments may impact the outcome of collective bargaining, with lower wage increases in sectors with many independent workers (and lower membership) compared to other sectors</w:t>
      </w:r>
      <w:r>
        <w:rPr>
          <w:rStyle w:val="FootnoteReference"/>
          <w:rFonts w:ascii="Times New Roman" w:hAnsi="Times New Roman" w:cs="Times New Roman"/>
          <w:noProof/>
          <w:sz w:val="24"/>
          <w:szCs w:val="24"/>
          <w:lang w:val="en-GB"/>
        </w:rPr>
        <w:footnoteReference w:id="79"/>
      </w:r>
      <w:r>
        <w:rPr>
          <w:rFonts w:ascii="Times New Roman" w:hAnsi="Times New Roman" w:cs="Times New Roman"/>
          <w:noProof/>
          <w:sz w:val="24"/>
          <w:szCs w:val="24"/>
          <w:lang w:val="en-GB"/>
        </w:rPr>
        <w:t>. At the same time, enterprises in the expanding service</w:t>
      </w:r>
      <w:r>
        <w:rPr>
          <w:rFonts w:ascii="Times New Roman" w:hAnsi="Times New Roman" w:cs="Times New Roman"/>
          <w:noProof/>
          <w:sz w:val="24"/>
          <w:szCs w:val="24"/>
          <w:lang w:val="en-GB"/>
        </w:rPr>
        <w:t xml:space="preserve"> sector are less likely to be members of employer organisations than those in industry. In recent years, social partners' organisations have taken initiatives to attract new members, or strengthen the voice of certain underrepresented groups (youth and pla</w:t>
      </w:r>
      <w:r>
        <w:rPr>
          <w:rFonts w:ascii="Times New Roman" w:hAnsi="Times New Roman" w:cs="Times New Roman"/>
          <w:noProof/>
          <w:sz w:val="24"/>
          <w:szCs w:val="24"/>
          <w:lang w:val="en-GB"/>
        </w:rPr>
        <w:t>tform workers) through targeted strategies and recruitment efforts and creating specific structures within the organisation</w:t>
      </w:r>
      <w:r>
        <w:rPr>
          <w:rStyle w:val="FootnoteReference"/>
          <w:rFonts w:ascii="Times New Roman" w:hAnsi="Times New Roman" w:cs="Times New Roman"/>
          <w:noProof/>
          <w:sz w:val="24"/>
          <w:szCs w:val="24"/>
          <w:lang w:val="en-GB"/>
        </w:rPr>
        <w:footnoteReference w:id="80"/>
      </w:r>
      <w:r>
        <w:rPr>
          <w:rFonts w:ascii="Times New Roman" w:hAnsi="Times New Roman" w:cs="Times New Roman"/>
          <w:noProof/>
          <w:sz w:val="24"/>
          <w:szCs w:val="24"/>
          <w:lang w:val="en-GB"/>
        </w:rPr>
        <w:t>.</w:t>
      </w:r>
    </w:p>
    <w:p w:rsidR="00EF5220" w:rsidRDefault="00EF2564">
      <w:pPr>
        <w:autoSpaceDE w:val="0"/>
        <w:autoSpaceDN w:val="0"/>
        <w:adjustRightInd w:val="0"/>
        <w:spacing w:line="360" w:lineRule="auto"/>
        <w:jc w:val="both"/>
        <w:rPr>
          <w:rFonts w:ascii="Times New Roman" w:hAnsi="Times New Roman" w:cs="Times New Roman"/>
          <w:bCs/>
          <w:noProof/>
          <w:sz w:val="24"/>
          <w:szCs w:val="24"/>
          <w:lang w:val="en-GB"/>
        </w:rPr>
      </w:pPr>
      <w:r>
        <w:rPr>
          <w:rFonts w:ascii="Times New Roman" w:hAnsi="Times New Roman" w:cs="Times New Roman"/>
          <w:b/>
          <w:bCs/>
          <w:noProof/>
          <w:sz w:val="24"/>
          <w:szCs w:val="24"/>
          <w:lang w:val="en-GB"/>
        </w:rPr>
        <w:t>In the EU, the representativeness of social partner organisations is typically assessed using two different principles</w:t>
      </w:r>
      <w:r>
        <w:rPr>
          <w:rFonts w:ascii="Times New Roman" w:hAnsi="Times New Roman" w:cs="Times New Roman"/>
          <w:bCs/>
          <w:noProof/>
          <w:sz w:val="24"/>
          <w:szCs w:val="24"/>
          <w:lang w:val="en-GB"/>
        </w:rPr>
        <w:t>. On the one</w:t>
      </w:r>
      <w:r>
        <w:rPr>
          <w:rFonts w:ascii="Times New Roman" w:hAnsi="Times New Roman" w:cs="Times New Roman"/>
          <w:bCs/>
          <w:noProof/>
          <w:sz w:val="24"/>
          <w:szCs w:val="24"/>
          <w:lang w:val="en-GB"/>
        </w:rPr>
        <w:t xml:space="preserve"> hand, some countries rely principally on "legal conformity", meaning a certain number of legal requirements regulate the representativeness of social partners and specify the preconditions for participation in collective bargaining and binding collective </w:t>
      </w:r>
      <w:r>
        <w:rPr>
          <w:rFonts w:ascii="Times New Roman" w:hAnsi="Times New Roman" w:cs="Times New Roman"/>
          <w:bCs/>
          <w:noProof/>
          <w:sz w:val="24"/>
          <w:szCs w:val="24"/>
          <w:lang w:val="en-GB"/>
        </w:rPr>
        <w:t>agreements (e.g. elections and density or membership on the union side, and employee coverage or employer membership density of the employer side). On the other hand, other Member States rely on the principle of "mutual recognition" which involves self-reg</w:t>
      </w:r>
      <w:r>
        <w:rPr>
          <w:rFonts w:ascii="Times New Roman" w:hAnsi="Times New Roman" w:cs="Times New Roman"/>
          <w:bCs/>
          <w:noProof/>
          <w:sz w:val="24"/>
          <w:szCs w:val="24"/>
          <w:lang w:val="en-GB"/>
        </w:rPr>
        <w:t>ulation by the social partners. Finally, a number of countries employ a mix of these two principles. In practice, a lack of transparency can make it difficult to univocally gauge the representativeness of various organisations</w:t>
      </w:r>
      <w:r>
        <w:rPr>
          <w:rStyle w:val="FootnoteReference"/>
          <w:rFonts w:ascii="Times New Roman" w:hAnsi="Times New Roman" w:cs="Times New Roman"/>
          <w:bCs/>
          <w:noProof/>
          <w:sz w:val="24"/>
          <w:szCs w:val="24"/>
          <w:lang w:val="en-GB"/>
        </w:rPr>
        <w:footnoteReference w:id="81"/>
      </w:r>
      <w:r>
        <w:rPr>
          <w:rFonts w:ascii="Times New Roman" w:hAnsi="Times New Roman" w:cs="Times New Roman"/>
          <w:bCs/>
          <w:noProof/>
          <w:sz w:val="24"/>
          <w:szCs w:val="24"/>
          <w:lang w:val="en-GB"/>
        </w:rPr>
        <w:t>.</w:t>
      </w:r>
    </w:p>
    <w:p w:rsidR="00EF5220" w:rsidRDefault="00EF2564">
      <w:pPr>
        <w:autoSpaceDE w:val="0"/>
        <w:autoSpaceDN w:val="0"/>
        <w:adjustRightInd w:val="0"/>
        <w:spacing w:line="360" w:lineRule="auto"/>
        <w:jc w:val="both"/>
        <w:rPr>
          <w:rFonts w:ascii="Times New Roman" w:hAnsi="Times New Roman" w:cs="Times New Roman"/>
          <w:bCs/>
          <w:noProof/>
          <w:sz w:val="24"/>
          <w:szCs w:val="24"/>
          <w:lang w:val="en-GB"/>
        </w:rPr>
      </w:pPr>
      <w:r>
        <w:rPr>
          <w:rFonts w:ascii="Times New Roman" w:hAnsi="Times New Roman" w:cs="Times New Roman"/>
          <w:b/>
          <w:bCs/>
          <w:noProof/>
          <w:sz w:val="24"/>
          <w:szCs w:val="24"/>
          <w:lang w:val="en-GB"/>
        </w:rPr>
        <w:t>The European Semester dedic</w:t>
      </w:r>
      <w:r>
        <w:rPr>
          <w:rFonts w:ascii="Times New Roman" w:hAnsi="Times New Roman" w:cs="Times New Roman"/>
          <w:b/>
          <w:bCs/>
          <w:noProof/>
          <w:sz w:val="24"/>
          <w:szCs w:val="24"/>
          <w:lang w:val="en-GB"/>
        </w:rPr>
        <w:t xml:space="preserve">ates increasing attention to social dialogue. </w:t>
      </w:r>
      <w:r>
        <w:rPr>
          <w:rFonts w:ascii="Times New Roman" w:hAnsi="Times New Roman" w:cs="Times New Roman"/>
          <w:bCs/>
          <w:noProof/>
          <w:sz w:val="24"/>
          <w:szCs w:val="24"/>
          <w:lang w:val="en-GB"/>
        </w:rPr>
        <w:t>In 2017, a first fully-fledged multilateral surveillance exercise on the involvement of social partners in reforms and policies was held in the Employment Committee, institutionally underpinned by the Employmen</w:t>
      </w:r>
      <w:r>
        <w:rPr>
          <w:rFonts w:ascii="Times New Roman" w:hAnsi="Times New Roman" w:cs="Times New Roman"/>
          <w:bCs/>
          <w:noProof/>
          <w:sz w:val="24"/>
          <w:szCs w:val="24"/>
          <w:lang w:val="en-GB"/>
        </w:rPr>
        <w:t>t Guidelines, with 14 Member States reviewed and country-specific conclusions. National social partner representatives were present and provided their view on the state of play. Whereas the functioning of social dialogue is specific to each country, the re</w:t>
      </w:r>
      <w:r>
        <w:rPr>
          <w:rFonts w:ascii="Times New Roman" w:hAnsi="Times New Roman" w:cs="Times New Roman"/>
          <w:bCs/>
          <w:noProof/>
          <w:sz w:val="24"/>
          <w:szCs w:val="24"/>
          <w:lang w:val="en-GB"/>
        </w:rPr>
        <w:t>view revealed some challenges common to several of the reviewed Member States. These include capacity issues among the social partners and the need for more predictable, meaningful and timely consultation of social partners covering different phases of ref</w:t>
      </w:r>
      <w:r>
        <w:rPr>
          <w:rFonts w:ascii="Times New Roman" w:hAnsi="Times New Roman" w:cs="Times New Roman"/>
          <w:bCs/>
          <w:noProof/>
          <w:sz w:val="24"/>
          <w:szCs w:val="24"/>
          <w:lang w:val="en-GB"/>
        </w:rPr>
        <w:t>orms. The conclusions of the multilateral surveillance exercise together with further analysis included in the country reports finally translated into a strong emphasis on the role of social dialogue in the country-specific recommendations, proposed by the</w:t>
      </w:r>
      <w:r>
        <w:rPr>
          <w:rFonts w:ascii="Times New Roman" w:hAnsi="Times New Roman" w:cs="Times New Roman"/>
          <w:bCs/>
          <w:noProof/>
          <w:sz w:val="24"/>
          <w:szCs w:val="24"/>
          <w:lang w:val="en-GB"/>
        </w:rPr>
        <w:t xml:space="preserve"> Commission in May and adopted by the Council in July 2018. For two Member States (Hungary and Romania) recommendations explicitly call for an improvement of social dialogue, while for several other Member States the role of social partners, including in s</w:t>
      </w:r>
      <w:r>
        <w:rPr>
          <w:rFonts w:ascii="Times New Roman" w:hAnsi="Times New Roman" w:cs="Times New Roman"/>
          <w:bCs/>
          <w:noProof/>
          <w:sz w:val="24"/>
          <w:szCs w:val="24"/>
          <w:lang w:val="en-GB"/>
        </w:rPr>
        <w:t>ome cases existing challenges, is recalled in the recitals. I</w:t>
      </w:r>
      <w:r>
        <w:rPr>
          <w:rFonts w:ascii="Times New Roman" w:hAnsi="Times New Roman"/>
          <w:noProof/>
          <w:sz w:val="24"/>
          <w:lang w:val="en-GB"/>
        </w:rPr>
        <w:t>n some cases there is scope for improving the capacity of social partners and providing them with an adequate framework for predictable and timely consultation on policy making and notably reform</w:t>
      </w:r>
      <w:r>
        <w:rPr>
          <w:rFonts w:ascii="Times New Roman" w:hAnsi="Times New Roman"/>
          <w:noProof/>
          <w:sz w:val="24"/>
          <w:lang w:val="en-GB"/>
        </w:rPr>
        <w:t>s, including in all key stages of the European Semester.</w:t>
      </w:r>
    </w:p>
    <w:p w:rsidR="00EF5220" w:rsidRDefault="00EF2564">
      <w:pPr>
        <w:autoSpaceDE w:val="0"/>
        <w:autoSpaceDN w:val="0"/>
        <w:adjustRightInd w:val="0"/>
        <w:spacing w:line="360" w:lineRule="auto"/>
        <w:jc w:val="both"/>
        <w:rPr>
          <w:rFonts w:ascii="Times New Roman" w:hAnsi="Times New Roman" w:cs="Times New Roman"/>
          <w:bCs/>
          <w:noProof/>
          <w:sz w:val="24"/>
          <w:szCs w:val="24"/>
          <w:lang w:val="en-GB"/>
        </w:rPr>
      </w:pPr>
      <w:r>
        <w:rPr>
          <w:rFonts w:ascii="Times New Roman" w:hAnsi="Times New Roman" w:cs="Times New Roman"/>
          <w:b/>
          <w:bCs/>
          <w:noProof/>
          <w:sz w:val="24"/>
          <w:szCs w:val="24"/>
          <w:lang w:val="en-GB"/>
        </w:rPr>
        <w:t xml:space="preserve">The consultation of civil society organisations also plays an important role to ensure that reforms are designed and implemented effectively. </w:t>
      </w:r>
      <w:r>
        <w:rPr>
          <w:rFonts w:ascii="Times New Roman" w:hAnsi="Times New Roman" w:cs="Times New Roman"/>
          <w:bCs/>
          <w:noProof/>
          <w:sz w:val="24"/>
          <w:szCs w:val="24"/>
          <w:lang w:val="en-GB"/>
        </w:rPr>
        <w:t>As highlighted in the revised Employment Guidelines adopt</w:t>
      </w:r>
      <w:r>
        <w:rPr>
          <w:rFonts w:ascii="Times New Roman" w:hAnsi="Times New Roman" w:cs="Times New Roman"/>
          <w:bCs/>
          <w:noProof/>
          <w:sz w:val="24"/>
          <w:szCs w:val="24"/>
          <w:lang w:val="en-GB"/>
        </w:rPr>
        <w:t>ed in July 2018, Member States should take into account the experience of civil society organisations on employment and social issues, where relevant and building on existing national practices. For their involvement to be fruitful in the identification of</w:t>
      </w:r>
      <w:r>
        <w:rPr>
          <w:rFonts w:ascii="Times New Roman" w:hAnsi="Times New Roman" w:cs="Times New Roman"/>
          <w:bCs/>
          <w:noProof/>
          <w:sz w:val="24"/>
          <w:szCs w:val="24"/>
          <w:lang w:val="en-GB"/>
        </w:rPr>
        <w:t xml:space="preserve"> policy challenges and remedies, it is important that the dialogue is inspired to the principles of openness, pluralism and transparency. Preliminary evidence</w:t>
      </w:r>
      <w:r>
        <w:rPr>
          <w:rStyle w:val="FootnoteReference"/>
          <w:rFonts w:ascii="Times New Roman" w:hAnsi="Times New Roman" w:cs="Times New Roman"/>
          <w:bCs/>
          <w:noProof/>
          <w:sz w:val="24"/>
          <w:szCs w:val="24"/>
          <w:lang w:val="en-GB"/>
        </w:rPr>
        <w:footnoteReference w:id="82"/>
      </w:r>
      <w:r>
        <w:rPr>
          <w:rFonts w:ascii="Times New Roman" w:hAnsi="Times New Roman" w:cs="Times New Roman"/>
          <w:bCs/>
          <w:noProof/>
          <w:sz w:val="24"/>
          <w:szCs w:val="24"/>
          <w:lang w:val="en-GB"/>
        </w:rPr>
        <w:t xml:space="preserve"> suggests that the degree of engagement of civil society stakeholders varies significantly among </w:t>
      </w:r>
      <w:r>
        <w:rPr>
          <w:rFonts w:ascii="Times New Roman" w:hAnsi="Times New Roman" w:cs="Times New Roman"/>
          <w:bCs/>
          <w:noProof/>
          <w:sz w:val="24"/>
          <w:szCs w:val="24"/>
          <w:lang w:val="en-GB"/>
        </w:rPr>
        <w:t>Member States, as regards both the European Semester and more generally the consultation on planned reforms. Consultation with stakeholders may be challenging in countries where civil society is less organised: in particular, insufficient capacity to activ</w:t>
      </w:r>
      <w:r>
        <w:rPr>
          <w:rFonts w:ascii="Times New Roman" w:hAnsi="Times New Roman" w:cs="Times New Roman"/>
          <w:bCs/>
          <w:noProof/>
          <w:sz w:val="24"/>
          <w:szCs w:val="24"/>
          <w:lang w:val="en-GB"/>
        </w:rPr>
        <w:t xml:space="preserve">ely engage in the policy debate may be an issue in some Member States. </w:t>
      </w:r>
    </w:p>
    <w:p w:rsidR="00EF5220" w:rsidRDefault="00EF5220">
      <w:pPr>
        <w:pStyle w:val="Heading3"/>
        <w:rPr>
          <w:noProof/>
          <w:lang w:val="en-GB"/>
        </w:rPr>
      </w:pPr>
      <w:bookmarkStart w:id="66" w:name="_Toc527539790"/>
    </w:p>
    <w:p w:rsidR="00EF5220" w:rsidRDefault="00EF2564">
      <w:pPr>
        <w:pStyle w:val="Heading3"/>
        <w:rPr>
          <w:noProof/>
          <w:lang w:val="en-GB"/>
        </w:rPr>
      </w:pPr>
      <w:r>
        <w:rPr>
          <w:noProof/>
          <w:lang w:val="en-GB"/>
        </w:rPr>
        <w:t xml:space="preserve">3.3.2 </w:t>
      </w:r>
      <w:r>
        <w:rPr>
          <w:noProof/>
          <w:lang w:val="en-GB"/>
        </w:rPr>
        <w:tab/>
        <w:t>Policy response</w:t>
      </w:r>
      <w:bookmarkEnd w:id="66"/>
      <w:r>
        <w:rPr>
          <w:noProof/>
          <w:lang w:val="en-GB"/>
        </w:rPr>
        <w:t xml:space="preserv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Reforms in the area of employment protection legislation are taking place in some Member States, with the aim to achieve a better balance between flexibility </w:t>
      </w:r>
      <w:r>
        <w:rPr>
          <w:rFonts w:ascii="Times New Roman" w:hAnsi="Times New Roman"/>
          <w:b/>
          <w:noProof/>
          <w:sz w:val="24"/>
          <w:lang w:val="en-GB"/>
        </w:rPr>
        <w:t>and security and avoid segmentation.</w:t>
      </w:r>
      <w:r>
        <w:rPr>
          <w:rFonts w:ascii="Times New Roman" w:hAnsi="Times New Roman"/>
          <w:noProof/>
          <w:sz w:val="24"/>
          <w:lang w:val="en-GB"/>
        </w:rPr>
        <w:t xml:space="preserve"> France, as part of a broader reform of labour law, introduced in January 2018 a compulsory seniority and age-based reference for compensation of employees in case of unlawful dismissals on economic grounds, aiming at in</w:t>
      </w:r>
      <w:r>
        <w:rPr>
          <w:rFonts w:ascii="Times New Roman" w:hAnsi="Times New Roman"/>
          <w:noProof/>
          <w:sz w:val="24"/>
          <w:lang w:val="en-GB"/>
        </w:rPr>
        <w:t xml:space="preserve">creasing coherence of the amounts related to similar cases and to facilitate the resolution of litigation at the conciliation stage. To compensate, severance pay in case of economically justified dismissals will be increased by 25%. In addition, companies </w:t>
      </w:r>
      <w:r>
        <w:rPr>
          <w:rFonts w:ascii="Times New Roman" w:hAnsi="Times New Roman"/>
          <w:noProof/>
          <w:sz w:val="24"/>
          <w:lang w:val="en-GB"/>
        </w:rPr>
        <w:t xml:space="preserve">can implement through a majority agreement the "Rupture Conventionnelle Collective" (RCC) i.e. a mutually-agreed resignation procedure in exchange of a compensation for the employee (which cannot be inferior to individual severance pay), after negotiation </w:t>
      </w:r>
      <w:r>
        <w:rPr>
          <w:rFonts w:ascii="Times New Roman" w:hAnsi="Times New Roman"/>
          <w:noProof/>
          <w:sz w:val="24"/>
          <w:lang w:val="en-GB"/>
        </w:rPr>
        <w:t>with trade unions. The use of this mechanism has to be validated by public authorities, notably to avoid abuses. The timespan for starting a lawsuit to contest a dismissal (except in cases of harassment and discrimination) was reduced from 2 to 1 year. Mor</w:t>
      </w:r>
      <w:r>
        <w:rPr>
          <w:rFonts w:ascii="Times New Roman" w:hAnsi="Times New Roman"/>
          <w:noProof/>
          <w:sz w:val="24"/>
          <w:lang w:val="en-GB"/>
        </w:rPr>
        <w:t>eover, in December 2017 collective bargaining rules were reviewed to restrain the scope of assessment of financial difficulties justifying collective dismissal; the assessment for assessing economic difficulties for a company is now restricted to the natio</w:t>
      </w:r>
      <w:r>
        <w:rPr>
          <w:rFonts w:ascii="Times New Roman" w:hAnsi="Times New Roman"/>
          <w:noProof/>
          <w:sz w:val="24"/>
          <w:lang w:val="en-GB"/>
        </w:rPr>
        <w:t>nal territory, away from worldwide scope, giving more leeway to companies to justify collective dismissals.  In Belgium, the notice periods were shortened in 2018 during the beginning period of each new employment contract (from 2 to 1 week during the firs</w:t>
      </w:r>
      <w:r>
        <w:rPr>
          <w:rFonts w:ascii="Times New Roman" w:hAnsi="Times New Roman"/>
          <w:noProof/>
          <w:sz w:val="24"/>
          <w:lang w:val="en-GB"/>
        </w:rPr>
        <w:t>t 3 months, from 4 to 3 weeks the fourth month). In Croatia, an Amendment to the Labour Act has reintroduced in 2017 the possibility for the employer, abolished in 2014, to bring a claim to court in order to override the works council’s refusal to give con</w:t>
      </w:r>
      <w:r>
        <w:rPr>
          <w:rFonts w:ascii="Times New Roman" w:hAnsi="Times New Roman"/>
          <w:noProof/>
          <w:sz w:val="24"/>
          <w:lang w:val="en-GB"/>
        </w:rPr>
        <w:t>sent to the dismissal of protected employees (e.g. employees who are members of the works council, disabled employees, older employees, etc.). In Italy, workers' compensation in case of unfair dismissals was recently increased.</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A number of Member States are further planning measures in this domain, which may be adopted in the near future. </w:t>
      </w:r>
      <w:r>
        <w:rPr>
          <w:rFonts w:ascii="Times New Roman" w:hAnsi="Times New Roman"/>
          <w:noProof/>
          <w:sz w:val="24"/>
          <w:lang w:val="en-GB"/>
        </w:rPr>
        <w:t>In the Netherlands, a (draft) package of comprehensive measures was submitted to public consultation in April 2018, with the intention to achie</w:t>
      </w:r>
      <w:r>
        <w:rPr>
          <w:rFonts w:ascii="Times New Roman" w:hAnsi="Times New Roman"/>
          <w:noProof/>
          <w:sz w:val="24"/>
          <w:lang w:val="en-GB"/>
        </w:rPr>
        <w:t>ve a better balance in employment protection law. The package includes the introduction of an additional ground (so-called "accumulation ground") for dismissal of employees with a permanent contract; the possible extension of the probation period for perma</w:t>
      </w:r>
      <w:r>
        <w:rPr>
          <w:rFonts w:ascii="Times New Roman" w:hAnsi="Times New Roman"/>
          <w:noProof/>
          <w:sz w:val="24"/>
          <w:lang w:val="en-GB"/>
        </w:rPr>
        <w:t>nent contracts (from 2 to 5 months); the extension of the duration period of successive temporary contracts to 3 years (instead of only 2 years as previously); and the possibility to differentiate unemployment contributions with respect to the type of cont</w:t>
      </w:r>
      <w:r>
        <w:rPr>
          <w:rFonts w:ascii="Times New Roman" w:hAnsi="Times New Roman"/>
          <w:noProof/>
          <w:sz w:val="24"/>
          <w:lang w:val="en-GB"/>
        </w:rPr>
        <w:t xml:space="preserve">ract. In Finland, the government is preparing an amendment to the Employment Contracts Act, aimed at easing the criteria for individual redundancy in businesses employing 10 people or less. The objective is to lower the threshold for hiring new employees. </w:t>
      </w:r>
      <w:r>
        <w:rPr>
          <w:rFonts w:ascii="Times New Roman" w:hAnsi="Times New Roman"/>
          <w:noProof/>
          <w:sz w:val="24"/>
          <w:lang w:val="en-GB"/>
        </w:rPr>
        <w:t>This would be combined with easier hiring on fixed-term contracts of young unemployed people (below 30 years old). The draft proposal was circulated for comments in summer 2018. Based on the comments the government revised the size from enterprises employi</w:t>
      </w:r>
      <w:r>
        <w:rPr>
          <w:rFonts w:ascii="Times New Roman" w:hAnsi="Times New Roman"/>
          <w:noProof/>
          <w:sz w:val="24"/>
          <w:lang w:val="en-GB"/>
        </w:rPr>
        <w:t>ng 20 people to those employing 10 people. The amendment has received so far mixed appraisals in view of the broad scope of both measures, which is considered by some not targeted enough.</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As concerns temporary contracts, some Member States are acting to es</w:t>
      </w:r>
      <w:r>
        <w:rPr>
          <w:rFonts w:ascii="Times New Roman" w:hAnsi="Times New Roman"/>
          <w:b/>
          <w:noProof/>
          <w:sz w:val="24"/>
          <w:lang w:val="en-GB"/>
        </w:rPr>
        <w:t>tablish stricter conditions for their use (in order to prevent abuses) or allow more freedom to collective bargaining in negotiating their framework.</w:t>
      </w:r>
      <w:r>
        <w:rPr>
          <w:rFonts w:ascii="Times New Roman" w:hAnsi="Times New Roman"/>
          <w:noProof/>
          <w:sz w:val="24"/>
          <w:lang w:val="en-GB"/>
        </w:rPr>
        <w:t xml:space="preserve"> In the Czech Republic, several measures aimed to prevent abuses of temporary work agencies have become ope</w:t>
      </w:r>
      <w:r>
        <w:rPr>
          <w:rFonts w:ascii="Times New Roman" w:hAnsi="Times New Roman"/>
          <w:noProof/>
          <w:sz w:val="24"/>
          <w:lang w:val="en-GB"/>
        </w:rPr>
        <w:t xml:space="preserve">rational in July 2017; these include stricter sanctions for the responsible representative of a temporary work agency that lost its licence due to breaches of obligations. In Slovenia, amendments to the Labour Inspections Act aim to prevent illegal use of </w:t>
      </w:r>
      <w:r>
        <w:rPr>
          <w:rFonts w:ascii="Times New Roman" w:hAnsi="Times New Roman"/>
          <w:noProof/>
          <w:sz w:val="24"/>
          <w:lang w:val="en-GB"/>
        </w:rPr>
        <w:t>atypical forms of work, including work on the basis of civil law contracts, and to sanction those employers who do not pay wages in due time. In particular, when an inspector establishes that work is unlawfully performed on the basis of a civil law contrac</w:t>
      </w:r>
      <w:r>
        <w:rPr>
          <w:rFonts w:ascii="Times New Roman" w:hAnsi="Times New Roman"/>
          <w:noProof/>
          <w:sz w:val="24"/>
          <w:lang w:val="en-GB"/>
        </w:rPr>
        <w:t>t, the employer is mandated to offer the worker an adequate employment contract within three days. France enabled sector level bargaining to prevail over national labour law for setting framework of use of fixed-term and temporary contracts (see Chapter 3.</w:t>
      </w:r>
      <w:r>
        <w:rPr>
          <w:rFonts w:ascii="Times New Roman" w:hAnsi="Times New Roman"/>
          <w:noProof/>
          <w:sz w:val="24"/>
          <w:lang w:val="en-GB"/>
        </w:rPr>
        <w:t>1). Agreements at company-level can be less favourable than branch-level ones, by removing the capacity to set “lockdown clauses” for the latter. In Portugal, a comprehensive package of measures to tackle labour market segmentation was agreed with social p</w:t>
      </w:r>
      <w:r>
        <w:rPr>
          <w:rFonts w:ascii="Times New Roman" w:hAnsi="Times New Roman"/>
          <w:noProof/>
          <w:sz w:val="24"/>
          <w:lang w:val="en-GB"/>
        </w:rPr>
        <w:t>artners in June 2018 (the package is expected to be legislated by the end of 2018). Changes include: reduction of the maximum duration of fixed-term contracts from three to two years (including renewals), with a total duration of renewals not exceeding the</w:t>
      </w:r>
      <w:r>
        <w:rPr>
          <w:rFonts w:ascii="Times New Roman" w:hAnsi="Times New Roman"/>
          <w:noProof/>
          <w:sz w:val="24"/>
          <w:lang w:val="en-GB"/>
        </w:rPr>
        <w:t xml:space="preserve"> duration of the initial period; reduction of the maximum duration of undetermined contracts ("contratos de trabalho a termo incerto") from six to four years; limiting the scope of justifications for use of temporary contracts for younger workers and the l</w:t>
      </w:r>
      <w:r>
        <w:rPr>
          <w:rFonts w:ascii="Times New Roman" w:hAnsi="Times New Roman"/>
          <w:noProof/>
          <w:sz w:val="24"/>
          <w:lang w:val="en-GB"/>
        </w:rPr>
        <w:t>ong-term unemployed. At the same time, the probationary period will be increased to 180 days for first time contracts as well as for newly hired long-term unemployed. The tripartite agreement also calls for taxing excessive labour turnover, whereby the def</w:t>
      </w:r>
      <w:r>
        <w:rPr>
          <w:rFonts w:ascii="Times New Roman" w:hAnsi="Times New Roman"/>
          <w:noProof/>
          <w:sz w:val="24"/>
          <w:lang w:val="en-GB"/>
        </w:rPr>
        <w:t>inition of excessive (by sector) is to be defined under regulatory decree, with the involvement of social partners. Finally, Greece plans to increase the protection of workers performing contracted work. For the first time, an integrated system of rules wi</w:t>
      </w:r>
      <w:r>
        <w:rPr>
          <w:rFonts w:ascii="Times New Roman" w:hAnsi="Times New Roman"/>
          <w:noProof/>
          <w:sz w:val="24"/>
          <w:lang w:val="en-GB"/>
        </w:rPr>
        <w:t>ll be introduced establishing mutual and joint liability of the contracting entity, the contractor and the subcontractor for workers in the performance of the contracted work. This broadens the protection of workers' rights as concerns wages, insurance con</w:t>
      </w:r>
      <w:r>
        <w:rPr>
          <w:rFonts w:ascii="Times New Roman" w:hAnsi="Times New Roman"/>
          <w:noProof/>
          <w:sz w:val="24"/>
          <w:lang w:val="en-GB"/>
        </w:rPr>
        <w:t>tributions, redundancy payments and compensation in the event of an accident at work. In Italy, the maximum duration of temporary contracts was reduced from 36 to 24 months. The maximum number of extensions was reduced from 5 to 4 and, after the 12th month</w:t>
      </w:r>
      <w:r>
        <w:rPr>
          <w:rFonts w:ascii="Times New Roman" w:hAnsi="Times New Roman"/>
          <w:noProof/>
          <w:sz w:val="24"/>
          <w:lang w:val="en-GB"/>
        </w:rPr>
        <w:t>, extensions are allowed only if new justifying reasons are formally provided. The law also increased additional social security contribution paid by employers for the renewal of temporary contracts by 0.5 pp. Finally, the quota of employees under temporar</w:t>
      </w:r>
      <w:r>
        <w:rPr>
          <w:rFonts w:ascii="Times New Roman" w:hAnsi="Times New Roman"/>
          <w:noProof/>
          <w:sz w:val="24"/>
          <w:lang w:val="en-GB"/>
        </w:rPr>
        <w:t>y contracts has been increased from 20% to 30% of total employees, but it now also includes agency workers.</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Some innovations are being introduced as concerns new forms of work, including platform workers and own account workers. </w:t>
      </w:r>
      <w:r>
        <w:rPr>
          <w:rFonts w:ascii="Times New Roman" w:hAnsi="Times New Roman"/>
          <w:noProof/>
          <w:sz w:val="24"/>
          <w:lang w:val="en-GB"/>
        </w:rPr>
        <w:t>In France, the voluntary ad</w:t>
      </w:r>
      <w:r>
        <w:rPr>
          <w:rFonts w:ascii="Times New Roman" w:hAnsi="Times New Roman"/>
          <w:noProof/>
          <w:sz w:val="24"/>
          <w:lang w:val="en-GB"/>
        </w:rPr>
        <w:t>option of a social charter by on-line platforms towards independent workers was introduced. This charter should consist of a set of principles applying to independent workers registered in on-line platforms, including a participation of the platforms to wo</w:t>
      </w:r>
      <w:r>
        <w:rPr>
          <w:rFonts w:ascii="Times New Roman" w:hAnsi="Times New Roman"/>
          <w:noProof/>
          <w:sz w:val="24"/>
          <w:lang w:val="en-GB"/>
        </w:rPr>
        <w:t xml:space="preserve">rk accidents insurance and the compulsory financing by the platforms of training applying to independent workers. In Belgium the use of "flexi-jobs" (that already existed in the HORECA sector) has been extended to other sectors, notably retail; pensioners </w:t>
      </w:r>
      <w:r>
        <w:rPr>
          <w:rFonts w:ascii="Times New Roman" w:hAnsi="Times New Roman"/>
          <w:noProof/>
          <w:sz w:val="24"/>
          <w:lang w:val="en-GB"/>
        </w:rPr>
        <w:t>and any worker having a contract for at least four fifths of a full time may apply for a flexijob. Revenues from flexi-jobs are not subject to taxation and social security contribution on the employee side, while the employer pays reduced social contributi</w:t>
      </w:r>
      <w:r>
        <w:rPr>
          <w:rFonts w:ascii="Times New Roman" w:hAnsi="Times New Roman"/>
          <w:noProof/>
          <w:sz w:val="24"/>
          <w:lang w:val="en-GB"/>
        </w:rPr>
        <w:t>ons. In Spain, the 2017 reform of the Law on Autonomous Workers seeks to improve the job quality of self-employed, including social protection and safety at work. The new measures extend from 6 to 12 months the 50 EUR social security contribution flat rate</w:t>
      </w:r>
      <w:r>
        <w:rPr>
          <w:rFonts w:ascii="Times New Roman" w:hAnsi="Times New Roman"/>
          <w:noProof/>
          <w:sz w:val="24"/>
          <w:lang w:val="en-GB"/>
        </w:rPr>
        <w:t>, and introduce a higher degree of flexibility in deciding the amounts. The reform also makes pension payments compatible with free-lance work, promotes work-life balance and better access to training. In Ireland, the Employment Bill 2017 addresses a numbe</w:t>
      </w:r>
      <w:r>
        <w:rPr>
          <w:rFonts w:ascii="Times New Roman" w:hAnsi="Times New Roman"/>
          <w:noProof/>
          <w:sz w:val="24"/>
          <w:lang w:val="en-GB"/>
        </w:rPr>
        <w:t>r of areas of the current employment legislation as concerns low-paid, more vulnerable employees. The purpose of the Bill is to ensure that employees are better informed about the nature of their employment arrangements (and their core terms) at an early s</w:t>
      </w:r>
      <w:r>
        <w:rPr>
          <w:rFonts w:ascii="Times New Roman" w:hAnsi="Times New Roman"/>
          <w:noProof/>
          <w:sz w:val="24"/>
          <w:lang w:val="en-GB"/>
        </w:rPr>
        <w:t xml:space="preserve">tage – a new offence is being created for non-provision by the employer of core terms within a specified period. In addition, zero hours contracts are prohibited in most circumstances; a “banded hours” provision is introduced so that employees on low-hour </w:t>
      </w:r>
      <w:r>
        <w:rPr>
          <w:rFonts w:ascii="Times New Roman" w:hAnsi="Times New Roman"/>
          <w:noProof/>
          <w:sz w:val="24"/>
          <w:lang w:val="en-GB"/>
        </w:rPr>
        <w:t xml:space="preserve">contracts who consistently work extra hours than provided for in their contracts, are entitled to be placed in a band of hours that better reflects the reality; an enhanced minimum payment is introduced for employees who are called in to work for a period </w:t>
      </w:r>
      <w:r>
        <w:rPr>
          <w:rFonts w:ascii="Times New Roman" w:hAnsi="Times New Roman"/>
          <w:noProof/>
          <w:sz w:val="24"/>
          <w:lang w:val="en-GB"/>
        </w:rPr>
        <w:t>but actually did not provide work. In Portugal, the planned introduction of "Contrato Geracao" includes two strands: the introduction of financial support to companies that hire simultaneously a young unemployed person (or a young person looking for a firs</w:t>
      </w:r>
      <w:r>
        <w:rPr>
          <w:rFonts w:ascii="Times New Roman" w:hAnsi="Times New Roman"/>
          <w:noProof/>
          <w:sz w:val="24"/>
          <w:lang w:val="en-GB"/>
        </w:rPr>
        <w:t>t job) and an older long-term unemployed person; and support to youth employment combined with a partial retirement of an older worker.</w:t>
      </w:r>
    </w:p>
    <w:p w:rsidR="00EF5220" w:rsidRDefault="00EF2564">
      <w:pPr>
        <w:spacing w:line="360" w:lineRule="auto"/>
        <w:jc w:val="both"/>
        <w:rPr>
          <w:rFonts w:ascii="Times New Roman" w:hAnsi="Times New Roman" w:cs="Times New Roman"/>
          <w:noProof/>
          <w:sz w:val="24"/>
          <w:szCs w:val="24"/>
          <w:highlight w:val="green"/>
          <w:lang w:val="en-GB"/>
        </w:rPr>
      </w:pPr>
      <w:r>
        <w:rPr>
          <w:rFonts w:ascii="Times New Roman" w:hAnsi="Times New Roman"/>
          <w:b/>
          <w:noProof/>
          <w:sz w:val="24"/>
          <w:lang w:val="en-GB"/>
        </w:rPr>
        <w:t>Some Member States have taken measures in the area of organisation of working time, not always with a view to greater ad</w:t>
      </w:r>
      <w:r>
        <w:rPr>
          <w:rFonts w:ascii="Times New Roman" w:hAnsi="Times New Roman"/>
          <w:b/>
          <w:noProof/>
          <w:sz w:val="24"/>
          <w:lang w:val="en-GB"/>
        </w:rPr>
        <w:t>aptability.</w:t>
      </w:r>
      <w:r>
        <w:rPr>
          <w:rFonts w:ascii="Times New Roman" w:hAnsi="Times New Roman"/>
          <w:noProof/>
          <w:sz w:val="24"/>
          <w:lang w:val="en-GB"/>
        </w:rPr>
        <w:t xml:space="preserve"> In Belgium, a number of obligations regarding part-time work were modernised and simplified in 2017, notably reducing formalities in the determination of fixed or variable work schedules, the notification and the surveillance of deviations. In </w:t>
      </w:r>
      <w:r>
        <w:rPr>
          <w:rFonts w:ascii="Times New Roman" w:hAnsi="Times New Roman"/>
          <w:noProof/>
          <w:sz w:val="24"/>
          <w:lang w:val="en-GB"/>
        </w:rPr>
        <w:t>addition, the legal framework for "career saving" became applicable as from February 2018. Provided there is an agreement at sectoral or enterprise level, it allows employees to save some “leave time” for accumulation and use at a later stage. Finally, the</w:t>
      </w:r>
      <w:r>
        <w:rPr>
          <w:rFonts w:ascii="Times New Roman" w:hAnsi="Times New Roman"/>
          <w:noProof/>
          <w:sz w:val="24"/>
          <w:lang w:val="en-GB"/>
        </w:rPr>
        <w:t xml:space="preserve"> procedure to introduce night work and Sunday work in the context of e-commerce has been simplified. In France, the remit of </w:t>
      </w:r>
      <w:r>
        <w:rPr>
          <w:rFonts w:ascii="Times New Roman" w:hAnsi="Times New Roman"/>
          <w:i/>
          <w:noProof/>
          <w:sz w:val="24"/>
          <w:lang w:val="en-GB"/>
        </w:rPr>
        <w:t>accords de competitivité</w:t>
      </w:r>
      <w:r>
        <w:rPr>
          <w:rFonts w:ascii="Times New Roman" w:hAnsi="Times New Roman"/>
          <w:noProof/>
          <w:sz w:val="24"/>
          <w:lang w:val="en-GB"/>
        </w:rPr>
        <w:t xml:space="preserve"> ("competitiveness agreements") has been extended (see Chapter 3.1). As part of the tripartite agreement wi</w:t>
      </w:r>
      <w:r>
        <w:rPr>
          <w:rFonts w:ascii="Times New Roman" w:hAnsi="Times New Roman"/>
          <w:noProof/>
          <w:sz w:val="24"/>
          <w:lang w:val="en-GB"/>
        </w:rPr>
        <w:t xml:space="preserve">th social partners on the reform of labour law, Portugal plans to eliminate the individual "bank of hours" and the collective ones based on individual agreements. The agreements already in force will expire one year at most after the implementation of the </w:t>
      </w:r>
      <w:r>
        <w:rPr>
          <w:rFonts w:ascii="Times New Roman" w:hAnsi="Times New Roman"/>
          <w:noProof/>
          <w:sz w:val="24"/>
          <w:lang w:val="en-GB"/>
        </w:rPr>
        <w:t>new rules. The new agreements will be made under collective bargaining or group agreements, to be reached after worker’s consultation. The measure specifies daily hours' limits, rates of approval by workers and use of the most favourable treatment principl</w:t>
      </w:r>
      <w:r>
        <w:rPr>
          <w:rFonts w:ascii="Times New Roman" w:hAnsi="Times New Roman"/>
          <w:noProof/>
          <w:sz w:val="24"/>
          <w:lang w:val="en-GB"/>
        </w:rPr>
        <w:t xml:space="preserve">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Several Member States have adopted measures to prevent the use of undeclared work, improve safety at work and/or strengthen labour inspectorates.  </w:t>
      </w:r>
      <w:r>
        <w:rPr>
          <w:rFonts w:ascii="Times New Roman" w:hAnsi="Times New Roman"/>
          <w:noProof/>
          <w:sz w:val="24"/>
          <w:lang w:val="en-GB"/>
        </w:rPr>
        <w:t>In Bulgaria, since the end of 2017, an amendment to the Law on Public Procurement regulates the removal o</w:t>
      </w:r>
      <w:r>
        <w:rPr>
          <w:rFonts w:ascii="Times New Roman" w:hAnsi="Times New Roman"/>
          <w:noProof/>
          <w:sz w:val="24"/>
          <w:lang w:val="en-GB"/>
        </w:rPr>
        <w:t>f a participant in a public procurement procedure, when in the previous three-year period a penalty was imposed for the use of undeclared work. This requirement also applies to subcontractors, which are mainly small and micro enterprises (often in the cons</w:t>
      </w:r>
      <w:r>
        <w:rPr>
          <w:rFonts w:ascii="Times New Roman" w:hAnsi="Times New Roman"/>
          <w:noProof/>
          <w:sz w:val="24"/>
          <w:lang w:val="en-GB"/>
        </w:rPr>
        <w:t>truction sector). Information campaigns are also carried out to raise the awareness of the risk groups about the disadvantages related to envelope wages, notably in terms of lower social security contributions. Greece has completed in 2018 the automatic ex</w:t>
      </w:r>
      <w:r>
        <w:rPr>
          <w:rFonts w:ascii="Times New Roman" w:hAnsi="Times New Roman"/>
          <w:noProof/>
          <w:sz w:val="24"/>
          <w:lang w:val="en-GB"/>
        </w:rPr>
        <w:t>change of information between the databases of various ministries and labour market institutions, as well as the police. In addition, the system of fines imposed on employers who have not declared a dependent worker was reviewed, with a substantial reducti</w:t>
      </w:r>
      <w:r>
        <w:rPr>
          <w:rFonts w:ascii="Times New Roman" w:hAnsi="Times New Roman"/>
          <w:noProof/>
          <w:sz w:val="24"/>
          <w:lang w:val="en-GB"/>
        </w:rPr>
        <w:t>on if the employer recruits the undeclared worker with a full-time contract within 10 days from the inspection (the measure aims at incentivising the transformation of undeclared into formal work).  In Spain, the 2018-2020 Strategic Plan, agreed with the a</w:t>
      </w:r>
      <w:r>
        <w:rPr>
          <w:rFonts w:ascii="Times New Roman" w:hAnsi="Times New Roman"/>
          <w:noProof/>
          <w:sz w:val="24"/>
          <w:lang w:val="en-GB"/>
        </w:rPr>
        <w:t>utonomous communities and in consultation with social partners, aims at strengthening the labour inspectorates’ capacity and at structuring its actions in a concrete and measurable manner. It also pays attention to the challenges arising from the new forms</w:t>
      </w:r>
      <w:r>
        <w:rPr>
          <w:rFonts w:ascii="Times New Roman" w:hAnsi="Times New Roman"/>
          <w:noProof/>
          <w:sz w:val="24"/>
          <w:lang w:val="en-GB"/>
        </w:rPr>
        <w:t xml:space="preserve"> of work, working conditions and non-discrimination in the job place. In Estonia, an amendment of the Occupational Health and Work Safety Act, adopted in May 2018 improves protection against health hazards in the workplace and ensures that safety instructi</w:t>
      </w:r>
      <w:r>
        <w:rPr>
          <w:rFonts w:ascii="Times New Roman" w:hAnsi="Times New Roman"/>
          <w:noProof/>
          <w:sz w:val="24"/>
          <w:lang w:val="en-GB"/>
        </w:rPr>
        <w:t>ons and the provision of first aid training are adapted to the specificities of the company. As mentioned above, Slovenia is taking action to prevent illegal use of atypical forms of work. In addition, the Labour Inspectorate is given extra powers to inves</w:t>
      </w:r>
      <w:r>
        <w:rPr>
          <w:rFonts w:ascii="Times New Roman" w:hAnsi="Times New Roman"/>
          <w:noProof/>
          <w:sz w:val="24"/>
          <w:lang w:val="en-GB"/>
        </w:rPr>
        <w:t>tigate cases of non-payment of wages (one of the most frequent violations since 2009). In Cyprus a review of the system of labour inspections will be promoted in order to improve their effectiveness and efficiency to combat undeclared work. This would incl</w:t>
      </w:r>
      <w:r>
        <w:rPr>
          <w:rFonts w:ascii="Times New Roman" w:hAnsi="Times New Roman"/>
          <w:noProof/>
          <w:sz w:val="24"/>
          <w:lang w:val="en-GB"/>
        </w:rPr>
        <w:t>ude increased fines and the introduction of an electronic declaration of commencement of employment. In addition, a new bill providing for the creation of a Centralized Labour Inspectorate has been forwarded for approval during the next months. In Portugal</w:t>
      </w:r>
      <w:r>
        <w:rPr>
          <w:rFonts w:ascii="Times New Roman" w:hAnsi="Times New Roman"/>
          <w:noProof/>
          <w:sz w:val="24"/>
          <w:lang w:val="en-GB"/>
        </w:rPr>
        <w:t>, a recruitment process of labour inspectors and the opening of new competitions are ongoing. Moreover, with a view to discourage undeclared or sub-declared work, Portugal plans to extend the maximum duration of very short-term contracts from 15 to 35 days</w:t>
      </w:r>
      <w:r>
        <w:rPr>
          <w:rFonts w:ascii="Times New Roman" w:hAnsi="Times New Roman"/>
          <w:noProof/>
          <w:sz w:val="24"/>
          <w:lang w:val="en-GB"/>
        </w:rPr>
        <w:t xml:space="preserve"> (with a maximum annual duration of 70 days with the same employer). Transparency in the use of temporary agency work will be reinforced, making information of worker mandatory about the reason behind the termination of a contract between the user firm and</w:t>
      </w:r>
      <w:r>
        <w:rPr>
          <w:rFonts w:ascii="Times New Roman" w:hAnsi="Times New Roman"/>
          <w:noProof/>
          <w:sz w:val="24"/>
          <w:lang w:val="en-GB"/>
        </w:rPr>
        <w:t xml:space="preserve"> the temporary work agency. </w:t>
      </w:r>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 xml:space="preserve">Relatively few policy measures have been taken by Member States to reinforce their ALMP systems despite of persistent challenges. </w:t>
      </w:r>
      <w:r>
        <w:rPr>
          <w:rFonts w:ascii="Times New Roman" w:hAnsi="Times New Roman"/>
          <w:noProof/>
          <w:sz w:val="24"/>
          <w:lang w:val="en-GB"/>
        </w:rPr>
        <w:t>Greece is implementing a new system of ALMP delivery aiming at increasing the effectiveness of ac</w:t>
      </w:r>
      <w:r>
        <w:rPr>
          <w:rFonts w:ascii="Times New Roman" w:hAnsi="Times New Roman"/>
          <w:noProof/>
          <w:sz w:val="24"/>
          <w:lang w:val="en-GB"/>
        </w:rPr>
        <w:t>tivating policies through improved profiling and matching activities. A better targeting of ALMPs remains crucial for achieving better outcomes of these reforms and so far a pilot for over 2000 unemployed has been launched at one local employment office. C</w:t>
      </w:r>
      <w:r>
        <w:rPr>
          <w:rFonts w:ascii="Times New Roman" w:hAnsi="Times New Roman"/>
          <w:noProof/>
          <w:sz w:val="24"/>
          <w:lang w:val="en-GB"/>
        </w:rPr>
        <w:t>yprus has launched the pilot phase of a newly developed monitoring and evaluation system for active labour market policies enabling to improve the effectiveness of labour market measures. This will allow policy makers to better design and revise on-going l</w:t>
      </w:r>
      <w:r>
        <w:rPr>
          <w:rFonts w:ascii="Times New Roman" w:hAnsi="Times New Roman"/>
          <w:noProof/>
          <w:sz w:val="24"/>
          <w:lang w:val="en-GB"/>
        </w:rPr>
        <w:t xml:space="preserve">abour market programmes. In Spain, a broad strategic framework for the coordination of the National Employment System has been developed. This measure sets out the organisational framework for all actions implemented within the Spanish National Employment </w:t>
      </w:r>
      <w:r>
        <w:rPr>
          <w:rFonts w:ascii="Times New Roman" w:hAnsi="Times New Roman"/>
          <w:noProof/>
          <w:sz w:val="24"/>
          <w:lang w:val="en-GB"/>
        </w:rPr>
        <w:t>System during 2017-2020 and serves as a basis for designing and managing of active labour market policies, training actions and many other strategies of regional public employment services and sets the framework for defining principles, targets, instrument</w:t>
      </w:r>
      <w:r>
        <w:rPr>
          <w:rFonts w:ascii="Times New Roman" w:hAnsi="Times New Roman"/>
          <w:noProof/>
          <w:sz w:val="24"/>
          <w:lang w:val="en-GB"/>
        </w:rPr>
        <w:t>s and financial resources.</w:t>
      </w:r>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Member States are still prioritising the provision of more individual services</w:t>
      </w:r>
      <w:r>
        <w:rPr>
          <w:rFonts w:ascii="Times New Roman" w:hAnsi="Times New Roman"/>
          <w:noProof/>
          <w:sz w:val="24"/>
          <w:lang w:val="en-GB"/>
        </w:rPr>
        <w:t>. Estonia is extending the scope of ALMPs to certain employed persons to prevent unemployment. The target group includes people working under service c</w:t>
      </w:r>
      <w:r>
        <w:rPr>
          <w:rFonts w:ascii="Times New Roman" w:hAnsi="Times New Roman"/>
          <w:noProof/>
          <w:sz w:val="24"/>
          <w:lang w:val="en-GB"/>
        </w:rPr>
        <w:t>ontracts or authorisation agreement and those earning national average wage. Stable levels of PES expenditure on ALMPs as well as human resources are supposed to address persisting challenges. Hungary has taken further steps to address the challenges of th</w:t>
      </w:r>
      <w:r>
        <w:rPr>
          <w:rFonts w:ascii="Times New Roman" w:hAnsi="Times New Roman"/>
          <w:noProof/>
          <w:sz w:val="24"/>
          <w:lang w:val="en-GB"/>
        </w:rPr>
        <w:t xml:space="preserve">e Public Work Scheme by implementing programmes which enhance the transition from these programmes to the primary labour market. A job-creation programme qualifies the employment of a person in public works as a category of primary support while two other </w:t>
      </w:r>
      <w:r>
        <w:rPr>
          <w:rFonts w:ascii="Times New Roman" w:hAnsi="Times New Roman"/>
          <w:noProof/>
          <w:sz w:val="24"/>
          <w:lang w:val="en-GB"/>
        </w:rPr>
        <w:t xml:space="preserve">programmes provides either recruitment incentives or bonuses or establish a mentoring for people coming from the Public Work schemes in order to facilitate their integration into the primary labour market.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Measures to improve the training components of AL</w:t>
      </w:r>
      <w:r>
        <w:rPr>
          <w:rFonts w:ascii="Times New Roman" w:hAnsi="Times New Roman"/>
          <w:b/>
          <w:noProof/>
          <w:sz w:val="24"/>
          <w:lang w:val="en-GB"/>
        </w:rPr>
        <w:t>MPS are also still being promoted</w:t>
      </w:r>
      <w:r>
        <w:rPr>
          <w:rFonts w:ascii="Times New Roman" w:hAnsi="Times New Roman"/>
          <w:noProof/>
          <w:sz w:val="24"/>
          <w:lang w:val="en-GB"/>
        </w:rPr>
        <w:t>. In Croatia a new package of nine active labour market measures has been adopted. In the new package more focus is placed on training and workplace training, especially for youth, older workers and long-term unemployed. Se</w:t>
      </w:r>
      <w:r>
        <w:rPr>
          <w:rFonts w:ascii="Times New Roman" w:hAnsi="Times New Roman"/>
          <w:noProof/>
          <w:sz w:val="24"/>
          <w:lang w:val="en-GB"/>
        </w:rPr>
        <w:t xml:space="preserve">lf-employment subsidies will be more stimulated as well. In addition, subsidies will be given to employers support the employment of workers in the age category 50+. France continues to invest in vocational training and apprenticeship, through the </w:t>
      </w:r>
      <w:r>
        <w:rPr>
          <w:rFonts w:ascii="Times New Roman" w:hAnsi="Times New Roman"/>
          <w:i/>
          <w:noProof/>
          <w:sz w:val="24"/>
          <w:lang w:val="en-GB"/>
        </w:rPr>
        <w:t>Plan d’I</w:t>
      </w:r>
      <w:r>
        <w:rPr>
          <w:rFonts w:ascii="Times New Roman" w:hAnsi="Times New Roman"/>
          <w:i/>
          <w:noProof/>
          <w:sz w:val="24"/>
          <w:lang w:val="en-GB"/>
        </w:rPr>
        <w:t>nvestissement dans les compétences</w:t>
      </w:r>
      <w:r>
        <w:rPr>
          <w:rFonts w:ascii="Times New Roman" w:hAnsi="Times New Roman"/>
          <w:noProof/>
          <w:sz w:val="24"/>
          <w:lang w:val="en-GB"/>
        </w:rPr>
        <w:t xml:space="preserve"> ("Investment in Competences Plan", see chapter 3.2). The objective is to provide qualifying training to 1 million unemployed with low levels of qualification and to 800 000 young NEETs partly through preparation to appren</w:t>
      </w:r>
      <w:r>
        <w:rPr>
          <w:rFonts w:ascii="Times New Roman" w:hAnsi="Times New Roman"/>
          <w:noProof/>
          <w:sz w:val="24"/>
          <w:lang w:val="en-GB"/>
        </w:rPr>
        <w:t xml:space="preserve">ticeships.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Public Employment Services (PES) are following their reform agenda, aiming to increase the institutional capacity in times of decreasing unemployment. </w:t>
      </w:r>
      <w:r>
        <w:rPr>
          <w:rFonts w:ascii="Times New Roman" w:hAnsi="Times New Roman"/>
          <w:noProof/>
          <w:sz w:val="24"/>
          <w:lang w:val="en-GB"/>
        </w:rPr>
        <w:t>To this end,</w:t>
      </w:r>
      <w:r>
        <w:rPr>
          <w:rFonts w:ascii="Times New Roman" w:hAnsi="Times New Roman"/>
          <w:b/>
          <w:noProof/>
          <w:sz w:val="24"/>
          <w:lang w:val="en-GB"/>
        </w:rPr>
        <w:t xml:space="preserve"> </w:t>
      </w:r>
      <w:r>
        <w:rPr>
          <w:rFonts w:ascii="Times New Roman" w:hAnsi="Times New Roman"/>
          <w:noProof/>
          <w:sz w:val="24"/>
          <w:lang w:val="en-GB"/>
        </w:rPr>
        <w:t>PES are increasingly benefitting from their involvement in the "Benchlearning pr</w:t>
      </w:r>
      <w:r>
        <w:rPr>
          <w:rFonts w:ascii="Times New Roman" w:hAnsi="Times New Roman"/>
          <w:noProof/>
          <w:sz w:val="24"/>
          <w:lang w:val="en-GB"/>
        </w:rPr>
        <w:t>oject" conducted in the framework of the European Network of Public Employment Services. Since 2015 Benchlearning supports PES in developing awareness of strengths as well as areas for further improvement aiming at better service delivery to PES customers.</w:t>
      </w:r>
      <w:r>
        <w:rPr>
          <w:rFonts w:ascii="Times New Roman" w:hAnsi="Times New Roman"/>
          <w:noProof/>
          <w:sz w:val="24"/>
          <w:lang w:val="en-GB"/>
        </w:rPr>
        <w:t xml:space="preserve"> As the number of registered jobseekers steadily fell over the past years Public Employment Services are requested to strategically reallocate their resources according to the customers' needs. Certain target groups such as the long-term-unemployed and an </w:t>
      </w:r>
      <w:r>
        <w:rPr>
          <w:rFonts w:ascii="Times New Roman" w:hAnsi="Times New Roman"/>
          <w:noProof/>
          <w:sz w:val="24"/>
          <w:lang w:val="en-GB"/>
        </w:rPr>
        <w:t>increasing number of older workers continue to require intensive support as most PES are facing an aging client base. Lithuania is modifying the work of PES, optimising the resources with the aim to improve the work with the clients and reduce the caseload</w:t>
      </w:r>
      <w:r>
        <w:rPr>
          <w:rFonts w:ascii="Times New Roman" w:hAnsi="Times New Roman"/>
          <w:noProof/>
          <w:sz w:val="24"/>
          <w:lang w:val="en-GB"/>
        </w:rPr>
        <w:t xml:space="preserve"> from more than 400 cases to fewer than 300 per case handler. In Cyprus they pursue the Enhancement and Modernization of PES 2014-2020 by implementing reform measures for the strengthening of its Public Employment Services. Recently additional 20 counsello</w:t>
      </w:r>
      <w:r>
        <w:rPr>
          <w:rFonts w:ascii="Times New Roman" w:hAnsi="Times New Roman"/>
          <w:noProof/>
          <w:sz w:val="24"/>
          <w:lang w:val="en-GB"/>
        </w:rPr>
        <w:t>rs/advisors have been recruited in order to be able to address their current mandate more effectively and efficiently, in implementing the Youth Guarantee and the Council Recommendation on the integration of the long-term unemployed in the labour market. A</w:t>
      </w:r>
      <w:r>
        <w:rPr>
          <w:rFonts w:ascii="Times New Roman" w:hAnsi="Times New Roman"/>
          <w:noProof/>
          <w:sz w:val="24"/>
          <w:lang w:val="en-GB"/>
        </w:rPr>
        <w:t xml:space="preserve">dditional measures which include training of employment counsellors, training of PES officers, enhancement of the PES Candidate Placement System (CPS) and the creation of an IT platform, improvement of services to both job-seekers and employers. Spain has </w:t>
      </w:r>
      <w:r>
        <w:rPr>
          <w:rFonts w:ascii="Times New Roman" w:hAnsi="Times New Roman"/>
          <w:noProof/>
          <w:sz w:val="24"/>
          <w:lang w:val="en-GB"/>
        </w:rPr>
        <w:t xml:space="preserve">taken steps to improve the public employment and working conditions 2018. The Ministry and the social partners signed a document committing them to promote measures for civil servants to recover their purchasing power and improve their working conditions. </w:t>
      </w:r>
      <w:r>
        <w:rPr>
          <w:rFonts w:ascii="Times New Roman" w:hAnsi="Times New Roman"/>
          <w:noProof/>
          <w:sz w:val="24"/>
          <w:lang w:val="en-GB"/>
        </w:rPr>
        <w:t>This measure precedes an agreement in April 2017 to reduce the overall share of temporary contracts in the Public Sector down to 8 % in 2020 through recruitment competitions for permanent posts (some 250,000). In Greece the process of PES re-engineering ha</w:t>
      </w:r>
      <w:r>
        <w:rPr>
          <w:rFonts w:ascii="Times New Roman" w:hAnsi="Times New Roman"/>
          <w:noProof/>
          <w:sz w:val="24"/>
          <w:lang w:val="en-GB"/>
        </w:rPr>
        <w:t>s continued throughout 2017-2018 to improve the functioning of Public Employment Services. A new profiling methodology was piloted in autumn 2017 and started being rolled-out in 2018. A new skill assessment tool is under development. The recruitment of add</w:t>
      </w:r>
      <w:r>
        <w:rPr>
          <w:rFonts w:ascii="Times New Roman" w:hAnsi="Times New Roman"/>
          <w:noProof/>
          <w:sz w:val="24"/>
          <w:lang w:val="en-GB"/>
        </w:rPr>
        <w:t>itional employment counsellors started in the first semester of 2018 should lead to an almost doubling of the counsellors' workforce by the end of 2018. Finally, Austria has taken steps to evaluate and design a more effective management of the Public Emplo</w:t>
      </w:r>
      <w:r>
        <w:rPr>
          <w:rFonts w:ascii="Times New Roman" w:hAnsi="Times New Roman"/>
          <w:noProof/>
          <w:sz w:val="24"/>
          <w:lang w:val="en-GB"/>
        </w:rPr>
        <w:t>yment Services, notably by reviewing and revising all PES instruments for efficient and effective reintegration into the labour market. Job-specific training and qualifications in cooperation with employers are being prioritised together with increased emp</w:t>
      </w:r>
      <w:r>
        <w:rPr>
          <w:rFonts w:ascii="Times New Roman" w:hAnsi="Times New Roman"/>
          <w:noProof/>
          <w:sz w:val="24"/>
          <w:lang w:val="en-GB"/>
        </w:rPr>
        <w:t xml:space="preserve">loyment incentives.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PES are requested to intensify their cooperation with employers and local authorities in order to better meet the requirements of tighter labour markets.</w:t>
      </w:r>
      <w:r>
        <w:rPr>
          <w:rFonts w:ascii="Times New Roman" w:hAnsi="Times New Roman"/>
          <w:noProof/>
          <w:sz w:val="24"/>
          <w:lang w:val="en-GB"/>
        </w:rPr>
        <w:t xml:space="preserve"> On that account PES are developing comprehensive employer engagement strategies,</w:t>
      </w:r>
      <w:r>
        <w:rPr>
          <w:rFonts w:ascii="Times New Roman" w:hAnsi="Times New Roman"/>
          <w:noProof/>
          <w:sz w:val="24"/>
          <w:lang w:val="en-GB"/>
        </w:rPr>
        <w:t xml:space="preserve"> defining different approaches as to employer segmentation and organisation of employer services. Most Public Employment Services have set up central coordination levels of employer services though they also do provide services for employers at regional an</w:t>
      </w:r>
      <w:r>
        <w:rPr>
          <w:rFonts w:ascii="Times New Roman" w:hAnsi="Times New Roman"/>
          <w:noProof/>
          <w:sz w:val="24"/>
          <w:lang w:val="en-GB"/>
        </w:rPr>
        <w:t>d local level. Additionally, PES ought to define common minimum standards of service delivery to employers including measuring satisfaction. In Italy and Spain, the central PES agencies, respectively ANPAL and SEPE, are facilitating mutual learning activit</w:t>
      </w:r>
      <w:r>
        <w:rPr>
          <w:rFonts w:ascii="Times New Roman" w:hAnsi="Times New Roman"/>
          <w:noProof/>
          <w:sz w:val="24"/>
          <w:lang w:val="en-GB"/>
        </w:rPr>
        <w:t>ies between the regions in order to exchange on good practise allowing improving the services to employers. In Lithuania, the PES plans to create a model on municipality-PES cooperation on common provision of measures to activate the recipients of social a</w:t>
      </w:r>
      <w:r>
        <w:rPr>
          <w:rFonts w:ascii="Times New Roman" w:hAnsi="Times New Roman"/>
          <w:noProof/>
          <w:sz w:val="24"/>
          <w:lang w:val="en-GB"/>
        </w:rPr>
        <w:t>ssistance. This model will have to be complemented by an implementation plan.</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Member States have continued to implement the Council recommendation on long-term unemployment</w:t>
      </w:r>
      <w:r>
        <w:rPr>
          <w:rStyle w:val="FootnoteReference"/>
          <w:rFonts w:ascii="Times New Roman" w:hAnsi="Times New Roman"/>
          <w:b/>
          <w:noProof/>
          <w:sz w:val="24"/>
          <w:lang w:val="en-GB"/>
        </w:rPr>
        <w:footnoteReference w:id="83"/>
      </w:r>
      <w:r>
        <w:rPr>
          <w:rFonts w:ascii="Times New Roman" w:hAnsi="Times New Roman"/>
          <w:b/>
          <w:noProof/>
          <w:sz w:val="24"/>
          <w:lang w:val="en-GB"/>
        </w:rPr>
        <w:t>.</w:t>
      </w:r>
      <w:r>
        <w:rPr>
          <w:rFonts w:ascii="Times New Roman" w:hAnsi="Times New Roman"/>
          <w:noProof/>
          <w:sz w:val="24"/>
          <w:lang w:val="en-GB"/>
        </w:rPr>
        <w:t xml:space="preserve"> A 2018 self-assessment of Member States showed globally, compared to 2016, a 15% </w:t>
      </w:r>
      <w:r>
        <w:rPr>
          <w:rFonts w:ascii="Times New Roman" w:hAnsi="Times New Roman"/>
          <w:noProof/>
          <w:sz w:val="24"/>
          <w:lang w:val="en-GB"/>
        </w:rPr>
        <w:t xml:space="preserve">increase in scores, with most important progress reached in Member States with less advanced systems. More specifically, on the registration of the unemployed, countries have adopted different approaches and incentives to encourage registration.  The most </w:t>
      </w:r>
      <w:r>
        <w:rPr>
          <w:rFonts w:ascii="Times New Roman" w:hAnsi="Times New Roman"/>
          <w:noProof/>
          <w:sz w:val="24"/>
          <w:lang w:val="en-GB"/>
        </w:rPr>
        <w:t xml:space="preserve">effective are those where registration is linked to entitlement to some forms of benefits or services.  However, there is still room for improvements in the outreach towards the inactive in several Member States (e.g. Bulgaria, Estonia and Romania). There </w:t>
      </w:r>
      <w:r>
        <w:rPr>
          <w:rFonts w:ascii="Times New Roman" w:hAnsi="Times New Roman"/>
          <w:noProof/>
          <w:sz w:val="24"/>
          <w:lang w:val="en-GB"/>
        </w:rPr>
        <w:t xml:space="preserve">are also multiple approaches to the provision of a single point of contact for services: some countries have tried to integrate all services into one point (e.g. Finland, Germany and Ireland), others have a “bridge point” linking different institutions or </w:t>
      </w:r>
      <w:r>
        <w:rPr>
          <w:rFonts w:ascii="Times New Roman" w:hAnsi="Times New Roman"/>
          <w:noProof/>
          <w:sz w:val="24"/>
          <w:lang w:val="en-GB"/>
        </w:rPr>
        <w:t>authorities (e.g. Cyprus and the Netherlands).  Effective co-ordination between social and employment authorities and services is still a challenge in many Member States (e.g. Croatia, Greece, Hungary, Latvia, Romania and Spain); often complicated by chall</w:t>
      </w:r>
      <w:r>
        <w:rPr>
          <w:rFonts w:ascii="Times New Roman" w:hAnsi="Times New Roman"/>
          <w:noProof/>
          <w:sz w:val="24"/>
          <w:lang w:val="en-GB"/>
        </w:rPr>
        <w:t>enges linked to data protection and resources. While there are measures planned to enhance this, implementation on the ground is yet to take-off. Job Integration Agreements in some form or another are established in almost all Member States but some elemen</w:t>
      </w:r>
      <w:r>
        <w:rPr>
          <w:rFonts w:ascii="Times New Roman" w:hAnsi="Times New Roman"/>
          <w:noProof/>
          <w:sz w:val="24"/>
          <w:lang w:val="en-GB"/>
        </w:rPr>
        <w:t>ts are missing, in particular the in-depth (re)assessments when required. Some Member States (e.g. the Czech Republic, Greece and Slovakia) are yet to move towards a more targeted/individualised case-management approach dedicated to the long-term unemploye</w:t>
      </w:r>
      <w:r>
        <w:rPr>
          <w:rFonts w:ascii="Times New Roman" w:hAnsi="Times New Roman"/>
          <w:noProof/>
          <w:sz w:val="24"/>
          <w:lang w:val="en-GB"/>
        </w:rPr>
        <w:t>d. There are a lot of different activities carried out under the heading of engagement with employers.  Agreements with social partners are generally in place, though these do not always translate to the local level.  Some Member States (e.g. Greece, Portu</w:t>
      </w:r>
      <w:r>
        <w:rPr>
          <w:rFonts w:ascii="Times New Roman" w:hAnsi="Times New Roman"/>
          <w:noProof/>
          <w:sz w:val="24"/>
          <w:lang w:val="en-GB"/>
        </w:rPr>
        <w:t>gal, Slovenia and Sweden) are dedicating PES staff to working with employers: this seems a good approach; nevertheless, improvements, notably in the form of more strategic partnerships and approaches, are still required in some Member States (e.g. Croatia,</w:t>
      </w:r>
      <w:r>
        <w:rPr>
          <w:rFonts w:ascii="Times New Roman" w:hAnsi="Times New Roman"/>
          <w:noProof/>
          <w:sz w:val="24"/>
          <w:lang w:val="en-GB"/>
        </w:rPr>
        <w:t xml:space="preserve"> France and Italy). </w:t>
      </w:r>
    </w:p>
    <w:p w:rsidR="00EF5220" w:rsidRDefault="00EF2564">
      <w:pPr>
        <w:spacing w:line="360" w:lineRule="auto"/>
        <w:jc w:val="both"/>
        <w:rPr>
          <w:rFonts w:ascii="Times New Roman" w:eastAsia="Times New Roman" w:hAnsi="Times New Roman" w:cs="Times New Roman"/>
          <w:noProof/>
          <w:sz w:val="24"/>
          <w:szCs w:val="24"/>
          <w:lang w:val="en-GB"/>
        </w:rPr>
      </w:pPr>
      <w:r>
        <w:rPr>
          <w:rFonts w:ascii="Times New Roman" w:hAnsi="Times New Roman"/>
          <w:b/>
          <w:noProof/>
          <w:sz w:val="24"/>
          <w:lang w:val="en-GB"/>
        </w:rPr>
        <w:t>Member States are providing more individualised support to long-term unemployed and better integrated services</w:t>
      </w:r>
      <w:r>
        <w:rPr>
          <w:rFonts w:ascii="Times New Roman" w:hAnsi="Times New Roman"/>
          <w:noProof/>
          <w:sz w:val="24"/>
          <w:lang w:val="en-GB"/>
        </w:rPr>
        <w:t xml:space="preserve">. In Bulgaria, Job Integration Agreements are now signed between the long-term unemployed person and the labour office, </w:t>
      </w:r>
      <w:r>
        <w:rPr>
          <w:rFonts w:ascii="Times New Roman" w:hAnsi="Times New Roman"/>
          <w:noProof/>
          <w:sz w:val="24"/>
          <w:lang w:val="en-GB"/>
        </w:rPr>
        <w:t>including proposals for specific employment services and referral to services provided by other institutions. Since January 2018, Family and Labour Counselling and Mobile joint teams of Employment Agency and Social Assistance Agency staff provide comprehen</w:t>
      </w:r>
      <w:r>
        <w:rPr>
          <w:rFonts w:ascii="Times New Roman" w:hAnsi="Times New Roman"/>
          <w:noProof/>
          <w:sz w:val="24"/>
          <w:lang w:val="en-GB"/>
        </w:rPr>
        <w:t>sive and integrated services to unemployed persons in remote areas. In Romania, a pilot is underway aiming to create integrated teams to address several challenges at the same time: social, educational and medical, also in partnership with the PES.</w:t>
      </w:r>
      <w:r>
        <w:rPr>
          <w:rFonts w:ascii="Times New Roman" w:hAnsi="Times New Roman"/>
          <w:i/>
          <w:noProof/>
          <w:sz w:val="24"/>
          <w:lang w:val="en-GB"/>
        </w:rPr>
        <w:t xml:space="preserve"> </w:t>
      </w:r>
      <w:r>
        <w:rPr>
          <w:rFonts w:ascii="Times New Roman" w:hAnsi="Times New Roman"/>
          <w:noProof/>
          <w:sz w:val="24"/>
          <w:lang w:val="en-GB"/>
        </w:rPr>
        <w:t>The pro</w:t>
      </w:r>
      <w:r>
        <w:rPr>
          <w:rFonts w:ascii="Times New Roman" w:hAnsi="Times New Roman"/>
          <w:noProof/>
          <w:sz w:val="24"/>
          <w:lang w:val="en-GB"/>
        </w:rPr>
        <w:t>ject will pilot this approach in 139 of the most disadvantaged communities selected based on the poverty maps and the criteria agreed upon by the Government. A scale-up is envisaged later on. Slovenia adopted a 2017-2020 social activation programmes aiming</w:t>
      </w:r>
      <w:r>
        <w:rPr>
          <w:rFonts w:ascii="Times New Roman" w:hAnsi="Times New Roman"/>
          <w:noProof/>
          <w:sz w:val="24"/>
          <w:lang w:val="en-GB"/>
        </w:rPr>
        <w:t xml:space="preserve"> at encouraging social and labour market inclusion of the 12 500 most-hard-to-employ and vulnerable people. The aim is to provide these persons with competences that will bring them closer to the labour market inclusion. In Ireland, the voluntary scheme YE</w:t>
      </w:r>
      <w:r>
        <w:rPr>
          <w:rFonts w:ascii="Times New Roman" w:hAnsi="Times New Roman"/>
          <w:noProof/>
          <w:sz w:val="24"/>
          <w:lang w:val="en-GB"/>
        </w:rPr>
        <w:t>SS ("Youth Employment Support Scheme") is aimed at young jobseekers who are long-term unemployed or who face significant barriers to gaining employment. YESS aims to provide an opportunity to learn basic work and social skills in a supportive environment w</w:t>
      </w:r>
      <w:r>
        <w:rPr>
          <w:rFonts w:ascii="Times New Roman" w:hAnsi="Times New Roman"/>
          <w:noProof/>
          <w:sz w:val="24"/>
          <w:lang w:val="en-GB"/>
        </w:rPr>
        <w:t>hile on a work placement. The standard duration for the work experience placements will be three months although there will be an option to extend that to six or nine months following a review of progress by a departmental caseworker.</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Subsidies and incenti</w:t>
      </w:r>
      <w:r>
        <w:rPr>
          <w:rFonts w:ascii="Times New Roman" w:hAnsi="Times New Roman"/>
          <w:b/>
          <w:noProof/>
          <w:sz w:val="24"/>
          <w:lang w:val="en-GB"/>
        </w:rPr>
        <w:t xml:space="preserve">ves have become a common policy measure for integrating long-term unemployed into the labour market. </w:t>
      </w:r>
      <w:r>
        <w:rPr>
          <w:rFonts w:ascii="Times New Roman" w:hAnsi="Times New Roman"/>
          <w:noProof/>
          <w:sz w:val="24"/>
          <w:lang w:val="en-GB"/>
        </w:rPr>
        <w:t>Cyprus has launched a programme about providing incentives for hiring unemployed individuals in the private sector. The subsidy is granted only for the fir</w:t>
      </w:r>
      <w:r>
        <w:rPr>
          <w:rFonts w:ascii="Times New Roman" w:hAnsi="Times New Roman"/>
          <w:noProof/>
          <w:sz w:val="24"/>
          <w:lang w:val="en-GB"/>
        </w:rPr>
        <w:t>st 6 months of employment. Through the scheme 946 enterprises benefited and about 2,472 participants gained employment</w:t>
      </w:r>
      <w:r>
        <w:rPr>
          <w:rFonts w:ascii="Times New Roman" w:hAnsi="Times New Roman"/>
          <w:i/>
          <w:noProof/>
          <w:sz w:val="24"/>
          <w:lang w:val="en-GB"/>
        </w:rPr>
        <w:t xml:space="preserve">. </w:t>
      </w:r>
      <w:r>
        <w:rPr>
          <w:rFonts w:ascii="Times New Roman" w:hAnsi="Times New Roman"/>
          <w:noProof/>
          <w:sz w:val="24"/>
          <w:lang w:val="en-GB"/>
        </w:rPr>
        <w:t>In Luxembourg, new measures aim at creating subsidised permanent jobs for long-term unemployed that match the new needs of employers and</w:t>
      </w:r>
      <w:r>
        <w:rPr>
          <w:rFonts w:ascii="Times New Roman" w:hAnsi="Times New Roman"/>
          <w:noProof/>
          <w:sz w:val="24"/>
          <w:lang w:val="en-GB"/>
        </w:rPr>
        <w:t xml:space="preserve"> targets 30+ long-term unemployed and the scheme has a specific provision for people older than 50 enabling a total refund of wage labour costs until retirement. On the other hand, in the light of the improving labour market situation, France has reduced t</w:t>
      </w:r>
      <w:r>
        <w:rPr>
          <w:rFonts w:ascii="Times New Roman" w:hAnsi="Times New Roman"/>
          <w:noProof/>
          <w:sz w:val="24"/>
          <w:lang w:val="en-GB"/>
        </w:rPr>
        <w:t xml:space="preserve">he volume of its subsidised job schemes (see also Section 3.1.2). In Austria, measures have been taken aiming at reducing long-term unemployment by tightening sanctions, strengthening constraints on unemployed to accept job offers even by longer commuting </w:t>
      </w:r>
      <w:r>
        <w:rPr>
          <w:rFonts w:ascii="Times New Roman" w:hAnsi="Times New Roman"/>
          <w:noProof/>
          <w:sz w:val="24"/>
          <w:lang w:val="en-GB"/>
        </w:rPr>
        <w:t>distances up to 2.5 hours per day and combining unemployment benefit and social assistance. Generally, the aim is to create stronger incentives by unemployed to take up a job offer and reduce unemployment and increase effectiveness of labour market policy.</w:t>
      </w:r>
      <w:r>
        <w:rPr>
          <w:rFonts w:ascii="Times New Roman" w:hAnsi="Times New Roman"/>
          <w:noProof/>
          <w:sz w:val="24"/>
          <w:lang w:val="en-GB"/>
        </w:rPr>
        <w:t xml:space="preserve"> Sweden introduced "Introduction jobs", targeting long-term unemployed or newly arrived immigrants that can be flexibly combined with education and training. The wage subsidy for introduction jobs is capped at a gross salary of SEK 20,000 per month (about </w:t>
      </w:r>
      <w:r>
        <w:rPr>
          <w:rFonts w:ascii="Times New Roman" w:hAnsi="Times New Roman"/>
          <w:noProof/>
          <w:sz w:val="24"/>
          <w:lang w:val="en-GB"/>
        </w:rPr>
        <w:t xml:space="preserve">EUR 1950), with a limit of 80%. Subsidies in Slovenia are aimed at the permanent employment of persons older than 58 years until they fulfil the conditions for retirement. Priority inclusion is foreseen for unemployment benefit- and cash social assistance </w:t>
      </w:r>
      <w:r>
        <w:rPr>
          <w:rFonts w:ascii="Times New Roman" w:hAnsi="Times New Roman"/>
          <w:noProof/>
          <w:sz w:val="24"/>
          <w:lang w:val="en-GB"/>
        </w:rPr>
        <w:t>beneficiaries. The subsidy amounts to EUR 11 000 and is payed to the employer in two parts (half at the employment and half after 18</w:t>
      </w:r>
      <w:r>
        <w:rPr>
          <w:rFonts w:ascii="Times New Roman" w:hAnsi="Times New Roman"/>
          <w:noProof/>
          <w:sz w:val="24"/>
          <w:vertAlign w:val="superscript"/>
          <w:lang w:val="en-GB"/>
        </w:rPr>
        <w:t>th</w:t>
      </w:r>
      <w:r>
        <w:rPr>
          <w:rFonts w:ascii="Times New Roman" w:hAnsi="Times New Roman"/>
          <w:noProof/>
          <w:sz w:val="24"/>
          <w:lang w:val="en-GB"/>
        </w:rPr>
        <w:t xml:space="preserve"> salary).</w:t>
      </w:r>
    </w:p>
    <w:p w:rsidR="00EF5220" w:rsidRDefault="00EF2564">
      <w:pPr>
        <w:spacing w:line="360" w:lineRule="auto"/>
        <w:jc w:val="both"/>
        <w:rPr>
          <w:rFonts w:ascii="Times New Roman" w:hAnsi="Times New Roman"/>
          <w:i/>
          <w:noProof/>
          <w:sz w:val="24"/>
          <w:lang w:val="en-GB"/>
        </w:rPr>
      </w:pPr>
      <w:r>
        <w:rPr>
          <w:rFonts w:ascii="Times New Roman" w:hAnsi="Times New Roman"/>
          <w:b/>
          <w:noProof/>
          <w:sz w:val="24"/>
          <w:lang w:val="en-GB"/>
        </w:rPr>
        <w:t xml:space="preserve">Cooperation with the private sector continues to enhance transitions to the primary labour market. </w:t>
      </w:r>
      <w:r>
        <w:rPr>
          <w:rFonts w:ascii="Times New Roman" w:hAnsi="Times New Roman"/>
          <w:noProof/>
          <w:sz w:val="24"/>
          <w:lang w:val="en-GB"/>
        </w:rPr>
        <w:t>Entry agreeme</w:t>
      </w:r>
      <w:r>
        <w:rPr>
          <w:rFonts w:ascii="Times New Roman" w:hAnsi="Times New Roman"/>
          <w:noProof/>
          <w:sz w:val="24"/>
          <w:lang w:val="en-GB"/>
        </w:rPr>
        <w:t xml:space="preserve">nts are being tested in Sweden enabling long-term unemployed, with a particular focus on foreign-born women, to gain employment from an employer covered by a collective agreement on entry agreements. Such agreements are based on a proposal from the social </w:t>
      </w:r>
      <w:r>
        <w:rPr>
          <w:rFonts w:ascii="Times New Roman" w:hAnsi="Times New Roman"/>
          <w:noProof/>
          <w:sz w:val="24"/>
          <w:lang w:val="en-GB"/>
        </w:rPr>
        <w:t>partners and aim at building a new model for getting more people into the labour market and to ease future skills supply for employers, also through Swedish courses and other short-term training programmes. In Malta, the Community Work Scheme that places l</w:t>
      </w:r>
      <w:r>
        <w:rPr>
          <w:rFonts w:ascii="Times New Roman" w:hAnsi="Times New Roman"/>
          <w:noProof/>
          <w:sz w:val="24"/>
          <w:lang w:val="en-GB"/>
        </w:rPr>
        <w:t>ong-term unemployed people in work is being revised to ensure those at risk of becoming detached from the labour market are formally employed and active.</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Recent reforms in the domain of unemployment benefits have mostly focused on strengthening activation </w:t>
      </w:r>
      <w:r>
        <w:rPr>
          <w:rFonts w:ascii="Times New Roman" w:hAnsi="Times New Roman"/>
          <w:b/>
          <w:noProof/>
          <w:sz w:val="24"/>
          <w:lang w:val="en-GB"/>
        </w:rPr>
        <w:t xml:space="preserve">requirements. </w:t>
      </w:r>
      <w:r>
        <w:rPr>
          <w:rFonts w:ascii="Times New Roman" w:hAnsi="Times New Roman"/>
          <w:noProof/>
          <w:sz w:val="24"/>
          <w:lang w:val="en-GB"/>
        </w:rPr>
        <w:t xml:space="preserve">In Finland, since January 2018, unemployed jobseekers are only eligible for the full amount of unemployment benefits if they also get some paid work income or take part in services improving their employment prospects (with some thresholds). </w:t>
      </w:r>
      <w:r>
        <w:rPr>
          <w:rFonts w:ascii="Times New Roman" w:hAnsi="Times New Roman"/>
          <w:noProof/>
          <w:sz w:val="24"/>
          <w:lang w:val="en-GB"/>
        </w:rPr>
        <w:t>If a jobseeker fails to show the required activity during the 65-day monitoring period, the unemployment benefit paid for the following 65 days is reduced by 4.65%. Furthermore, the government is preparing legislation that would require unemployed jobseeke</w:t>
      </w:r>
      <w:r>
        <w:rPr>
          <w:rFonts w:ascii="Times New Roman" w:hAnsi="Times New Roman"/>
          <w:noProof/>
          <w:sz w:val="24"/>
          <w:lang w:val="en-GB"/>
        </w:rPr>
        <w:t>rs to apply for one job per week or face a cut in their unemployment benefits. The proposal is currently under consultation with social partners, but both employees' and employers' sides have expressed reservations on it, as it may lead the employee to pre</w:t>
      </w:r>
      <w:r>
        <w:rPr>
          <w:rFonts w:ascii="Times New Roman" w:hAnsi="Times New Roman"/>
          <w:noProof/>
          <w:sz w:val="24"/>
          <w:lang w:val="en-GB"/>
        </w:rPr>
        <w:t>pare applications without the intention of being hired. In Slovenia, since October 2017 dismissed workers are obliged to report to the employment service already within the notice period in case the employment contract has been terminated for business reas</w:t>
      </w:r>
      <w:r>
        <w:rPr>
          <w:rFonts w:ascii="Times New Roman" w:hAnsi="Times New Roman"/>
          <w:noProof/>
          <w:sz w:val="24"/>
          <w:lang w:val="en-GB"/>
        </w:rPr>
        <w:t>ons or reasons of incompetence. Failure to do this will result in the first three months of unemployment in lower unemployment benefits (60% rather than 80%) of the reference salary. In addition, low-skilled persons whose professions are not in high demand</w:t>
      </w:r>
      <w:r>
        <w:rPr>
          <w:rFonts w:ascii="Times New Roman" w:hAnsi="Times New Roman"/>
          <w:noProof/>
          <w:sz w:val="24"/>
          <w:lang w:val="en-GB"/>
        </w:rPr>
        <w:t xml:space="preserve"> are allowed to keep receiving 20% of their unemployment benefit for a maximum of 12 months when they find a job. France, as part of the Law </w:t>
      </w:r>
      <w:r>
        <w:rPr>
          <w:rFonts w:ascii="Times New Roman" w:hAnsi="Times New Roman"/>
          <w:i/>
          <w:noProof/>
          <w:sz w:val="24"/>
          <w:lang w:val="en-GB"/>
        </w:rPr>
        <w:t xml:space="preserve">Liberté de Choisir son Avenir Professionnel </w:t>
      </w:r>
      <w:r>
        <w:rPr>
          <w:rFonts w:ascii="Times New Roman" w:hAnsi="Times New Roman"/>
          <w:noProof/>
          <w:sz w:val="24"/>
          <w:lang w:val="en-GB"/>
        </w:rPr>
        <w:t>("Freedom to Choose one's  Professional Future"), will apply a stricter</w:t>
      </w:r>
      <w:r>
        <w:rPr>
          <w:rFonts w:ascii="Times New Roman" w:hAnsi="Times New Roman"/>
          <w:noProof/>
          <w:sz w:val="24"/>
          <w:lang w:val="en-GB"/>
        </w:rPr>
        <w:t xml:space="preserve"> control on job search, counterbalanced by increased tailor-made accompanying measures. Professional branches are invited to negotiate agreements so as to foster more sustainable forms of work, but if collective bargaining fails, the government can interve</w:t>
      </w:r>
      <w:r>
        <w:rPr>
          <w:rFonts w:ascii="Times New Roman" w:hAnsi="Times New Roman"/>
          <w:noProof/>
          <w:sz w:val="24"/>
          <w:lang w:val="en-GB"/>
        </w:rPr>
        <w:t>ne. People receiving unemployment benefit will also be allowed to run a part-time activity, under more restrictive conditions. Moreover, the unemployment benefit, previously exclusively financed by social security contributions, is supplemented by an incre</w:t>
      </w:r>
      <w:r>
        <w:rPr>
          <w:rFonts w:ascii="Times New Roman" w:hAnsi="Times New Roman"/>
          <w:noProof/>
          <w:sz w:val="24"/>
          <w:lang w:val="en-GB"/>
        </w:rPr>
        <w:t>ase on the broader tax "CSG-Contribution sociale généralisée". Starting from 1 January 2019, unemployment insurance negotiations will be framed by the government, which will determine the overall financial envelope to respect and the targets to meet. Acces</w:t>
      </w:r>
      <w:r>
        <w:rPr>
          <w:rFonts w:ascii="Times New Roman" w:hAnsi="Times New Roman"/>
          <w:noProof/>
          <w:sz w:val="24"/>
          <w:lang w:val="en-GB"/>
        </w:rPr>
        <w:t>s to benefit would also be granted to independent workers and to employees who resign, under certain conditions. Spain plans to introduce a "Universal Social Card" with the aim to gather information on social benefits received by all individuals as well as</w:t>
      </w:r>
      <w:r>
        <w:rPr>
          <w:rFonts w:ascii="Times New Roman" w:hAnsi="Times New Roman"/>
          <w:noProof/>
          <w:sz w:val="24"/>
          <w:lang w:val="en-GB"/>
        </w:rPr>
        <w:t xml:space="preserve"> any potential situations giving the right to social benefits (e.g. dependency, disability, unemployment or large families). It is expected to improve the coordination between administrations, increase the effectiveness of social benefits and, ultimately, </w:t>
      </w:r>
      <w:r>
        <w:rPr>
          <w:rFonts w:ascii="Times New Roman" w:hAnsi="Times New Roman"/>
          <w:noProof/>
          <w:sz w:val="24"/>
          <w:lang w:val="en-GB"/>
        </w:rPr>
        <w:t xml:space="preserve">help to detect vulnerable situations. The design and development of the Universal Social Card system finished at the end of 2017, with approval expected by Q4-2018.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As parts of the ongoing reforms, eligibility conditions to unemployment benefits have been</w:t>
      </w:r>
      <w:r>
        <w:rPr>
          <w:rFonts w:ascii="Times New Roman" w:hAnsi="Times New Roman"/>
          <w:b/>
          <w:noProof/>
          <w:sz w:val="24"/>
          <w:lang w:val="en-GB"/>
        </w:rPr>
        <w:t xml:space="preserve"> modified in some cases, often making them stricter. </w:t>
      </w:r>
      <w:r>
        <w:rPr>
          <w:rFonts w:ascii="Times New Roman" w:hAnsi="Times New Roman"/>
          <w:noProof/>
          <w:sz w:val="24"/>
          <w:lang w:val="en-GB"/>
        </w:rPr>
        <w:t>Bulgaria has increased in 2018 the minimum unemployment benefit from BGN 7.2 (approximately EUR 3.7) to BGN 9 (EUR 4.6) per day, with a maximum of BGN 74.3 (EUR 38). At the same time, the eligibility req</w:t>
      </w:r>
      <w:r>
        <w:rPr>
          <w:rFonts w:ascii="Times New Roman" w:hAnsi="Times New Roman"/>
          <w:noProof/>
          <w:sz w:val="24"/>
          <w:lang w:val="en-GB"/>
        </w:rPr>
        <w:t xml:space="preserve">uirements have been tightened – the insured person must have worked for at least 15 months during the 18 months, and not 9 months of the last 15, as it was before. This tightening is likely to affect younger workers and persons who are more likely to have </w:t>
      </w:r>
      <w:r>
        <w:rPr>
          <w:rFonts w:ascii="Times New Roman" w:hAnsi="Times New Roman"/>
          <w:noProof/>
          <w:sz w:val="24"/>
          <w:lang w:val="en-GB"/>
        </w:rPr>
        <w:t>interrupted careers – notably seasonal workers and workers on precarious jobs. Going in a different direction, Portugal has reduced the guarantee period for access to the initial unemployment benefit upon expiration of a fixed-term contract, from 180 to 12</w:t>
      </w:r>
      <w:r>
        <w:rPr>
          <w:rFonts w:ascii="Times New Roman" w:hAnsi="Times New Roman"/>
          <w:noProof/>
          <w:sz w:val="24"/>
          <w:lang w:val="en-GB"/>
        </w:rPr>
        <w:t>0 days. In Austria, a package of measures is planned to reduce long-term unemployment by tightening the rules concerning mobility of unemployment benefit recipients (accepting job offers even by longer commuting distances up to 2.5 hours per day), abolishi</w:t>
      </w:r>
      <w:r>
        <w:rPr>
          <w:rFonts w:ascii="Times New Roman" w:hAnsi="Times New Roman"/>
          <w:noProof/>
          <w:sz w:val="24"/>
          <w:lang w:val="en-GB"/>
        </w:rPr>
        <w:t>ng the prolongation of the UB entitlement due to sickness (except in-patient stay) and restricting the duration of marginal employment during receipt of UB. Generally, the aim is to create stronger incentives for unemployed to take up a job offer and reduc</w:t>
      </w:r>
      <w:r>
        <w:rPr>
          <w:rFonts w:ascii="Times New Roman" w:hAnsi="Times New Roman"/>
          <w:noProof/>
          <w:sz w:val="24"/>
          <w:lang w:val="en-GB"/>
        </w:rPr>
        <w:t xml:space="preserve">e unemployment and increase effectiveness of labour market policy.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Some Member States took action to promote workers' and learners' mobility (internal and external), with the aim to enhance employability and improve skills development, and/or attract fore</w:t>
      </w:r>
      <w:r>
        <w:rPr>
          <w:rFonts w:ascii="Times New Roman" w:hAnsi="Times New Roman"/>
          <w:b/>
          <w:noProof/>
          <w:sz w:val="24"/>
          <w:lang w:val="en-GB"/>
        </w:rPr>
        <w:t xml:space="preserve">ign workers in sectors showing labour shortages. </w:t>
      </w:r>
      <w:r>
        <w:rPr>
          <w:rFonts w:ascii="Times New Roman" w:hAnsi="Times New Roman"/>
          <w:noProof/>
          <w:sz w:val="24"/>
          <w:lang w:val="en-GB"/>
        </w:rPr>
        <w:t>In 2018, Finland has introduced measures to support regional mobility and commuting of unemployed jobseekers, including the provision of mobility allowances (now also available for part-time work with workin</w:t>
      </w:r>
      <w:r>
        <w:rPr>
          <w:rFonts w:ascii="Times New Roman" w:hAnsi="Times New Roman"/>
          <w:noProof/>
          <w:sz w:val="24"/>
          <w:lang w:val="en-GB"/>
        </w:rPr>
        <w:t>g hours less than 18 hours a week, work-related training) and targeted information on economic support for mobility. A higher mobility allowance can be provided in case of exceptionally long commuting distances. Social partners were consulted on the reform</w:t>
      </w:r>
      <w:r>
        <w:rPr>
          <w:rFonts w:ascii="Times New Roman" w:hAnsi="Times New Roman"/>
          <w:noProof/>
          <w:sz w:val="24"/>
          <w:lang w:val="en-GB"/>
        </w:rPr>
        <w:t>. In Latvia, mobility support measures for unemployed people were expanded in 2018 to include also the capital (Riga, previously excluded).  The measure covers regional mobility for people who take up a job offer in other regions, but also those who are en</w:t>
      </w:r>
      <w:r>
        <w:rPr>
          <w:rFonts w:ascii="Times New Roman" w:hAnsi="Times New Roman"/>
          <w:noProof/>
          <w:sz w:val="24"/>
          <w:lang w:val="en-GB"/>
        </w:rPr>
        <w:t>rolled in some ALMP measures, including Youth Guarantee, subsidized employment and vocational training measures. Support measures aimed at attracting medical practitioners (doctors and nurses) for work in regions outside Riga started in December 2017. More</w:t>
      </w:r>
      <w:r>
        <w:rPr>
          <w:rFonts w:ascii="Times New Roman" w:hAnsi="Times New Roman"/>
          <w:noProof/>
          <w:sz w:val="24"/>
          <w:lang w:val="en-GB"/>
        </w:rPr>
        <w:t>over, a list of 237 high-skilled professions, where at the moment there is a significant shortage of labour force and which could attract third-country nationals, was approved in Latvia. Some preferential conditions are applied to employees wishing to rece</w:t>
      </w:r>
      <w:r>
        <w:rPr>
          <w:rFonts w:ascii="Times New Roman" w:hAnsi="Times New Roman"/>
          <w:noProof/>
          <w:sz w:val="24"/>
          <w:lang w:val="en-GB"/>
        </w:rPr>
        <w:t xml:space="preserve">ive an EU Blue Card in those cases. In Poland, the creation of the National Agency for Academic Exchange in 2017 is expected to facilitate the internationalisation of Polish universities through the pro-quality support of academic mobility. In Bulgaria, a </w:t>
      </w:r>
      <w:r>
        <w:rPr>
          <w:rFonts w:ascii="Times New Roman" w:hAnsi="Times New Roman"/>
          <w:noProof/>
          <w:sz w:val="24"/>
          <w:lang w:val="en-GB"/>
        </w:rPr>
        <w:t>simplified Blue Card authorization procedure for third-country nationals has been approved to overcome the identified shortage of qualified specialists in the field of information and communication technologies, engineers in industrial production and other</w:t>
      </w:r>
      <w:r>
        <w:rPr>
          <w:rFonts w:ascii="Times New Roman" w:hAnsi="Times New Roman"/>
          <w:noProof/>
          <w:sz w:val="24"/>
          <w:lang w:val="en-GB"/>
        </w:rPr>
        <w:t>s relevant fields. The modifications will allow as well the issuance of the Blue Card for a period of up to 4 years, when in the past it was issued for a term of one year. In Estonia, an amendment of the "Aliens’ Act" exempts top-level specialists from imm</w:t>
      </w:r>
      <w:r>
        <w:rPr>
          <w:rFonts w:ascii="Times New Roman" w:hAnsi="Times New Roman"/>
          <w:noProof/>
          <w:sz w:val="24"/>
          <w:lang w:val="en-GB"/>
        </w:rPr>
        <w:t>igration quota and extend the maximum term of short-term employment to 12 months, while leaving the immigration quota unchanged.</w:t>
      </w:r>
    </w:p>
    <w:p w:rsidR="00EF5220" w:rsidRDefault="00EF2564">
      <w:pPr>
        <w:spacing w:line="360" w:lineRule="auto"/>
        <w:jc w:val="both"/>
        <w:rPr>
          <w:rFonts w:ascii="Times New Roman" w:hAnsi="Times New Roman" w:cs="Times New Roman"/>
          <w:bCs/>
          <w:noProof/>
          <w:sz w:val="24"/>
          <w:szCs w:val="24"/>
          <w:lang w:val="en-GB"/>
        </w:rPr>
      </w:pPr>
      <w:r>
        <w:rPr>
          <w:rFonts w:ascii="Times New Roman" w:hAnsi="Times New Roman"/>
          <w:b/>
          <w:bCs/>
          <w:noProof/>
          <w:sz w:val="24"/>
          <w:szCs w:val="24"/>
          <w:lang w:val="en-GB"/>
        </w:rPr>
        <w:t>The involvement of national social partners in the design and implementation of employment and social reforms and policies vari</w:t>
      </w:r>
      <w:r>
        <w:rPr>
          <w:rFonts w:ascii="Times New Roman" w:hAnsi="Times New Roman"/>
          <w:b/>
          <w:bCs/>
          <w:noProof/>
          <w:sz w:val="24"/>
          <w:szCs w:val="24"/>
          <w:lang w:val="en-GB"/>
        </w:rPr>
        <w:t>es across Member States.</w:t>
      </w:r>
      <w:r>
        <w:rPr>
          <w:rFonts w:ascii="Times New Roman" w:hAnsi="Times New Roman"/>
          <w:noProof/>
          <w:sz w:val="24"/>
          <w:szCs w:val="24"/>
          <w:lang w:val="en-GB"/>
        </w:rPr>
        <w:t xml:space="preserve"> The quality and form of this involvement reflects the diversity of national institutional frameworks and social dialogue practices, with a marked lack of timely and or meaningful dialogue in a number of Member States. At the same t</w:t>
      </w:r>
      <w:r>
        <w:rPr>
          <w:rFonts w:ascii="Times New Roman" w:hAnsi="Times New Roman"/>
          <w:noProof/>
          <w:sz w:val="24"/>
          <w:szCs w:val="24"/>
          <w:lang w:val="en-GB"/>
        </w:rPr>
        <w:t>ime, during the last 18 months social partners have been involved in the design of relevant policy reforms in several Member States</w:t>
      </w:r>
      <w:r>
        <w:rPr>
          <w:rStyle w:val="FootnoteReference"/>
          <w:rFonts w:ascii="Times New Roman" w:hAnsi="Times New Roman"/>
          <w:noProof/>
          <w:sz w:val="24"/>
          <w:szCs w:val="24"/>
          <w:lang w:val="en-GB"/>
        </w:rPr>
        <w:footnoteReference w:id="84"/>
      </w:r>
      <w:r>
        <w:rPr>
          <w:rFonts w:ascii="Times New Roman" w:hAnsi="Times New Roman"/>
          <w:noProof/>
          <w:sz w:val="24"/>
          <w:szCs w:val="24"/>
          <w:lang w:val="en-GB"/>
        </w:rPr>
        <w:t xml:space="preserve">. New legislation and measures concerning the functioning of labour market have been discussed or agreed for instance in </w:t>
      </w:r>
      <w:r>
        <w:rPr>
          <w:rFonts w:ascii="Times New Roman" w:hAnsi="Times New Roman"/>
          <w:noProof/>
          <w:sz w:val="24"/>
          <w:szCs w:val="24"/>
          <w:lang w:val="en-GB"/>
        </w:rPr>
        <w:t>Bulgaria, Croatia, Denmark, Finland, the Netherlands, Portugal and Sweden (integration of migrants). As also shown in Section 3.1, social partners have negotiated reforms of wage setting framework in a number of countries. In Estonia, the government decide</w:t>
      </w:r>
      <w:r>
        <w:rPr>
          <w:rFonts w:ascii="Times New Roman" w:hAnsi="Times New Roman"/>
          <w:noProof/>
          <w:sz w:val="24"/>
          <w:szCs w:val="24"/>
          <w:lang w:val="en-GB"/>
        </w:rPr>
        <w:t>d to restore regular tripartite meetings with social partners, which were interrupted since 2002. Negotiations related to the setting or increase of minimum wages have taken place for instance in Bulgaria, Estonia, Poland, Portugal and Spain. Social partne</w:t>
      </w:r>
      <w:r>
        <w:rPr>
          <w:rFonts w:ascii="Times New Roman" w:hAnsi="Times New Roman"/>
          <w:noProof/>
          <w:sz w:val="24"/>
          <w:szCs w:val="24"/>
          <w:lang w:val="en-GB"/>
        </w:rPr>
        <w:t>rs took part in the discussion of reforms of social protection and/or unemployment benefit in Croatia, France, Finland, Germany, Portugal and Slovenia, among others. Education and VET policies, as well as training, apprenticeship</w:t>
      </w:r>
      <w:r>
        <w:rPr>
          <w:rFonts w:ascii="Times New Roman" w:hAnsi="Times New Roman"/>
          <w:b/>
          <w:bCs/>
          <w:noProof/>
          <w:sz w:val="24"/>
          <w:szCs w:val="24"/>
          <w:lang w:val="en-GB"/>
        </w:rPr>
        <w:t xml:space="preserve"> </w:t>
      </w:r>
      <w:r>
        <w:rPr>
          <w:rFonts w:ascii="Times New Roman" w:hAnsi="Times New Roman"/>
          <w:noProof/>
          <w:sz w:val="24"/>
          <w:szCs w:val="24"/>
          <w:lang w:val="en-GB"/>
        </w:rPr>
        <w:t>and life-long learning ref</w:t>
      </w:r>
      <w:r>
        <w:rPr>
          <w:rFonts w:ascii="Times New Roman" w:hAnsi="Times New Roman"/>
          <w:noProof/>
          <w:sz w:val="24"/>
          <w:szCs w:val="24"/>
          <w:lang w:val="en-GB"/>
        </w:rPr>
        <w:t xml:space="preserve">orms and new policies have been discussed with the participation of social partners in the Czech Republic, Denmark, France, Latvia, the Netherlands and Poland. </w:t>
      </w:r>
      <w:r>
        <w:rPr>
          <w:noProof/>
          <w:lang w:val="en-GB"/>
        </w:rPr>
        <w:br w:type="page"/>
      </w:r>
    </w:p>
    <w:p w:rsidR="00EF5220" w:rsidRDefault="00EF2564">
      <w:pPr>
        <w:pStyle w:val="Heading3"/>
        <w:numPr>
          <w:ilvl w:val="1"/>
          <w:numId w:val="10"/>
        </w:numPr>
        <w:ind w:left="426"/>
        <w:jc w:val="both"/>
        <w:rPr>
          <w:rFonts w:cs="Times New Roman"/>
          <w:b/>
          <w:i w:val="0"/>
          <w:noProof/>
          <w:lang w:val="en-GB"/>
        </w:rPr>
      </w:pPr>
      <w:bookmarkStart w:id="67" w:name="_Toc527539791"/>
      <w:r>
        <w:rPr>
          <w:b/>
          <w:i w:val="0"/>
          <w:noProof/>
          <w:lang w:val="en-GB"/>
        </w:rPr>
        <w:t xml:space="preserve">Guideline 8: Promoting equal opportunities for all, fostering social inclusion and combatting </w:t>
      </w:r>
      <w:r>
        <w:rPr>
          <w:b/>
          <w:i w:val="0"/>
          <w:noProof/>
          <w:lang w:val="en-GB"/>
        </w:rPr>
        <w:t>poverty</w:t>
      </w:r>
      <w:bookmarkEnd w:id="67"/>
    </w:p>
    <w:p w:rsidR="00EF5220" w:rsidRDefault="00EF5220">
      <w:pPr>
        <w:rPr>
          <w:noProof/>
          <w:lang w:val="en-GB"/>
        </w:rPr>
      </w:pP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noProof/>
          <w:sz w:val="24"/>
          <w:lang w:val="en-GB"/>
        </w:rPr>
        <w:t>This section looks at the implementation of the employment guideline no. 8, which recommends to Member States to modernise their social protection systems, in order to promote equal opportunities, combat poverty and social exclusion. It first pres</w:t>
      </w:r>
      <w:r>
        <w:rPr>
          <w:rFonts w:ascii="Times New Roman" w:hAnsi="Times New Roman"/>
          <w:noProof/>
          <w:sz w:val="24"/>
          <w:lang w:val="en-GB"/>
        </w:rPr>
        <w:t>ents an overview of the social situation in Member States by key indicators, including disposable income, inequality, poverty and social inclusion, pension adequacy, access to housing, access to healthcare and long-term care. Section 3.4.2 reports on polic</w:t>
      </w:r>
      <w:r>
        <w:rPr>
          <w:rFonts w:ascii="Times New Roman" w:hAnsi="Times New Roman"/>
          <w:noProof/>
          <w:sz w:val="24"/>
          <w:lang w:val="en-GB"/>
        </w:rPr>
        <w:t>y measures from Member States in the areas of social protection systems, including minimum income schemes, family benefits, housing policies, pensions, long-term care, healthcare and inclusion of people with disabilities.</w:t>
      </w:r>
    </w:p>
    <w:p w:rsidR="00EF5220" w:rsidRDefault="00EF5220">
      <w:pPr>
        <w:jc w:val="both"/>
        <w:rPr>
          <w:rFonts w:ascii="Times New Roman" w:hAnsi="Times New Roman" w:cs="Times New Roman"/>
          <w:iCs/>
          <w:noProof/>
          <w:sz w:val="24"/>
          <w:szCs w:val="24"/>
          <w:lang w:val="en-GB"/>
        </w:rPr>
      </w:pPr>
    </w:p>
    <w:p w:rsidR="00EF5220" w:rsidRDefault="00EF2564">
      <w:pPr>
        <w:pStyle w:val="Heading3"/>
        <w:rPr>
          <w:noProof/>
          <w:lang w:val="en-GB"/>
        </w:rPr>
      </w:pPr>
      <w:bookmarkStart w:id="68" w:name="_Toc527539792"/>
      <w:r>
        <w:rPr>
          <w:noProof/>
          <w:lang w:val="en-GB"/>
        </w:rPr>
        <w:t>3.4.1</w:t>
      </w:r>
      <w:r>
        <w:rPr>
          <w:noProof/>
          <w:lang w:val="en-GB"/>
        </w:rPr>
        <w:tab/>
        <w:t>Key indicators</w:t>
      </w:r>
      <w:bookmarkEnd w:id="68"/>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Household </w:t>
      </w:r>
      <w:r>
        <w:rPr>
          <w:rFonts w:ascii="Times New Roman" w:hAnsi="Times New Roman"/>
          <w:b/>
          <w:noProof/>
          <w:sz w:val="24"/>
          <w:lang w:val="en-GB"/>
        </w:rPr>
        <w:t>incomes kept rising in almost all EU countries in 2016</w:t>
      </w:r>
      <w:r>
        <w:rPr>
          <w:rStyle w:val="FootnoteReference"/>
          <w:rFonts w:ascii="Times New Roman" w:hAnsi="Times New Roman"/>
          <w:b/>
          <w:noProof/>
          <w:sz w:val="24"/>
          <w:lang w:val="en-GB"/>
        </w:rPr>
        <w:footnoteReference w:id="85"/>
      </w:r>
      <w:r>
        <w:rPr>
          <w:rFonts w:ascii="Times New Roman" w:hAnsi="Times New Roman"/>
          <w:b/>
          <w:noProof/>
          <w:sz w:val="24"/>
          <w:lang w:val="en-GB"/>
        </w:rPr>
        <w:t>.</w:t>
      </w:r>
      <w:r>
        <w:rPr>
          <w:rFonts w:ascii="Times New Roman" w:hAnsi="Times New Roman"/>
          <w:noProof/>
          <w:sz w:val="24"/>
          <w:lang w:val="en-GB"/>
        </w:rPr>
        <w:t xml:space="preserve"> Real disposable household income (GDHI) per capita</w:t>
      </w:r>
      <w:r>
        <w:rPr>
          <w:rStyle w:val="FootnoteReference"/>
          <w:rFonts w:ascii="Times New Roman" w:hAnsi="Times New Roman"/>
          <w:noProof/>
          <w:sz w:val="24"/>
          <w:lang w:val="en-GB"/>
        </w:rPr>
        <w:footnoteReference w:id="86"/>
      </w:r>
      <w:r>
        <w:rPr>
          <w:rFonts w:ascii="Times New Roman" w:hAnsi="Times New Roman"/>
          <w:noProof/>
          <w:sz w:val="24"/>
          <w:lang w:val="en-GB"/>
        </w:rPr>
        <w:t xml:space="preserve"> rose for all Member States with the exception of Greece, where it registered a small decrease. In general, improvements have been the fastest in co</w:t>
      </w:r>
      <w:r>
        <w:rPr>
          <w:rFonts w:ascii="Times New Roman" w:hAnsi="Times New Roman"/>
          <w:noProof/>
          <w:sz w:val="24"/>
          <w:lang w:val="en-GB"/>
        </w:rPr>
        <w:t>untries which have more recently joined the EU, such as Bulgaria, Poland, Romania and Lithuania, and slower for longer-standing Member States such as Austria, Italy, France, Belgium, Luxembourg, while even negative for Greece and the United Kingdom. This r</w:t>
      </w:r>
      <w:r>
        <w:rPr>
          <w:rFonts w:ascii="Times New Roman" w:hAnsi="Times New Roman"/>
          <w:noProof/>
          <w:sz w:val="24"/>
          <w:lang w:val="en-GB"/>
        </w:rPr>
        <w:t>eflects ongoing convergence, with Bulgaria and Poland currently being the best performers in this regard. In a number of countries, real GDHI per capita remains significantly below the pre-crisis levels. This is notably the case for Greece and Cyprus, wher</w:t>
      </w:r>
      <w:r>
        <w:rPr>
          <w:rFonts w:ascii="Times New Roman" w:hAnsi="Times New Roman"/>
          <w:noProof/>
          <w:sz w:val="24"/>
          <w:lang w:val="en-GB"/>
        </w:rPr>
        <w:t>e the levels in 2016 were, respectively, at around 69% and 82% of the levels recorded in 2008 (both countries are flagged as "critical situations"). In Italy, Ireland, Spain, Austria, Belgium, Portugal ("to watch" countries) and Slovenia ("on average") rea</w:t>
      </w:r>
      <w:r>
        <w:rPr>
          <w:rFonts w:ascii="Times New Roman" w:hAnsi="Times New Roman"/>
          <w:noProof/>
          <w:sz w:val="24"/>
          <w:lang w:val="en-GB"/>
        </w:rPr>
        <w:t>l GDHI per capita was in the range between 90% and 100% of the 2008 value. In all these countries but Slovenia the growth rate in 2016 lagged behind the (unweighted) EU average or was even negative in the case of Greece.</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59</w:t>
      </w:r>
      <w:r>
        <w:rPr>
          <w:rFonts w:ascii="Times New Roman" w:hAnsi="Times New Roman"/>
          <w:b/>
          <w:noProof/>
          <w:sz w:val="24"/>
          <w:szCs w:val="24"/>
          <w:lang w:val="en-GB"/>
        </w:rPr>
        <w:fldChar w:fldCharType="end"/>
      </w:r>
      <w:r>
        <w:rPr>
          <w:rFonts w:ascii="Times New Roman" w:hAnsi="Times New Roman"/>
          <w:b/>
          <w:noProof/>
          <w:sz w:val="24"/>
          <w:lang w:val="en-GB"/>
        </w:rPr>
        <w:t>:</w:t>
      </w:r>
      <w:r>
        <w:rPr>
          <w:rFonts w:ascii="Times New Roman" w:hAnsi="Times New Roman"/>
          <w:b/>
          <w:noProof/>
          <w:sz w:val="24"/>
          <w:lang w:val="en-GB"/>
        </w:rPr>
        <w:t xml:space="preserve">  Real GDHI per capita, index 2008 = 100 and yearly change (Social Scoreboard headline indicator)</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27801" cy="4370919"/>
            <wp:effectExtent l="0" t="0" r="635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729384" cy="4372127"/>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National Accounts [nasq_10_nf_tr and namq_10_gdp], own calculations. Period: 2016 levels and yearly changes with respect to 2015. Note: Ax</w:t>
      </w:r>
      <w:r>
        <w:rPr>
          <w:rFonts w:ascii="Times New Roman" w:hAnsi="Times New Roman"/>
          <w:noProof/>
          <w:sz w:val="20"/>
          <w:lang w:val="en-GB"/>
        </w:rPr>
        <w:t>es are centred on the unweighted EU average. The legend is presented in the Annex. Data for HR and MT not available on 26 October 2018.</w:t>
      </w:r>
    </w:p>
    <w:p w:rsidR="00EF5220" w:rsidRDefault="00EF5220">
      <w:pPr>
        <w:spacing w:line="360" w:lineRule="auto"/>
        <w:contextualSpacing/>
        <w:jc w:val="both"/>
        <w:rPr>
          <w:rFonts w:ascii="Times New Roman" w:hAnsi="Times New Roman" w:cs="Times New Roman"/>
          <w:b/>
          <w:iCs/>
          <w:noProof/>
          <w:sz w:val="24"/>
          <w:szCs w:val="24"/>
          <w:highlight w:val="green"/>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A majority of countries experienced a further significant improvement in the share of people at risk of poverty or soci</w:t>
      </w:r>
      <w:r>
        <w:rPr>
          <w:rFonts w:ascii="Times New Roman" w:hAnsi="Times New Roman"/>
          <w:b/>
          <w:noProof/>
          <w:sz w:val="24"/>
          <w:lang w:val="en-GB"/>
        </w:rPr>
        <w:t>al exclusion (AROPE) in 2017</w:t>
      </w:r>
      <w:r>
        <w:rPr>
          <w:rStyle w:val="FootnoteReference"/>
          <w:rFonts w:ascii="Times New Roman" w:hAnsi="Times New Roman"/>
          <w:b/>
          <w:noProof/>
          <w:sz w:val="24"/>
          <w:lang w:val="en-GB"/>
        </w:rPr>
        <w:footnoteReference w:id="87"/>
      </w:r>
      <w:r>
        <w:rPr>
          <w:rFonts w:ascii="Times New Roman" w:hAnsi="Times New Roman"/>
          <w:b/>
          <w:noProof/>
          <w:sz w:val="24"/>
          <w:lang w:val="en-GB"/>
        </w:rPr>
        <w:t xml:space="preserve">. </w:t>
      </w:r>
      <w:r>
        <w:rPr>
          <w:rFonts w:ascii="Times New Roman" w:hAnsi="Times New Roman"/>
          <w:noProof/>
          <w:sz w:val="24"/>
          <w:lang w:val="en-GB"/>
        </w:rPr>
        <w:t>The effects of the economic recovery have become visible with falling risks of poverty or social exclusion now apparent in all but a handful of Member States (also see Section 1.2). Improvements are particularly apparent in R</w:t>
      </w:r>
      <w:r>
        <w:rPr>
          <w:rFonts w:ascii="Times New Roman" w:hAnsi="Times New Roman"/>
          <w:noProof/>
          <w:sz w:val="24"/>
          <w:lang w:val="en-GB"/>
        </w:rPr>
        <w:t>omania, Cyprus, and Poland, for which AROPE fell by more than 2%. By contrast, for Denmark, the Netherlands and Austria, AROPE rates registered a modest increase on the year, albeit from a low level. The situation remains "critical" in Bulgaria and Greece,</w:t>
      </w:r>
      <w:r>
        <w:rPr>
          <w:rFonts w:ascii="Times New Roman" w:hAnsi="Times New Roman"/>
          <w:noProof/>
          <w:sz w:val="24"/>
          <w:lang w:val="en-GB"/>
        </w:rPr>
        <w:t xml:space="preserve"> in view of still very high levels but only moderate decrease over the last year. The negative correlation between trends and levels (see </w:t>
      </w:r>
      <w:r>
        <w:rPr>
          <w:rFonts w:ascii="Times New Roman" w:hAnsi="Times New Roman" w:cs="Times New Roman"/>
          <w:noProof/>
          <w:sz w:val="24"/>
          <w:szCs w:val="24"/>
          <w:lang w:val="en-GB"/>
        </w:rPr>
        <w:t>Figure 60</w:t>
      </w:r>
      <w:r>
        <w:rPr>
          <w:rFonts w:ascii="Times New Roman" w:hAnsi="Times New Roman"/>
          <w:noProof/>
          <w:sz w:val="24"/>
          <w:lang w:val="en-GB"/>
        </w:rPr>
        <w:t xml:space="preserve">) suggests ongoing convergence across Member States. Among the different age groups, young people aged 18-24 </w:t>
      </w:r>
      <w:r>
        <w:rPr>
          <w:rFonts w:ascii="Times New Roman" w:hAnsi="Times New Roman"/>
          <w:noProof/>
          <w:sz w:val="24"/>
          <w:lang w:val="en-GB"/>
        </w:rPr>
        <w:t xml:space="preserve">are most at risk of poverty or social exclusion with a rate of 29.1%. This indicator registered improvements in a majority of Member States, reflecting falling youth unemployment.  </w:t>
      </w:r>
    </w:p>
    <w:p w:rsidR="00EF5220" w:rsidRDefault="00EF2564">
      <w:pPr>
        <w:pStyle w:val="caption2"/>
        <w:keepNext/>
        <w:jc w:val="both"/>
        <w:rPr>
          <w:rFonts w:ascii="Times New Roman" w:hAnsi="Times New Roman" w:cs="Times New Roman"/>
          <w:b w:val="0"/>
          <w:noProof/>
          <w:color w:val="auto"/>
          <w:sz w:val="24"/>
          <w:szCs w:val="24"/>
          <w:lang w:val="en-GB"/>
        </w:rPr>
      </w:pPr>
      <w:bookmarkStart w:id="69" w:name="_Ref527556956"/>
      <w:r>
        <w:rPr>
          <w:rFonts w:ascii="Times New Roman" w:hAnsi="Times New Roman" w:cs="Times New Roman"/>
          <w:noProof/>
          <w:color w:val="auto"/>
          <w:sz w:val="24"/>
          <w:szCs w:val="24"/>
          <w:lang w:val="en-GB"/>
        </w:rPr>
        <w:t xml:space="preserve">Figure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60</w:t>
      </w:r>
      <w:r>
        <w:rPr>
          <w:rFonts w:ascii="Times New Roman" w:hAnsi="Times New Roman" w:cs="Times New Roman"/>
          <w:noProof/>
          <w:color w:val="auto"/>
          <w:sz w:val="24"/>
          <w:szCs w:val="24"/>
          <w:lang w:val="en-GB"/>
        </w:rPr>
        <w:fldChar w:fldCharType="end"/>
      </w:r>
      <w:bookmarkEnd w:id="69"/>
      <w:r>
        <w:rPr>
          <w:rFonts w:ascii="Times New Roman" w:hAnsi="Times New Roman" w:cs="Times New Roman"/>
          <w:noProof/>
          <w:color w:val="auto"/>
          <w:sz w:val="24"/>
          <w:szCs w:val="24"/>
          <w:lang w:val="en-GB"/>
        </w:rPr>
        <w:t xml:space="preserve">: Percentage of the population at risk </w:t>
      </w:r>
      <w:r>
        <w:rPr>
          <w:rFonts w:ascii="Times New Roman" w:hAnsi="Times New Roman" w:cs="Times New Roman"/>
          <w:noProof/>
          <w:color w:val="auto"/>
          <w:sz w:val="24"/>
          <w:szCs w:val="24"/>
          <w:lang w:val="en-GB"/>
        </w:rPr>
        <w:t>of poverty or social exclusion, 2017 and change from previous year (Social Scoreboard headline indicator)</w:t>
      </w:r>
    </w:p>
    <w:p w:rsidR="00EF5220" w:rsidRDefault="00EF2564">
      <w:pPr>
        <w:spacing w:line="360" w:lineRule="auto"/>
        <w:jc w:val="both"/>
        <w:rPr>
          <w:rFonts w:ascii="Times New Roman" w:hAnsi="Times New Roman"/>
          <w:b/>
          <w:noProof/>
          <w:sz w:val="24"/>
          <w:lang w:val="en-GB"/>
        </w:rPr>
      </w:pPr>
      <w:r>
        <w:rPr>
          <w:rFonts w:ascii="Times New Roman" w:hAnsi="Times New Roman"/>
          <w:b/>
          <w:noProof/>
          <w:sz w:val="24"/>
          <w:lang w:val="en-GB" w:eastAsia="en-GB" w:bidi="ar-SA"/>
        </w:rPr>
        <w:drawing>
          <wp:inline distT="0" distB="0" distL="0" distR="0">
            <wp:extent cx="5538982" cy="4364966"/>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539724" cy="4365551"/>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noProof/>
          <w:sz w:val="20"/>
          <w:lang w:val="en-GB"/>
        </w:rPr>
        <w:t>Source: Eurostat, SILC. Period: 2017 levels and yearly changes with respect to 2016. Note: axes are centred on the unweighted EU average. The legend</w:t>
      </w:r>
      <w:r>
        <w:rPr>
          <w:rFonts w:ascii="Times New Roman" w:hAnsi="Times New Roman"/>
          <w:noProof/>
          <w:sz w:val="20"/>
          <w:lang w:val="en-GB"/>
        </w:rPr>
        <w:t xml:space="preserve"> is presented in the Annex. Data for IE and UK not available at 26 October 2018.</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While declining, the AROPE rate for children (aged 0-17) remains well above the figure for the general population in most Member States.</w:t>
      </w:r>
      <w:r>
        <w:rPr>
          <w:rFonts w:ascii="Times New Roman" w:hAnsi="Times New Roman"/>
          <w:noProof/>
          <w:sz w:val="24"/>
          <w:lang w:val="en-GB"/>
        </w:rPr>
        <w:t xml:space="preserve"> In 2017, it decreased in all Member S</w:t>
      </w:r>
      <w:r>
        <w:rPr>
          <w:rFonts w:ascii="Times New Roman" w:hAnsi="Times New Roman"/>
          <w:noProof/>
          <w:sz w:val="24"/>
          <w:lang w:val="en-GB"/>
        </w:rPr>
        <w:t>tates for which it is above the EU average (24.5%). Yet it remains particularly high in Romania (41.7%), Bulgaria (41.6%) and Greece (36.2%). By contrast, in some Member States with below-average levels of child poverty, the trend has been much flatter, la</w:t>
      </w:r>
      <w:r>
        <w:rPr>
          <w:rFonts w:ascii="Times New Roman" w:hAnsi="Times New Roman"/>
          <w:noProof/>
          <w:sz w:val="24"/>
          <w:lang w:val="en-GB"/>
        </w:rPr>
        <w:t>rgely reflecting the position of migrant children. This is the case in Austria, Belgium, France and Sweden. In the 25-54 age bracket the rate declined by 1 pp to 21.9%. People aged 55 and over remain the group least likely to be affected by poverty or excl</w:t>
      </w:r>
      <w:r>
        <w:rPr>
          <w:rFonts w:ascii="Times New Roman" w:hAnsi="Times New Roman"/>
          <w:noProof/>
          <w:sz w:val="24"/>
          <w:lang w:val="en-GB"/>
        </w:rPr>
        <w:t xml:space="preserve">usion with a rate of 20.5%. </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People with a migrant background experience a significantly higher risk of poverty or social exclusion.</w:t>
      </w:r>
      <w:r>
        <w:rPr>
          <w:rFonts w:ascii="Times New Roman" w:hAnsi="Times New Roman"/>
          <w:noProof/>
          <w:sz w:val="24"/>
          <w:lang w:val="en-GB"/>
        </w:rPr>
        <w:t xml:space="preserve"> In 2017, the AROPE rate was more than twice as high among non-EU born than among natives (41% compared to 20.7%). This gap </w:t>
      </w:r>
      <w:r>
        <w:rPr>
          <w:rFonts w:ascii="Times New Roman" w:hAnsi="Times New Roman"/>
          <w:noProof/>
          <w:sz w:val="24"/>
          <w:lang w:val="en-GB"/>
        </w:rPr>
        <w:t>was particularly large in Belgium (37.1 pps), Sweden (29.6 pps) and Denmark (25.8 pps) but was smallest in Poland (4.6 pps), Portugal (6.8 pps) and the Czech Republic (7.8 pps).</w:t>
      </w:r>
    </w:p>
    <w:p w:rsidR="00EF5220" w:rsidRDefault="00EF2564">
      <w:pPr>
        <w:pStyle w:val="caption2"/>
        <w:keepNext/>
        <w:rPr>
          <w:rFonts w:ascii="Times New Roman" w:hAnsi="Times New Roman"/>
          <w:noProof/>
          <w:color w:val="auto"/>
          <w:sz w:val="24"/>
          <w:szCs w:val="24"/>
          <w:lang w:val="en-GB"/>
        </w:rPr>
      </w:pPr>
      <w:bookmarkStart w:id="70" w:name="_Ref529518958"/>
      <w:r>
        <w:rPr>
          <w:rFonts w:ascii="Times New Roman" w:hAnsi="Times New Roman"/>
          <w:noProof/>
          <w:color w:val="auto"/>
          <w:sz w:val="24"/>
          <w:szCs w:val="24"/>
          <w:lang w:val="en-GB"/>
        </w:rPr>
        <w:t xml:space="preserve">Figure </w:t>
      </w:r>
      <w:r>
        <w:rPr>
          <w:rFonts w:ascii="Times New Roman" w:hAnsi="Times New Roman"/>
          <w:noProof/>
          <w:color w:val="auto"/>
          <w:sz w:val="24"/>
          <w:szCs w:val="24"/>
          <w:lang w:val="en-GB"/>
        </w:rPr>
        <w:fldChar w:fldCharType="begin"/>
      </w:r>
      <w:r>
        <w:rPr>
          <w:rFonts w:ascii="Times New Roman" w:hAnsi="Times New Roman"/>
          <w:noProof/>
          <w:color w:val="auto"/>
          <w:sz w:val="24"/>
          <w:szCs w:val="24"/>
          <w:lang w:val="en-GB"/>
        </w:rPr>
        <w:instrText xml:space="preserve"> SEQ Figure \* ARABIC </w:instrText>
      </w:r>
      <w:r>
        <w:rPr>
          <w:rFonts w:ascii="Times New Roman" w:hAnsi="Times New Roman"/>
          <w:noProof/>
          <w:color w:val="auto"/>
          <w:sz w:val="24"/>
          <w:szCs w:val="24"/>
          <w:lang w:val="en-GB"/>
        </w:rPr>
        <w:fldChar w:fldCharType="separate"/>
      </w:r>
      <w:r>
        <w:rPr>
          <w:rFonts w:ascii="Times New Roman" w:hAnsi="Times New Roman"/>
          <w:noProof/>
          <w:color w:val="auto"/>
          <w:sz w:val="24"/>
          <w:szCs w:val="24"/>
          <w:lang w:val="en-GB"/>
        </w:rPr>
        <w:t>61</w:t>
      </w:r>
      <w:r>
        <w:rPr>
          <w:rFonts w:ascii="Times New Roman" w:hAnsi="Times New Roman"/>
          <w:noProof/>
          <w:color w:val="auto"/>
          <w:sz w:val="24"/>
          <w:szCs w:val="24"/>
          <w:lang w:val="en-GB"/>
        </w:rPr>
        <w:fldChar w:fldCharType="end"/>
      </w:r>
      <w:bookmarkEnd w:id="70"/>
      <w:r>
        <w:rPr>
          <w:rFonts w:ascii="Times New Roman" w:hAnsi="Times New Roman"/>
          <w:noProof/>
          <w:color w:val="auto"/>
          <w:sz w:val="24"/>
          <w:szCs w:val="24"/>
          <w:lang w:val="en-GB"/>
        </w:rPr>
        <w:t xml:space="preserve">: Sub-indicators of the at-risk-of-poverty </w:t>
      </w:r>
      <w:r>
        <w:rPr>
          <w:rFonts w:ascii="Times New Roman" w:hAnsi="Times New Roman"/>
          <w:noProof/>
          <w:color w:val="auto"/>
          <w:sz w:val="24"/>
          <w:szCs w:val="24"/>
          <w:lang w:val="en-GB"/>
        </w:rPr>
        <w:t>or social exclusion rate</w:t>
      </w:r>
    </w:p>
    <w:p w:rsidR="00EF5220" w:rsidRDefault="00EF2564">
      <w:pPr>
        <w:rPr>
          <w:noProof/>
          <w:lang w:val="en-GB"/>
        </w:rPr>
      </w:pPr>
      <w:r>
        <w:rPr>
          <w:noProof/>
          <w:lang w:val="en-GB" w:eastAsia="en-GB" w:bidi="ar-SA"/>
        </w:rPr>
        <w:drawing>
          <wp:inline distT="0" distB="0" distL="0" distR="0">
            <wp:extent cx="5911200" cy="49032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5911200" cy="4903200"/>
                    </a:xfrm>
                    <a:prstGeom prst="rect">
                      <a:avLst/>
                    </a:prstGeom>
                    <a:noFill/>
                  </pic:spPr>
                </pic:pic>
              </a:graphicData>
            </a:graphic>
          </wp:inline>
        </w:drawing>
      </w:r>
    </w:p>
    <w:p w:rsidR="00EF5220" w:rsidRDefault="00EF2564">
      <w:pPr>
        <w:jc w:val="both"/>
        <w:rPr>
          <w:noProof/>
          <w:lang w:val="en-GB"/>
        </w:rPr>
      </w:pPr>
      <w:r>
        <w:rPr>
          <w:rFonts w:ascii="Times New Roman" w:hAnsi="Times New Roman" w:cs="Times New Roman"/>
          <w:noProof/>
          <w:lang w:val="en-GB" w:eastAsia="en-GB"/>
        </w:rPr>
        <w:t>Source: Eurostat, SILC. Note: Indicators are ranked by AROPE in 2017. Data for IE and UK not available for 2017 on 26 October 2018. EU27 values used for 2008 (data for HR not available).</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The share of the EU population at risk of </w:t>
      </w:r>
      <w:r>
        <w:rPr>
          <w:rFonts w:ascii="Times New Roman" w:hAnsi="Times New Roman"/>
          <w:b/>
          <w:noProof/>
          <w:sz w:val="24"/>
          <w:lang w:val="en-GB"/>
        </w:rPr>
        <w:t>poverty fell in 2017 in a majority of Member States, after three years of stability</w:t>
      </w:r>
      <w:r>
        <w:rPr>
          <w:rFonts w:ascii="Times New Roman" w:hAnsi="Times New Roman"/>
          <w:noProof/>
          <w:sz w:val="24"/>
          <w:lang w:val="en-GB"/>
        </w:rPr>
        <w:t>. The biggest decreases were recorded in (Poland -2.3 pps), Romania (1.7 pps) and Hungary (-1.1 pps). On the contrary, the indicator increased in Luxembourg (+2.2 pps), Lith</w:t>
      </w:r>
      <w:r>
        <w:rPr>
          <w:rFonts w:ascii="Times New Roman" w:hAnsi="Times New Roman"/>
          <w:noProof/>
          <w:sz w:val="24"/>
          <w:lang w:val="en-GB"/>
        </w:rPr>
        <w:t>uania (+1.0), Bulgaria (+0.5) and the Netherlands (+0.5). In all but six Member States, the share of people at risk of poverty remains higher in 2017 than in the pre-crisis period (2008) (</w:t>
      </w:r>
      <w:r>
        <w:rPr>
          <w:rFonts w:ascii="Times New Roman" w:hAnsi="Times New Roman"/>
          <w:noProof/>
          <w:sz w:val="24"/>
          <w:szCs w:val="24"/>
          <w:lang w:val="en-GB"/>
        </w:rPr>
        <w:t>Figure 61</w:t>
      </w:r>
      <w:r>
        <w:rPr>
          <w:rFonts w:ascii="Times New Roman" w:hAnsi="Times New Roman"/>
          <w:noProof/>
          <w:sz w:val="24"/>
          <w:lang w:val="en-GB"/>
        </w:rPr>
        <w:t>). Eurostat flash estimates point to further declines in AR</w:t>
      </w:r>
      <w:r>
        <w:rPr>
          <w:rFonts w:ascii="Times New Roman" w:hAnsi="Times New Roman"/>
          <w:noProof/>
          <w:sz w:val="24"/>
          <w:lang w:val="en-GB"/>
        </w:rPr>
        <w:t xml:space="preserve">OP in Greece, Romania, and Portugal, and to an increase in the United Kingdom. </w:t>
      </w:r>
    </w:p>
    <w:p w:rsidR="00EF5220" w:rsidRDefault="00EF2564">
      <w:pPr>
        <w:spacing w:line="360" w:lineRule="auto"/>
        <w:jc w:val="both"/>
        <w:rPr>
          <w:rFonts w:ascii="Times New Roman" w:hAnsi="Times New Roman" w:cs="Times New Roman"/>
          <w:b/>
          <w:iCs/>
          <w:noProof/>
          <w:sz w:val="24"/>
          <w:szCs w:val="24"/>
          <w:lang w:val="en-GB"/>
        </w:rPr>
      </w:pPr>
      <w:r>
        <w:rPr>
          <w:rFonts w:ascii="Times New Roman" w:hAnsi="Times New Roman"/>
          <w:b/>
          <w:noProof/>
          <w:sz w:val="24"/>
          <w:lang w:val="en-GB"/>
        </w:rPr>
        <w:t xml:space="preserve">The rate of severe material deprivation reached its lowest level so far. </w:t>
      </w:r>
      <w:r>
        <w:rPr>
          <w:rFonts w:ascii="Times New Roman" w:hAnsi="Times New Roman"/>
          <w:noProof/>
          <w:sz w:val="24"/>
          <w:lang w:val="en-GB"/>
        </w:rPr>
        <w:t>Almost all Member States experienced a decline in 2017. Romania was the country with the largest annual</w:t>
      </w:r>
      <w:r>
        <w:rPr>
          <w:rFonts w:ascii="Times New Roman" w:hAnsi="Times New Roman"/>
          <w:noProof/>
          <w:sz w:val="24"/>
          <w:lang w:val="en-GB"/>
        </w:rPr>
        <w:t xml:space="preserve"> reduction by 4.1 pp. A significant variation remains among Member States, with Finland and the Netherlands having severe material deprivation (SMD) rates of less than 3%, while at the other end of the spectrum Bulgaria with a rate of 30%, followed by Gree</w:t>
      </w:r>
      <w:r>
        <w:rPr>
          <w:rFonts w:ascii="Times New Roman" w:hAnsi="Times New Roman"/>
          <w:noProof/>
          <w:sz w:val="24"/>
          <w:lang w:val="en-GB"/>
        </w:rPr>
        <w:t>ce (21.1%) and Romania (19.4%). A slightly higher share of women (6.9%) experiences severe material deprivation compared to men (6.4%). A decrease took place across all age groups, with young people 18-24 still being most likely to experience SMD (7.9%), f</w:t>
      </w:r>
      <w:r>
        <w:rPr>
          <w:rFonts w:ascii="Times New Roman" w:hAnsi="Times New Roman"/>
          <w:noProof/>
          <w:sz w:val="24"/>
          <w:lang w:val="en-GB"/>
        </w:rPr>
        <w:t xml:space="preserve">ollowed by children aged 0-17 (7.2%), the prime age population (25-54) (6.7%) and the elderly; i.e., over 65 (6.3%). </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The share of people living in quasi-jobless households further decreased. </w:t>
      </w:r>
      <w:r>
        <w:rPr>
          <w:rFonts w:ascii="Times New Roman" w:hAnsi="Times New Roman"/>
          <w:noProof/>
          <w:sz w:val="24"/>
          <w:lang w:val="en-GB"/>
        </w:rPr>
        <w:t xml:space="preserve">In 20 Member States, the proportion of the population aged 0-59 </w:t>
      </w:r>
      <w:r>
        <w:rPr>
          <w:rFonts w:ascii="Times New Roman" w:hAnsi="Times New Roman"/>
          <w:noProof/>
          <w:sz w:val="24"/>
          <w:lang w:val="en-GB"/>
        </w:rPr>
        <w:t>living in households where adults work less than 20% of the potential has decreased in 2017. However, despite the improvements, only 9 Member States have shares below pre-crisis levels. The biggest year-on-year reductions were registered in Spain (-2.1 pps</w:t>
      </w:r>
      <w:r>
        <w:rPr>
          <w:rFonts w:ascii="Times New Roman" w:hAnsi="Times New Roman"/>
          <w:noProof/>
          <w:sz w:val="24"/>
          <w:lang w:val="en-GB"/>
        </w:rPr>
        <w:t xml:space="preserve">), Greece (-1.6 pps) and Romania (-1.3 pps). At the same time, the poverty risk facing those who live in quasi-jobless households continues to increase in a majority of Member States, reaching 79.9% in Slovakia, 78.2% in Lithuania and 77.8% in Latvia.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Red</w:t>
      </w:r>
      <w:r>
        <w:rPr>
          <w:rFonts w:ascii="Times New Roman" w:hAnsi="Times New Roman"/>
          <w:b/>
          <w:noProof/>
          <w:sz w:val="24"/>
          <w:lang w:val="en-GB"/>
        </w:rPr>
        <w:t xml:space="preserve">ucing the rate of in-work poverty remains a challenge. </w:t>
      </w:r>
      <w:r>
        <w:rPr>
          <w:rFonts w:ascii="Times New Roman" w:hAnsi="Times New Roman"/>
          <w:noProof/>
          <w:sz w:val="24"/>
          <w:lang w:val="en-GB"/>
        </w:rPr>
        <w:t>As also shown in Section 3.1, in spite of an overall reduction in at-risk-of-poverty rate, the share of people at risk of in-work poverty remained stable in 2017. More than one in ten people in employm</w:t>
      </w:r>
      <w:r>
        <w:rPr>
          <w:rFonts w:ascii="Times New Roman" w:hAnsi="Times New Roman"/>
          <w:noProof/>
          <w:sz w:val="24"/>
          <w:lang w:val="en-GB"/>
        </w:rPr>
        <w:t>ent were at risk of poverty in seven Member States. Though declining, the rate of in-work poverty was highest in Romania, (17.4% in 2017, down from 19.7% in 2014) where precarious self-employment remains a key driver. High rates were also recorded in Luxem</w:t>
      </w:r>
      <w:r>
        <w:rPr>
          <w:rFonts w:ascii="Times New Roman" w:hAnsi="Times New Roman"/>
          <w:noProof/>
          <w:sz w:val="24"/>
          <w:lang w:val="en-GB"/>
        </w:rPr>
        <w:t>bourg (13.7%) and Spain (13.1%), where a key driver was the poverty risk facing employees with temporary contracts. On the other hand, three countries had in-work poverty rates below 5% (Finland, Czech Republic, and Ireland).</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The depth of poverty has decli</w:t>
      </w:r>
      <w:r>
        <w:rPr>
          <w:rFonts w:ascii="Times New Roman" w:hAnsi="Times New Roman"/>
          <w:b/>
          <w:noProof/>
          <w:sz w:val="24"/>
          <w:lang w:val="en-GB"/>
        </w:rPr>
        <w:t xml:space="preserve">ned for the first time since 2008, yet remains high compared to pre-crisis levels. </w:t>
      </w:r>
      <w:r>
        <w:rPr>
          <w:rFonts w:ascii="Times New Roman" w:hAnsi="Times New Roman"/>
          <w:noProof/>
          <w:sz w:val="24"/>
          <w:lang w:val="en-GB"/>
        </w:rPr>
        <w:t>The relative at-risk-of-poverty gap, which measures the average distance from the poverty threshold for those at risk of poverty</w:t>
      </w:r>
      <w:bookmarkStart w:id="71" w:name="_Ref529521272"/>
      <w:r>
        <w:rPr>
          <w:rStyle w:val="FootnoteReference"/>
          <w:rFonts w:ascii="Times New Roman" w:hAnsi="Times New Roman"/>
          <w:noProof/>
          <w:sz w:val="24"/>
          <w:lang w:val="en-GB"/>
        </w:rPr>
        <w:footnoteReference w:id="88"/>
      </w:r>
      <w:bookmarkEnd w:id="71"/>
      <w:r>
        <w:rPr>
          <w:rFonts w:ascii="Times New Roman" w:hAnsi="Times New Roman"/>
          <w:noProof/>
          <w:sz w:val="24"/>
          <w:lang w:val="en-GB"/>
        </w:rPr>
        <w:t>, has been on an increasing trend in most Member States in the post-crisis period. Yet in the year to 2017, the figure fell for 11 Member States, and remained broadly stable for 5, decreasing on average from 26.2% to 25.4%. The change was driven by improve</w:t>
      </w:r>
      <w:r>
        <w:rPr>
          <w:rFonts w:ascii="Times New Roman" w:hAnsi="Times New Roman"/>
          <w:noProof/>
          <w:sz w:val="24"/>
          <w:lang w:val="en-GB"/>
        </w:rPr>
        <w:t>ments in the depth of poverty for the working age population and especially for children. The rate remains high (above 30%) in particular in Romania, Spain, Bulgaria and Greece. By contrast, the depth of poverty facing those age 65 and over remained stable</w:t>
      </w:r>
      <w:r>
        <w:rPr>
          <w:rFonts w:ascii="Times New Roman" w:hAnsi="Times New Roman"/>
          <w:noProof/>
          <w:sz w:val="24"/>
          <w:lang w:val="en-GB"/>
        </w:rPr>
        <w:t xml:space="preserve">. Improvements were strongest for Italy, Hungary and Romania. </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People with disabilities are significantly more likely to live at risk of poverty or social exclusion than those without disabilities. </w:t>
      </w:r>
      <w:r>
        <w:rPr>
          <w:rFonts w:ascii="Times New Roman" w:hAnsi="Times New Roman"/>
          <w:noProof/>
          <w:sz w:val="24"/>
          <w:lang w:val="en-GB"/>
        </w:rPr>
        <w:t>In 2016, 30.1% of persons with disabilities in the EU were</w:t>
      </w:r>
      <w:r>
        <w:rPr>
          <w:rFonts w:ascii="Times New Roman" w:hAnsi="Times New Roman"/>
          <w:noProof/>
          <w:sz w:val="24"/>
          <w:lang w:val="en-GB"/>
        </w:rPr>
        <w:t xml:space="preserve"> at risk of poverty or social exclusion, compared to 20.9% of people without disabilities,</w:t>
      </w:r>
      <w:r>
        <w:rPr>
          <w:rStyle w:val="FootnoteReference"/>
          <w:rFonts w:ascii="Times New Roman" w:hAnsi="Times New Roman"/>
          <w:noProof/>
          <w:sz w:val="24"/>
          <w:lang w:val="en-GB"/>
        </w:rPr>
        <w:footnoteReference w:id="89"/>
      </w:r>
      <w:r>
        <w:rPr>
          <w:rFonts w:ascii="Times New Roman" w:hAnsi="Times New Roman"/>
          <w:noProof/>
          <w:sz w:val="24"/>
          <w:lang w:val="en-GB"/>
        </w:rPr>
        <w:t xml:space="preserve"> corresponding to a gap of 9.2 percentage points. This gap is more pronounced for working-age people (16-64) with 37.6% of people with disabilities in this group at </w:t>
      </w:r>
      <w:r>
        <w:rPr>
          <w:rFonts w:ascii="Times New Roman" w:hAnsi="Times New Roman"/>
          <w:noProof/>
          <w:sz w:val="24"/>
          <w:lang w:val="en-GB"/>
        </w:rPr>
        <w:t>risk of poverty or social exclusion in 2016, compared to 21% of persons with disabilities over the age of 65.</w:t>
      </w:r>
      <w:r>
        <w:rPr>
          <w:rStyle w:val="FootnoteReference"/>
          <w:rFonts w:ascii="Times New Roman" w:hAnsi="Times New Roman"/>
          <w:noProof/>
          <w:sz w:val="24"/>
          <w:lang w:val="en-GB"/>
        </w:rPr>
        <w:footnoteReference w:id="90"/>
      </w:r>
      <w:r>
        <w:rPr>
          <w:rFonts w:ascii="Times New Roman" w:hAnsi="Times New Roman"/>
          <w:noProof/>
          <w:sz w:val="24"/>
          <w:lang w:val="en-GB"/>
        </w:rPr>
        <w:t xml:space="preserve"> The severity of disability is a very important explanatory factor, with 36.1% of those with a severe disability aged 16 or over in the EU in 2015</w:t>
      </w:r>
      <w:r>
        <w:rPr>
          <w:rFonts w:ascii="Times New Roman" w:hAnsi="Times New Roman"/>
          <w:noProof/>
          <w:sz w:val="24"/>
          <w:lang w:val="en-GB"/>
        </w:rPr>
        <w:t xml:space="preserve"> at risk of poverty or social exclusion, compared to 27.4% of those with a moderate disability and 20.8% without disabilities.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Income inequality declined slightly in 2017, for the first time since the crisis. </w:t>
      </w:r>
      <w:r>
        <w:rPr>
          <w:rFonts w:ascii="Times New Roman" w:hAnsi="Times New Roman"/>
          <w:noProof/>
          <w:sz w:val="24"/>
          <w:lang w:val="en-GB"/>
        </w:rPr>
        <w:t xml:space="preserve">The share of income of the richest 20% </w:t>
      </w:r>
      <w:r>
        <w:rPr>
          <w:rFonts w:ascii="Times New Roman" w:hAnsi="Times New Roman"/>
          <w:noProof/>
          <w:sz w:val="24"/>
          <w:lang w:val="en-GB"/>
        </w:rPr>
        <w:t>compared to that of the poorest 20% fell in a majority of Member States (</w:t>
      </w:r>
      <w:r>
        <w:rPr>
          <w:rFonts w:ascii="Times New Roman" w:hAnsi="Times New Roman"/>
          <w:noProof/>
          <w:sz w:val="24"/>
          <w:szCs w:val="24"/>
          <w:lang w:val="en-GB"/>
        </w:rPr>
        <w:t>Figure 62</w:t>
      </w:r>
      <w:r>
        <w:rPr>
          <w:rFonts w:ascii="Times New Roman" w:hAnsi="Times New Roman"/>
          <w:noProof/>
          <w:sz w:val="24"/>
          <w:lang w:val="en-GB"/>
        </w:rPr>
        <w:t xml:space="preserve">), although most of them still had income quintile share ratios in 2017 above the levels of 2008. In 2017, the highest levels of income inequality, with S80/S20 ratios above </w:t>
      </w:r>
      <w:r>
        <w:rPr>
          <w:rFonts w:ascii="Times New Roman" w:hAnsi="Times New Roman"/>
          <w:noProof/>
          <w:sz w:val="24"/>
          <w:lang w:val="en-GB"/>
        </w:rPr>
        <w:t>6, were recorded in Latvia, Estonia, Lithuania and Bulgaria (all "critical situations", with a significant increase in the latter country). Though presenting still high levels, significant decreases occurred in Romania, Greece and Italy ("weak but improvin</w:t>
      </w:r>
      <w:r>
        <w:rPr>
          <w:rFonts w:ascii="Times New Roman" w:hAnsi="Times New Roman"/>
          <w:noProof/>
          <w:sz w:val="24"/>
          <w:lang w:val="en-GB"/>
        </w:rPr>
        <w:t xml:space="preserve">g"). The improvements were driven by faster increases in the incomes of poorer households relative to the median in 10 Member States, suggesting the recovery was beginning to reach the most vulnerable. </w:t>
      </w:r>
    </w:p>
    <w:p w:rsidR="00EF5220" w:rsidRDefault="00EF5220">
      <w:pPr>
        <w:spacing w:line="360" w:lineRule="auto"/>
        <w:jc w:val="both"/>
        <w:rPr>
          <w:rFonts w:ascii="Times New Roman" w:hAnsi="Times New Roman"/>
          <w:noProof/>
          <w:sz w:val="24"/>
          <w:szCs w:val="24"/>
          <w:lang w:val="en-GB"/>
        </w:rPr>
      </w:pPr>
    </w:p>
    <w:p w:rsidR="00EF5220" w:rsidRDefault="00EF2564">
      <w:pPr>
        <w:pStyle w:val="caption2"/>
        <w:keepNext/>
        <w:rPr>
          <w:rFonts w:ascii="Times New Roman" w:hAnsi="Times New Roman"/>
          <w:noProof/>
          <w:color w:val="auto"/>
          <w:sz w:val="24"/>
          <w:szCs w:val="24"/>
          <w:lang w:val="en-GB"/>
        </w:rPr>
      </w:pPr>
      <w:bookmarkStart w:id="72" w:name="_Ref494719013"/>
      <w:r>
        <w:rPr>
          <w:rFonts w:ascii="Times New Roman" w:hAnsi="Times New Roman"/>
          <w:noProof/>
          <w:color w:val="auto"/>
          <w:sz w:val="24"/>
          <w:szCs w:val="24"/>
          <w:lang w:val="en-GB"/>
        </w:rPr>
        <w:t xml:space="preserve">Figure </w:t>
      </w:r>
      <w:r>
        <w:rPr>
          <w:rFonts w:ascii="Times New Roman" w:hAnsi="Times New Roman"/>
          <w:noProof/>
          <w:color w:val="auto"/>
          <w:sz w:val="24"/>
          <w:szCs w:val="24"/>
          <w:lang w:val="en-GB"/>
        </w:rPr>
        <w:fldChar w:fldCharType="begin"/>
      </w:r>
      <w:r>
        <w:rPr>
          <w:rFonts w:ascii="Times New Roman" w:hAnsi="Times New Roman"/>
          <w:noProof/>
          <w:color w:val="auto"/>
          <w:sz w:val="24"/>
          <w:szCs w:val="24"/>
          <w:lang w:val="en-GB"/>
        </w:rPr>
        <w:instrText xml:space="preserve"> SEQ Figure \* ARABIC </w:instrText>
      </w:r>
      <w:r>
        <w:rPr>
          <w:rFonts w:ascii="Times New Roman" w:hAnsi="Times New Roman"/>
          <w:noProof/>
          <w:color w:val="auto"/>
          <w:sz w:val="24"/>
          <w:szCs w:val="24"/>
          <w:lang w:val="en-GB"/>
        </w:rPr>
        <w:fldChar w:fldCharType="separate"/>
      </w:r>
      <w:r>
        <w:rPr>
          <w:rFonts w:ascii="Times New Roman" w:hAnsi="Times New Roman"/>
          <w:noProof/>
          <w:color w:val="auto"/>
          <w:sz w:val="24"/>
          <w:szCs w:val="24"/>
          <w:lang w:val="en-GB"/>
        </w:rPr>
        <w:t>62</w:t>
      </w:r>
      <w:r>
        <w:rPr>
          <w:rFonts w:ascii="Times New Roman" w:hAnsi="Times New Roman"/>
          <w:noProof/>
          <w:color w:val="auto"/>
          <w:sz w:val="24"/>
          <w:szCs w:val="24"/>
          <w:lang w:val="en-GB"/>
        </w:rPr>
        <w:fldChar w:fldCharType="end"/>
      </w:r>
      <w:bookmarkEnd w:id="72"/>
      <w:r>
        <w:rPr>
          <w:rFonts w:ascii="Times New Roman" w:hAnsi="Times New Roman"/>
          <w:noProof/>
          <w:color w:val="auto"/>
          <w:sz w:val="24"/>
          <w:szCs w:val="24"/>
          <w:lang w:val="en-GB"/>
        </w:rPr>
        <w:t xml:space="preserve">: Income quintile </w:t>
      </w:r>
      <w:r>
        <w:rPr>
          <w:rFonts w:ascii="Times New Roman" w:hAnsi="Times New Roman"/>
          <w:noProof/>
          <w:color w:val="auto"/>
          <w:sz w:val="24"/>
          <w:szCs w:val="24"/>
          <w:lang w:val="en-GB"/>
        </w:rPr>
        <w:t xml:space="preserve">share ratio and yearly change (Social Scoreboard headline indicator)  </w:t>
      </w:r>
    </w:p>
    <w:p w:rsidR="00EF5220" w:rsidRDefault="00EF2564">
      <w:pPr>
        <w:spacing w:line="360" w:lineRule="auto"/>
        <w:jc w:val="both"/>
        <w:rPr>
          <w:rFonts w:ascii="Times New Roman" w:hAnsi="Times New Roman"/>
          <w:b/>
          <w:noProof/>
          <w:sz w:val="24"/>
          <w:lang w:val="en-GB"/>
        </w:rPr>
      </w:pPr>
      <w:r>
        <w:rPr>
          <w:rFonts w:ascii="Times New Roman" w:hAnsi="Times New Roman"/>
          <w:b/>
          <w:noProof/>
          <w:sz w:val="24"/>
          <w:lang w:val="en-GB" w:eastAsia="en-GB" w:bidi="ar-SA"/>
        </w:rPr>
        <w:drawing>
          <wp:inline distT="0" distB="0" distL="0" distR="0">
            <wp:extent cx="5072332" cy="40421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073011" cy="4042651"/>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eastAsia="en-GB"/>
        </w:rPr>
        <w:t xml:space="preserve">Source: Eurostat, SILC. Period: 2017 levels and yearly changes with respect to 2016. Note: Axes are centred on the unweighted EU average. The legend is presented in the Annex. </w:t>
      </w:r>
      <w:r>
        <w:rPr>
          <w:rFonts w:ascii="Times New Roman" w:hAnsi="Times New Roman"/>
          <w:noProof/>
          <w:sz w:val="20"/>
          <w:lang w:val="en-GB"/>
        </w:rPr>
        <w:t xml:space="preserve">Data </w:t>
      </w:r>
      <w:r>
        <w:rPr>
          <w:rFonts w:ascii="Times New Roman" w:hAnsi="Times New Roman"/>
          <w:noProof/>
          <w:sz w:val="20"/>
          <w:lang w:val="en-GB"/>
        </w:rPr>
        <w:t>for IE and UK not available at 26 October 2018.</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Social protection expenditure continued to increase in all Member States, while large differences persist between them</w:t>
      </w:r>
      <w:r>
        <w:rPr>
          <w:rStyle w:val="FootnoteReference"/>
          <w:rFonts w:ascii="Times New Roman" w:hAnsi="Times New Roman"/>
          <w:b/>
          <w:noProof/>
          <w:sz w:val="24"/>
          <w:lang w:val="en-GB"/>
        </w:rPr>
        <w:footnoteReference w:id="91"/>
      </w:r>
      <w:r>
        <w:rPr>
          <w:rFonts w:ascii="Times New Roman" w:hAnsi="Times New Roman"/>
          <w:b/>
          <w:noProof/>
          <w:sz w:val="24"/>
          <w:lang w:val="en-GB"/>
        </w:rPr>
        <w:t xml:space="preserve">. </w:t>
      </w:r>
      <w:r>
        <w:rPr>
          <w:rFonts w:ascii="Times New Roman" w:hAnsi="Times New Roman"/>
          <w:noProof/>
          <w:sz w:val="24"/>
          <w:lang w:val="en-GB"/>
        </w:rPr>
        <w:t>In real terms, expenditure on social protection rose in all Member States from 2014 to</w:t>
      </w:r>
      <w:r>
        <w:rPr>
          <w:rFonts w:ascii="Times New Roman" w:hAnsi="Times New Roman"/>
          <w:noProof/>
          <w:sz w:val="24"/>
          <w:lang w:val="en-GB"/>
        </w:rPr>
        <w:t xml:space="preserve"> 2015</w:t>
      </w:r>
      <w:r>
        <w:rPr>
          <w:rStyle w:val="FootnoteReference"/>
          <w:rFonts w:ascii="Times New Roman" w:hAnsi="Times New Roman"/>
          <w:noProof/>
          <w:sz w:val="24"/>
          <w:lang w:val="en-GB"/>
        </w:rPr>
        <w:footnoteReference w:id="92"/>
      </w:r>
      <w:r>
        <w:rPr>
          <w:rFonts w:ascii="Times New Roman" w:hAnsi="Times New Roman"/>
          <w:noProof/>
          <w:sz w:val="24"/>
          <w:lang w:val="en-GB"/>
        </w:rPr>
        <w:t>. However, as a percentage of GDP, social protection spending increased in only 7 countries while it fell in 16. This was mainly driven by a lower proportion of spending on unemployment benefits, in line with improving labour market conditions. By co</w:t>
      </w:r>
      <w:r>
        <w:rPr>
          <w:rFonts w:ascii="Times New Roman" w:hAnsi="Times New Roman"/>
          <w:noProof/>
          <w:sz w:val="24"/>
          <w:lang w:val="en-GB"/>
        </w:rPr>
        <w:t>ntrast, spending as a percentage of GDP on sickness and health increased in 10 countries, and decreased in 12. Social protection spending as a percentage of GDP was overall highest in France (31.9%), Denmark (31.1%) and Finland (31.1%).</w:t>
      </w:r>
      <w:r>
        <w:rPr>
          <w:rFonts w:ascii="Times New Roman" w:hAnsi="Times New Roman"/>
          <w:b/>
          <w:noProof/>
          <w:sz w:val="24"/>
          <w:lang w:val="en-GB"/>
        </w:rPr>
        <w:t xml:space="preserve"> </w:t>
      </w:r>
      <w:r>
        <w:rPr>
          <w:rFonts w:ascii="Times New Roman" w:hAnsi="Times New Roman"/>
          <w:noProof/>
          <w:sz w:val="24"/>
          <w:lang w:val="en-GB"/>
        </w:rPr>
        <w:t xml:space="preserve">On the other hand, </w:t>
      </w:r>
      <w:r>
        <w:rPr>
          <w:rFonts w:ascii="Times New Roman" w:hAnsi="Times New Roman"/>
          <w:noProof/>
          <w:sz w:val="24"/>
          <w:lang w:val="en-GB"/>
        </w:rPr>
        <w:t xml:space="preserve">it amounted to less than 15% of GDP in Lithuania (14.8%), Latvia (14.7%), and Romania (14.3%). </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The impact of social transfers on reducing poverty has fallen modestly, in line with a reduced effect of automatic stabilisers in a phase of economic expansion.</w:t>
      </w:r>
      <w:r>
        <w:rPr>
          <w:rFonts w:ascii="Times New Roman" w:hAnsi="Times New Roman"/>
          <w:b/>
          <w:noProof/>
          <w:sz w:val="24"/>
          <w:lang w:val="en-GB"/>
        </w:rPr>
        <w:t xml:space="preserve"> </w:t>
      </w:r>
      <w:r>
        <w:rPr>
          <w:rFonts w:ascii="Times New Roman" w:hAnsi="Times New Roman"/>
          <w:noProof/>
          <w:sz w:val="24"/>
          <w:lang w:val="en-GB"/>
        </w:rPr>
        <w:t>However, considerable variation persists among Member States (</w:t>
      </w:r>
      <w:r>
        <w:rPr>
          <w:rFonts w:ascii="Times New Roman" w:hAnsi="Times New Roman"/>
          <w:noProof/>
          <w:sz w:val="24"/>
          <w:szCs w:val="24"/>
          <w:lang w:val="en-GB"/>
        </w:rPr>
        <w:t>Figure 63</w:t>
      </w:r>
      <w:r>
        <w:rPr>
          <w:rFonts w:ascii="Times New Roman" w:hAnsi="Times New Roman"/>
          <w:noProof/>
          <w:sz w:val="24"/>
          <w:lang w:val="en-GB"/>
        </w:rPr>
        <w:t>).</w:t>
      </w:r>
      <w:r>
        <w:rPr>
          <w:rFonts w:ascii="Times New Roman" w:hAnsi="Times New Roman"/>
          <w:b/>
          <w:noProof/>
          <w:sz w:val="24"/>
          <w:lang w:val="en-GB"/>
        </w:rPr>
        <w:t xml:space="preserve"> </w:t>
      </w:r>
      <w:r>
        <w:rPr>
          <w:rFonts w:ascii="Times New Roman" w:hAnsi="Times New Roman"/>
          <w:noProof/>
          <w:sz w:val="24"/>
          <w:lang w:val="en-GB"/>
        </w:rPr>
        <w:t>Social transfers excluding pensions reduced poverty risk by 32.4% in 2017, as against 33.2% in 2016, a continuation of a trend marked by improved labour market conditions and accord</w:t>
      </w:r>
      <w:r>
        <w:rPr>
          <w:rFonts w:ascii="Times New Roman" w:hAnsi="Times New Roman"/>
          <w:noProof/>
          <w:sz w:val="24"/>
          <w:lang w:val="en-GB"/>
        </w:rPr>
        <w:t>ingly more dynamic labour income increases than social transfers. The size of the poverty reducing impact of transfers varies considerably across Member States, and many countries with the highest poverty risk also have the weakest impact of social transfe</w:t>
      </w:r>
      <w:r>
        <w:rPr>
          <w:rFonts w:ascii="Times New Roman" w:hAnsi="Times New Roman"/>
          <w:noProof/>
          <w:sz w:val="24"/>
          <w:lang w:val="en-GB"/>
        </w:rPr>
        <w:t>rs (Greece, Romania, Italy, Bulgaria and Latvia).</w:t>
      </w:r>
    </w:p>
    <w:p w:rsidR="00EF5220" w:rsidRDefault="00EF5220">
      <w:pPr>
        <w:spacing w:line="360" w:lineRule="auto"/>
        <w:jc w:val="both"/>
        <w:rPr>
          <w:rFonts w:ascii="Times New Roman" w:hAnsi="Times New Roman" w:cs="Times New Roman"/>
          <w:b/>
          <w:iCs/>
          <w:noProof/>
          <w:sz w:val="24"/>
          <w:szCs w:val="24"/>
          <w:lang w:val="en-GB"/>
        </w:rPr>
      </w:pPr>
    </w:p>
    <w:p w:rsidR="00EF5220" w:rsidRDefault="00EF2564">
      <w:pPr>
        <w:pStyle w:val="caption2"/>
        <w:keepNext/>
        <w:rPr>
          <w:rFonts w:ascii="Times New Roman" w:hAnsi="Times New Roman"/>
          <w:noProof/>
          <w:color w:val="auto"/>
          <w:sz w:val="24"/>
          <w:szCs w:val="24"/>
          <w:lang w:val="en-GB"/>
        </w:rPr>
      </w:pPr>
      <w:bookmarkStart w:id="73" w:name="_Ref494719128"/>
      <w:r>
        <w:rPr>
          <w:rFonts w:ascii="Times New Roman" w:hAnsi="Times New Roman"/>
          <w:noProof/>
          <w:color w:val="auto"/>
          <w:sz w:val="24"/>
          <w:szCs w:val="24"/>
          <w:lang w:val="en-GB"/>
        </w:rPr>
        <w:t xml:space="preserve">Figure </w:t>
      </w:r>
      <w:r>
        <w:rPr>
          <w:rFonts w:ascii="Times New Roman" w:hAnsi="Times New Roman"/>
          <w:noProof/>
          <w:color w:val="auto"/>
          <w:sz w:val="24"/>
          <w:szCs w:val="24"/>
          <w:lang w:val="en-GB"/>
        </w:rPr>
        <w:fldChar w:fldCharType="begin"/>
      </w:r>
      <w:r>
        <w:rPr>
          <w:rFonts w:ascii="Times New Roman" w:hAnsi="Times New Roman"/>
          <w:noProof/>
          <w:color w:val="auto"/>
          <w:sz w:val="24"/>
          <w:szCs w:val="24"/>
          <w:lang w:val="en-GB"/>
        </w:rPr>
        <w:instrText xml:space="preserve"> SEQ Figure \* ARABIC </w:instrText>
      </w:r>
      <w:r>
        <w:rPr>
          <w:rFonts w:ascii="Times New Roman" w:hAnsi="Times New Roman"/>
          <w:noProof/>
          <w:color w:val="auto"/>
          <w:sz w:val="24"/>
          <w:szCs w:val="24"/>
          <w:lang w:val="en-GB"/>
        </w:rPr>
        <w:fldChar w:fldCharType="separate"/>
      </w:r>
      <w:r>
        <w:rPr>
          <w:rFonts w:ascii="Times New Roman" w:hAnsi="Times New Roman"/>
          <w:noProof/>
          <w:color w:val="auto"/>
          <w:sz w:val="24"/>
          <w:szCs w:val="24"/>
          <w:lang w:val="en-GB"/>
        </w:rPr>
        <w:t>63</w:t>
      </w:r>
      <w:r>
        <w:rPr>
          <w:rFonts w:ascii="Times New Roman" w:hAnsi="Times New Roman"/>
          <w:noProof/>
          <w:color w:val="auto"/>
          <w:sz w:val="24"/>
          <w:szCs w:val="24"/>
          <w:lang w:val="en-GB"/>
        </w:rPr>
        <w:fldChar w:fldCharType="end"/>
      </w:r>
      <w:bookmarkEnd w:id="73"/>
      <w:r>
        <w:rPr>
          <w:rFonts w:ascii="Times New Roman" w:hAnsi="Times New Roman"/>
          <w:noProof/>
          <w:color w:val="auto"/>
          <w:sz w:val="24"/>
          <w:szCs w:val="24"/>
          <w:lang w:val="en-GB"/>
        </w:rPr>
        <w:t xml:space="preserve">: Impact of social transfers (other than pensions) on poverty reduction and yearly change (Social Scoreboard headline indicator) </w:t>
      </w:r>
    </w:p>
    <w:p w:rsidR="00EF5220" w:rsidRDefault="00EF2564">
      <w:pPr>
        <w:spacing w:line="360" w:lineRule="auto"/>
        <w:jc w:val="both"/>
        <w:rPr>
          <w:rFonts w:ascii="Times New Roman" w:hAnsi="Times New Roman"/>
          <w:b/>
          <w:noProof/>
          <w:sz w:val="24"/>
          <w:lang w:val="en-GB"/>
        </w:rPr>
      </w:pPr>
      <w:r>
        <w:rPr>
          <w:rFonts w:ascii="Times New Roman" w:hAnsi="Times New Roman"/>
          <w:b/>
          <w:noProof/>
          <w:sz w:val="24"/>
          <w:lang w:val="en-GB" w:eastAsia="en-GB" w:bidi="ar-SA"/>
        </w:rPr>
        <w:drawing>
          <wp:inline distT="0" distB="0" distL="0" distR="0">
            <wp:extent cx="5266944" cy="41015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5265544" cy="4100464"/>
                    </a:xfrm>
                    <a:prstGeom prst="rect">
                      <a:avLst/>
                    </a:prstGeom>
                    <a:noFill/>
                  </pic:spPr>
                </pic:pic>
              </a:graphicData>
            </a:graphic>
          </wp:inline>
        </w:drawing>
      </w:r>
    </w:p>
    <w:p w:rsidR="00EF5220" w:rsidRDefault="00EF2564">
      <w:pPr>
        <w:spacing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lang w:val="en-GB" w:eastAsia="en-GB"/>
        </w:rPr>
        <w:t xml:space="preserve">Source: Eurostat, SILC. Period: 2017 levels and yearly changes with respect to 2016. Note: Axes are centred on the unweighted EU average. The legend is presented in the Annex. </w:t>
      </w:r>
      <w:r>
        <w:rPr>
          <w:rFonts w:ascii="Times New Roman" w:hAnsi="Times New Roman"/>
          <w:noProof/>
          <w:sz w:val="20"/>
          <w:lang w:val="en-GB"/>
        </w:rPr>
        <w:t>Data for IE and UK not available at 26 October 2018.</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Self-employed and non-stan</w:t>
      </w:r>
      <w:r>
        <w:rPr>
          <w:rFonts w:ascii="Times New Roman" w:hAnsi="Times New Roman"/>
          <w:b/>
          <w:noProof/>
          <w:sz w:val="24"/>
          <w:lang w:val="en-GB"/>
        </w:rPr>
        <w:t>dard workers endure greater economic uncertainty with limited access to social protection</w:t>
      </w:r>
      <w:r>
        <w:rPr>
          <w:rFonts w:ascii="Times New Roman" w:hAnsi="Times New Roman"/>
          <w:b/>
          <w:noProof/>
          <w:sz w:val="24"/>
          <w:vertAlign w:val="superscript"/>
          <w:lang w:val="en-GB"/>
        </w:rPr>
        <w:footnoteReference w:id="93"/>
      </w:r>
      <w:r>
        <w:rPr>
          <w:rFonts w:ascii="Times New Roman" w:hAnsi="Times New Roman"/>
          <w:b/>
          <w:noProof/>
          <w:sz w:val="24"/>
          <w:lang w:val="en-GB"/>
        </w:rPr>
        <w:t xml:space="preserve">. </w:t>
      </w:r>
      <w:r>
        <w:rPr>
          <w:rFonts w:ascii="Times New Roman" w:hAnsi="Times New Roman"/>
          <w:noProof/>
          <w:sz w:val="24"/>
          <w:lang w:val="en-GB"/>
        </w:rPr>
        <w:t xml:space="preserve">In 2017, the self-employed did not have access to unemployment protection in eleven countries, mandatory sickness protection in three countries, and protection </w:t>
      </w:r>
      <w:r>
        <w:rPr>
          <w:rFonts w:ascii="Times New Roman" w:hAnsi="Times New Roman"/>
          <w:noProof/>
          <w:sz w:val="24"/>
          <w:lang w:val="en-GB"/>
        </w:rPr>
        <w:t>against accidents at work and occupational injury in ten countries.</w:t>
      </w:r>
      <w:r>
        <w:rPr>
          <w:rFonts w:ascii="Times New Roman" w:hAnsi="Times New Roman"/>
          <w:noProof/>
          <w:sz w:val="24"/>
          <w:vertAlign w:val="superscript"/>
          <w:lang w:val="en-GB"/>
        </w:rPr>
        <w:footnoteReference w:id="94"/>
      </w:r>
      <w:r>
        <w:rPr>
          <w:rFonts w:ascii="Times New Roman" w:hAnsi="Times New Roman"/>
          <w:noProof/>
          <w:sz w:val="24"/>
          <w:lang w:val="en-GB"/>
        </w:rPr>
        <w:t xml:space="preserve"> Non-standard workers usually have the same formal coverage by most social benefit schemes as those on standard contracts, though often this does not hold for certain categories of workers</w:t>
      </w:r>
      <w:r>
        <w:rPr>
          <w:rFonts w:ascii="Times New Roman" w:hAnsi="Times New Roman"/>
          <w:noProof/>
          <w:sz w:val="24"/>
          <w:lang w:val="en-GB"/>
        </w:rPr>
        <w:t xml:space="preserve"> (e.g. casual and seasonal workers, on-call workers, and those on temporary agency contracts, civil law contracts or zero-hour contracts are often excluded from membership in the relevant schemes). Overall, obstacles faced by non-standard workers and the s</w:t>
      </w:r>
      <w:r>
        <w:rPr>
          <w:rFonts w:ascii="Times New Roman" w:hAnsi="Times New Roman"/>
          <w:noProof/>
          <w:sz w:val="24"/>
          <w:lang w:val="en-GB"/>
        </w:rPr>
        <w:t>elf-employed in relation to effective coverage, meaning the ability to build up and take up adequate entitlements in case of need, have been identified for at least twenty-four Member States</w:t>
      </w:r>
      <w:r>
        <w:rPr>
          <w:rStyle w:val="FootnoteReference"/>
          <w:rFonts w:ascii="Times New Roman" w:hAnsi="Times New Roman"/>
          <w:noProof/>
          <w:sz w:val="24"/>
          <w:lang w:val="en-GB"/>
        </w:rPr>
        <w:footnoteReference w:id="95"/>
      </w:r>
      <w:r>
        <w:rPr>
          <w:rFonts w:ascii="Times New Roman" w:hAnsi="Times New Roman"/>
          <w:noProof/>
          <w:sz w:val="24"/>
          <w:lang w:val="en-GB"/>
        </w:rPr>
        <w:t xml:space="preserve"> (minimum qualifying periods, waiting times, lack of transferabil</w:t>
      </w:r>
      <w:r>
        <w:rPr>
          <w:rFonts w:ascii="Times New Roman" w:hAnsi="Times New Roman"/>
          <w:noProof/>
          <w:sz w:val="24"/>
          <w:lang w:val="en-GB"/>
        </w:rPr>
        <w:t>ity of social protection rights).</w:t>
      </w:r>
    </w:p>
    <w:p w:rsidR="00EF5220" w:rsidRDefault="00EF2564">
      <w:pPr>
        <w:spacing w:line="360" w:lineRule="auto"/>
        <w:jc w:val="both"/>
        <w:rPr>
          <w:iCs/>
          <w:noProof/>
          <w:lang w:val="en-GB"/>
        </w:rPr>
      </w:pPr>
      <w:r>
        <w:rPr>
          <w:rFonts w:ascii="Times New Roman" w:hAnsi="Times New Roman"/>
          <w:b/>
          <w:noProof/>
          <w:sz w:val="24"/>
          <w:lang w:val="en-GB"/>
        </w:rPr>
        <w:t>Preserving and transferring accumulated entitlements to another scheme following professional transitions remains difficult.</w:t>
      </w:r>
      <w:r>
        <w:rPr>
          <w:rFonts w:ascii="Times New Roman" w:hAnsi="Times New Roman"/>
          <w:noProof/>
          <w:sz w:val="24"/>
          <w:lang w:val="en-GB"/>
        </w:rPr>
        <w:t xml:space="preserve"> As the world of work changes, this flexibility is becoming more important and a lack of transfera</w:t>
      </w:r>
      <w:r>
        <w:rPr>
          <w:rFonts w:ascii="Times New Roman" w:hAnsi="Times New Roman"/>
          <w:noProof/>
          <w:sz w:val="24"/>
          <w:lang w:val="en-GB"/>
        </w:rPr>
        <w:t xml:space="preserve">bility may impede labour market dynamism and matching. For workers moving between sectors or employment forms, a lack of regulation makes transfers difficult in at least four Member States, while extremely high cost and different rules governing different </w:t>
      </w:r>
      <w:r>
        <w:rPr>
          <w:rFonts w:ascii="Times New Roman" w:hAnsi="Times New Roman"/>
          <w:noProof/>
          <w:sz w:val="24"/>
          <w:lang w:val="en-GB"/>
        </w:rPr>
        <w:t>schemes create have also been identified as a barrier to these transitions in several Member States. Finally, the lack of transparent information about social security rights stops people from taking informed decisions in many countries. While generic info</w:t>
      </w:r>
      <w:r>
        <w:rPr>
          <w:rFonts w:ascii="Times New Roman" w:hAnsi="Times New Roman"/>
          <w:noProof/>
          <w:sz w:val="24"/>
          <w:lang w:val="en-GB"/>
        </w:rPr>
        <w:t>rmation about social protection schemes is available in all but five Member States, personalised information is only available in about half of them (e.g. simulation on pensions is available in Germany, France, Spain, United Kingdom and Poland).</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Minimum in</w:t>
      </w:r>
      <w:r>
        <w:rPr>
          <w:rFonts w:ascii="Times New Roman" w:hAnsi="Times New Roman"/>
          <w:b/>
          <w:noProof/>
          <w:sz w:val="24"/>
          <w:lang w:val="en-GB"/>
        </w:rPr>
        <w:t>come schemes should combine an adequate level of support</w:t>
      </w:r>
      <w:r>
        <w:rPr>
          <w:rFonts w:ascii="Times New Roman" w:hAnsi="Times New Roman"/>
          <w:noProof/>
          <w:sz w:val="24"/>
          <w:lang w:val="en-GB"/>
        </w:rPr>
        <w:t xml:space="preserve"> </w:t>
      </w:r>
      <w:r>
        <w:rPr>
          <w:rFonts w:ascii="Times New Roman" w:hAnsi="Times New Roman"/>
          <w:b/>
          <w:noProof/>
          <w:sz w:val="24"/>
          <w:lang w:val="en-GB"/>
        </w:rPr>
        <w:t xml:space="preserve">with access to enabling goods and services and incentives to (re)integrate into the labour market for those who can work, </w:t>
      </w:r>
      <w:r>
        <w:rPr>
          <w:rFonts w:ascii="Times New Roman" w:hAnsi="Times New Roman"/>
          <w:noProof/>
          <w:sz w:val="24"/>
          <w:lang w:val="en-GB"/>
        </w:rPr>
        <w:t>as underlined in the</w:t>
      </w:r>
      <w:r>
        <w:rPr>
          <w:rFonts w:ascii="Times New Roman" w:hAnsi="Times New Roman"/>
          <w:b/>
          <w:noProof/>
          <w:sz w:val="24"/>
          <w:lang w:val="en-GB"/>
        </w:rPr>
        <w:t xml:space="preserve"> </w:t>
      </w:r>
      <w:r>
        <w:rPr>
          <w:rFonts w:ascii="Times New Roman" w:hAnsi="Times New Roman"/>
          <w:noProof/>
          <w:sz w:val="24"/>
          <w:lang w:val="en-GB"/>
        </w:rPr>
        <w:t>European Pillar of Social Rights</w:t>
      </w:r>
      <w:r>
        <w:rPr>
          <w:rFonts w:ascii="Times New Roman" w:hAnsi="Times New Roman"/>
          <w:b/>
          <w:noProof/>
          <w:sz w:val="24"/>
          <w:lang w:val="en-GB"/>
        </w:rPr>
        <w:t xml:space="preserve">. </w:t>
      </w:r>
      <w:r>
        <w:rPr>
          <w:rFonts w:ascii="Times New Roman" w:hAnsi="Times New Roman"/>
          <w:noProof/>
          <w:sz w:val="24"/>
          <w:lang w:val="en-GB"/>
        </w:rPr>
        <w:t>The</w:t>
      </w:r>
      <w:r>
        <w:rPr>
          <w:rFonts w:ascii="Times New Roman" w:hAnsi="Times New Roman"/>
          <w:b/>
          <w:noProof/>
          <w:sz w:val="24"/>
          <w:lang w:val="en-GB"/>
        </w:rPr>
        <w:t xml:space="preserve"> </w:t>
      </w:r>
      <w:r>
        <w:rPr>
          <w:rFonts w:ascii="Times New Roman" w:hAnsi="Times New Roman"/>
          <w:noProof/>
          <w:sz w:val="24"/>
          <w:lang w:val="en-GB"/>
        </w:rPr>
        <w:t>comparative analys</w:t>
      </w:r>
      <w:r>
        <w:rPr>
          <w:rFonts w:ascii="Times New Roman" w:hAnsi="Times New Roman"/>
          <w:noProof/>
          <w:sz w:val="24"/>
          <w:lang w:val="en-GB"/>
        </w:rPr>
        <w:t>is of specific design features of minimum income schemes and their interplay with the provision of other benefits and activation support measures can provide useful insight regarding their performance. The analysis in the following paragraphs draws from th</w:t>
      </w:r>
      <w:r>
        <w:rPr>
          <w:rFonts w:ascii="Times New Roman" w:hAnsi="Times New Roman"/>
          <w:noProof/>
          <w:sz w:val="24"/>
          <w:lang w:val="en-GB"/>
        </w:rPr>
        <w:t>e benchmarking exercise of minimum income benefits conducted in 2017-18 in the Social Protection Committee.</w:t>
      </w:r>
      <w:r>
        <w:rPr>
          <w:rFonts w:ascii="Times New Roman" w:hAnsi="Times New Roman"/>
          <w:noProof/>
          <w:sz w:val="24"/>
          <w:vertAlign w:val="superscript"/>
          <w:lang w:val="en-GB"/>
        </w:rPr>
        <w:footnoteReference w:id="96"/>
      </w:r>
      <w:r>
        <w:rPr>
          <w:rFonts w:ascii="Times New Roman" w:hAnsi="Times New Roman"/>
          <w:noProof/>
          <w:sz w:val="24"/>
          <w:lang w:val="en-GB"/>
        </w:rPr>
        <w:t xml:space="preserve"> This benchmarking framework focuses on minimum income benefits for the working age population with working ability not in employment and not entitl</w:t>
      </w:r>
      <w:r>
        <w:rPr>
          <w:rFonts w:ascii="Times New Roman" w:hAnsi="Times New Roman"/>
          <w:noProof/>
          <w:sz w:val="24"/>
          <w:lang w:val="en-GB"/>
        </w:rPr>
        <w:t>ed, nor eligible or having exhausted entitlements to social insurance benefits.</w:t>
      </w:r>
      <w:r>
        <w:rPr>
          <w:rFonts w:ascii="Times New Roman" w:hAnsi="Times New Roman"/>
          <w:noProof/>
          <w:sz w:val="24"/>
          <w:vertAlign w:val="superscript"/>
          <w:lang w:val="en-GB"/>
        </w:rPr>
        <w:t xml:space="preserve">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The adequacy of minimum income benefits varies significantly between Member States</w:t>
      </w:r>
      <w:r>
        <w:rPr>
          <w:rFonts w:ascii="Times New Roman" w:hAnsi="Times New Roman"/>
          <w:noProof/>
          <w:sz w:val="24"/>
          <w:lang w:val="en-GB"/>
        </w:rPr>
        <w:t>. The adequacy of minimum income benefits can be measured by comparing the income of benefici</w:t>
      </w:r>
      <w:r>
        <w:rPr>
          <w:rFonts w:ascii="Times New Roman" w:hAnsi="Times New Roman"/>
          <w:noProof/>
          <w:sz w:val="24"/>
          <w:lang w:val="en-GB"/>
        </w:rPr>
        <w:t>aries with the national poverty threshold (as an indication of the poverty alleviation effect of schemes) and with the income of beneficiaries to the income of a low-wage earner</w:t>
      </w:r>
      <w:r>
        <w:rPr>
          <w:rFonts w:ascii="Times New Roman" w:hAnsi="Times New Roman"/>
          <w:noProof/>
          <w:sz w:val="24"/>
          <w:vertAlign w:val="superscript"/>
          <w:lang w:val="en-GB"/>
        </w:rPr>
        <w:footnoteReference w:id="97"/>
      </w:r>
      <w:r>
        <w:rPr>
          <w:rFonts w:ascii="Times New Roman" w:hAnsi="Times New Roman"/>
          <w:noProof/>
          <w:sz w:val="24"/>
          <w:lang w:val="en-GB"/>
        </w:rPr>
        <w:t xml:space="preserve"> (to provide an indication of the activation dimension and potential disincent</w:t>
      </w:r>
      <w:r>
        <w:rPr>
          <w:rFonts w:ascii="Times New Roman" w:hAnsi="Times New Roman"/>
          <w:noProof/>
          <w:sz w:val="24"/>
          <w:lang w:val="en-GB"/>
        </w:rPr>
        <w:t>ive effects of the schemes). Both indicators provide similar results as concerns the adequacy of minimum income in Member States in 2016</w:t>
      </w:r>
      <w:r>
        <w:rPr>
          <w:rFonts w:ascii="Times New Roman" w:hAnsi="Times New Roman"/>
          <w:noProof/>
          <w:sz w:val="24"/>
          <w:vertAlign w:val="superscript"/>
          <w:lang w:val="en-GB"/>
        </w:rPr>
        <w:footnoteReference w:id="98"/>
      </w:r>
      <w:r>
        <w:rPr>
          <w:rFonts w:ascii="Times New Roman" w:hAnsi="Times New Roman"/>
          <w:noProof/>
          <w:sz w:val="24"/>
          <w:lang w:val="en-GB"/>
        </w:rPr>
        <w:t xml:space="preserve"> (</w:t>
      </w:r>
      <w:r>
        <w:rPr>
          <w:rFonts w:ascii="Times New Roman" w:hAnsi="Times New Roman" w:cs="Times New Roman"/>
          <w:noProof/>
          <w:sz w:val="24"/>
          <w:szCs w:val="24"/>
          <w:lang w:val="en-GB"/>
        </w:rPr>
        <w:t>Figure 64</w:t>
      </w:r>
      <w:r>
        <w:rPr>
          <w:rFonts w:ascii="Times New Roman" w:hAnsi="Times New Roman"/>
          <w:noProof/>
          <w:sz w:val="24"/>
          <w:lang w:val="en-GB"/>
        </w:rPr>
        <w:t>). Looking at the case of single-person households, in 2016 adequacy was the highest in the Netherlands, Ire</w:t>
      </w:r>
      <w:r>
        <w:rPr>
          <w:rFonts w:ascii="Times New Roman" w:hAnsi="Times New Roman"/>
          <w:noProof/>
          <w:sz w:val="24"/>
          <w:lang w:val="en-GB"/>
        </w:rPr>
        <w:t>land, Denmark and Luxembourg. In these Member States the level of benefits exceeded 80% of the national poverty threshold level (set at 60% of the national median equivalised disposable income after social transfers). In the case of the Netherlands in part</w:t>
      </w:r>
      <w:r>
        <w:rPr>
          <w:rFonts w:ascii="Times New Roman" w:hAnsi="Times New Roman"/>
          <w:noProof/>
          <w:sz w:val="24"/>
          <w:lang w:val="en-GB"/>
        </w:rPr>
        <w:t>icular, the level of the benefit represented 106% of the poverty threshold, actually lifting recipients out of poverty. At the lower end, the adequacy of minimum income in Bulgaria, Romania, Hungary, Slovakia, and Lithuania is below 40% of the poverty thre</w:t>
      </w:r>
      <w:r>
        <w:rPr>
          <w:rFonts w:ascii="Times New Roman" w:hAnsi="Times New Roman"/>
          <w:noProof/>
          <w:sz w:val="24"/>
          <w:lang w:val="en-GB"/>
        </w:rPr>
        <w:t xml:space="preserve">shold or one third of the income of a low-wage earner in 2016. </w:t>
      </w:r>
    </w:p>
    <w:p w:rsidR="00EF5220" w:rsidRDefault="00EF2564">
      <w:pPr>
        <w:pStyle w:val="caption2"/>
        <w:keepNext/>
        <w:jc w:val="both"/>
        <w:rPr>
          <w:rFonts w:ascii="Times New Roman" w:hAnsi="Times New Roman"/>
          <w:noProof/>
          <w:color w:val="auto"/>
          <w:sz w:val="24"/>
          <w:lang w:val="en-GB"/>
        </w:rPr>
      </w:pPr>
      <w:bookmarkStart w:id="74" w:name="_Ref527560990"/>
      <w:r>
        <w:rPr>
          <w:rFonts w:ascii="Times New Roman" w:hAnsi="Times New Roman" w:cs="Times New Roman"/>
          <w:noProof/>
          <w:color w:val="auto"/>
          <w:sz w:val="24"/>
          <w:szCs w:val="24"/>
          <w:lang w:val="en-GB"/>
        </w:rPr>
        <w:t xml:space="preserve">Figure </w:t>
      </w:r>
      <w:r>
        <w:rPr>
          <w:rFonts w:ascii="Times New Roman" w:hAnsi="Times New Roman" w:cs="Times New Roman"/>
          <w:noProof/>
          <w:color w:val="auto"/>
          <w:sz w:val="24"/>
          <w:szCs w:val="24"/>
          <w:lang w:val="en-GB"/>
        </w:rPr>
        <w:fldChar w:fldCharType="begin"/>
      </w:r>
      <w:r>
        <w:rPr>
          <w:rFonts w:ascii="Times New Roman" w:hAnsi="Times New Roman" w:cs="Times New Roman"/>
          <w:noProof/>
          <w:color w:val="auto"/>
          <w:sz w:val="24"/>
          <w:szCs w:val="24"/>
          <w:lang w:val="en-GB"/>
        </w:rPr>
        <w:instrText xml:space="preserve"> SEQ Figure \* ARABIC </w:instrText>
      </w:r>
      <w:r>
        <w:rPr>
          <w:rFonts w:ascii="Times New Roman" w:hAnsi="Times New Roman" w:cs="Times New Roman"/>
          <w:noProof/>
          <w:color w:val="auto"/>
          <w:sz w:val="24"/>
          <w:szCs w:val="24"/>
          <w:lang w:val="en-GB"/>
        </w:rPr>
        <w:fldChar w:fldCharType="separate"/>
      </w:r>
      <w:r>
        <w:rPr>
          <w:rFonts w:ascii="Times New Roman" w:hAnsi="Times New Roman" w:cs="Times New Roman"/>
          <w:noProof/>
          <w:color w:val="auto"/>
          <w:sz w:val="24"/>
          <w:szCs w:val="24"/>
          <w:lang w:val="en-GB"/>
        </w:rPr>
        <w:t>64</w:t>
      </w:r>
      <w:r>
        <w:rPr>
          <w:rFonts w:ascii="Times New Roman" w:hAnsi="Times New Roman" w:cs="Times New Roman"/>
          <w:noProof/>
          <w:color w:val="auto"/>
          <w:sz w:val="24"/>
          <w:szCs w:val="24"/>
          <w:lang w:val="en-GB"/>
        </w:rPr>
        <w:fldChar w:fldCharType="end"/>
      </w:r>
      <w:bookmarkEnd w:id="74"/>
      <w:r>
        <w:rPr>
          <w:rFonts w:ascii="Times New Roman" w:hAnsi="Times New Roman" w:cs="Times New Roman"/>
          <w:noProof/>
          <w:color w:val="auto"/>
          <w:sz w:val="24"/>
          <w:szCs w:val="24"/>
          <w:lang w:val="en-GB"/>
        </w:rPr>
        <w:t>:</w:t>
      </w:r>
      <w:r>
        <w:rPr>
          <w:rFonts w:ascii="Times New Roman" w:hAnsi="Times New Roman"/>
          <w:noProof/>
          <w:color w:val="auto"/>
          <w:sz w:val="24"/>
          <w:lang w:val="en-GB"/>
        </w:rPr>
        <w:t xml:space="preserve"> Net income of minimum income recipients as % of at-risk-of-poverty threshold (smoothed over three years) and of the income of a low wage earner (2016) </w:t>
      </w:r>
    </w:p>
    <w:p w:rsidR="00EF5220" w:rsidRDefault="00EF2564">
      <w:pPr>
        <w:spacing w:line="360" w:lineRule="auto"/>
        <w:jc w:val="center"/>
        <w:rPr>
          <w:rFonts w:ascii="Times New Roman" w:hAnsi="Times New Roman" w:cs="Times New Roman"/>
          <w:iCs/>
          <w:noProof/>
          <w:sz w:val="24"/>
          <w:szCs w:val="24"/>
          <w:lang w:val="en-GB"/>
        </w:rPr>
      </w:pPr>
      <w:r>
        <w:rPr>
          <w:rFonts w:ascii="Times New Roman" w:hAnsi="Times New Roman" w:cs="Times New Roman"/>
          <w:iCs/>
          <w:noProof/>
          <w:sz w:val="24"/>
          <w:szCs w:val="24"/>
          <w:lang w:val="en-GB" w:eastAsia="en-GB" w:bidi="ar-SA"/>
        </w:rPr>
        <w:drawing>
          <wp:inline distT="0" distB="0" distL="0" distR="0">
            <wp:extent cx="4045306" cy="31057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4044974" cy="3105484"/>
                    </a:xfrm>
                    <a:prstGeom prst="rect">
                      <a:avLst/>
                    </a:prstGeom>
                    <a:noFill/>
                  </pic:spPr>
                </pic:pic>
              </a:graphicData>
            </a:graphic>
          </wp:inline>
        </w:drawing>
      </w:r>
    </w:p>
    <w:p w:rsidR="00EF5220" w:rsidRDefault="00EF2564">
      <w:pPr>
        <w:spacing w:after="120" w:line="240" w:lineRule="auto"/>
        <w:jc w:val="both"/>
        <w:rPr>
          <w:rFonts w:ascii="Times New Roman" w:hAnsi="Times New Roman"/>
          <w:b/>
          <w:noProof/>
          <w:sz w:val="20"/>
          <w:szCs w:val="20"/>
          <w:lang w:val="en-GB"/>
        </w:rPr>
      </w:pPr>
      <w:r>
        <w:rPr>
          <w:rFonts w:ascii="Times New Roman" w:hAnsi="Times New Roman" w:cs="Times New Roman"/>
          <w:noProof/>
          <w:sz w:val="20"/>
          <w:szCs w:val="20"/>
          <w:lang w:val="en-GB"/>
        </w:rPr>
        <w:t xml:space="preserve">Source: Eurostat, OECD. Note: </w:t>
      </w:r>
      <w:r>
        <w:rPr>
          <w:rStyle w:val="FootnoteReference"/>
          <w:rFonts w:ascii="Times New Roman" w:hAnsi="Times New Roman" w:cs="Times New Roman"/>
          <w:noProof/>
          <w:sz w:val="20"/>
          <w:szCs w:val="20"/>
          <w:vertAlign w:val="baseline"/>
          <w:lang w:val="en-GB"/>
        </w:rPr>
        <w:t>Information is not available for CY. Information about IT and EL does not include the newly introduced minimum income schemes</w:t>
      </w:r>
      <w:r>
        <w:rPr>
          <w:rFonts w:ascii="Times New Roman" w:hAnsi="Times New Roman" w:cs="Times New Roman"/>
          <w:noProof/>
          <w:sz w:val="20"/>
          <w:szCs w:val="20"/>
          <w:lang w:val="en-GB"/>
        </w:rPr>
        <w:t xml:space="preserve"> in 2017</w:t>
      </w:r>
      <w:r>
        <w:rPr>
          <w:rStyle w:val="FootnoteReference"/>
          <w:rFonts w:ascii="Times New Roman" w:hAnsi="Times New Roman" w:cs="Times New Roman"/>
          <w:noProof/>
          <w:sz w:val="20"/>
          <w:szCs w:val="20"/>
          <w:vertAlign w:val="baseline"/>
          <w:lang w:val="en-GB"/>
        </w:rPr>
        <w:t>.</w:t>
      </w:r>
      <w:r>
        <w:rPr>
          <w:rFonts w:ascii="Times New Roman" w:hAnsi="Times New Roman" w:cs="Times New Roman"/>
          <w:noProof/>
          <w:sz w:val="20"/>
          <w:szCs w:val="20"/>
          <w:lang w:val="en-GB"/>
        </w:rPr>
        <w:t xml:space="preserve"> Latest available information about poverty thresholds in IE, HR, and UK is for 2015 income </w:t>
      </w:r>
      <w:r>
        <w:rPr>
          <w:rFonts w:ascii="Times New Roman" w:hAnsi="Times New Roman" w:cs="Times New Roman"/>
          <w:noProof/>
          <w:sz w:val="20"/>
          <w:szCs w:val="20"/>
          <w:lang w:val="en-GB"/>
        </w:rPr>
        <w:t>year.</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The adequacy of minimum income benefits impacts, in particular, the depth of poverty among recipients. </w:t>
      </w:r>
      <w:r>
        <w:rPr>
          <w:rFonts w:ascii="Times New Roman" w:hAnsi="Times New Roman"/>
          <w:noProof/>
          <w:sz w:val="24"/>
          <w:lang w:val="en-GB"/>
        </w:rPr>
        <w:t>The relative at-risk-of-poverty gap</w:t>
      </w:r>
      <w:r>
        <w:rPr>
          <w:rStyle w:val="FootnoteReference"/>
          <w:rFonts w:ascii="Times New Roman" w:hAnsi="Times New Roman"/>
          <w:noProof/>
          <w:sz w:val="24"/>
          <w:lang w:val="en-GB"/>
        </w:rPr>
        <w:footnoteReference w:id="99"/>
      </w:r>
      <w:r>
        <w:rPr>
          <w:rFonts w:ascii="Times New Roman" w:hAnsi="Times New Roman"/>
          <w:noProof/>
          <w:sz w:val="24"/>
          <w:lang w:val="en-GB"/>
        </w:rPr>
        <w:t xml:space="preserve"> for the working age population (16-64) decreases marginally for the first time in 2017, in line with the overall indicator, but remains well above pre-crisis levels. The gap is significantly larger in the case of persons aged 18 to 59 living in quasi-jobl</w:t>
      </w:r>
      <w:r>
        <w:rPr>
          <w:rFonts w:ascii="Times New Roman" w:hAnsi="Times New Roman"/>
          <w:noProof/>
          <w:sz w:val="24"/>
          <w:lang w:val="en-GB"/>
        </w:rPr>
        <w:t xml:space="preserve">ess households (Figure </w:t>
      </w:r>
      <w:r>
        <w:rPr>
          <w:rFonts w:ascii="Times New Roman" w:hAnsi="Times New Roman"/>
          <w:noProof/>
          <w:sz w:val="24"/>
          <w:szCs w:val="24"/>
          <w:lang w:val="en-GB"/>
        </w:rPr>
        <w:t>65</w:t>
      </w:r>
      <w:r>
        <w:rPr>
          <w:rFonts w:ascii="Times New Roman" w:hAnsi="Times New Roman"/>
          <w:noProof/>
          <w:sz w:val="24"/>
          <w:lang w:val="en-GB"/>
        </w:rPr>
        <w:t>). EU SILC 2016 data shows that the depth of poverty was highest among people from (quasi-)jobless households in Lithuania, Bulgaria, Latvia, Italy, and Romania (over 50%). By contrast, the smallest gap was observed in Finland, the</w:t>
      </w:r>
      <w:r>
        <w:rPr>
          <w:rFonts w:ascii="Times New Roman" w:hAnsi="Times New Roman"/>
          <w:noProof/>
          <w:sz w:val="24"/>
          <w:lang w:val="en-GB"/>
        </w:rPr>
        <w:t xml:space="preserve"> Netherlands, and Ireland (under 20%). The poverty gap for persons living in quasi-jobless households tends to point to weaknesses in of the adequacy and coverage of benefit systems (as also noted in the 2018 SPC annual report).</w:t>
      </w:r>
    </w:p>
    <w:p w:rsidR="00EF5220" w:rsidRDefault="00EF5220">
      <w:pPr>
        <w:spacing w:line="360" w:lineRule="auto"/>
        <w:jc w:val="both"/>
        <w:rPr>
          <w:rFonts w:ascii="Times New Roman" w:hAnsi="Times New Roman" w:cs="Times New Roman"/>
          <w:iCs/>
          <w:noProof/>
          <w:sz w:val="24"/>
          <w:szCs w:val="24"/>
          <w:lang w:val="en-GB"/>
        </w:rPr>
      </w:pP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bookmarkStart w:id="75" w:name="_Ref527561106"/>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65</w:t>
      </w:r>
      <w:r>
        <w:rPr>
          <w:rFonts w:ascii="Times New Roman" w:hAnsi="Times New Roman"/>
          <w:b/>
          <w:noProof/>
          <w:sz w:val="24"/>
          <w:szCs w:val="24"/>
          <w:lang w:val="en-GB"/>
        </w:rPr>
        <w:fldChar w:fldCharType="end"/>
      </w:r>
      <w:bookmarkEnd w:id="75"/>
      <w:r>
        <w:rPr>
          <w:rFonts w:ascii="Times New Roman" w:hAnsi="Times New Roman"/>
          <w:b/>
          <w:noProof/>
          <w:sz w:val="24"/>
          <w:lang w:val="en-GB"/>
        </w:rPr>
        <w:t>: Relative at-risk-of-poverty gap for persons 18-59 from quasi-jobless households (2016)</w:t>
      </w:r>
    </w:p>
    <w:p w:rsidR="00EF5220" w:rsidRDefault="00EF2564">
      <w:pPr>
        <w:keepNext/>
        <w:pBdr>
          <w:between w:val="nil"/>
          <w:bar w:val="nil"/>
        </w:pBdr>
        <w:spacing w:before="120" w:after="120" w:line="240" w:lineRule="auto"/>
        <w:jc w:val="both"/>
        <w:rPr>
          <w:rFonts w:ascii="Times New Roman" w:hAnsi="Times New Roman"/>
          <w:noProof/>
          <w:sz w:val="20"/>
          <w:szCs w:val="20"/>
          <w:lang w:val="en-GB"/>
        </w:rPr>
      </w:pPr>
      <w:r>
        <w:rPr>
          <w:rFonts w:ascii="Times New Roman" w:hAnsi="Times New Roman"/>
          <w:b/>
          <w:noProof/>
          <w:sz w:val="24"/>
          <w:lang w:val="en-GB" w:eastAsia="en-GB" w:bidi="ar-SA"/>
        </w:rPr>
        <w:drawing>
          <wp:inline distT="0" distB="0" distL="0" distR="0">
            <wp:extent cx="5773420" cy="2938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5773420" cy="2938780"/>
                    </a:xfrm>
                    <a:prstGeom prst="rect">
                      <a:avLst/>
                    </a:prstGeom>
                    <a:noFill/>
                  </pic:spPr>
                </pic:pic>
              </a:graphicData>
            </a:graphic>
          </wp:inline>
        </w:drawing>
      </w:r>
      <w:r>
        <w:rPr>
          <w:rFonts w:ascii="Times New Roman" w:hAnsi="Times New Roman"/>
          <w:noProof/>
          <w:sz w:val="20"/>
          <w:szCs w:val="20"/>
          <w:lang w:val="en-GB"/>
        </w:rPr>
        <w:t xml:space="preserve"> Source: Eurostat, SILC.</w:t>
      </w:r>
    </w:p>
    <w:p w:rsidR="00EF5220" w:rsidRDefault="00EF5220">
      <w:pPr>
        <w:spacing w:line="360" w:lineRule="auto"/>
        <w:contextualSpacing/>
        <w:jc w:val="both"/>
        <w:rPr>
          <w:rFonts w:ascii="Times New Roman" w:hAnsi="Times New Roman" w:cs="Times New Roman"/>
          <w:b/>
          <w:iCs/>
          <w:noProof/>
          <w:sz w:val="24"/>
          <w:szCs w:val="24"/>
          <w:highlight w:val="green"/>
          <w:lang w:val="en-GB"/>
        </w:rPr>
      </w:pP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All Member States make use of means testing together with other eligibility requirements for minimum income schem</w:t>
      </w:r>
      <w:r>
        <w:rPr>
          <w:rFonts w:ascii="Times New Roman" w:hAnsi="Times New Roman"/>
          <w:b/>
          <w:noProof/>
          <w:sz w:val="24"/>
          <w:lang w:val="en-GB"/>
        </w:rPr>
        <w:t xml:space="preserve">es. </w:t>
      </w:r>
      <w:r>
        <w:rPr>
          <w:rFonts w:ascii="Times New Roman" w:hAnsi="Times New Roman"/>
          <w:noProof/>
          <w:sz w:val="24"/>
          <w:lang w:val="en-GB"/>
        </w:rPr>
        <w:t>Stricter eligibility requirements imply lower coverage</w:t>
      </w:r>
      <w:r>
        <w:rPr>
          <w:rStyle w:val="FootnoteReference"/>
          <w:rFonts w:ascii="Times New Roman" w:hAnsi="Times New Roman"/>
          <w:noProof/>
          <w:sz w:val="24"/>
          <w:lang w:val="en-GB"/>
        </w:rPr>
        <w:footnoteReference w:id="100"/>
      </w:r>
      <w:r>
        <w:rPr>
          <w:rFonts w:ascii="Times New Roman" w:hAnsi="Times New Roman"/>
          <w:noProof/>
          <w:sz w:val="24"/>
          <w:lang w:val="en-GB"/>
        </w:rPr>
        <w:t xml:space="preserve"> and vice versa.</w:t>
      </w:r>
      <w:r>
        <w:rPr>
          <w:rFonts w:ascii="Times New Roman" w:hAnsi="Times New Roman"/>
          <w:b/>
          <w:noProof/>
          <w:sz w:val="24"/>
          <w:lang w:val="en-GB"/>
        </w:rPr>
        <w:t xml:space="preserve"> </w:t>
      </w:r>
      <w:r>
        <w:rPr>
          <w:rFonts w:ascii="Times New Roman" w:hAnsi="Times New Roman"/>
          <w:noProof/>
          <w:sz w:val="24"/>
          <w:lang w:val="en-GB"/>
        </w:rPr>
        <w:t>Means-testing is the most commonly used way to target those living in poverty</w:t>
      </w:r>
      <w:r>
        <w:rPr>
          <w:rFonts w:ascii="Times New Roman" w:hAnsi="Times New Roman"/>
          <w:noProof/>
          <w:sz w:val="24"/>
          <w:vertAlign w:val="superscript"/>
          <w:lang w:val="en-GB"/>
        </w:rPr>
        <w:footnoteReference w:id="101"/>
      </w:r>
      <w:r>
        <w:rPr>
          <w:rFonts w:ascii="Times New Roman" w:hAnsi="Times New Roman"/>
          <w:noProof/>
          <w:sz w:val="24"/>
          <w:lang w:val="en-GB"/>
        </w:rPr>
        <w:t>.</w:t>
      </w:r>
      <w:r>
        <w:rPr>
          <w:rFonts w:ascii="Times New Roman" w:hAnsi="Times New Roman"/>
          <w:noProof/>
          <w:color w:val="000000"/>
          <w:sz w:val="24"/>
          <w:lang w:val="en-GB"/>
        </w:rPr>
        <w:t xml:space="preserve"> </w:t>
      </w:r>
      <w:r>
        <w:rPr>
          <w:rFonts w:ascii="Times New Roman" w:hAnsi="Times New Roman"/>
          <w:noProof/>
          <w:sz w:val="24"/>
          <w:lang w:val="en-GB"/>
        </w:rPr>
        <w:t>Means-testing conditions generally assess the resources (be it income, assets, real estate or movable property) of all household members and not just of direct claimants. In most Member States the threshold used in the means test is the maximum level of be</w:t>
      </w:r>
      <w:r>
        <w:rPr>
          <w:rFonts w:ascii="Times New Roman" w:hAnsi="Times New Roman"/>
          <w:noProof/>
          <w:sz w:val="24"/>
          <w:lang w:val="en-GB"/>
        </w:rPr>
        <w:t xml:space="preserve">nefit provided (and the actual support amounts to the difference between the maximum level of the benefit and a person's or household's income), while several Member States also disregard part of people's earnings, which positively affects the coverage of </w:t>
      </w:r>
      <w:r>
        <w:rPr>
          <w:rFonts w:ascii="Times New Roman" w:hAnsi="Times New Roman"/>
          <w:noProof/>
          <w:sz w:val="24"/>
          <w:lang w:val="en-GB"/>
        </w:rPr>
        <w:t xml:space="preserve">schemes and contributes to reducing in-work poverty. Other eligibility requirements, such as those regarding residence, also affect the coverage of schemes (as this can reduce coverage for people experiencing within-country mobility or homelessness).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Mini</w:t>
      </w:r>
      <w:r>
        <w:rPr>
          <w:rFonts w:ascii="Times New Roman" w:hAnsi="Times New Roman"/>
          <w:b/>
          <w:noProof/>
          <w:sz w:val="24"/>
          <w:lang w:val="en-GB"/>
        </w:rPr>
        <w:t>mum income recipients have greater difficulty in accessing various in-kind services</w:t>
      </w:r>
      <w:r>
        <w:rPr>
          <w:rFonts w:ascii="Times New Roman" w:hAnsi="Times New Roman"/>
          <w:noProof/>
          <w:sz w:val="24"/>
          <w:lang w:val="en-GB"/>
        </w:rPr>
        <w:t>. Access to services</w:t>
      </w:r>
      <w:r>
        <w:rPr>
          <w:rFonts w:ascii="Times New Roman" w:hAnsi="Times New Roman"/>
          <w:b/>
          <w:noProof/>
          <w:sz w:val="24"/>
          <w:lang w:val="en-GB"/>
        </w:rPr>
        <w:t xml:space="preserve"> </w:t>
      </w:r>
      <w:r>
        <w:rPr>
          <w:rFonts w:ascii="Times New Roman" w:hAnsi="Times New Roman"/>
          <w:noProof/>
          <w:sz w:val="24"/>
          <w:lang w:val="en-GB"/>
        </w:rPr>
        <w:t>(as measured by the unmet needs for medical care, the housing cost overburden, and the non-participation in training related to professional activity</w:t>
      </w:r>
      <w:r>
        <w:rPr>
          <w:rFonts w:ascii="Times New Roman" w:hAnsi="Times New Roman"/>
          <w:noProof/>
          <w:sz w:val="24"/>
          <w:vertAlign w:val="superscript"/>
          <w:lang w:val="en-GB"/>
        </w:rPr>
        <w:footnoteReference w:id="102"/>
      </w:r>
      <w:r>
        <w:rPr>
          <w:rFonts w:ascii="Times New Roman" w:hAnsi="Times New Roman"/>
          <w:noProof/>
          <w:sz w:val="24"/>
          <w:lang w:val="en-GB"/>
        </w:rPr>
        <w:t xml:space="preserve">) </w:t>
      </w:r>
      <w:r>
        <w:rPr>
          <w:rFonts w:ascii="Times New Roman" w:hAnsi="Times New Roman"/>
          <w:noProof/>
          <w:sz w:val="24"/>
          <w:lang w:val="en-GB"/>
        </w:rPr>
        <w:t>is an essential component of integrated active inclusion strategies. In 2016, the access to these services for people aged 18-59 at risk of poverty living in quasi-jobless households was generally lower than that of people of the same age group not at risk</w:t>
      </w:r>
      <w:r>
        <w:rPr>
          <w:rFonts w:ascii="Times New Roman" w:hAnsi="Times New Roman"/>
          <w:noProof/>
          <w:sz w:val="24"/>
          <w:lang w:val="en-GB"/>
        </w:rPr>
        <w:t xml:space="preserve"> of poverty nor living in quasi-jobless households. Looking at performance across services, Finland, Hungary and the United Kingdom are the only Member States where the gap in access to services is below the EU average in 2016 in all three areas. By contra</w:t>
      </w:r>
      <w:r>
        <w:rPr>
          <w:rFonts w:ascii="Times New Roman" w:hAnsi="Times New Roman"/>
          <w:noProof/>
          <w:sz w:val="24"/>
          <w:lang w:val="en-GB"/>
        </w:rPr>
        <w:t>st, the gaps in access appear above the EU average across all three areas examined in Greece and Latvia. In detail, the largest gaps in unmet needs for medical care are experienced in Latvia (14.8 pps) and Greece (34.1 pps), while the lowest ones were in D</w:t>
      </w:r>
      <w:r>
        <w:rPr>
          <w:rFonts w:ascii="Times New Roman" w:hAnsi="Times New Roman"/>
          <w:noProof/>
          <w:sz w:val="24"/>
          <w:lang w:val="en-GB"/>
        </w:rPr>
        <w:t>enmark, Spain, the Netherlands and the UK (less than 1 pp.). In the area of housing, the largest gaps in the housing cost overburden rate were observed in Denmark, Greece, Austria, and Italy (over 50 pp), while the smallest gaps were in Malta, Cyprus, Irel</w:t>
      </w:r>
      <w:r>
        <w:rPr>
          <w:rFonts w:ascii="Times New Roman" w:hAnsi="Times New Roman"/>
          <w:noProof/>
          <w:sz w:val="24"/>
          <w:lang w:val="en-GB"/>
        </w:rPr>
        <w:t>and, and Finland (under 20 pp)</w:t>
      </w:r>
      <w:r>
        <w:rPr>
          <w:rStyle w:val="FootnoteReference"/>
          <w:rFonts w:ascii="Times New Roman" w:hAnsi="Times New Roman"/>
          <w:noProof/>
          <w:sz w:val="24"/>
          <w:lang w:val="en-GB"/>
        </w:rPr>
        <w:footnoteReference w:id="103"/>
      </w:r>
      <w:r>
        <w:rPr>
          <w:rFonts w:ascii="Times New Roman" w:hAnsi="Times New Roman"/>
          <w:noProof/>
          <w:sz w:val="24"/>
          <w:lang w:val="en-GB"/>
        </w:rPr>
        <w:t>. In the domain of adult learning, in 2016 Sweden and Denmark experienced negative gaps, showing better access for people at risk of poverty from very low intensity households, and in Malta and the UK there was no gap. The la</w:t>
      </w:r>
      <w:r>
        <w:rPr>
          <w:rFonts w:ascii="Times New Roman" w:hAnsi="Times New Roman"/>
          <w:noProof/>
          <w:sz w:val="24"/>
          <w:lang w:val="en-GB"/>
        </w:rPr>
        <w:t xml:space="preserve">rgest gaps observed were in Latvia, Spain, and Lithuania (over 16 pp).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Access to housing of good quality has been improving since 2008, but in some countries a significant proportion of population reports that it encounters quality problems with their dwe</w:t>
      </w:r>
      <w:r>
        <w:rPr>
          <w:rFonts w:ascii="Times New Roman" w:hAnsi="Times New Roman"/>
          <w:b/>
          <w:noProof/>
          <w:sz w:val="24"/>
          <w:lang w:val="en-GB"/>
        </w:rPr>
        <w:t xml:space="preserve">lling. </w:t>
      </w:r>
      <w:r>
        <w:rPr>
          <w:rFonts w:ascii="Times New Roman" w:hAnsi="Times New Roman"/>
          <w:noProof/>
          <w:sz w:val="24"/>
          <w:lang w:val="en-GB"/>
        </w:rPr>
        <w:t>In the EU, 13.1% of the population reports living in a dwelling with a leaking roof, damp walls, floors or foundation, or rot in window frames or floor in 2017. This is 2.3 pps less than in 2016</w:t>
      </w:r>
      <w:r>
        <w:rPr>
          <w:rFonts w:ascii="Times New Roman" w:hAnsi="Times New Roman"/>
          <w:noProof/>
          <w:sz w:val="24"/>
          <w:vertAlign w:val="superscript"/>
          <w:lang w:val="en-GB"/>
        </w:rPr>
        <w:footnoteReference w:id="104"/>
      </w:r>
      <w:r>
        <w:rPr>
          <w:rFonts w:ascii="Times New Roman" w:hAnsi="Times New Roman"/>
          <w:noProof/>
          <w:sz w:val="24"/>
          <w:lang w:val="en-GB"/>
        </w:rPr>
        <w:t>. This component of housing deprivation</w:t>
      </w:r>
      <w:r>
        <w:rPr>
          <w:rStyle w:val="FootnoteReference"/>
          <w:rFonts w:ascii="Times New Roman" w:hAnsi="Times New Roman"/>
          <w:noProof/>
          <w:sz w:val="24"/>
          <w:lang w:val="en-GB"/>
        </w:rPr>
        <w:footnoteReference w:id="105"/>
      </w:r>
      <w:r>
        <w:rPr>
          <w:rFonts w:ascii="Times New Roman" w:hAnsi="Times New Roman"/>
          <w:noProof/>
          <w:sz w:val="24"/>
          <w:lang w:val="en-GB"/>
        </w:rPr>
        <w:t xml:space="preserve"> is a particul</w:t>
      </w:r>
      <w:r>
        <w:rPr>
          <w:rFonts w:ascii="Times New Roman" w:hAnsi="Times New Roman"/>
          <w:noProof/>
          <w:sz w:val="24"/>
          <w:lang w:val="en-GB"/>
        </w:rPr>
        <w:t xml:space="preserve">ar issue in 5 Member States (Cyprus, Portugal, Hungary, Latvia and Slovenia) where over 20% of the population reports that it encounters this quality problem with their dwelling. In 2017, Romania experienced a considerable improvement, with the proportion </w:t>
      </w:r>
      <w:r>
        <w:rPr>
          <w:rFonts w:ascii="Times New Roman" w:hAnsi="Times New Roman"/>
          <w:noProof/>
          <w:sz w:val="24"/>
          <w:lang w:val="en-GB"/>
        </w:rPr>
        <w:t>of the population reporting not having a bath, or a shower, nor indoor flushing toilet in their household declining, yet at a considerable 27.2%. In Latvia, Bulgaria and Lithuania not having a bath or a shower in the dwelling and not having an indoor flush</w:t>
      </w:r>
      <w:r>
        <w:rPr>
          <w:rFonts w:ascii="Times New Roman" w:hAnsi="Times New Roman"/>
          <w:noProof/>
          <w:sz w:val="24"/>
          <w:lang w:val="en-GB"/>
        </w:rPr>
        <w:t xml:space="preserve">ing toilet for the sole use of the household is an issue for around 10% of the population.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The share of household disposable income spent in housing-related expenditures remains significant in a number of Member States</w:t>
      </w:r>
      <w:r>
        <w:rPr>
          <w:rFonts w:ascii="Times New Roman" w:hAnsi="Times New Roman"/>
          <w:noProof/>
          <w:sz w:val="24"/>
          <w:lang w:val="en-GB"/>
        </w:rPr>
        <w:t>. When housing costs are taken into a</w:t>
      </w:r>
      <w:r>
        <w:rPr>
          <w:rFonts w:ascii="Times New Roman" w:hAnsi="Times New Roman"/>
          <w:noProof/>
          <w:sz w:val="24"/>
          <w:lang w:val="en-GB"/>
        </w:rPr>
        <w:t>ccount, 156 million people are at risk of poverty, as against 85 million before housing costs are taken into account. This condition is particularly draining for households with lower income. In 2017, 10.2% of households in the EU spent over 40% of their d</w:t>
      </w:r>
      <w:r>
        <w:rPr>
          <w:rFonts w:ascii="Times New Roman" w:hAnsi="Times New Roman"/>
          <w:noProof/>
          <w:sz w:val="24"/>
          <w:lang w:val="en-GB"/>
        </w:rPr>
        <w:t xml:space="preserve">isposable income on housing costs, but this share increases to 37.8% when considering households at risk of poverty. Despite a slight improvement compared to previous years, the housing cost overburden rate remains the highest in Greece, at 39.6% in 2017. </w:t>
      </w:r>
      <w:r>
        <w:rPr>
          <w:rFonts w:ascii="Times New Roman" w:hAnsi="Times New Roman"/>
          <w:noProof/>
          <w:sz w:val="24"/>
          <w:lang w:val="en-GB"/>
        </w:rPr>
        <w:t>Bulgaria, Denmark and Germany are, after Greece, the Member States with highest rates of population experiencing housing cost overburden (over 15% of the population in each). The effect is particularly notable in Denmark and Germany, where the share of peo</w:t>
      </w:r>
      <w:r>
        <w:rPr>
          <w:rFonts w:ascii="Times New Roman" w:hAnsi="Times New Roman"/>
          <w:noProof/>
          <w:sz w:val="24"/>
          <w:lang w:val="en-GB"/>
        </w:rPr>
        <w:t>ple at risk of poverty is below the EU average before housing costs, but above the EU average when housing costs are taken into account. By contrast, in Estonia, Ireland, Finland, Cyprus and Malta less than 5% of the population live in households overburde</w:t>
      </w:r>
      <w:r>
        <w:rPr>
          <w:rFonts w:ascii="Times New Roman" w:hAnsi="Times New Roman"/>
          <w:noProof/>
          <w:sz w:val="24"/>
          <w:lang w:val="en-GB"/>
        </w:rPr>
        <w:t>ned by housing-related expenditure. In most countries, tenants who rent at market price are considerably more overburdened by housing related costs than owners with a mortgage or a loan (EU average of 25.1% for tenants paying market rent, compared to aroun</w:t>
      </w:r>
      <w:r>
        <w:rPr>
          <w:rFonts w:ascii="Times New Roman" w:hAnsi="Times New Roman"/>
          <w:noProof/>
          <w:sz w:val="24"/>
          <w:lang w:val="en-GB"/>
        </w:rPr>
        <w:t>d 5% for owners).</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Rising rents represent an increasing burden on the poor in some Member States. </w:t>
      </w:r>
      <w:r>
        <w:rPr>
          <w:rFonts w:ascii="Times New Roman" w:hAnsi="Times New Roman"/>
          <w:noProof/>
          <w:sz w:val="24"/>
          <w:lang w:val="en-GB"/>
        </w:rPr>
        <w:t>In 2016, in 7 countries (Ireland, Estonia, Lithuania, Slovenia, Hungary, Austria and Poland) rents calculated in real terms have increased by more than 5% sinc</w:t>
      </w:r>
      <w:r>
        <w:rPr>
          <w:rFonts w:ascii="Times New Roman" w:hAnsi="Times New Roman"/>
          <w:noProof/>
          <w:sz w:val="24"/>
          <w:lang w:val="en-GB"/>
        </w:rPr>
        <w:t xml:space="preserve">e 2015. High rents can compound the risk of poverty or social exclusion, particularly in countries such as Slovenia, Ireland, Austria and Lithuania where the poverty risk facing tenants is significantly greater than for those who own their homes. National </w:t>
      </w:r>
      <w:r>
        <w:rPr>
          <w:rFonts w:ascii="Times New Roman" w:hAnsi="Times New Roman"/>
          <w:noProof/>
          <w:sz w:val="24"/>
          <w:lang w:val="en-GB"/>
        </w:rPr>
        <w:t xml:space="preserve">figures may also hide challenges at the level of particular cities.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The recent evolution of the homelessness indicates that the situation is not improving.</w:t>
      </w:r>
      <w:r>
        <w:rPr>
          <w:rFonts w:ascii="Times New Roman" w:hAnsi="Times New Roman"/>
          <w:noProof/>
          <w:sz w:val="24"/>
          <w:lang w:val="en-GB"/>
        </w:rPr>
        <w:t xml:space="preserve"> Estimates of the number of homeless are not comparable country by country, due to a lack of officia</w:t>
      </w:r>
      <w:r>
        <w:rPr>
          <w:rFonts w:ascii="Times New Roman" w:hAnsi="Times New Roman"/>
          <w:noProof/>
          <w:sz w:val="24"/>
          <w:lang w:val="en-GB"/>
        </w:rPr>
        <w:t xml:space="preserve">l sources and different methodologies for counting the homeless. Available data only allow monitoring the evolution of the issue over time (using, in most cases, 2017 or 2016 as a most recent year). They nonetheless indicate that homelessness has recently </w:t>
      </w:r>
      <w:r>
        <w:rPr>
          <w:rFonts w:ascii="Times New Roman" w:hAnsi="Times New Roman"/>
          <w:noProof/>
          <w:sz w:val="24"/>
          <w:lang w:val="en-GB"/>
        </w:rPr>
        <w:t>increased in all of the 25 covered Member States except in Finland, where the situation has improved</w:t>
      </w:r>
      <w:r>
        <w:rPr>
          <w:rFonts w:ascii="Times New Roman" w:hAnsi="Times New Roman"/>
          <w:noProof/>
          <w:sz w:val="24"/>
          <w:vertAlign w:val="superscript"/>
          <w:lang w:val="en-GB"/>
        </w:rPr>
        <w:footnoteReference w:id="106"/>
      </w:r>
      <w:r>
        <w:rPr>
          <w:rFonts w:ascii="Times New Roman" w:hAnsi="Times New Roman"/>
          <w:noProof/>
          <w:sz w:val="24"/>
          <w:lang w:val="en-GB"/>
        </w:rPr>
        <w:t xml:space="preserve">.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Pension income provides older people with a relative protection against poverty risk.</w:t>
      </w:r>
      <w:r>
        <w:rPr>
          <w:rFonts w:ascii="Times New Roman" w:hAnsi="Times New Roman"/>
          <w:noProof/>
          <w:sz w:val="24"/>
          <w:lang w:val="en-GB"/>
        </w:rPr>
        <w:t xml:space="preserve"> At the EU level, the at-risk-of-poverty (AROP) rate for older peop</w:t>
      </w:r>
      <w:r>
        <w:rPr>
          <w:rFonts w:ascii="Times New Roman" w:hAnsi="Times New Roman"/>
          <w:noProof/>
          <w:sz w:val="24"/>
          <w:lang w:val="en-GB"/>
        </w:rPr>
        <w:t>le is lower than for people of working age (14.6% compared to 16.7% in 2017). Over the last decade, this relation has been reversed compared to the pre-crisis period, partially explained by the fact that the crisis reduced average household disposable real</w:t>
      </w:r>
      <w:r>
        <w:rPr>
          <w:rFonts w:ascii="Times New Roman" w:hAnsi="Times New Roman"/>
          <w:noProof/>
          <w:sz w:val="24"/>
          <w:lang w:val="en-GB"/>
        </w:rPr>
        <w:t xml:space="preserve"> income levels, especially among the working-age population across almost all European countries while pensions remained more resilient. However, severe material deprivation also decreased among older people (from 7.4% in 2008 to 6.3% in 2017), indicating </w:t>
      </w:r>
      <w:r>
        <w:rPr>
          <w:rFonts w:ascii="Times New Roman" w:hAnsi="Times New Roman"/>
          <w:noProof/>
          <w:sz w:val="24"/>
          <w:lang w:val="en-GB"/>
        </w:rPr>
        <w:t>that the decrease in poverty and social exclusion was not just a relative effect.</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66</w:t>
      </w:r>
      <w:r>
        <w:rPr>
          <w:rFonts w:ascii="Times New Roman" w:hAnsi="Times New Roman"/>
          <w:b/>
          <w:noProof/>
          <w:sz w:val="24"/>
          <w:szCs w:val="24"/>
          <w:lang w:val="en-GB"/>
        </w:rPr>
        <w:fldChar w:fldCharType="end"/>
      </w:r>
      <w:r>
        <w:rPr>
          <w:rFonts w:ascii="Times New Roman" w:hAnsi="Times New Roman"/>
          <w:b/>
          <w:noProof/>
          <w:sz w:val="24"/>
          <w:lang w:val="en-GB"/>
        </w:rPr>
        <w:t>:  Percentage of population aged 65 and above at-risk-of-poverty or social exclusion relative to the EU average, 2017</w:t>
      </w:r>
    </w:p>
    <w:p w:rsidR="00EF5220" w:rsidRDefault="00EF2564">
      <w:pPr>
        <w:spacing w:line="240" w:lineRule="auto"/>
        <w:contextualSpacing/>
        <w:rPr>
          <w:rFonts w:ascii="Times New Roman" w:hAnsi="Times New Roman"/>
          <w:noProof/>
          <w:sz w:val="18"/>
          <w:lang w:val="en-GB"/>
        </w:rPr>
      </w:pPr>
      <w:r>
        <w:rPr>
          <w:rFonts w:ascii="Times New Roman" w:hAnsi="Times New Roman"/>
          <w:noProof/>
          <w:sz w:val="18"/>
          <w:lang w:val="en-GB" w:eastAsia="en-GB" w:bidi="ar-SA"/>
        </w:rPr>
        <w:drawing>
          <wp:inline distT="0" distB="0" distL="0" distR="0">
            <wp:extent cx="3957523" cy="3451318"/>
            <wp:effectExtent l="0" t="0" r="508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962184" cy="3455383"/>
                    </a:xfrm>
                    <a:prstGeom prst="rect">
                      <a:avLst/>
                    </a:prstGeom>
                    <a:noFill/>
                  </pic:spPr>
                </pic:pic>
              </a:graphicData>
            </a:graphic>
          </wp:inline>
        </w:drawing>
      </w:r>
    </w:p>
    <w:p w:rsidR="00EF5220" w:rsidRDefault="00EF2564">
      <w:pPr>
        <w:spacing w:line="240" w:lineRule="auto"/>
        <w:contextualSpacing/>
        <w:rPr>
          <w:rFonts w:ascii="Times New Roman" w:hAnsi="Times New Roman"/>
          <w:noProof/>
          <w:lang w:val="en-GB"/>
        </w:rPr>
      </w:pPr>
      <w:r>
        <w:rPr>
          <w:rFonts w:ascii="Times New Roman" w:hAnsi="Times New Roman"/>
          <w:noProof/>
          <w:sz w:val="18"/>
          <w:lang w:val="fr-FR"/>
        </w:rPr>
        <w:t xml:space="preserve">Source: Eurostat, EU-SILC. </w:t>
      </w:r>
      <w:r>
        <w:rPr>
          <w:rFonts w:ascii="Times New Roman" w:hAnsi="Times New Roman"/>
          <w:noProof/>
          <w:sz w:val="18"/>
          <w:lang w:val="fr-BE"/>
        </w:rPr>
        <w:t xml:space="preserve">Notes: data are standardised (EU28=0). </w:t>
      </w:r>
      <w:r>
        <w:rPr>
          <w:rFonts w:ascii="Times New Roman" w:hAnsi="Times New Roman"/>
          <w:noProof/>
          <w:sz w:val="18"/>
          <w:lang w:val="en-GB"/>
        </w:rPr>
        <w:t>Data for IE, UK are for 2016.</w:t>
      </w:r>
    </w:p>
    <w:p w:rsidR="00EF5220" w:rsidRDefault="00EF5220">
      <w:pPr>
        <w:spacing w:before="120" w:after="120"/>
        <w:jc w:val="both"/>
        <w:rPr>
          <w:rFonts w:ascii="Times New Roman" w:hAnsi="Times New Roman"/>
          <w:i/>
          <w:noProof/>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The risk of poverty and social exclusion risk among older people has been steadily decreasing for most Member States. </w:t>
      </w:r>
      <w:r>
        <w:rPr>
          <w:rFonts w:ascii="Times New Roman" w:hAnsi="Times New Roman"/>
          <w:noProof/>
          <w:sz w:val="24"/>
          <w:lang w:val="en-GB"/>
        </w:rPr>
        <w:t>Overall 148,000 fewer people aged 65 or o</w:t>
      </w:r>
      <w:r>
        <w:rPr>
          <w:rFonts w:ascii="Times New Roman" w:hAnsi="Times New Roman"/>
          <w:noProof/>
          <w:sz w:val="24"/>
          <w:lang w:val="en-GB"/>
        </w:rPr>
        <w:t>lder were at risk of poverty or social exclusion in 2017 compared to pre-crisis levels (2008). The headline improvement masks marked differences between the Member States, with substantial decreases in old age poverty or social exclusion risk in Cyprus (-2</w:t>
      </w:r>
      <w:r>
        <w:rPr>
          <w:rFonts w:ascii="Times New Roman" w:hAnsi="Times New Roman"/>
          <w:noProof/>
          <w:sz w:val="24"/>
          <w:lang w:val="en-GB"/>
        </w:rPr>
        <w:t xml:space="preserve">4.7 percentage points since 2008), Bulgaria (-16.6 pps), Romania (-16.2 pps) and Latvia (-14.9 pps), while there were increases in Luxembourg (+6.4 pps) and Germany (+2.2 pps).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However, of particular concern is the situation of older women,</w:t>
      </w:r>
      <w:r>
        <w:rPr>
          <w:rFonts w:ascii="Times New Roman" w:hAnsi="Times New Roman"/>
          <w:noProof/>
          <w:sz w:val="24"/>
          <w:lang w:val="en-GB"/>
        </w:rPr>
        <w:t xml:space="preserve"> as one in five</w:t>
      </w:r>
      <w:r>
        <w:rPr>
          <w:rFonts w:ascii="Times New Roman" w:hAnsi="Times New Roman"/>
          <w:noProof/>
          <w:sz w:val="24"/>
          <w:lang w:val="en-GB"/>
        </w:rPr>
        <w:t xml:space="preserve"> women aged 65 or over is at risk of poverty or social exclusion in the EU. In 2017, the AROPE rate for women ranged from around 10 percent in Denmark, France and the Netherlands to over 50 percent in Bulgaria, and over 40 percent in the Baltic States. The</w:t>
      </w:r>
      <w:r>
        <w:rPr>
          <w:rFonts w:ascii="Times New Roman" w:hAnsi="Times New Roman"/>
          <w:noProof/>
          <w:sz w:val="24"/>
          <w:lang w:val="en-GB"/>
        </w:rPr>
        <w:t xml:space="preserve"> highest gender differences in the AROPE rate are observed in Lithuania (19.9 pps), Estonia (19.7 pps), followed by Latvia (16.6 pps) and Bulgaria (16.2 pps).</w:t>
      </w:r>
      <w:r>
        <w:rPr>
          <w:rFonts w:ascii="Times New Roman" w:hAnsi="Times New Roman"/>
          <w:b/>
          <w:noProof/>
          <w:sz w:val="24"/>
          <w:lang w:val="en-GB"/>
        </w:rPr>
        <w:t xml:space="preserve"> </w:t>
      </w:r>
      <w:r>
        <w:rPr>
          <w:rFonts w:ascii="Times New Roman" w:hAnsi="Times New Roman"/>
          <w:noProof/>
          <w:sz w:val="24"/>
          <w:lang w:val="en-GB"/>
        </w:rPr>
        <w:t>Older women have lower incomes than older men: in 2016, the median income for older women was 6 p</w:t>
      </w:r>
      <w:r>
        <w:rPr>
          <w:rFonts w:ascii="Times New Roman" w:hAnsi="Times New Roman"/>
          <w:noProof/>
          <w:sz w:val="24"/>
          <w:lang w:val="en-GB"/>
        </w:rPr>
        <w:t>ercentage points lower than for men in the EU relative to younger people of the same gender (90% for women and 96% for men).</w:t>
      </w:r>
      <w:r>
        <w:rPr>
          <w:rFonts w:ascii="Times New Roman" w:hAnsi="Times New Roman"/>
          <w:b/>
          <w:noProof/>
          <w:sz w:val="24"/>
          <w:lang w:val="en-GB"/>
        </w:rPr>
        <w:t xml:space="preserve"> </w:t>
      </w:r>
      <w:r>
        <w:rPr>
          <w:rFonts w:ascii="Times New Roman" w:hAnsi="Times New Roman"/>
          <w:noProof/>
          <w:sz w:val="24"/>
          <w:lang w:val="en-GB"/>
        </w:rPr>
        <w:t xml:space="preserve">Thus, not only do women have lower incomes during their working lives, but they also have a lower income when in retirement, which </w:t>
      </w:r>
      <w:r>
        <w:rPr>
          <w:rFonts w:ascii="Times New Roman" w:hAnsi="Times New Roman"/>
          <w:noProof/>
          <w:sz w:val="24"/>
          <w:lang w:val="en-GB"/>
        </w:rPr>
        <w:t>contributes to gender inequalities in old-age income.</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On average across the EU, people aged 65 and over have slightly lower incomes than younger age groups. </w:t>
      </w:r>
      <w:r>
        <w:rPr>
          <w:rFonts w:ascii="Times New Roman" w:hAnsi="Times New Roman"/>
          <w:noProof/>
          <w:sz w:val="24"/>
          <w:lang w:val="en-GB"/>
        </w:rPr>
        <w:t xml:space="preserve">The median disposable income of those aged 65 and above was 92 percent of the younger population's </w:t>
      </w:r>
      <w:r>
        <w:rPr>
          <w:rFonts w:ascii="Times New Roman" w:hAnsi="Times New Roman"/>
          <w:noProof/>
          <w:sz w:val="24"/>
          <w:lang w:val="en-GB"/>
        </w:rPr>
        <w:t>income in 2017. The total relative median income ratio was below 75 percent in five countries (Denmark, Malta, Lithuania, Latvia and Estonia) and below 80 percent in a further four (Belgium, Sweden, Cyprus and the Czech Republic). In contrast, older men in</w:t>
      </w:r>
      <w:r>
        <w:rPr>
          <w:rFonts w:ascii="Times New Roman" w:hAnsi="Times New Roman"/>
          <w:noProof/>
          <w:sz w:val="24"/>
          <w:lang w:val="en-GB"/>
        </w:rPr>
        <w:t xml:space="preserve"> nine Member States (Luxembourg, Greece, France, Spain, Hungary, Italy, Austria, Poland and Romania) and older women in two Member States (Luxembourg and Greece) enjoyed a higher median income than those aged below 65 in 2017.</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While, on average, pensions a</w:t>
      </w:r>
      <w:r>
        <w:rPr>
          <w:rFonts w:ascii="Times New Roman" w:hAnsi="Times New Roman"/>
          <w:b/>
          <w:noProof/>
          <w:sz w:val="24"/>
          <w:lang w:val="en-GB"/>
        </w:rPr>
        <w:t>mount to more than half of late-career work income, the income replacement capacity of pensions varies significantly among Member States.</w:t>
      </w:r>
      <w:r>
        <w:rPr>
          <w:rFonts w:ascii="Times New Roman" w:hAnsi="Times New Roman"/>
          <w:noProof/>
          <w:sz w:val="24"/>
          <w:lang w:val="en-GB"/>
        </w:rPr>
        <w:t xml:space="preserve"> In 2017, the aggregate replacement ratio</w:t>
      </w:r>
      <w:r>
        <w:rPr>
          <w:rStyle w:val="FootnoteReference"/>
          <w:rFonts w:ascii="Times New Roman" w:hAnsi="Times New Roman"/>
          <w:noProof/>
          <w:sz w:val="24"/>
          <w:lang w:val="en-GB"/>
        </w:rPr>
        <w:footnoteReference w:id="107"/>
      </w:r>
      <w:r>
        <w:rPr>
          <w:rFonts w:ascii="Times New Roman" w:hAnsi="Times New Roman"/>
          <w:noProof/>
          <w:sz w:val="24"/>
          <w:lang w:val="en-GB"/>
        </w:rPr>
        <w:t xml:space="preserve"> (ARR) averaged 59 percent in the EU, with significant cross-country differen</w:t>
      </w:r>
      <w:r>
        <w:rPr>
          <w:rFonts w:ascii="Times New Roman" w:hAnsi="Times New Roman"/>
          <w:noProof/>
          <w:sz w:val="24"/>
          <w:lang w:val="en-GB"/>
        </w:rPr>
        <w:t>ces. The ratio ranged from above 80 percent in Luxembourg to less than 40 percent in Ireland, Bulgaria and Croatia</w:t>
      </w:r>
      <w:r>
        <w:rPr>
          <w:rStyle w:val="FootnoteReference"/>
          <w:rFonts w:ascii="Times New Roman" w:hAnsi="Times New Roman"/>
          <w:noProof/>
          <w:sz w:val="24"/>
          <w:lang w:val="en-GB"/>
        </w:rPr>
        <w:footnoteReference w:id="108"/>
      </w:r>
      <w:r>
        <w:rPr>
          <w:rFonts w:ascii="Times New Roman" w:hAnsi="Times New Roman"/>
          <w:noProof/>
          <w:sz w:val="24"/>
          <w:lang w:val="en-GB"/>
        </w:rPr>
        <w:t>.</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In a context of rising life expectancies, pensions need to adapt; working lives start later and become longer while people live longer over</w:t>
      </w:r>
      <w:r>
        <w:rPr>
          <w:rFonts w:ascii="Times New Roman" w:hAnsi="Times New Roman"/>
          <w:b/>
          <w:noProof/>
          <w:sz w:val="24"/>
          <w:lang w:val="en-GB"/>
        </w:rPr>
        <w:t>all.</w:t>
      </w:r>
      <w:r>
        <w:rPr>
          <w:rFonts w:ascii="Times New Roman" w:hAnsi="Times New Roman"/>
          <w:noProof/>
          <w:sz w:val="24"/>
          <w:lang w:val="en-GB"/>
        </w:rPr>
        <w:t xml:space="preserve"> In addition to poverty reduction and income replacement, the third relevant dimension of pension adequacy is the duration of retirement. The ratio between time spent in retirement and time spent working presently averages 51% in the EU. Figure </w:t>
      </w:r>
      <w:r>
        <w:rPr>
          <w:rFonts w:ascii="Times New Roman" w:hAnsi="Times New Roman"/>
          <w:noProof/>
          <w:sz w:val="24"/>
          <w:szCs w:val="24"/>
          <w:lang w:val="en-GB"/>
        </w:rPr>
        <w:t>67</w:t>
      </w:r>
      <w:r>
        <w:rPr>
          <w:rFonts w:ascii="Times New Roman" w:hAnsi="Times New Roman"/>
          <w:noProof/>
          <w:sz w:val="24"/>
          <w:lang w:val="en-GB"/>
        </w:rPr>
        <w:t xml:space="preserve"> prov</w:t>
      </w:r>
      <w:r>
        <w:rPr>
          <w:rFonts w:ascii="Times New Roman" w:hAnsi="Times New Roman"/>
          <w:noProof/>
          <w:sz w:val="24"/>
          <w:lang w:val="en-GB"/>
        </w:rPr>
        <w:t>ides an overview of average life time spent before working, in work and after retirements in Member States (drawing on an estimate of the start of employment/entry into labour market, an estimate of the average exit age from the labour market, and life exp</w:t>
      </w:r>
      <w:r>
        <w:rPr>
          <w:rFonts w:ascii="Times New Roman" w:hAnsi="Times New Roman"/>
          <w:noProof/>
          <w:sz w:val="24"/>
          <w:lang w:val="en-GB"/>
        </w:rPr>
        <w:t>ectancy at age 60).</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bookmarkStart w:id="76" w:name="_Ref529372850"/>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67</w:t>
      </w:r>
      <w:r>
        <w:rPr>
          <w:rFonts w:ascii="Times New Roman" w:hAnsi="Times New Roman"/>
          <w:b/>
          <w:noProof/>
          <w:sz w:val="24"/>
          <w:szCs w:val="24"/>
          <w:lang w:val="en-GB"/>
        </w:rPr>
        <w:fldChar w:fldCharType="end"/>
      </w:r>
      <w:bookmarkEnd w:id="76"/>
      <w:r>
        <w:rPr>
          <w:rFonts w:ascii="Times New Roman" w:hAnsi="Times New Roman"/>
          <w:b/>
          <w:noProof/>
          <w:sz w:val="24"/>
          <w:lang w:val="en-GB"/>
        </w:rPr>
        <w:t>: Life time spent under different activity statuses, 2017</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557962" cy="4036377"/>
            <wp:effectExtent l="0" t="0" r="5080" b="254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5560744" cy="4038397"/>
                    </a:xfrm>
                    <a:prstGeom prst="rect">
                      <a:avLst/>
                    </a:prstGeom>
                    <a:noFill/>
                  </pic:spPr>
                </pic:pic>
              </a:graphicData>
            </a:graphic>
          </wp:inline>
        </w:drawing>
      </w:r>
    </w:p>
    <w:p w:rsidR="00EF5220" w:rsidRDefault="00EF2564">
      <w:pPr>
        <w:spacing w:line="240" w:lineRule="auto"/>
        <w:contextualSpacing/>
        <w:rPr>
          <w:rFonts w:ascii="Times New Roman" w:hAnsi="Times New Roman" w:cs="Times New Roman"/>
          <w:iCs/>
          <w:noProof/>
          <w:sz w:val="20"/>
          <w:szCs w:val="20"/>
          <w:lang w:val="en-GB"/>
        </w:rPr>
      </w:pPr>
      <w:r>
        <w:rPr>
          <w:rFonts w:ascii="Times New Roman" w:hAnsi="Times New Roman"/>
          <w:noProof/>
          <w:sz w:val="20"/>
          <w:szCs w:val="20"/>
          <w:lang w:val="en-GB"/>
        </w:rPr>
        <w:t>Source:</w:t>
      </w:r>
      <w:r>
        <w:rPr>
          <w:rFonts w:ascii="Times New Roman" w:hAnsi="Times New Roman" w:cs="Times New Roman"/>
          <w:iCs/>
          <w:noProof/>
          <w:sz w:val="20"/>
          <w:szCs w:val="20"/>
          <w:lang w:val="en-GB"/>
        </w:rPr>
        <w:t xml:space="preserve"> Ageing Report 2018 for labour market entry and exit ages; Eurostat </w:t>
      </w:r>
      <w:r>
        <w:rPr>
          <w:rFonts w:ascii="Times New Roman" w:hAnsi="Times New Roman"/>
          <w:noProof/>
          <w:sz w:val="20"/>
          <w:szCs w:val="20"/>
          <w:lang w:val="en-GB"/>
        </w:rPr>
        <w:t>for</w:t>
      </w:r>
      <w:r>
        <w:rPr>
          <w:rFonts w:ascii="Times New Roman" w:hAnsi="Times New Roman" w:cs="Times New Roman"/>
          <w:iCs/>
          <w:noProof/>
          <w:sz w:val="20"/>
          <w:szCs w:val="20"/>
          <w:lang w:val="en-GB"/>
        </w:rPr>
        <w:t xml:space="preserve"> life expectancy projections. Note: ‘while working’ means between labour market entry and exit ages.  </w:t>
      </w:r>
    </w:p>
    <w:p w:rsidR="00EF5220" w:rsidRDefault="00EF5220">
      <w:pPr>
        <w:spacing w:line="360" w:lineRule="auto"/>
        <w:jc w:val="both"/>
        <w:rPr>
          <w:rFonts w:ascii="Times New Roman" w:hAnsi="Times New Roman"/>
          <w:b/>
          <w:noProof/>
          <w:sz w:val="24"/>
          <w:lang w:val="en-GB"/>
        </w:rPr>
      </w:pP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People in non-standard or self-employment often face less favourable conditions for accessing and accruing pension rights than those in open-ended, full-time job contracts. </w:t>
      </w:r>
      <w:r>
        <w:rPr>
          <w:rFonts w:ascii="Times New Roman" w:hAnsi="Times New Roman"/>
          <w:noProof/>
          <w:sz w:val="24"/>
          <w:lang w:val="en-GB"/>
        </w:rPr>
        <w:t>SHARE survey data</w:t>
      </w:r>
      <w:r>
        <w:rPr>
          <w:rFonts w:ascii="Times New Roman" w:hAnsi="Times New Roman"/>
          <w:noProof/>
          <w:sz w:val="24"/>
          <w:vertAlign w:val="superscript"/>
          <w:lang w:val="en-GB"/>
        </w:rPr>
        <w:footnoteReference w:id="109"/>
      </w:r>
      <w:r>
        <w:rPr>
          <w:rFonts w:ascii="Times New Roman" w:hAnsi="Times New Roman"/>
          <w:noProof/>
          <w:sz w:val="24"/>
          <w:lang w:val="en-GB"/>
        </w:rPr>
        <w:t xml:space="preserve"> allow measuring the impact of self-employment on retirement inco</w:t>
      </w:r>
      <w:r>
        <w:rPr>
          <w:rFonts w:ascii="Times New Roman" w:hAnsi="Times New Roman"/>
          <w:noProof/>
          <w:sz w:val="24"/>
          <w:lang w:val="en-GB"/>
        </w:rPr>
        <w:t>me and living standards by comparing the situation of retired self-employed people</w:t>
      </w:r>
      <w:r>
        <w:rPr>
          <w:rFonts w:ascii="Times New Roman" w:hAnsi="Times New Roman"/>
          <w:noProof/>
          <w:sz w:val="24"/>
          <w:vertAlign w:val="superscript"/>
          <w:lang w:val="en-GB"/>
        </w:rPr>
        <w:footnoteReference w:id="110"/>
      </w:r>
      <w:r>
        <w:rPr>
          <w:rFonts w:ascii="Times New Roman" w:hAnsi="Times New Roman"/>
          <w:noProof/>
          <w:sz w:val="24"/>
          <w:lang w:val="en-GB"/>
        </w:rPr>
        <w:t xml:space="preserve"> and of retired employees in most Member States.</w:t>
      </w:r>
      <w:r>
        <w:rPr>
          <w:rFonts w:ascii="Times New Roman" w:hAnsi="Times New Roman"/>
          <w:noProof/>
          <w:sz w:val="24"/>
          <w:vertAlign w:val="superscript"/>
          <w:lang w:val="en-GB"/>
        </w:rPr>
        <w:footnoteReference w:id="111"/>
      </w:r>
      <w:r>
        <w:rPr>
          <w:rFonts w:ascii="Times New Roman" w:hAnsi="Times New Roman"/>
          <w:b/>
          <w:noProof/>
          <w:sz w:val="24"/>
          <w:lang w:val="en-GB"/>
        </w:rPr>
        <w:t xml:space="preserve"> </w:t>
      </w:r>
      <w:r>
        <w:rPr>
          <w:rFonts w:ascii="Times New Roman" w:hAnsi="Times New Roman"/>
          <w:noProof/>
          <w:sz w:val="24"/>
          <w:lang w:val="en-GB"/>
        </w:rPr>
        <w:t>The retired self-employed report lower incomes than retired employees in almost all countries covered. The highest income g</w:t>
      </w:r>
      <w:r>
        <w:rPr>
          <w:rFonts w:ascii="Times New Roman" w:hAnsi="Times New Roman"/>
          <w:noProof/>
          <w:sz w:val="24"/>
          <w:lang w:val="en-GB"/>
        </w:rPr>
        <w:t xml:space="preserve">aps can be observed in Luxembourg, Denmark and France, and in nine countries the gap exceeds 20 percent. Only in Hungary and Estonia do the retired self-employed enjoy slightly higher incomes than retired employees (see Figure </w:t>
      </w:r>
      <w:r>
        <w:rPr>
          <w:rFonts w:ascii="Times New Roman" w:hAnsi="Times New Roman"/>
          <w:noProof/>
          <w:sz w:val="24"/>
          <w:szCs w:val="24"/>
          <w:lang w:val="en-GB"/>
        </w:rPr>
        <w:t>68</w:t>
      </w:r>
      <w:r>
        <w:rPr>
          <w:rFonts w:ascii="Times New Roman" w:hAnsi="Times New Roman"/>
          <w:noProof/>
          <w:sz w:val="24"/>
          <w:lang w:val="en-GB"/>
        </w:rPr>
        <w:t xml:space="preserve"> below). The income gap, to</w:t>
      </w:r>
      <w:r>
        <w:rPr>
          <w:rFonts w:ascii="Times New Roman" w:hAnsi="Times New Roman"/>
          <w:noProof/>
          <w:sz w:val="24"/>
          <w:lang w:val="en-GB"/>
        </w:rPr>
        <w:t>gether with higher income inequality,</w:t>
      </w:r>
      <w:r>
        <w:rPr>
          <w:rFonts w:ascii="Times New Roman" w:hAnsi="Times New Roman"/>
          <w:noProof/>
          <w:sz w:val="24"/>
          <w:vertAlign w:val="superscript"/>
          <w:lang w:val="en-GB"/>
        </w:rPr>
        <w:footnoteReference w:id="112"/>
      </w:r>
      <w:r>
        <w:rPr>
          <w:rFonts w:ascii="Times New Roman" w:hAnsi="Times New Roman"/>
          <w:noProof/>
          <w:sz w:val="24"/>
          <w:lang w:val="en-GB"/>
        </w:rPr>
        <w:t xml:space="preserve"> leads to substantially higher levels of poverty risk for retired self-employed, around twice that of retired employees on average. The retired self-employed have lower pensions than retired employees in every country </w:t>
      </w:r>
      <w:r>
        <w:rPr>
          <w:rFonts w:ascii="Times New Roman" w:hAnsi="Times New Roman"/>
          <w:noProof/>
          <w:sz w:val="24"/>
          <w:lang w:val="en-GB"/>
        </w:rPr>
        <w:t>observed and, despite higher asset-to-income rations, are more exposed to financial hardship in old age. The financial distress index, which measures the difficulty in making ends meet on a scale of 1 to 4, averages 2.3 for the retired self-employed and 2.</w:t>
      </w:r>
      <w:r>
        <w:rPr>
          <w:rFonts w:ascii="Times New Roman" w:hAnsi="Times New Roman"/>
          <w:noProof/>
          <w:sz w:val="24"/>
          <w:lang w:val="en-GB"/>
        </w:rPr>
        <w:t>1 for retired employees in the Member States surveyed</w:t>
      </w:r>
      <w:r>
        <w:rPr>
          <w:rFonts w:ascii="Times New Roman" w:hAnsi="Times New Roman"/>
          <w:noProof/>
          <w:sz w:val="24"/>
          <w:vertAlign w:val="superscript"/>
          <w:lang w:val="en-GB"/>
        </w:rPr>
        <w:footnoteReference w:id="113"/>
      </w:r>
      <w:r>
        <w:rPr>
          <w:rFonts w:ascii="Times New Roman" w:hAnsi="Times New Roman"/>
          <w:noProof/>
          <w:sz w:val="24"/>
          <w:lang w:val="en-GB"/>
        </w:rPr>
        <w:t>.</w:t>
      </w:r>
    </w:p>
    <w:p w:rsidR="00EF5220" w:rsidRDefault="00EF5220">
      <w:pPr>
        <w:spacing w:line="360" w:lineRule="auto"/>
        <w:jc w:val="both"/>
        <w:rPr>
          <w:rFonts w:ascii="Times New Roman" w:hAnsi="Times New Roman" w:cs="Times New Roman"/>
          <w:b/>
          <w:iCs/>
          <w:noProof/>
          <w:sz w:val="24"/>
          <w:szCs w:val="24"/>
          <w:lang w:val="en-GB"/>
        </w:rPr>
      </w:pP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bookmarkStart w:id="77" w:name="_Ref527564396"/>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68</w:t>
      </w:r>
      <w:r>
        <w:rPr>
          <w:rFonts w:ascii="Times New Roman" w:hAnsi="Times New Roman"/>
          <w:b/>
          <w:noProof/>
          <w:sz w:val="24"/>
          <w:szCs w:val="24"/>
          <w:lang w:val="en-GB"/>
        </w:rPr>
        <w:fldChar w:fldCharType="end"/>
      </w:r>
      <w:bookmarkEnd w:id="77"/>
      <w:r>
        <w:rPr>
          <w:rFonts w:ascii="Times New Roman" w:hAnsi="Times New Roman"/>
          <w:b/>
          <w:noProof/>
          <w:sz w:val="24"/>
          <w:lang w:val="en-GB"/>
        </w:rPr>
        <w:t>: Relative difference in the median equivalised disposable income between retired employees and retired self-employed, 2017, %</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4986068" cy="2144280"/>
            <wp:effectExtent l="0" t="0" r="5080" b="889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4987844" cy="2145044"/>
                    </a:xfrm>
                    <a:prstGeom prst="rect">
                      <a:avLst/>
                    </a:prstGeom>
                    <a:noFill/>
                  </pic:spPr>
                </pic:pic>
              </a:graphicData>
            </a:graphic>
          </wp:inline>
        </w:drawing>
      </w:r>
    </w:p>
    <w:p w:rsidR="00EF5220" w:rsidRDefault="00EF2564">
      <w:pPr>
        <w:spacing w:line="240" w:lineRule="auto"/>
        <w:contextualSpacing/>
        <w:rPr>
          <w:rFonts w:ascii="Times New Roman" w:eastAsia="Times New Roman" w:hAnsi="Times New Roman" w:cs="Times New Roman"/>
          <w:bCs/>
          <w:noProof/>
          <w:sz w:val="20"/>
          <w:szCs w:val="20"/>
          <w:lang w:val="en-GB"/>
        </w:rPr>
      </w:pPr>
      <w:r>
        <w:rPr>
          <w:rFonts w:ascii="Times New Roman" w:hAnsi="Times New Roman"/>
          <w:noProof/>
          <w:sz w:val="20"/>
          <w:szCs w:val="20"/>
          <w:lang w:val="en-GB"/>
        </w:rPr>
        <w:t xml:space="preserve">Source: SHARE. Notes: EU* does not include IE, NL and UK. Sample sizes in BG, LV, LT, PT, RO, SI and SK do not allow a distinction to be drawn between retirees. </w:t>
      </w:r>
    </w:p>
    <w:p w:rsidR="00EF5220" w:rsidRDefault="00EF5220">
      <w:pPr>
        <w:spacing w:line="360" w:lineRule="auto"/>
        <w:jc w:val="both"/>
        <w:rPr>
          <w:rFonts w:ascii="Times New Roman" w:hAnsi="Times New Roman" w:cs="Times New Roman"/>
          <w:iCs/>
          <w:noProof/>
          <w:sz w:val="24"/>
          <w:szCs w:val="24"/>
          <w:lang w:val="en-GB"/>
        </w:rPr>
      </w:pPr>
    </w:p>
    <w:p w:rsidR="00EF5220" w:rsidRDefault="00EF5220">
      <w:pPr>
        <w:spacing w:line="360" w:lineRule="auto"/>
        <w:jc w:val="both"/>
        <w:rPr>
          <w:rFonts w:ascii="Times New Roman" w:hAnsi="Times New Roman" w:cs="Times New Roman"/>
          <w:iCs/>
          <w:noProof/>
          <w:sz w:val="24"/>
          <w:szCs w:val="24"/>
          <w:lang w:val="en-GB"/>
        </w:rPr>
      </w:pP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bookmarkStart w:id="78" w:name="_Ref527564379"/>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69</w:t>
      </w:r>
      <w:r>
        <w:rPr>
          <w:rFonts w:ascii="Times New Roman" w:hAnsi="Times New Roman"/>
          <w:b/>
          <w:noProof/>
          <w:sz w:val="24"/>
          <w:szCs w:val="24"/>
          <w:lang w:val="en-GB"/>
        </w:rPr>
        <w:fldChar w:fldCharType="end"/>
      </w:r>
      <w:bookmarkEnd w:id="78"/>
      <w:r>
        <w:rPr>
          <w:rFonts w:ascii="Times New Roman" w:hAnsi="Times New Roman"/>
          <w:b/>
          <w:noProof/>
          <w:sz w:val="24"/>
          <w:lang w:val="en-GB"/>
        </w:rPr>
        <w:t>: Self-reported unmet needs for medical care (Social Score</w:t>
      </w:r>
      <w:r>
        <w:rPr>
          <w:rFonts w:ascii="Times New Roman" w:hAnsi="Times New Roman"/>
          <w:b/>
          <w:noProof/>
          <w:sz w:val="24"/>
          <w:lang w:val="en-GB"/>
        </w:rPr>
        <w:t>board headline indicator)</w:t>
      </w:r>
    </w:p>
    <w:p w:rsidR="00EF5220" w:rsidRDefault="00EF2564">
      <w:pPr>
        <w:keepNext/>
        <w:pBdr>
          <w:between w:val="nil"/>
          <w:bar w:val="nil"/>
        </w:pBdr>
        <w:spacing w:before="120" w:after="120" w:line="36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471428" cy="44426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5471797" cy="4442904"/>
                    </a:xfrm>
                    <a:prstGeom prst="rect">
                      <a:avLst/>
                    </a:prstGeom>
                    <a:noFill/>
                  </pic:spPr>
                </pic:pic>
              </a:graphicData>
            </a:graphic>
          </wp:inline>
        </w:drawing>
      </w:r>
    </w:p>
    <w:p w:rsidR="00EF5220" w:rsidRDefault="00EF2564">
      <w:pPr>
        <w:spacing w:line="240" w:lineRule="auto"/>
        <w:contextualSpacing/>
        <w:rPr>
          <w:rFonts w:ascii="Times New Roman" w:eastAsia="Times New Roman" w:hAnsi="Times New Roman" w:cs="Times New Roman"/>
          <w:bCs/>
          <w:noProof/>
          <w:sz w:val="18"/>
          <w:szCs w:val="18"/>
          <w:lang w:val="en-GB"/>
        </w:rPr>
      </w:pPr>
      <w:r>
        <w:rPr>
          <w:rFonts w:ascii="Times New Roman" w:hAnsi="Times New Roman"/>
          <w:noProof/>
          <w:sz w:val="18"/>
          <w:lang w:val="en-GB"/>
        </w:rPr>
        <w:t>Source: Eurostat, SILC. Period: 2017 levels and yearly changes with respect to 2016. Note: Axes are centred on the unweighted EU average. The legend is presented in the Annex. Data for IE and UK not available at 26 October 2018.</w:t>
      </w:r>
    </w:p>
    <w:p w:rsidR="00EF5220" w:rsidRDefault="00EF5220">
      <w:pPr>
        <w:spacing w:line="360" w:lineRule="auto"/>
        <w:contextualSpacing/>
        <w:rPr>
          <w:rFonts w:ascii="Times New Roman" w:eastAsia="Times New Roman" w:hAnsi="Times New Roman" w:cs="Times New Roman"/>
          <w:b/>
          <w:bCs/>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There are signs of convergence in the share of the population reporting perceived unmet needs for medical care</w:t>
      </w:r>
      <w:r>
        <w:rPr>
          <w:rFonts w:ascii="Times New Roman" w:hAnsi="Times New Roman"/>
          <w:noProof/>
          <w:sz w:val="24"/>
          <w:vertAlign w:val="superscript"/>
          <w:lang w:val="en-GB"/>
        </w:rPr>
        <w:footnoteReference w:id="114"/>
      </w:r>
      <w:r>
        <w:rPr>
          <w:rFonts w:ascii="Times New Roman" w:hAnsi="Times New Roman"/>
          <w:noProof/>
          <w:sz w:val="24"/>
          <w:lang w:val="en-GB"/>
        </w:rPr>
        <w:t xml:space="preserve">. Reversing a previous tendency, a weak negative correlation has emerged between level and changes in unmet needs for medical care, with those countries where unmet needs are highest showing the most positive trend (see Figure </w:t>
      </w:r>
      <w:r>
        <w:rPr>
          <w:rFonts w:ascii="Times New Roman" w:hAnsi="Times New Roman"/>
          <w:noProof/>
          <w:sz w:val="24"/>
          <w:szCs w:val="24"/>
          <w:lang w:val="en-GB"/>
        </w:rPr>
        <w:t>69</w:t>
      </w:r>
      <w:r>
        <w:rPr>
          <w:rFonts w:ascii="Times New Roman" w:hAnsi="Times New Roman"/>
          <w:noProof/>
          <w:sz w:val="24"/>
          <w:lang w:val="en-GB"/>
        </w:rPr>
        <w:t>). In some Member States, c</w:t>
      </w:r>
      <w:r>
        <w:rPr>
          <w:rFonts w:ascii="Times New Roman" w:hAnsi="Times New Roman"/>
          <w:noProof/>
          <w:sz w:val="24"/>
          <w:lang w:val="en-GB"/>
        </w:rPr>
        <w:t>osts and waiting time remain important barriers for the accessibility of healthcare. Nonetheless, the proportion of the EU population facing self-reported unmet needs for medical care due to either too high costs, too long waiting time or travelling distan</w:t>
      </w:r>
      <w:r>
        <w:rPr>
          <w:rFonts w:ascii="Times New Roman" w:hAnsi="Times New Roman"/>
          <w:noProof/>
          <w:sz w:val="24"/>
          <w:lang w:val="en-GB"/>
        </w:rPr>
        <w:t>ce, on average decreased in 2017 to 1.6%. The share of the people impacted still exceeded 5% in Estonia and Greece (above 10%) and Latvia. Increases to 2017 were recorded only for Slovenia, Cyprus and Slovakia.</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Activity status may also play an important ro</w:t>
      </w:r>
      <w:r>
        <w:rPr>
          <w:rFonts w:ascii="Times New Roman" w:hAnsi="Times New Roman"/>
          <w:b/>
          <w:noProof/>
          <w:sz w:val="24"/>
          <w:lang w:val="en-GB"/>
        </w:rPr>
        <w:t>le in explaining problematic access to medical care in some countries.</w:t>
      </w:r>
      <w:r>
        <w:rPr>
          <w:rFonts w:ascii="Times New Roman" w:hAnsi="Times New Roman"/>
          <w:noProof/>
          <w:sz w:val="24"/>
          <w:lang w:val="en-GB"/>
        </w:rPr>
        <w:t xml:space="preserve"> Although the majority of countries do not show significant differences according to activity status, in some of them unemployed people (and to a lesser extent pensioners) may encounter </w:t>
      </w:r>
      <w:r>
        <w:rPr>
          <w:rFonts w:ascii="Times New Roman" w:hAnsi="Times New Roman"/>
          <w:noProof/>
          <w:sz w:val="24"/>
          <w:lang w:val="en-GB"/>
        </w:rPr>
        <w:t xml:space="preserve">higher difficulties in accessing healthcare (see Figure </w:t>
      </w:r>
      <w:r>
        <w:rPr>
          <w:rFonts w:ascii="Times New Roman" w:hAnsi="Times New Roman"/>
          <w:noProof/>
          <w:sz w:val="24"/>
          <w:szCs w:val="24"/>
          <w:lang w:val="en-GB"/>
        </w:rPr>
        <w:t>70</w:t>
      </w:r>
      <w:r>
        <w:rPr>
          <w:rFonts w:ascii="Times New Roman" w:hAnsi="Times New Roman"/>
          <w:noProof/>
          <w:sz w:val="24"/>
          <w:lang w:val="en-GB"/>
        </w:rPr>
        <w:t>). Even in countries where the percentage of unmet needs among the entire population is below the EU average, figures suggest that the unemployed may face difficulties accessing medical care (e.g. B</w:t>
      </w:r>
      <w:r>
        <w:rPr>
          <w:rFonts w:ascii="Times New Roman" w:hAnsi="Times New Roman"/>
          <w:noProof/>
          <w:sz w:val="24"/>
          <w:lang w:val="en-GB"/>
        </w:rPr>
        <w:t>elgium, France, Italy, and Hungary).</w:t>
      </w:r>
    </w:p>
    <w:p w:rsidR="00EF5220" w:rsidRDefault="00EF5220">
      <w:pPr>
        <w:spacing w:line="360" w:lineRule="auto"/>
        <w:contextualSpacing/>
        <w:rPr>
          <w:rFonts w:ascii="Times New Roman" w:hAnsi="Times New Roman" w:cs="Times New Roman"/>
          <w:noProof/>
          <w:sz w:val="24"/>
          <w:szCs w:val="24"/>
          <w:lang w:val="en-GB"/>
        </w:rPr>
      </w:pP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bookmarkStart w:id="79" w:name="_Ref527564363"/>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70</w:t>
      </w:r>
      <w:r>
        <w:rPr>
          <w:rFonts w:ascii="Times New Roman" w:hAnsi="Times New Roman"/>
          <w:b/>
          <w:noProof/>
          <w:sz w:val="24"/>
          <w:szCs w:val="24"/>
          <w:lang w:val="en-GB"/>
        </w:rPr>
        <w:fldChar w:fldCharType="end"/>
      </w:r>
      <w:bookmarkEnd w:id="79"/>
      <w:r>
        <w:rPr>
          <w:rFonts w:ascii="Times New Roman" w:hAnsi="Times New Roman"/>
          <w:b/>
          <w:noProof/>
          <w:sz w:val="24"/>
          <w:lang w:val="en-GB"/>
        </w:rPr>
        <w:t xml:space="preserve">: self-reported unmet needs for medical examination according to activity status (2016) </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814204" cy="24602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5813320" cy="2459867"/>
                    </a:xfrm>
                    <a:prstGeom prst="rect">
                      <a:avLst/>
                    </a:prstGeom>
                    <a:noFill/>
                  </pic:spPr>
                </pic:pic>
              </a:graphicData>
            </a:graphic>
          </wp:inline>
        </w:drawing>
      </w:r>
    </w:p>
    <w:p w:rsidR="00EF5220" w:rsidRDefault="00EF2564">
      <w:pPr>
        <w:spacing w:line="240" w:lineRule="auto"/>
        <w:contextualSpacing/>
        <w:rPr>
          <w:rFonts w:ascii="Times New Roman" w:hAnsi="Times New Roman" w:cs="Times New Roman"/>
          <w:noProof/>
          <w:sz w:val="20"/>
          <w:szCs w:val="20"/>
          <w:lang w:val="en-GB"/>
        </w:rPr>
      </w:pPr>
      <w:r>
        <w:rPr>
          <w:rFonts w:ascii="Times New Roman" w:hAnsi="Times New Roman"/>
          <w:noProof/>
          <w:sz w:val="20"/>
          <w:lang w:val="en-GB"/>
        </w:rPr>
        <w:t xml:space="preserve">Source: Eurostat [hlth_silc_13]. </w:t>
      </w:r>
    </w:p>
    <w:p w:rsidR="00EF5220" w:rsidRDefault="00EF5220">
      <w:pPr>
        <w:spacing w:line="360" w:lineRule="auto"/>
        <w:contextualSpacing/>
        <w:rPr>
          <w:rFonts w:ascii="Times New Roman" w:hAnsi="Times New Roman" w:cs="Times New Roman"/>
          <w:noProof/>
          <w:sz w:val="24"/>
          <w:szCs w:val="24"/>
          <w:lang w:val="en-GB"/>
        </w:rPr>
      </w:pP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The healthy life years (at the age of 65) increased further in the EU for men to 9.8 years and for women to 10.1 years. </w:t>
      </w:r>
      <w:r>
        <w:rPr>
          <w:rFonts w:ascii="Times New Roman" w:hAnsi="Times New Roman"/>
          <w:noProof/>
          <w:sz w:val="24"/>
          <w:lang w:val="en-GB"/>
        </w:rPr>
        <w:t xml:space="preserve">While the highest number of healthy life years at 65 can be expected in Sweden, Malta and Ireland (about 12 years for both gender), the </w:t>
      </w:r>
      <w:r>
        <w:rPr>
          <w:rFonts w:ascii="Times New Roman" w:hAnsi="Times New Roman"/>
          <w:noProof/>
          <w:sz w:val="24"/>
          <w:lang w:val="en-GB"/>
        </w:rPr>
        <w:t xml:space="preserve">healthy life expectancy is particularly low in Latvia, Slovakia and Croatia (around 5 years).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 xml:space="preserve">Healthcare is financed through different schemes, while the relative importance of each scheme varies among Member States. </w:t>
      </w:r>
      <w:r>
        <w:rPr>
          <w:rFonts w:ascii="Times New Roman" w:hAnsi="Times New Roman"/>
          <w:noProof/>
          <w:sz w:val="24"/>
          <w:lang w:val="en-GB"/>
        </w:rPr>
        <w:t>In 2016, out-of-pocket payments</w:t>
      </w:r>
      <w:r>
        <w:rPr>
          <w:rFonts w:ascii="Times New Roman" w:hAnsi="Times New Roman"/>
          <w:noProof/>
          <w:sz w:val="24"/>
          <w:vertAlign w:val="superscript"/>
          <w:lang w:val="en-GB"/>
        </w:rPr>
        <w:footnoteReference w:id="115"/>
      </w:r>
      <w:r>
        <w:rPr>
          <w:rFonts w:ascii="Times New Roman" w:hAnsi="Times New Roman"/>
          <w:noProof/>
          <w:sz w:val="24"/>
          <w:lang w:val="en-GB"/>
        </w:rPr>
        <w:t>, i.e. household expenditure for health (including medical goods) not reimbursed by any scheme or paid as cost-sharing with an organised scheme, measured as a share of current health expenditure is above 30% in Bulgaria, Greece, Cyprus, Latvia and Lithuani</w:t>
      </w:r>
      <w:r>
        <w:rPr>
          <w:rFonts w:ascii="Times New Roman" w:hAnsi="Times New Roman"/>
          <w:noProof/>
          <w:sz w:val="24"/>
          <w:lang w:val="en-GB"/>
        </w:rPr>
        <w:t xml:space="preserve">a (Figure </w:t>
      </w:r>
      <w:r>
        <w:rPr>
          <w:rFonts w:ascii="Times New Roman" w:hAnsi="Times New Roman"/>
          <w:noProof/>
          <w:sz w:val="24"/>
          <w:szCs w:val="24"/>
          <w:lang w:val="en-GB"/>
        </w:rPr>
        <w:t>71</w:t>
      </w:r>
      <w:r>
        <w:rPr>
          <w:rFonts w:ascii="Times New Roman" w:hAnsi="Times New Roman"/>
          <w:noProof/>
          <w:sz w:val="24"/>
          <w:lang w:val="en-GB"/>
        </w:rPr>
        <w:t>).</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bookmarkStart w:id="80" w:name="_Ref527564348"/>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71</w:t>
      </w:r>
      <w:r>
        <w:rPr>
          <w:rFonts w:ascii="Times New Roman" w:hAnsi="Times New Roman"/>
          <w:b/>
          <w:noProof/>
          <w:sz w:val="24"/>
          <w:szCs w:val="24"/>
          <w:lang w:val="en-GB"/>
        </w:rPr>
        <w:fldChar w:fldCharType="end"/>
      </w:r>
      <w:bookmarkEnd w:id="80"/>
      <w:r>
        <w:rPr>
          <w:rFonts w:ascii="Times New Roman" w:hAnsi="Times New Roman"/>
          <w:b/>
          <w:noProof/>
          <w:sz w:val="24"/>
          <w:lang w:val="en-GB"/>
        </w:rPr>
        <w:t>: Healthcare expenditure by financing source, 2016</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74400" cy="3078000"/>
            <wp:effectExtent l="0" t="0" r="0" b="825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5774400" cy="3078000"/>
                    </a:xfrm>
                    <a:prstGeom prst="rect">
                      <a:avLst/>
                    </a:prstGeom>
                    <a:noFill/>
                  </pic:spPr>
                </pic:pic>
              </a:graphicData>
            </a:graphic>
          </wp:inline>
        </w:drawing>
      </w:r>
    </w:p>
    <w:p w:rsidR="00EF5220" w:rsidRDefault="00EF2564">
      <w:pPr>
        <w:spacing w:line="240" w:lineRule="auto"/>
        <w:contextualSpacing/>
        <w:rPr>
          <w:rFonts w:ascii="Times New Roman" w:hAnsi="Times New Roman" w:cs="Times New Roman"/>
          <w:noProof/>
          <w:sz w:val="20"/>
          <w:szCs w:val="20"/>
          <w:lang w:val="en-GB"/>
        </w:rPr>
      </w:pPr>
      <w:r>
        <w:rPr>
          <w:rFonts w:ascii="Times New Roman" w:hAnsi="Times New Roman"/>
          <w:noProof/>
          <w:sz w:val="20"/>
          <w:lang w:val="en-GB"/>
        </w:rPr>
        <w:t>Source: Eurostat [hlth_sha11_hf]. Notes: data are collected according to Commission Regulation (EC) 2015/359 as regards statistics on healthcare expenditu</w:t>
      </w:r>
      <w:r>
        <w:rPr>
          <w:rFonts w:ascii="Times New Roman" w:hAnsi="Times New Roman"/>
          <w:noProof/>
          <w:sz w:val="20"/>
          <w:lang w:val="en-GB"/>
        </w:rPr>
        <w:t>re and financing (System of Health Accounts 2011 manual).</w:t>
      </w:r>
    </w:p>
    <w:p w:rsidR="00EF5220" w:rsidRDefault="00EF5220">
      <w:pPr>
        <w:spacing w:line="360" w:lineRule="auto"/>
        <w:contextualSpacing/>
        <w:rPr>
          <w:iCs/>
          <w:noProof/>
          <w:lang w:val="en-GB"/>
        </w:rPr>
      </w:pPr>
    </w:p>
    <w:p w:rsidR="00EF5220" w:rsidRDefault="00EF2564">
      <w:pPr>
        <w:spacing w:line="360" w:lineRule="auto"/>
        <w:jc w:val="both"/>
        <w:rPr>
          <w:rFonts w:ascii="Times New Roman" w:eastAsia="Times New Roman" w:hAnsi="Times New Roman" w:cs="Times New Roman"/>
          <w:noProof/>
          <w:color w:val="000000"/>
          <w:sz w:val="24"/>
          <w:szCs w:val="24"/>
          <w:u w:color="000000"/>
          <w:bdr w:val="nil"/>
          <w:lang w:val="en-GB"/>
        </w:rPr>
      </w:pPr>
      <w:r>
        <w:rPr>
          <w:rFonts w:ascii="Times New Roman" w:hAnsi="Times New Roman"/>
          <w:b/>
          <w:noProof/>
          <w:color w:val="000000"/>
          <w:sz w:val="24"/>
          <w:u w:color="000000"/>
          <w:bdr w:val="nil"/>
          <w:lang w:val="en-GB"/>
        </w:rPr>
        <w:t>The need for Long Term Care (LTC) is growing as the population in the EU ages</w:t>
      </w:r>
      <w:r>
        <w:rPr>
          <w:rFonts w:ascii="Times New Roman" w:hAnsi="Times New Roman"/>
          <w:noProof/>
          <w:color w:val="000000"/>
          <w:sz w:val="24"/>
          <w:u w:color="000000"/>
          <w:bdr w:val="nil"/>
          <w:lang w:val="en-GB"/>
        </w:rPr>
        <w:t xml:space="preserve">. Over the next six decades (by 2070), the number of Europeans aged 80+ is set to double and the old-age dependency </w:t>
      </w:r>
      <w:r>
        <w:rPr>
          <w:rFonts w:ascii="Times New Roman" w:hAnsi="Times New Roman"/>
          <w:noProof/>
          <w:color w:val="000000"/>
          <w:sz w:val="24"/>
          <w:u w:color="000000"/>
          <w:bdr w:val="nil"/>
          <w:lang w:val="en-GB"/>
        </w:rPr>
        <w:t>ratio (people aged 65+ relative to those aged 15-64) is projected to jump from 29.6% in 2016 to 51.2% in 2070</w:t>
      </w:r>
      <w:r>
        <w:rPr>
          <w:rFonts w:ascii="Times New Roman" w:hAnsi="Times New Roman"/>
          <w:noProof/>
          <w:color w:val="000000"/>
          <w:sz w:val="24"/>
          <w:u w:color="000000"/>
          <w:bdr w:val="nil"/>
          <w:vertAlign w:val="superscript"/>
          <w:lang w:val="en-GB"/>
        </w:rPr>
        <w:footnoteReference w:id="116"/>
      </w:r>
      <w:r>
        <w:rPr>
          <w:rFonts w:ascii="Times New Roman" w:hAnsi="Times New Roman"/>
          <w:noProof/>
          <w:color w:val="000000"/>
          <w:sz w:val="24"/>
          <w:u w:color="000000"/>
          <w:bdr w:val="nil"/>
          <w:lang w:val="en-GB"/>
        </w:rPr>
        <w:t xml:space="preserve"> (the EU would go from 3.3 to only 2 working-age people for every person aged 65+). The risk of becoming dependent is higher towards older age, wh</w:t>
      </w:r>
      <w:r>
        <w:rPr>
          <w:rFonts w:ascii="Times New Roman" w:hAnsi="Times New Roman"/>
          <w:noProof/>
          <w:color w:val="000000"/>
          <w:sz w:val="24"/>
          <w:u w:color="000000"/>
          <w:bdr w:val="nil"/>
          <w:lang w:val="en-GB"/>
        </w:rPr>
        <w:t>en people are more likely to become frail (60% people aged 75-</w:t>
      </w:r>
      <w:r>
        <w:rPr>
          <w:rFonts w:ascii="Times New Roman" w:hAnsi="Times New Roman"/>
          <w:noProof/>
          <w:sz w:val="24"/>
          <w:lang w:val="en-GB"/>
        </w:rPr>
        <w:t>84</w:t>
      </w:r>
      <w:r>
        <w:rPr>
          <w:rFonts w:ascii="Times New Roman" w:hAnsi="Times New Roman"/>
          <w:noProof/>
          <w:color w:val="000000"/>
          <w:sz w:val="24"/>
          <w:u w:color="000000"/>
          <w:bdr w:val="nil"/>
          <w:lang w:val="en-GB"/>
        </w:rPr>
        <w:t xml:space="preserve"> and 70% aged 85+ report a disability).</w:t>
      </w:r>
    </w:p>
    <w:p w:rsidR="00EF5220" w:rsidRDefault="00EF2564">
      <w:pPr>
        <w:spacing w:line="360" w:lineRule="auto"/>
        <w:jc w:val="both"/>
        <w:rPr>
          <w:rFonts w:ascii="Times New Roman" w:eastAsia="Times New Roman" w:hAnsi="Times New Roman" w:cs="Times New Roman"/>
          <w:bCs/>
          <w:noProof/>
          <w:color w:val="000000"/>
          <w:sz w:val="24"/>
          <w:szCs w:val="24"/>
          <w:u w:color="000000"/>
          <w:bdr w:val="nil"/>
          <w:lang w:val="en-GB"/>
        </w:rPr>
      </w:pPr>
      <w:r>
        <w:rPr>
          <w:rFonts w:ascii="Times New Roman" w:hAnsi="Times New Roman"/>
          <w:b/>
          <w:noProof/>
          <w:color w:val="000000"/>
          <w:sz w:val="24"/>
          <w:u w:color="000000"/>
          <w:bdr w:val="nil"/>
          <w:lang w:val="en-GB"/>
        </w:rPr>
        <w:t xml:space="preserve">A significant rise in LTC needs is projected. </w:t>
      </w:r>
      <w:r>
        <w:rPr>
          <w:rFonts w:ascii="Times New Roman" w:hAnsi="Times New Roman"/>
          <w:noProof/>
          <w:color w:val="000000"/>
          <w:sz w:val="24"/>
          <w:u w:color="000000"/>
          <w:bdr w:val="nil"/>
          <w:lang w:val="en-GB"/>
        </w:rPr>
        <w:t xml:space="preserve"> LTC is the fastest-rising social expenditure compared to health and pensions. The EU public expenditure o</w:t>
      </w:r>
      <w:r>
        <w:rPr>
          <w:rFonts w:ascii="Times New Roman" w:hAnsi="Times New Roman"/>
          <w:noProof/>
          <w:color w:val="000000"/>
          <w:sz w:val="24"/>
          <w:u w:color="000000"/>
          <w:bdr w:val="nil"/>
          <w:lang w:val="en-GB"/>
        </w:rPr>
        <w:t xml:space="preserve">n LTC is projected to increase from 1.6% to 2.7% of GDP between 2016 and 2070, with marked </w:t>
      </w:r>
      <w:r>
        <w:rPr>
          <w:rFonts w:ascii="Times New Roman" w:hAnsi="Times New Roman"/>
          <w:noProof/>
          <w:sz w:val="24"/>
          <w:lang w:val="en-GB"/>
        </w:rPr>
        <w:t>variations</w:t>
      </w:r>
      <w:r>
        <w:rPr>
          <w:rFonts w:ascii="Times New Roman" w:hAnsi="Times New Roman"/>
          <w:noProof/>
          <w:color w:val="000000"/>
          <w:sz w:val="24"/>
          <w:u w:color="000000"/>
          <w:bdr w:val="nil"/>
          <w:lang w:val="en-GB"/>
        </w:rPr>
        <w:t xml:space="preserve"> across the EU (see </w:t>
      </w:r>
      <w:r>
        <w:rPr>
          <w:rFonts w:ascii="Times New Roman" w:hAnsi="Times New Roman"/>
          <w:noProof/>
          <w:sz w:val="24"/>
          <w:lang w:val="en-GB"/>
        </w:rPr>
        <w:t xml:space="preserve">Figure </w:t>
      </w:r>
      <w:r>
        <w:rPr>
          <w:rFonts w:ascii="Times New Roman" w:hAnsi="Times New Roman"/>
          <w:noProof/>
          <w:sz w:val="24"/>
          <w:szCs w:val="24"/>
          <w:lang w:val="en-GB"/>
        </w:rPr>
        <w:t>72</w:t>
      </w:r>
      <w:r>
        <w:rPr>
          <w:rFonts w:ascii="Times New Roman" w:hAnsi="Times New Roman"/>
          <w:noProof/>
          <w:color w:val="000000"/>
          <w:sz w:val="24"/>
          <w:u w:color="000000"/>
          <w:bdr w:val="nil"/>
          <w:lang w:val="en-GB"/>
        </w:rPr>
        <w:t xml:space="preserve">). </w:t>
      </w:r>
    </w:p>
    <w:p w:rsidR="00EF5220" w:rsidRDefault="00EF2564">
      <w:pPr>
        <w:keepNext/>
        <w:pBdr>
          <w:between w:val="nil"/>
          <w:bar w:val="nil"/>
        </w:pBdr>
        <w:spacing w:before="120" w:after="120" w:line="240" w:lineRule="auto"/>
        <w:jc w:val="both"/>
        <w:rPr>
          <w:rFonts w:ascii="Times New Roman" w:eastAsia="Times New Roman" w:hAnsi="Times New Roman" w:cs="Times New Roman"/>
          <w:b/>
          <w:bCs/>
          <w:noProof/>
          <w:color w:val="000000"/>
          <w:sz w:val="24"/>
          <w:szCs w:val="24"/>
          <w:u w:color="000000"/>
          <w:bdr w:val="nil"/>
          <w:lang w:val="en-GB"/>
        </w:rPr>
      </w:pPr>
      <w:bookmarkStart w:id="81" w:name="_Ref527564328"/>
      <w:r>
        <w:rPr>
          <w:rFonts w:ascii="Times New Roman" w:hAnsi="Times New Roman"/>
          <w:b/>
          <w:noProof/>
          <w:sz w:val="24"/>
          <w:lang w:val="en-GB"/>
        </w:rPr>
        <w:t xml:space="preserve">Figure </w:t>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Figure \* ARABIC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72</w:t>
      </w:r>
      <w:r>
        <w:rPr>
          <w:rFonts w:ascii="Times New Roman" w:hAnsi="Times New Roman"/>
          <w:b/>
          <w:noProof/>
          <w:sz w:val="24"/>
          <w:szCs w:val="24"/>
          <w:lang w:val="en-GB"/>
        </w:rPr>
        <w:fldChar w:fldCharType="end"/>
      </w:r>
      <w:bookmarkEnd w:id="81"/>
      <w:r>
        <w:rPr>
          <w:rFonts w:ascii="Times New Roman" w:hAnsi="Times New Roman"/>
          <w:b/>
          <w:noProof/>
          <w:sz w:val="24"/>
          <w:lang w:val="en-GB"/>
        </w:rPr>
        <w:t>:</w:t>
      </w:r>
      <w:r>
        <w:rPr>
          <w:rFonts w:ascii="Times New Roman" w:hAnsi="Times New Roman"/>
          <w:b/>
          <w:noProof/>
          <w:color w:val="000000"/>
          <w:sz w:val="24"/>
          <w:u w:color="000000"/>
          <w:bdr w:val="nil"/>
          <w:lang w:val="en-GB"/>
        </w:rPr>
        <w:t xml:space="preserve"> Projected public expenditure on LTC as % of GDP, in 2016 and 2070  </w:t>
      </w:r>
    </w:p>
    <w:p w:rsidR="00EF5220" w:rsidRDefault="00EF2564">
      <w:pPr>
        <w:keepNext/>
        <w:pBdr>
          <w:between w:val="nil"/>
          <w:bar w:val="nil"/>
        </w:pBdr>
        <w:spacing w:before="120" w:after="120" w:line="240" w:lineRule="auto"/>
        <w:jc w:val="both"/>
        <w:rPr>
          <w:rFonts w:ascii="Times New Roman" w:hAnsi="Times New Roman"/>
          <w:b/>
          <w:noProof/>
          <w:sz w:val="24"/>
          <w:szCs w:val="24"/>
          <w:lang w:val="en-GB"/>
        </w:rPr>
      </w:pPr>
      <w:r>
        <w:rPr>
          <w:rFonts w:ascii="Times New Roman" w:hAnsi="Times New Roman"/>
          <w:b/>
          <w:noProof/>
          <w:sz w:val="24"/>
          <w:szCs w:val="24"/>
          <w:lang w:val="en-GB" w:eastAsia="en-GB" w:bidi="ar-SA"/>
        </w:rPr>
        <w:drawing>
          <wp:inline distT="0" distB="0" distL="0" distR="0">
            <wp:extent cx="5779008" cy="2800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783288" cy="2802834"/>
                    </a:xfrm>
                    <a:prstGeom prst="rect">
                      <a:avLst/>
                    </a:prstGeom>
                    <a:noFill/>
                  </pic:spPr>
                </pic:pic>
              </a:graphicData>
            </a:graphic>
          </wp:inline>
        </w:drawing>
      </w:r>
    </w:p>
    <w:p w:rsidR="00EF5220" w:rsidRDefault="00EF2564">
      <w:pPr>
        <w:pBdr>
          <w:between w:val="nil"/>
          <w:bar w:val="nil"/>
        </w:pBdr>
        <w:spacing w:before="120" w:after="120" w:line="240" w:lineRule="auto"/>
        <w:jc w:val="both"/>
        <w:rPr>
          <w:rFonts w:ascii="Times New Roman" w:eastAsia="Times New Roman" w:hAnsi="Times New Roman" w:cs="Times New Roman"/>
          <w:bCs/>
          <w:noProof/>
          <w:color w:val="000000"/>
          <w:sz w:val="20"/>
          <w:szCs w:val="20"/>
          <w:u w:color="000000"/>
          <w:bdr w:val="nil"/>
          <w:lang w:val="en-GB"/>
        </w:rPr>
      </w:pPr>
      <w:r>
        <w:rPr>
          <w:rFonts w:ascii="Times New Roman" w:hAnsi="Times New Roman"/>
          <w:noProof/>
          <w:color w:val="000000"/>
          <w:sz w:val="20"/>
          <w:szCs w:val="20"/>
          <w:u w:color="000000"/>
          <w:bdr w:val="nil"/>
          <w:lang w:val="en-GB"/>
        </w:rPr>
        <w:t xml:space="preserve">Source: based on data from the 2018 Ageing Report. Note: AWG reference scenario  </w:t>
      </w:r>
    </w:p>
    <w:p w:rsidR="00EF5220" w:rsidRDefault="00EF5220">
      <w:pPr>
        <w:pBdr>
          <w:between w:val="nil"/>
          <w:bar w:val="nil"/>
        </w:pBdr>
        <w:spacing w:before="120" w:after="120" w:line="360" w:lineRule="auto"/>
        <w:jc w:val="both"/>
        <w:rPr>
          <w:rFonts w:ascii="Times New Roman" w:eastAsia="Arial Unicode MS" w:hAnsi="Times New Roman" w:cs="Times New Roman"/>
          <w:bCs/>
          <w:noProof/>
          <w:sz w:val="24"/>
          <w:szCs w:val="24"/>
          <w:u w:color="000000"/>
          <w:bdr w:val="nil"/>
          <w:lang w:val="en-GB"/>
        </w:rPr>
      </w:pPr>
    </w:p>
    <w:p w:rsidR="00EF5220" w:rsidRDefault="00EF2564">
      <w:pPr>
        <w:spacing w:line="360" w:lineRule="auto"/>
        <w:jc w:val="both"/>
        <w:rPr>
          <w:rFonts w:ascii="Times New Roman" w:eastAsia="Times New Roman" w:hAnsi="Times New Roman" w:cs="Times New Roman"/>
          <w:bCs/>
          <w:noProof/>
          <w:color w:val="000000"/>
          <w:sz w:val="24"/>
          <w:szCs w:val="24"/>
          <w:u w:color="000000"/>
          <w:bdr w:val="nil"/>
          <w:lang w:val="en-GB"/>
        </w:rPr>
      </w:pPr>
      <w:r>
        <w:rPr>
          <w:rFonts w:ascii="Times New Roman" w:hAnsi="Times New Roman"/>
          <w:b/>
          <w:noProof/>
          <w:color w:val="000000"/>
          <w:sz w:val="24"/>
          <w:u w:color="000000"/>
          <w:bdr w:val="nil"/>
          <w:lang w:val="en-GB"/>
        </w:rPr>
        <w:t xml:space="preserve">Long-term care sustainability will also be challenging for those Member States which now rely heavily on informal care. </w:t>
      </w:r>
      <w:r>
        <w:rPr>
          <w:rFonts w:ascii="Times New Roman" w:hAnsi="Times New Roman"/>
          <w:noProof/>
          <w:color w:val="000000"/>
          <w:sz w:val="24"/>
          <w:u w:color="000000"/>
          <w:bdr w:val="nil"/>
          <w:lang w:val="en-GB"/>
        </w:rPr>
        <w:t>The pool of informal carers is shrinking due to changing family patterns (fewer children, family members living further apart), with increasing female employment and the increase in the retirement age. Informal care also entails important costs for the eco</w:t>
      </w:r>
      <w:r>
        <w:rPr>
          <w:rFonts w:ascii="Times New Roman" w:hAnsi="Times New Roman"/>
          <w:noProof/>
          <w:color w:val="000000"/>
          <w:sz w:val="24"/>
          <w:u w:color="000000"/>
          <w:bdr w:val="nil"/>
          <w:lang w:val="en-GB"/>
        </w:rPr>
        <w:t xml:space="preserve">nomy, as informal carers reduce or leave formal employment, and thus pay </w:t>
      </w:r>
      <w:r>
        <w:rPr>
          <w:rFonts w:ascii="Times New Roman" w:hAnsi="Times New Roman"/>
          <w:noProof/>
          <w:sz w:val="24"/>
          <w:lang w:val="en-GB"/>
        </w:rPr>
        <w:t>little</w:t>
      </w:r>
      <w:r>
        <w:rPr>
          <w:rFonts w:ascii="Times New Roman" w:hAnsi="Times New Roman"/>
          <w:noProof/>
          <w:color w:val="000000"/>
          <w:sz w:val="24"/>
          <w:u w:color="000000"/>
          <w:bdr w:val="nil"/>
          <w:lang w:val="en-GB"/>
        </w:rPr>
        <w:t xml:space="preserve"> or nothing in taxes and contributions. There are also challenges in recruiting and retaining carers. The sector is affected by the prevalence of part-time work and temporary co</w:t>
      </w:r>
      <w:r>
        <w:rPr>
          <w:rFonts w:ascii="Times New Roman" w:hAnsi="Times New Roman"/>
          <w:noProof/>
          <w:color w:val="000000"/>
          <w:sz w:val="24"/>
          <w:u w:color="000000"/>
          <w:bdr w:val="nil"/>
          <w:lang w:val="en-GB"/>
        </w:rPr>
        <w:t xml:space="preserve">ntracts, which reduces its attractiveness. </w:t>
      </w:r>
    </w:p>
    <w:p w:rsidR="00EF5220" w:rsidRDefault="00EF5220">
      <w:pPr>
        <w:spacing w:line="360" w:lineRule="auto"/>
        <w:jc w:val="both"/>
        <w:rPr>
          <w:rFonts w:ascii="Times New Roman" w:hAnsi="Times New Roman" w:cs="Times New Roman"/>
          <w:noProof/>
          <w:sz w:val="24"/>
          <w:szCs w:val="24"/>
          <w:lang w:val="en-GB"/>
        </w:rPr>
      </w:pPr>
    </w:p>
    <w:p w:rsidR="00EF5220" w:rsidRDefault="00EF2564">
      <w:pPr>
        <w:pStyle w:val="Heading3"/>
        <w:rPr>
          <w:noProof/>
          <w:lang w:val="en-GB"/>
        </w:rPr>
      </w:pPr>
      <w:bookmarkStart w:id="82" w:name="_Toc527539793"/>
      <w:r>
        <w:rPr>
          <w:noProof/>
          <w:lang w:val="en-GB"/>
        </w:rPr>
        <w:t>3.4.2</w:t>
      </w:r>
      <w:r>
        <w:rPr>
          <w:noProof/>
          <w:lang w:val="en-GB"/>
        </w:rPr>
        <w:tab/>
        <w:t>Policy response</w:t>
      </w:r>
      <w:bookmarkEnd w:id="82"/>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Reforms in several Member States aim to strengthen the active inclusion approach. </w:t>
      </w:r>
      <w:r>
        <w:rPr>
          <w:rFonts w:ascii="Times New Roman" w:hAnsi="Times New Roman"/>
          <w:noProof/>
          <w:sz w:val="24"/>
          <w:lang w:val="en-GB"/>
        </w:rPr>
        <w:t>Some Member States are enhancing integrated delivery of services (such as social assistance, employment and</w:t>
      </w:r>
      <w:r>
        <w:rPr>
          <w:rFonts w:ascii="Times New Roman" w:hAnsi="Times New Roman"/>
          <w:noProof/>
          <w:sz w:val="24"/>
          <w:lang w:val="en-GB"/>
        </w:rPr>
        <w:t xml:space="preserve"> other social services) in particular by undertaking a person-centred approach aimed at addressing complex needs of the most vulnerable people. In Bulgaria,</w:t>
      </w:r>
      <w:r>
        <w:rPr>
          <w:rFonts w:ascii="Times New Roman" w:hAnsi="Times New Roman"/>
          <w:b/>
          <w:noProof/>
          <w:sz w:val="24"/>
          <w:lang w:val="en-GB"/>
        </w:rPr>
        <w:t xml:space="preserve"> </w:t>
      </w:r>
      <w:r>
        <w:rPr>
          <w:rFonts w:ascii="Times New Roman" w:hAnsi="Times New Roman"/>
          <w:noProof/>
          <w:sz w:val="24"/>
          <w:lang w:val="en-GB"/>
        </w:rPr>
        <w:t xml:space="preserve">the implementation of the Employment and Social Assistance Centres providing integrated and mobile </w:t>
      </w:r>
      <w:r>
        <w:rPr>
          <w:rFonts w:ascii="Times New Roman" w:hAnsi="Times New Roman"/>
          <w:noProof/>
          <w:sz w:val="24"/>
          <w:lang w:val="en-GB"/>
        </w:rPr>
        <w:t>services</w:t>
      </w:r>
      <w:r>
        <w:rPr>
          <w:rStyle w:val="FootnoteReference"/>
          <w:rFonts w:ascii="Times New Roman" w:hAnsi="Times New Roman"/>
          <w:noProof/>
          <w:sz w:val="24"/>
          <w:lang w:val="en-GB"/>
        </w:rPr>
        <w:footnoteReference w:id="117"/>
      </w:r>
      <w:r>
        <w:rPr>
          <w:rFonts w:ascii="Times New Roman" w:hAnsi="Times New Roman"/>
          <w:noProof/>
          <w:sz w:val="24"/>
          <w:lang w:val="en-GB"/>
        </w:rPr>
        <w:t xml:space="preserve"> is ongoing. By February 2018, 73 such centres, established with the support of the ESF were operational</w:t>
      </w:r>
      <w:r>
        <w:rPr>
          <w:rStyle w:val="FootnoteReference"/>
          <w:rFonts w:ascii="Times New Roman" w:hAnsi="Times New Roman"/>
          <w:noProof/>
          <w:sz w:val="24"/>
          <w:lang w:val="en-GB"/>
        </w:rPr>
        <w:footnoteReference w:id="118"/>
      </w:r>
      <w:r>
        <w:rPr>
          <w:rFonts w:ascii="Times New Roman" w:hAnsi="Times New Roman"/>
          <w:noProof/>
          <w:sz w:val="24"/>
          <w:lang w:val="en-GB"/>
        </w:rPr>
        <w:t xml:space="preserve"> and provided employment and social assistance services. As of 2018 the centres offer Job Integration Agreement for the long-term unemployed linking the long-term unemployed with specific employment services and referrals to services provided by other inst</w:t>
      </w:r>
      <w:r>
        <w:rPr>
          <w:rFonts w:ascii="Times New Roman" w:hAnsi="Times New Roman"/>
          <w:noProof/>
          <w:sz w:val="24"/>
          <w:lang w:val="en-GB"/>
        </w:rPr>
        <w:t xml:space="preserve">itutions. In Ireland, the </w:t>
      </w:r>
      <w:r>
        <w:rPr>
          <w:rFonts w:ascii="Times New Roman" w:hAnsi="Times New Roman"/>
          <w:i/>
          <w:noProof/>
          <w:sz w:val="24"/>
          <w:lang w:val="en-GB"/>
        </w:rPr>
        <w:t>Action Plan</w:t>
      </w:r>
      <w:r>
        <w:rPr>
          <w:rFonts w:ascii="Times New Roman" w:hAnsi="Times New Roman"/>
          <w:noProof/>
          <w:sz w:val="24"/>
          <w:lang w:val="en-GB"/>
        </w:rPr>
        <w:t xml:space="preserve"> </w:t>
      </w:r>
      <w:r>
        <w:rPr>
          <w:rFonts w:ascii="Times New Roman" w:hAnsi="Times New Roman"/>
          <w:i/>
          <w:noProof/>
          <w:sz w:val="24"/>
          <w:lang w:val="en-GB"/>
        </w:rPr>
        <w:t>for Jobless Households</w:t>
      </w:r>
      <w:r>
        <w:rPr>
          <w:rFonts w:ascii="Times New Roman" w:hAnsi="Times New Roman"/>
          <w:noProof/>
          <w:sz w:val="24"/>
          <w:lang w:val="en-GB"/>
        </w:rPr>
        <w:t xml:space="preserve"> extends activation services to people who are not working, but are not defined as unemployed on the traditional measures. It focuses in particular on improving employment rates of households with</w:t>
      </w:r>
      <w:r>
        <w:rPr>
          <w:rFonts w:ascii="Times New Roman" w:hAnsi="Times New Roman"/>
          <w:noProof/>
          <w:sz w:val="24"/>
          <w:lang w:val="en-GB"/>
        </w:rPr>
        <w:t xml:space="preserve"> children – both the traditional ‘nuclear’ family and the lone parent family and people with disabilities. In Finland, the one-stop guidance centres for youth ("Ohjaamo"), originally operating under ESF funding, have been made a permanent measure and is be</w:t>
      </w:r>
      <w:r>
        <w:rPr>
          <w:rFonts w:ascii="Times New Roman" w:hAnsi="Times New Roman"/>
          <w:noProof/>
          <w:sz w:val="24"/>
          <w:lang w:val="en-GB"/>
        </w:rPr>
        <w:t>ing expanded with the psychosocial support network. In Greece the Community Centres, serving as one-stop-shops for social services at municipal level started opening in 2017. The Centres are supporting the implementation of the Social Solidarity Income sch</w:t>
      </w:r>
      <w:r>
        <w:rPr>
          <w:rFonts w:ascii="Times New Roman" w:hAnsi="Times New Roman"/>
          <w:noProof/>
          <w:sz w:val="24"/>
          <w:lang w:val="en-GB"/>
        </w:rPr>
        <w:t>eme (SSI), connecting the beneficiaries to complementary social services. By February 2018, 203 out of the 240 planned centres were operational. Additionally, more and more municipalities across the EU provide integrated social services focusing on complex</w:t>
      </w:r>
      <w:r>
        <w:rPr>
          <w:rFonts w:ascii="Times New Roman" w:hAnsi="Times New Roman"/>
          <w:noProof/>
          <w:sz w:val="24"/>
          <w:lang w:val="en-GB"/>
        </w:rPr>
        <w:t xml:space="preserve"> needs of the vulnerable groups (e.g. single entry points in Athens or health promotion services in Essen). These operations were supported by the ESF.</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Modernisation and increases in adequacy of some benefits continue in several Member States, though in so</w:t>
      </w:r>
      <w:r>
        <w:rPr>
          <w:rFonts w:ascii="Times New Roman" w:hAnsi="Times New Roman"/>
          <w:b/>
          <w:noProof/>
          <w:sz w:val="24"/>
          <w:lang w:val="en-GB"/>
        </w:rPr>
        <w:t>me cases there have been delays</w:t>
      </w:r>
      <w:r>
        <w:rPr>
          <w:rFonts w:ascii="Times New Roman" w:hAnsi="Times New Roman"/>
          <w:noProof/>
          <w:sz w:val="24"/>
          <w:lang w:val="en-GB"/>
        </w:rPr>
        <w:t>. In Lithuania, the state-supported income, as well as family-related benefits, have been increased in 2018. In Bulgaria, a 15% increase in the minimum income in 2018 follows a 9-year freeze. In continuity with the multiannua</w:t>
      </w:r>
      <w:r>
        <w:rPr>
          <w:rFonts w:ascii="Times New Roman" w:hAnsi="Times New Roman"/>
          <w:noProof/>
          <w:sz w:val="24"/>
          <w:lang w:val="en-GB"/>
        </w:rPr>
        <w:t>l plan to fight poverty established in 2013, in France the minimum income (</w:t>
      </w:r>
      <w:r>
        <w:rPr>
          <w:rFonts w:ascii="Times New Roman" w:hAnsi="Times New Roman"/>
          <w:i/>
          <w:noProof/>
          <w:sz w:val="24"/>
          <w:lang w:val="en-GB"/>
        </w:rPr>
        <w:t>Revenu de solidarité active – RSA socle)</w:t>
      </w:r>
      <w:r>
        <w:rPr>
          <w:rFonts w:ascii="Times New Roman" w:hAnsi="Times New Roman"/>
          <w:noProof/>
          <w:sz w:val="24"/>
          <w:lang w:val="en-GB"/>
        </w:rPr>
        <w:t xml:space="preserve"> has undergone a 1.6% increase in September 2017 followed by a 1% increase in April 2018. These increases are the last of a series that enabl</w:t>
      </w:r>
      <w:r>
        <w:rPr>
          <w:rFonts w:ascii="Times New Roman" w:hAnsi="Times New Roman"/>
          <w:noProof/>
          <w:sz w:val="24"/>
          <w:lang w:val="en-GB"/>
        </w:rPr>
        <w:t>ed an increase of the minimum income relative to inflation and are complemented by a renewed focus on activation of beneficiaries (</w:t>
      </w:r>
      <w:r>
        <w:rPr>
          <w:rFonts w:ascii="Times New Roman" w:hAnsi="Times New Roman"/>
          <w:i/>
          <w:noProof/>
          <w:sz w:val="24"/>
          <w:lang w:val="en-GB"/>
        </w:rPr>
        <w:t>‘Garantie d’activité’</w:t>
      </w:r>
      <w:r>
        <w:rPr>
          <w:rFonts w:ascii="Times New Roman" w:hAnsi="Times New Roman"/>
          <w:noProof/>
          <w:sz w:val="24"/>
          <w:lang w:val="en-GB"/>
        </w:rPr>
        <w:t>), as part of the recently announced anti-poverty plan. However, in Romania, the planned consolidation o</w:t>
      </w:r>
      <w:r>
        <w:rPr>
          <w:rFonts w:ascii="Times New Roman" w:hAnsi="Times New Roman"/>
          <w:noProof/>
          <w:sz w:val="24"/>
          <w:lang w:val="en-GB"/>
        </w:rPr>
        <w:t>f existing social benefits has been postponed to April 2019, while in Croatia the implementation of the new Social Welfare Act will not come into effect until December 2019. Latvia's planned Minimum Income Improvement Plan (submitted in May 2018 and to tak</w:t>
      </w:r>
      <w:r>
        <w:rPr>
          <w:rFonts w:ascii="Times New Roman" w:hAnsi="Times New Roman"/>
          <w:noProof/>
          <w:sz w:val="24"/>
          <w:lang w:val="en-GB"/>
        </w:rPr>
        <w:t>e effect in 2020) has not yet been adopted by the Government. A draft law in Luxembourg seeks to reorganize the Guaranteed Minimum Income (RMG) mechanism, with the aim to reduce the high inactivity traps generated by the current scheme and address the prob</w:t>
      </w:r>
      <w:r>
        <w:rPr>
          <w:rFonts w:ascii="Times New Roman" w:hAnsi="Times New Roman"/>
          <w:noProof/>
          <w:sz w:val="24"/>
          <w:lang w:val="en-GB"/>
        </w:rPr>
        <w:t xml:space="preserve">lems of housing cost overburden and insufficient income for one-parent households. </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The coverage of social protection increases in several Member States. </w:t>
      </w:r>
      <w:r>
        <w:rPr>
          <w:rFonts w:ascii="Times New Roman" w:hAnsi="Times New Roman"/>
          <w:noProof/>
          <w:sz w:val="24"/>
          <w:lang w:val="en-GB"/>
        </w:rPr>
        <w:t xml:space="preserve">Belgium adopted a law removing limitations on the access to enterprise pension's schemes for young </w:t>
      </w:r>
      <w:r>
        <w:rPr>
          <w:rFonts w:ascii="Times New Roman" w:hAnsi="Times New Roman"/>
          <w:noProof/>
          <w:sz w:val="24"/>
          <w:lang w:val="en-GB"/>
        </w:rPr>
        <w:t>persons and short-term contracts. Other countries plan to introduce or have adopted measures in favour of self-employed or small-business owners. These measures include reduced contributions below a certain threshold (Latvia, Poland), the coverage of indep</w:t>
      </w:r>
      <w:r>
        <w:rPr>
          <w:rFonts w:ascii="Times New Roman" w:hAnsi="Times New Roman"/>
          <w:noProof/>
          <w:sz w:val="24"/>
          <w:lang w:val="en-GB"/>
        </w:rPr>
        <w:t>endent workers in the unemployment scheme (France), or the possibility to include independent workers in a work accident insurance via a social charter of on-line platforms (France, see also Section 3.3.2).</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 xml:space="preserve">Measures aimed at tackling income inequality and </w:t>
      </w:r>
      <w:r>
        <w:rPr>
          <w:rFonts w:ascii="Times New Roman" w:hAnsi="Times New Roman"/>
          <w:b/>
          <w:noProof/>
          <w:sz w:val="24"/>
          <w:lang w:val="en-GB"/>
        </w:rPr>
        <w:t>in-work poverty address both tax design and benefit adequacy</w:t>
      </w:r>
      <w:r>
        <w:rPr>
          <w:rFonts w:ascii="Times New Roman" w:hAnsi="Times New Roman"/>
          <w:noProof/>
          <w:sz w:val="24"/>
          <w:lang w:val="en-GB"/>
        </w:rPr>
        <w:t xml:space="preserve">. In addition to minimum wage setting, a number of inequality-reducing policies related to the tax-benefit system can help alleviate in-work poverty. In Lithuania, a reform of the flat tax income </w:t>
      </w:r>
      <w:r>
        <w:rPr>
          <w:rFonts w:ascii="Times New Roman" w:hAnsi="Times New Roman"/>
          <w:noProof/>
          <w:sz w:val="24"/>
          <w:lang w:val="en-GB"/>
        </w:rPr>
        <w:t>regime was adopted in June of 2018, introducing a progressive, two-band structure which should help reduce income inequality. In Latvia, the introduction of progressive personal income tax is accompanied by non-taxable allowances of the personal income tax</w:t>
      </w:r>
      <w:r>
        <w:rPr>
          <w:rFonts w:ascii="Times New Roman" w:hAnsi="Times New Roman"/>
          <w:noProof/>
          <w:sz w:val="24"/>
          <w:lang w:val="en-GB"/>
        </w:rPr>
        <w:t xml:space="preserve"> and for dependants. A proposed reform by the Czech Republic to revamp the Personal Income tax system should add a further degree of progressivity, in particular through adding a new tax rate of 23% for higher incomes.</w:t>
      </w:r>
    </w:p>
    <w:p w:rsidR="00EF5220" w:rsidRDefault="00EF2564">
      <w:pPr>
        <w:spacing w:line="360" w:lineRule="auto"/>
        <w:jc w:val="both"/>
        <w:rPr>
          <w:rFonts w:ascii="Times New Roman" w:hAnsi="Times New Roman" w:cs="Times New Roman"/>
          <w:iCs/>
          <w:noProof/>
          <w:sz w:val="24"/>
          <w:szCs w:val="24"/>
          <w:lang w:val="en-GB"/>
        </w:rPr>
      </w:pPr>
      <w:r>
        <w:rPr>
          <w:rFonts w:ascii="Times New Roman" w:hAnsi="Times New Roman"/>
          <w:b/>
          <w:noProof/>
          <w:sz w:val="24"/>
          <w:lang w:val="en-GB"/>
        </w:rPr>
        <w:t>Some Member States have taken measure</w:t>
      </w:r>
      <w:r>
        <w:rPr>
          <w:rFonts w:ascii="Times New Roman" w:hAnsi="Times New Roman"/>
          <w:b/>
          <w:noProof/>
          <w:sz w:val="24"/>
          <w:lang w:val="en-GB"/>
        </w:rPr>
        <w:t>s specifically targeting child poverty.</w:t>
      </w:r>
      <w:r>
        <w:rPr>
          <w:rFonts w:ascii="Times New Roman" w:hAnsi="Times New Roman"/>
          <w:noProof/>
          <w:sz w:val="24"/>
          <w:lang w:val="en-GB"/>
        </w:rPr>
        <w:t xml:space="preserve"> In Spain, the 2018 national budget allocates EUR 100 million to fight severe poverty with a particular attention to families with children. Lithuania’s Law on Benefits for Children introduces a universal child benefi</w:t>
      </w:r>
      <w:r>
        <w:rPr>
          <w:rFonts w:ascii="Times New Roman" w:hAnsi="Times New Roman"/>
          <w:noProof/>
          <w:sz w:val="24"/>
          <w:lang w:val="en-GB"/>
        </w:rPr>
        <w:t>t system. Furthermore, a child benefit to families raising and/or fostering three and more children shall be paid disregarding the family income. A supplement to the state benefit for families with two or more children has been introduced in Latvia. Greece</w:t>
      </w:r>
      <w:r>
        <w:rPr>
          <w:rFonts w:ascii="Times New Roman" w:hAnsi="Times New Roman"/>
          <w:noProof/>
          <w:sz w:val="24"/>
          <w:lang w:val="en-GB"/>
        </w:rPr>
        <w:t xml:space="preserve"> has adopted a reform of child benefits system, replacing the former two benefits (the "unified child benefit" and "large family benefit") with a single means-tested child benefit. This reform aimed to improve targeting and increase equity among supported </w:t>
      </w:r>
      <w:r>
        <w:rPr>
          <w:rFonts w:ascii="Times New Roman" w:hAnsi="Times New Roman"/>
          <w:noProof/>
          <w:sz w:val="24"/>
          <w:lang w:val="en-GB"/>
        </w:rPr>
        <w:t>children.</w:t>
      </w:r>
    </w:p>
    <w:p w:rsidR="00EF5220" w:rsidRDefault="00EF2564">
      <w:pPr>
        <w:spacing w:line="360" w:lineRule="auto"/>
        <w:jc w:val="both"/>
        <w:rPr>
          <w:rFonts w:ascii="Times New Roman" w:hAnsi="Times New Roman"/>
          <w:noProof/>
          <w:sz w:val="24"/>
          <w:lang w:val="en-GB"/>
        </w:rPr>
      </w:pPr>
      <w:r>
        <w:rPr>
          <w:rFonts w:ascii="Times New Roman" w:hAnsi="Times New Roman"/>
          <w:b/>
          <w:noProof/>
          <w:sz w:val="24"/>
          <w:lang w:val="en-GB"/>
        </w:rPr>
        <w:t xml:space="preserve">Social inclusion measures for persons with disabilities have been undertaken in order to complement employment policies and prevent suffering due to poverty. </w:t>
      </w:r>
      <w:r>
        <w:rPr>
          <w:rFonts w:ascii="Times New Roman" w:hAnsi="Times New Roman"/>
          <w:noProof/>
          <w:sz w:val="24"/>
          <w:lang w:val="en-GB"/>
        </w:rPr>
        <w:t xml:space="preserve">To improve efficiency and ensure that people receive the benefits they are entitled to, </w:t>
      </w:r>
      <w:r>
        <w:rPr>
          <w:rFonts w:ascii="Times New Roman" w:hAnsi="Times New Roman"/>
          <w:noProof/>
          <w:sz w:val="24"/>
          <w:lang w:val="en-GB"/>
        </w:rPr>
        <w:t>Spain has implemented a test phase of the Universal Social Card, which allows the gathering of information on all the benefits that a person receives in one place, as well as indicating which other benefits they may be entitled to. For 2018, the work abili</w:t>
      </w:r>
      <w:r>
        <w:rPr>
          <w:rFonts w:ascii="Times New Roman" w:hAnsi="Times New Roman"/>
          <w:noProof/>
          <w:sz w:val="24"/>
          <w:lang w:val="en-GB"/>
        </w:rPr>
        <w:t>ty allowance for those who are unable to work or whose ability is limited has been raised in Estonia. In 2017, Malta implemented a further reform to disability pensions, whereby a three-tier payment system was introduced, with those unable to work due to d</w:t>
      </w:r>
      <w:r>
        <w:rPr>
          <w:rFonts w:ascii="Times New Roman" w:hAnsi="Times New Roman"/>
          <w:noProof/>
          <w:sz w:val="24"/>
          <w:lang w:val="en-GB"/>
        </w:rPr>
        <w:t>isability set to receive steadily increasing sums per month until their pension reaches the equivalent of the minimum wage. A 2016 Polish government Act provides a grant of 4000 złoty (approximately EUR 940) to the parents of a severely disabled child in i</w:t>
      </w:r>
      <w:r>
        <w:rPr>
          <w:rFonts w:ascii="Times New Roman" w:hAnsi="Times New Roman"/>
          <w:noProof/>
          <w:sz w:val="24"/>
          <w:lang w:val="en-GB"/>
        </w:rPr>
        <w:t>ts first year of life. In Portugal, a new Independent Living Support Model (MAVI) was adopted in 2017, funded through the ESF, whereby every person with an incapacity score of 60% or above is entitled to 40 hours support per week from a dedicated support w</w:t>
      </w:r>
      <w:r>
        <w:rPr>
          <w:rFonts w:ascii="Times New Roman" w:hAnsi="Times New Roman"/>
          <w:noProof/>
          <w:sz w:val="24"/>
          <w:lang w:val="en-GB"/>
        </w:rPr>
        <w:t>orker, aiding them with personal care, health, nutrition, travel, higher education, vocational training, cultural activities, sports, job search, participation in society and citizenship activities. Additionally in 2017, the Portuguese government brought t</w:t>
      </w:r>
      <w:r>
        <w:rPr>
          <w:rFonts w:ascii="Times New Roman" w:hAnsi="Times New Roman"/>
          <w:noProof/>
          <w:sz w:val="24"/>
          <w:lang w:val="en-GB"/>
        </w:rPr>
        <w:t>ogether three disability benefits – the disability allowance, the social invalidity pension and the invalidity pension – into one benefit, the Social Benefit for Inclusion. Romania has switched to using the Social Reference Indicator to calculate disabilit</w:t>
      </w:r>
      <w:r>
        <w:rPr>
          <w:rFonts w:ascii="Times New Roman" w:hAnsi="Times New Roman"/>
          <w:noProof/>
          <w:sz w:val="24"/>
          <w:lang w:val="en-GB"/>
        </w:rPr>
        <w:t>y benefit, instead of the Consumer Price Index, which resulted in a rise in benefit for adults with disability.</w:t>
      </w:r>
    </w:p>
    <w:p w:rsidR="00EF5220" w:rsidRDefault="00EF2564">
      <w:pPr>
        <w:spacing w:line="360" w:lineRule="auto"/>
        <w:jc w:val="both"/>
        <w:rPr>
          <w:rFonts w:ascii="Times New Roman" w:hAnsi="Times New Roman"/>
          <w:noProof/>
          <w:sz w:val="24"/>
          <w:szCs w:val="24"/>
          <w:lang w:val="en-GB"/>
        </w:rPr>
      </w:pPr>
      <w:r>
        <w:rPr>
          <w:rFonts w:ascii="Times New Roman" w:hAnsi="Times New Roman"/>
          <w:b/>
          <w:noProof/>
          <w:sz w:val="24"/>
          <w:lang w:val="en-GB"/>
        </w:rPr>
        <w:t>A number of Member States have undertaken reforms in the field of access to housing.</w:t>
      </w:r>
      <w:r>
        <w:rPr>
          <w:rFonts w:ascii="Times New Roman" w:hAnsi="Times New Roman"/>
          <w:noProof/>
          <w:sz w:val="24"/>
          <w:lang w:val="en-GB"/>
        </w:rPr>
        <w:t xml:space="preserve"> Denmark has adopted an action plan to fight homelessness, b</w:t>
      </w:r>
      <w:r>
        <w:rPr>
          <w:rFonts w:ascii="Times New Roman" w:hAnsi="Times New Roman"/>
          <w:noProof/>
          <w:sz w:val="24"/>
          <w:lang w:val="en-GB"/>
        </w:rPr>
        <w:t>ased on strengthening of preventive measures and improving the guidance on how to exit homelessness. Greece has introduced a new means-tested housing benefit intended for low-income families living in rented dwellings and those paying a mortgage. Spain has</w:t>
      </w:r>
      <w:r>
        <w:rPr>
          <w:rFonts w:ascii="Times New Roman" w:hAnsi="Times New Roman"/>
          <w:noProof/>
          <w:sz w:val="24"/>
          <w:lang w:val="en-GB"/>
        </w:rPr>
        <w:t xml:space="preserve"> adopted a national plan which includes aiding the low-income families to pay the rent and prevent eviction, financial aid for young people buying houses in sparsely populated areas and aid to renovate housing for special vulnerable groups. The Swedish gov</w:t>
      </w:r>
      <w:r>
        <w:rPr>
          <w:rFonts w:ascii="Times New Roman" w:hAnsi="Times New Roman"/>
          <w:noProof/>
          <w:sz w:val="24"/>
          <w:lang w:val="en-GB"/>
        </w:rPr>
        <w:t xml:space="preserve">ernment has allocated additional funds to support non-profit organisations to combat homelessness among young adults. </w:t>
      </w:r>
    </w:p>
    <w:p w:rsidR="00EF5220" w:rsidRDefault="00EF2564">
      <w:pPr>
        <w:spacing w:line="360" w:lineRule="auto"/>
        <w:jc w:val="both"/>
        <w:rPr>
          <w:rFonts w:ascii="Times New Roman" w:hAnsi="Times New Roman" w:cs="Times New Roman"/>
          <w:bCs/>
          <w:iCs/>
          <w:noProof/>
          <w:sz w:val="24"/>
          <w:szCs w:val="24"/>
          <w:lang w:val="en-GB"/>
        </w:rPr>
      </w:pPr>
      <w:r>
        <w:rPr>
          <w:rFonts w:ascii="Times New Roman" w:hAnsi="Times New Roman"/>
          <w:b/>
          <w:noProof/>
          <w:sz w:val="24"/>
          <w:lang w:val="en-GB"/>
        </w:rPr>
        <w:t>The dynamic of pension reforms is shifting towards addressing the adequacy challenges.</w:t>
      </w:r>
      <w:r>
        <w:rPr>
          <w:rFonts w:ascii="Times New Roman" w:hAnsi="Times New Roman"/>
          <w:noProof/>
          <w:sz w:val="24"/>
          <w:lang w:val="en-GB"/>
        </w:rPr>
        <w:t xml:space="preserve"> While measures to improve financial sustainability</w:t>
      </w:r>
      <w:r>
        <w:rPr>
          <w:rFonts w:ascii="Times New Roman" w:hAnsi="Times New Roman"/>
          <w:noProof/>
          <w:sz w:val="24"/>
          <w:lang w:val="en-GB"/>
        </w:rPr>
        <w:t xml:space="preserve"> are still high on many Member States’ pension agendas, this process has been coupled with measures recalibrating the scope of the pension mix to respond to some key labour market and pension system challenges: safeguarding pension adequacy, combining work</w:t>
      </w:r>
      <w:r>
        <w:rPr>
          <w:rFonts w:ascii="Times New Roman" w:hAnsi="Times New Roman"/>
          <w:noProof/>
          <w:sz w:val="24"/>
          <w:lang w:val="en-GB"/>
        </w:rPr>
        <w:t xml:space="preserve"> with pensions, and tailoring pensionable rights to specific categories of workers.</w:t>
      </w:r>
    </w:p>
    <w:p w:rsidR="00EF5220" w:rsidRDefault="00EF2564">
      <w:pPr>
        <w:spacing w:line="360" w:lineRule="auto"/>
        <w:jc w:val="both"/>
        <w:rPr>
          <w:rFonts w:ascii="Times New Roman" w:hAnsi="Times New Roman" w:cs="Times New Roman"/>
          <w:bCs/>
          <w:iCs/>
          <w:noProof/>
          <w:sz w:val="24"/>
          <w:szCs w:val="24"/>
          <w:lang w:val="en-GB"/>
        </w:rPr>
      </w:pPr>
      <w:r>
        <w:rPr>
          <w:rFonts w:ascii="Times New Roman" w:hAnsi="Times New Roman"/>
          <w:b/>
          <w:noProof/>
          <w:sz w:val="24"/>
          <w:lang w:val="en-GB"/>
        </w:rPr>
        <w:t>Some Member States continue to focus on rebalancing pension duration with life expectancy.</w:t>
      </w:r>
      <w:r>
        <w:rPr>
          <w:rFonts w:ascii="Times New Roman" w:hAnsi="Times New Roman"/>
          <w:noProof/>
          <w:sz w:val="24"/>
          <w:lang w:val="en-GB"/>
        </w:rPr>
        <w:t xml:space="preserve"> For instance, the 2017 reform in the Czech Republic capped the ongoing increase o</w:t>
      </w:r>
      <w:r>
        <w:rPr>
          <w:rFonts w:ascii="Times New Roman" w:hAnsi="Times New Roman"/>
          <w:noProof/>
          <w:sz w:val="24"/>
          <w:lang w:val="en-GB"/>
        </w:rPr>
        <w:t>f pensionable age at 65, to be reached in 2030, to be linked to life expectancy afterwards, although further legislation will be required to enact the link. Other countries are increasing career-length requirements. In Lithuania, for example, the length of</w:t>
      </w:r>
      <w:r>
        <w:rPr>
          <w:rFonts w:ascii="Times New Roman" w:hAnsi="Times New Roman"/>
          <w:noProof/>
          <w:sz w:val="24"/>
          <w:lang w:val="en-GB"/>
        </w:rPr>
        <w:t xml:space="preserve"> the contributory period will gradually increase, from 30 years in 2017 to 35 years by 2027. In contrast, Poland reintroduced lower, differentiated pensionable ages for men and women (65 and 60 years, respectively) as of October 2017. This triggered a shar</w:t>
      </w:r>
      <w:r>
        <w:rPr>
          <w:rFonts w:ascii="Times New Roman" w:hAnsi="Times New Roman"/>
          <w:noProof/>
          <w:sz w:val="24"/>
          <w:lang w:val="en-GB"/>
        </w:rPr>
        <w:t>p increase in pension take-up, the newly granted pensions for women being much lower on average than for men.</w:t>
      </w:r>
      <w:r>
        <w:rPr>
          <w:rStyle w:val="FootnoteReference"/>
          <w:rFonts w:ascii="Times New Roman" w:hAnsi="Times New Roman"/>
          <w:noProof/>
          <w:sz w:val="24"/>
          <w:lang w:val="en-GB"/>
        </w:rPr>
        <w:footnoteReference w:id="119"/>
      </w:r>
    </w:p>
    <w:p w:rsidR="00EF5220" w:rsidRDefault="00EF2564">
      <w:pPr>
        <w:spacing w:line="360" w:lineRule="auto"/>
        <w:jc w:val="both"/>
        <w:rPr>
          <w:rFonts w:ascii="Times New Roman" w:hAnsi="Times New Roman" w:cs="Times New Roman"/>
          <w:bCs/>
          <w:iCs/>
          <w:noProof/>
          <w:sz w:val="24"/>
          <w:szCs w:val="24"/>
          <w:lang w:val="en-GB"/>
        </w:rPr>
      </w:pPr>
      <w:r>
        <w:rPr>
          <w:rFonts w:ascii="Times New Roman" w:hAnsi="Times New Roman"/>
          <w:b/>
          <w:noProof/>
          <w:sz w:val="24"/>
          <w:lang w:val="en-GB"/>
        </w:rPr>
        <w:t>More pension reform measures are aimed at reducing poverty</w:t>
      </w:r>
      <w:r>
        <w:rPr>
          <w:rFonts w:ascii="Times New Roman" w:hAnsi="Times New Roman"/>
          <w:noProof/>
          <w:sz w:val="24"/>
          <w:lang w:val="en-GB"/>
        </w:rPr>
        <w:t xml:space="preserve"> (e.g. minimum guarantees) and </w:t>
      </w:r>
      <w:r>
        <w:rPr>
          <w:rFonts w:ascii="Times New Roman" w:hAnsi="Times New Roman"/>
          <w:b/>
          <w:noProof/>
          <w:sz w:val="24"/>
          <w:lang w:val="en-GB"/>
        </w:rPr>
        <w:t>improving income maintenance</w:t>
      </w:r>
      <w:r>
        <w:rPr>
          <w:rFonts w:ascii="Times New Roman" w:hAnsi="Times New Roman"/>
          <w:noProof/>
          <w:sz w:val="24"/>
          <w:lang w:val="en-GB"/>
        </w:rPr>
        <w:t xml:space="preserve"> (e.g. favourable indexation</w:t>
      </w:r>
      <w:r>
        <w:rPr>
          <w:rFonts w:ascii="Times New Roman" w:hAnsi="Times New Roman"/>
          <w:noProof/>
          <w:sz w:val="24"/>
          <w:lang w:val="en-GB"/>
        </w:rPr>
        <w:t>, enhancing the role of supplementary pensions). Latvia, Malta and Romania have raised the non-taxable minima, which should benefit the recipients of lower pensions. Minimum pensions were increased in Bulgaria, Poland and Romania, where a significant 30% r</w:t>
      </w:r>
      <w:r>
        <w:rPr>
          <w:rFonts w:ascii="Times New Roman" w:hAnsi="Times New Roman"/>
          <w:noProof/>
          <w:sz w:val="24"/>
          <w:lang w:val="en-GB"/>
        </w:rPr>
        <w:t>aise was granted in 2017. Other measures, such as additional safeguards for pensioners with long careers, were introduced; e.g. Austria in 2017 raised the minimum pension from EUR 883 to EUR 1000 per month for people with at least 30 years of contributions</w:t>
      </w:r>
      <w:r>
        <w:rPr>
          <w:rFonts w:ascii="Times New Roman" w:hAnsi="Times New Roman"/>
          <w:noProof/>
          <w:sz w:val="24"/>
          <w:lang w:val="en-GB"/>
        </w:rPr>
        <w:t>.</w:t>
      </w:r>
      <w:r>
        <w:rPr>
          <w:rStyle w:val="FootnoteReference"/>
          <w:rFonts w:ascii="Times New Roman" w:hAnsi="Times New Roman"/>
          <w:noProof/>
          <w:sz w:val="24"/>
          <w:lang w:val="en-GB"/>
        </w:rPr>
        <w:footnoteReference w:id="120"/>
      </w:r>
      <w:r>
        <w:rPr>
          <w:rFonts w:ascii="Times New Roman" w:hAnsi="Times New Roman"/>
          <w:noProof/>
          <w:sz w:val="24"/>
          <w:lang w:val="en-GB"/>
        </w:rPr>
        <w:t xml:space="preserve"> </w:t>
      </w:r>
    </w:p>
    <w:p w:rsidR="00EF5220" w:rsidRDefault="00EF2564">
      <w:pPr>
        <w:spacing w:line="360" w:lineRule="auto"/>
        <w:jc w:val="both"/>
        <w:rPr>
          <w:rFonts w:ascii="Times New Roman" w:hAnsi="Times New Roman" w:cs="Times New Roman"/>
          <w:bCs/>
          <w:noProof/>
          <w:sz w:val="24"/>
          <w:szCs w:val="24"/>
          <w:lang w:val="en-GB"/>
        </w:rPr>
      </w:pPr>
      <w:r>
        <w:rPr>
          <w:rFonts w:ascii="Times New Roman" w:hAnsi="Times New Roman"/>
          <w:b/>
          <w:noProof/>
          <w:sz w:val="24"/>
          <w:lang w:val="en-GB"/>
        </w:rPr>
        <w:t>Improving the effectiveness of healthcare by better coordination and giving a stronger role to primary care has become a guiding principle in a number of Member States.</w:t>
      </w:r>
      <w:r>
        <w:rPr>
          <w:rFonts w:ascii="Times New Roman" w:hAnsi="Times New Roman"/>
          <w:noProof/>
          <w:sz w:val="24"/>
          <w:lang w:val="en-GB"/>
        </w:rPr>
        <w:t xml:space="preserve"> In Estonia, current plans for health centres and hospital networks seek to create multi-disciplinary teams, to redefine the roles of family physicians vis-à-vis specialists and to improve training. Ireland is stepping up capital investment with, inter ali</w:t>
      </w:r>
      <w:r>
        <w:rPr>
          <w:rFonts w:ascii="Times New Roman" w:hAnsi="Times New Roman"/>
          <w:noProof/>
          <w:sz w:val="24"/>
          <w:lang w:val="en-GB"/>
        </w:rPr>
        <w:t>a, the creation of Primary Care Centres across the country. Bulgaria and France presented in the autumn 2018 fundamental reform proposals for the health system, including more efficient hospital care and a better integration of care. In Slovakia, efforts t</w:t>
      </w:r>
      <w:r>
        <w:rPr>
          <w:rFonts w:ascii="Times New Roman" w:hAnsi="Times New Roman"/>
          <w:noProof/>
          <w:sz w:val="24"/>
          <w:lang w:val="en-GB"/>
        </w:rPr>
        <w:t>o strengthen the weak gatekeeping role of general practitioners and avoid unnecessary referrals to specialist physicians are continuing. In Latvia, the transforming primary care practices into larger health centres with 3-6 family doctors, at least two nur</w:t>
      </w:r>
      <w:r>
        <w:rPr>
          <w:rFonts w:ascii="Times New Roman" w:hAnsi="Times New Roman"/>
          <w:noProof/>
          <w:sz w:val="24"/>
          <w:lang w:val="en-GB"/>
        </w:rPr>
        <w:t>ses, and potentially including specialists in the team is ongoing, so are reforms to re-configure inpatient services in hospitals. In Croatia, the functional integration of hospitals (still in the pilot phase) and improved primary care should improve quali</w:t>
      </w:r>
      <w:r>
        <w:rPr>
          <w:rFonts w:ascii="Times New Roman" w:hAnsi="Times New Roman"/>
          <w:noProof/>
          <w:sz w:val="24"/>
          <w:lang w:val="en-GB"/>
        </w:rPr>
        <w:t>ty of services, bring savings and financial stability as well as increase the level of safety and patients' satisfaction.  In Austria, 75 centres based on multi-professional teams will be opened by 2021.</w:t>
      </w:r>
    </w:p>
    <w:p w:rsidR="00EF5220" w:rsidRDefault="00EF2564">
      <w:pPr>
        <w:spacing w:line="360" w:lineRule="auto"/>
        <w:jc w:val="both"/>
        <w:rPr>
          <w:rFonts w:ascii="Times New Roman" w:hAnsi="Times New Roman" w:cs="Times New Roman"/>
          <w:bCs/>
          <w:noProof/>
          <w:sz w:val="24"/>
          <w:szCs w:val="24"/>
          <w:lang w:val="en-GB"/>
        </w:rPr>
      </w:pPr>
      <w:r>
        <w:rPr>
          <w:rFonts w:ascii="Times New Roman" w:hAnsi="Times New Roman"/>
          <w:b/>
          <w:noProof/>
          <w:sz w:val="24"/>
          <w:lang w:val="en-GB"/>
        </w:rPr>
        <w:t>Measures are being taken to improve the training and</w:t>
      </w:r>
      <w:r>
        <w:rPr>
          <w:rFonts w:ascii="Times New Roman" w:hAnsi="Times New Roman"/>
          <w:b/>
          <w:noProof/>
          <w:sz w:val="24"/>
          <w:lang w:val="en-GB"/>
        </w:rPr>
        <w:t xml:space="preserve"> working conditions of health workers.</w:t>
      </w:r>
      <w:r>
        <w:rPr>
          <w:rFonts w:ascii="Times New Roman" w:hAnsi="Times New Roman"/>
          <w:noProof/>
          <w:sz w:val="24"/>
          <w:lang w:val="en-GB"/>
        </w:rPr>
        <w:t xml:space="preserve"> In Italy, competencies of general practitioners, specialists and nurses have been combined to provide care in the community. Also Hungary and Sweden have a major focus on bolstering skills supply in the healthcare sec</w:t>
      </w:r>
      <w:r>
        <w:rPr>
          <w:rFonts w:ascii="Times New Roman" w:hAnsi="Times New Roman"/>
          <w:noProof/>
          <w:sz w:val="24"/>
          <w:lang w:val="en-GB"/>
        </w:rPr>
        <w:t>tor and improving working conditions and salaries. In Romania, a</w:t>
      </w:r>
      <w:r>
        <w:rPr>
          <w:rFonts w:ascii="Times New Roman" w:hAnsi="Times New Roman"/>
          <w:noProof/>
          <w:color w:val="333333"/>
          <w:sz w:val="24"/>
          <w:lang w:val="en-GB"/>
        </w:rPr>
        <w:t>s of March 1</w:t>
      </w:r>
      <w:r>
        <w:rPr>
          <w:rFonts w:ascii="Times New Roman" w:hAnsi="Times New Roman"/>
          <w:noProof/>
          <w:color w:val="333333"/>
          <w:sz w:val="24"/>
          <w:vertAlign w:val="superscript"/>
          <w:lang w:val="en-GB"/>
        </w:rPr>
        <w:t>st</w:t>
      </w:r>
      <w:r>
        <w:rPr>
          <w:rFonts w:ascii="Times New Roman" w:hAnsi="Times New Roman"/>
          <w:noProof/>
          <w:color w:val="333333"/>
          <w:sz w:val="24"/>
          <w:lang w:val="en-GB"/>
        </w:rPr>
        <w:t xml:space="preserve"> 2018, gross salaries of doctors and nurses, gross salaries, were increased considerably (by 70%-172%).</w:t>
      </w:r>
      <w:r>
        <w:rPr>
          <w:rFonts w:ascii="Times New Roman" w:hAnsi="Times New Roman"/>
          <w:noProof/>
          <w:sz w:val="24"/>
          <w:lang w:val="en-GB"/>
        </w:rPr>
        <w:t xml:space="preserve"> In Latvia, the government plans substantial (almost threefold) increases o</w:t>
      </w:r>
      <w:r>
        <w:rPr>
          <w:rFonts w:ascii="Times New Roman" w:hAnsi="Times New Roman"/>
          <w:noProof/>
          <w:sz w:val="24"/>
          <w:lang w:val="en-GB"/>
        </w:rPr>
        <w:t>f health professionals’ wages by 2023. Support measures aimed at attracting medical practitioners and nurses to work in peri-urban or rural are on the way in Latvia, Poland, Portugal and Romania.</w:t>
      </w:r>
    </w:p>
    <w:p w:rsidR="00EF5220" w:rsidRDefault="00EF2564">
      <w:pPr>
        <w:spacing w:line="360" w:lineRule="auto"/>
        <w:jc w:val="both"/>
        <w:rPr>
          <w:rFonts w:ascii="Times New Roman" w:hAnsi="Times New Roman" w:cs="Times New Roman"/>
          <w:bCs/>
          <w:noProof/>
          <w:sz w:val="24"/>
          <w:szCs w:val="24"/>
          <w:lang w:val="en-GB"/>
        </w:rPr>
      </w:pPr>
      <w:r>
        <w:rPr>
          <w:rFonts w:ascii="Times New Roman" w:hAnsi="Times New Roman"/>
          <w:b/>
          <w:noProof/>
          <w:sz w:val="24"/>
          <w:lang w:val="en-GB"/>
        </w:rPr>
        <w:t>Specific measures to improve the access to healthcare includ</w:t>
      </w:r>
      <w:r>
        <w:rPr>
          <w:rFonts w:ascii="Times New Roman" w:hAnsi="Times New Roman"/>
          <w:b/>
          <w:noProof/>
          <w:sz w:val="24"/>
          <w:lang w:val="en-GB"/>
        </w:rPr>
        <w:t>e the reduction of out-of-pocket payments</w:t>
      </w:r>
      <w:r>
        <w:rPr>
          <w:rFonts w:ascii="Times New Roman" w:hAnsi="Times New Roman"/>
          <w:noProof/>
          <w:sz w:val="24"/>
          <w:lang w:val="en-GB"/>
        </w:rPr>
        <w:t>, specifically co-payments, in some Member States.  An example is Cyprus, which adopted in 2017 a major reform to, inter alia, provide universal access to healthcare by 2020. In Estonia, the additional reimbursement</w:t>
      </w:r>
      <w:r>
        <w:rPr>
          <w:rFonts w:ascii="Times New Roman" w:hAnsi="Times New Roman"/>
          <w:noProof/>
          <w:sz w:val="24"/>
          <w:lang w:val="en-GB"/>
        </w:rPr>
        <w:t xml:space="preserve"> of costs of prescription pharmaceuticals was widened as of 2018.  In Lithuania, a number of measures were undertaken in 2017 to curb out-of-pocket payments on medicines and increase the transparency of pharmaceutical policy. They included a reduction of V</w:t>
      </w:r>
      <w:r>
        <w:rPr>
          <w:rFonts w:ascii="Times New Roman" w:hAnsi="Times New Roman"/>
          <w:noProof/>
          <w:sz w:val="24"/>
          <w:lang w:val="en-GB"/>
        </w:rPr>
        <w:t xml:space="preserve">AT on expensive medicines and caps put on the difference between the prices at which medicines are offered in pharmacies and their reference prices, promotion of generics and the rational use of medicines. </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Some Member States aim at a holistic approach for</w:t>
      </w:r>
      <w:r>
        <w:rPr>
          <w:rFonts w:ascii="Times New Roman" w:hAnsi="Times New Roman"/>
          <w:b/>
          <w:noProof/>
          <w:sz w:val="24"/>
          <w:lang w:val="en-GB"/>
        </w:rPr>
        <w:t xml:space="preserve"> long-term care.</w:t>
      </w:r>
      <w:r>
        <w:rPr>
          <w:rFonts w:ascii="Times New Roman" w:hAnsi="Times New Roman"/>
          <w:noProof/>
          <w:sz w:val="24"/>
          <w:lang w:val="en-GB"/>
        </w:rPr>
        <w:t xml:space="preserve"> Bulgaria has adopted an action plan for the implementation of the National Long Term Care Strategy which includes the strengthening of the institutional framework for provision and development of integrated social services. Poland has desi</w:t>
      </w:r>
      <w:r>
        <w:rPr>
          <w:rFonts w:ascii="Times New Roman" w:hAnsi="Times New Roman"/>
          <w:noProof/>
          <w:sz w:val="24"/>
          <w:lang w:val="en-GB"/>
        </w:rPr>
        <w:t>gned a social policy for older dependent people based on a system of support for informal carers by public institutions and on a network of community and institutional services.</w:t>
      </w:r>
    </w:p>
    <w:p w:rsidR="00EF5220" w:rsidRDefault="00EF2564">
      <w:pPr>
        <w:spacing w:line="360" w:lineRule="auto"/>
        <w:jc w:val="both"/>
        <w:rPr>
          <w:rFonts w:ascii="Times New Roman" w:hAnsi="Times New Roman" w:cs="Times New Roman"/>
          <w:noProof/>
          <w:sz w:val="24"/>
          <w:szCs w:val="24"/>
          <w:lang w:val="en-GB"/>
        </w:rPr>
      </w:pPr>
      <w:r>
        <w:rPr>
          <w:rFonts w:ascii="Times New Roman" w:hAnsi="Times New Roman"/>
          <w:b/>
          <w:noProof/>
          <w:sz w:val="24"/>
          <w:lang w:val="en-GB"/>
        </w:rPr>
        <w:t>To increase the pool of carers, Member States are proposing different policy o</w:t>
      </w:r>
      <w:r>
        <w:rPr>
          <w:rFonts w:ascii="Times New Roman" w:hAnsi="Times New Roman"/>
          <w:b/>
          <w:noProof/>
          <w:sz w:val="24"/>
          <w:lang w:val="en-GB"/>
        </w:rPr>
        <w:t>ptions.</w:t>
      </w:r>
      <w:r>
        <w:rPr>
          <w:rFonts w:ascii="Times New Roman" w:hAnsi="Times New Roman"/>
          <w:noProof/>
          <w:sz w:val="24"/>
          <w:lang w:val="en-GB"/>
        </w:rPr>
        <w:t xml:space="preserve"> The Czech Republic adopted a special leave (paid up to three months) for informal carers of family dependants. Estonia provides a possibility to have 5 additional paid carers' leave days for employed carers (relative, spouse, registered partner or </w:t>
      </w:r>
      <w:r>
        <w:rPr>
          <w:rFonts w:ascii="Times New Roman" w:hAnsi="Times New Roman"/>
          <w:noProof/>
          <w:sz w:val="24"/>
          <w:lang w:val="en-GB"/>
        </w:rPr>
        <w:t>carer) per calendar year. In Germany, the education and training of nurses is being reformed in order to establish a common curriculum and training for nurses in health care, paediatric care and long-term care, and reduce labour shortage.</w:t>
      </w:r>
    </w:p>
    <w:p w:rsidR="00EF5220" w:rsidRDefault="00EF2564">
      <w:pPr>
        <w:rPr>
          <w:rFonts w:ascii="Times New Roman" w:hAnsi="Times New Roman" w:cs="Times New Roman"/>
          <w:b/>
          <w:noProof/>
          <w:sz w:val="24"/>
          <w:highlight w:val="yellow"/>
          <w:lang w:val="en-GB"/>
        </w:rPr>
      </w:pPr>
      <w:r>
        <w:rPr>
          <w:noProof/>
          <w:lang w:val="en-GB"/>
        </w:rPr>
        <w:br w:type="page"/>
      </w:r>
    </w:p>
    <w:p w:rsidR="00EF5220" w:rsidRDefault="00EF2564">
      <w:pPr>
        <w:pStyle w:val="Heading1"/>
        <w:rPr>
          <w:noProof/>
          <w:lang w:val="en-GB"/>
        </w:rPr>
      </w:pPr>
      <w:bookmarkStart w:id="83" w:name="_Toc527539794"/>
      <w:r>
        <w:rPr>
          <w:noProof/>
          <w:lang w:val="en-GB"/>
        </w:rPr>
        <w:t>ANNEXES</w:t>
      </w:r>
      <w:bookmarkEnd w:id="83"/>
    </w:p>
    <w:p w:rsidR="00EF5220" w:rsidRDefault="00EF2564">
      <w:pPr>
        <w:rPr>
          <w:rFonts w:ascii="Times New Roman" w:hAnsi="Times New Roman" w:cs="Times New Roman"/>
          <w:b/>
          <w:noProof/>
          <w:sz w:val="24"/>
          <w:szCs w:val="24"/>
        </w:rPr>
      </w:pPr>
      <w:r>
        <w:rPr>
          <w:rFonts w:ascii="Times New Roman" w:hAnsi="Times New Roman" w:cs="Times New Roman"/>
          <w:b/>
          <w:noProof/>
          <w:sz w:val="24"/>
          <w:szCs w:val="24"/>
        </w:rPr>
        <w:t>Annex 1</w:t>
      </w:r>
      <w:r>
        <w:rPr>
          <w:rFonts w:ascii="Times New Roman" w:hAnsi="Times New Roman" w:cs="Times New Roman"/>
          <w:b/>
          <w:noProof/>
          <w:sz w:val="24"/>
          <w:szCs w:val="24"/>
        </w:rPr>
        <w:t>. Social scoreboard headline indicators, levels</w:t>
      </w:r>
    </w:p>
    <w:p w:rsidR="00EF5220" w:rsidRDefault="00EF2564">
      <w:pPr>
        <w:spacing w:line="360" w:lineRule="auto"/>
        <w:contextualSpacing/>
        <w:jc w:val="both"/>
        <w:rPr>
          <w:rFonts w:ascii="Times New Roman" w:hAnsi="Times New Roman" w:cs="Times New Roman"/>
          <w:b/>
          <w:noProof/>
          <w:sz w:val="24"/>
          <w:highlight w:val="yellow"/>
          <w:lang w:val="en-GB"/>
        </w:rPr>
      </w:pPr>
      <w:r>
        <w:rPr>
          <w:noProof/>
          <w:lang w:val="en-GB" w:eastAsia="en-GB" w:bidi="ar-SA"/>
        </w:rPr>
        <w:drawing>
          <wp:inline distT="0" distB="0" distL="0" distR="0">
            <wp:extent cx="5760720" cy="6170889"/>
            <wp:effectExtent l="0" t="0" r="0" b="190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5760720" cy="6170889"/>
                    </a:xfrm>
                    <a:prstGeom prst="rect">
                      <a:avLst/>
                    </a:prstGeom>
                    <a:noFill/>
                    <a:ln>
                      <a:noFill/>
                    </a:ln>
                  </pic:spPr>
                </pic:pic>
              </a:graphicData>
            </a:graphic>
          </wp:inline>
        </w:drawing>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Note: EUnw and EAnw refer to the non-weighted averages for EU and the euro area.</w:t>
      </w:r>
    </w:p>
    <w:p w:rsidR="00EF5220" w:rsidRDefault="00EF2564">
      <w:pPr>
        <w:jc w:val="both"/>
        <w:rPr>
          <w:rFonts w:ascii="Times New Roman" w:hAnsi="Times New Roman" w:cs="Times New Roman"/>
          <w:noProof/>
          <w:sz w:val="20"/>
          <w:szCs w:val="20"/>
        </w:rPr>
      </w:pPr>
      <w:r>
        <w:rPr>
          <w:rFonts w:ascii="Times New Roman" w:hAnsi="Times New Roman" w:cs="Times New Roman"/>
          <w:noProof/>
          <w:sz w:val="20"/>
          <w:szCs w:val="20"/>
        </w:rPr>
        <w:t xml:space="preserve">Flags – b: break in time series; e: estimated; p: provisional; u: low reliability (small number of </w:t>
      </w:r>
      <w:r>
        <w:rPr>
          <w:rFonts w:ascii="Times New Roman" w:hAnsi="Times New Roman" w:cs="Times New Roman"/>
          <w:noProof/>
          <w:sz w:val="20"/>
          <w:szCs w:val="20"/>
        </w:rPr>
        <w:t>observations).</w:t>
      </w:r>
    </w:p>
    <w:p w:rsidR="00EF5220" w:rsidRDefault="00EF2564">
      <w:pPr>
        <w:rPr>
          <w:noProof/>
        </w:rPr>
      </w:pPr>
      <w:r>
        <w:rPr>
          <w:noProof/>
        </w:rPr>
        <w:br w:type="page"/>
      </w:r>
    </w:p>
    <w:p w:rsidR="00EF5220" w:rsidRDefault="00EF2564">
      <w:pPr>
        <w:rPr>
          <w:rFonts w:ascii="Times New Roman" w:hAnsi="Times New Roman" w:cs="Times New Roman"/>
          <w:b/>
          <w:noProof/>
          <w:sz w:val="24"/>
          <w:szCs w:val="24"/>
        </w:rPr>
      </w:pPr>
      <w:r>
        <w:rPr>
          <w:rFonts w:ascii="Times New Roman" w:hAnsi="Times New Roman" w:cs="Times New Roman"/>
          <w:b/>
          <w:noProof/>
          <w:sz w:val="24"/>
          <w:szCs w:val="24"/>
        </w:rPr>
        <w:t>Annex 1 (continued). Social scoreboard headline indicators, levels</w:t>
      </w:r>
    </w:p>
    <w:p w:rsidR="00EF5220" w:rsidRDefault="00EF2564">
      <w:pPr>
        <w:jc w:val="both"/>
        <w:rPr>
          <w:rFonts w:ascii="Times New Roman" w:eastAsia="Calibri" w:hAnsi="Times New Roman" w:cs="Times New Roman"/>
          <w:b/>
          <w:noProof/>
          <w:sz w:val="24"/>
          <w:szCs w:val="24"/>
          <w:lang w:val="en-GB"/>
        </w:rPr>
      </w:pPr>
      <w:r>
        <w:rPr>
          <w:noProof/>
          <w:lang w:val="en-GB" w:eastAsia="en-GB" w:bidi="ar-SA"/>
        </w:rPr>
        <w:drawing>
          <wp:inline distT="0" distB="0" distL="0" distR="0">
            <wp:extent cx="5760720" cy="6119283"/>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5760720" cy="6119283"/>
                    </a:xfrm>
                    <a:prstGeom prst="rect">
                      <a:avLst/>
                    </a:prstGeom>
                    <a:noFill/>
                    <a:ln>
                      <a:noFill/>
                    </a:ln>
                  </pic:spPr>
                </pic:pic>
              </a:graphicData>
            </a:graphic>
          </wp:inline>
        </w:drawing>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r>
        <w:rPr>
          <w:rFonts w:ascii="Times New Roman" w:hAnsi="Times New Roman" w:cs="Times New Roman"/>
          <w:noProof/>
          <w:sz w:val="20"/>
          <w:szCs w:val="20"/>
          <w:lang w:val="en-GB"/>
        </w:rPr>
        <w:t>, OECD</w:t>
      </w:r>
      <w:r>
        <w:rPr>
          <w:rFonts w:ascii="Times New Roman" w:hAnsi="Times New Roman" w:cs="Times New Roman"/>
          <w:noProof/>
          <w:sz w:val="20"/>
          <w:szCs w:val="20"/>
        </w:rPr>
        <w:t>.</w:t>
      </w:r>
    </w:p>
    <w:p w:rsidR="00EF5220" w:rsidRDefault="00EF2564">
      <w:pPr>
        <w:pStyle w:val="FootnoteText"/>
        <w:jc w:val="both"/>
        <w:rPr>
          <w:rStyle w:val="FootnoteReference"/>
          <w:rFonts w:ascii="Times New Roman" w:hAnsi="Times New Roman" w:cs="Times New Roman"/>
          <w:noProof/>
          <w:vertAlign w:val="baseline"/>
          <w:lang w:val="en-GB"/>
        </w:rPr>
      </w:pPr>
      <w:r>
        <w:rPr>
          <w:rFonts w:ascii="Times New Roman" w:hAnsi="Times New Roman" w:cs="Times New Roman"/>
          <w:noProof/>
        </w:rPr>
        <w:t>Note: EUnw and EAnw refer to the non-weighted averages for EU and the euro area.</w:t>
      </w:r>
      <w:r>
        <w:rPr>
          <w:rFonts w:ascii="Times New Roman" w:hAnsi="Times New Roman" w:cs="Times New Roman"/>
          <w:noProof/>
          <w:lang w:val="en-GB"/>
        </w:rPr>
        <w:t xml:space="preserve"> </w:t>
      </w:r>
      <w:r>
        <w:rPr>
          <w:rFonts w:ascii="Times New Roman" w:hAnsi="Times New Roman" w:cs="Times New Roman"/>
          <w:noProof/>
        </w:rPr>
        <w:t xml:space="preserve">Real GDHI per capita is measured using 'unadjusted income' (i.e. </w:t>
      </w:r>
      <w:r>
        <w:rPr>
          <w:rFonts w:ascii="Times New Roman" w:hAnsi="Times New Roman" w:cs="Times New Roman"/>
          <w:noProof/>
        </w:rPr>
        <w:t>without including social transfers in kind) and without correction for purchasing power standards.</w:t>
      </w:r>
      <w:r>
        <w:rPr>
          <w:rFonts w:ascii="Times New Roman" w:hAnsi="Times New Roman" w:cs="Times New Roman"/>
          <w:noProof/>
          <w:lang w:val="en-GB"/>
        </w:rPr>
        <w:t xml:space="preserve"> Net earnings of a full time single workers earning the average wage </w:t>
      </w:r>
      <w:r>
        <w:rPr>
          <w:rStyle w:val="FootnoteReference"/>
          <w:rFonts w:ascii="Times New Roman" w:hAnsi="Times New Roman" w:cs="Times New Roman"/>
          <w:noProof/>
          <w:vertAlign w:val="baseline"/>
        </w:rPr>
        <w:t xml:space="preserve">should be read and interpreted in conjunction with other indicators, such as the in-work </w:t>
      </w:r>
      <w:r>
        <w:rPr>
          <w:rStyle w:val="FootnoteReference"/>
          <w:rFonts w:ascii="Times New Roman" w:hAnsi="Times New Roman" w:cs="Times New Roman"/>
          <w:noProof/>
          <w:vertAlign w:val="baseline"/>
        </w:rPr>
        <w:t>poverty rate, the ratio between the fifth and the first decile of the wage distribution (D5/D1) and other relevant EPM/SPPM and JAF indicators.</w:t>
      </w:r>
      <w:r>
        <w:rPr>
          <w:rFonts w:ascii="Times New Roman" w:hAnsi="Times New Roman" w:cs="Times New Roman"/>
          <w:noProof/>
          <w:lang w:val="en-GB"/>
        </w:rPr>
        <w:t xml:space="preserve"> For this indicator 3-year averages are used to smooth out short-term fluctuations.</w:t>
      </w:r>
    </w:p>
    <w:p w:rsidR="00EF5220" w:rsidRDefault="00EF2564">
      <w:pPr>
        <w:jc w:val="both"/>
        <w:rPr>
          <w:rFonts w:ascii="Times New Roman" w:hAnsi="Times New Roman" w:cs="Times New Roman"/>
          <w:noProof/>
          <w:sz w:val="20"/>
          <w:szCs w:val="20"/>
          <w:lang w:val="en-GB"/>
        </w:rPr>
      </w:pPr>
      <w:r>
        <w:rPr>
          <w:rFonts w:ascii="Times New Roman" w:hAnsi="Times New Roman" w:cs="Times New Roman"/>
          <w:noProof/>
          <w:sz w:val="20"/>
          <w:szCs w:val="20"/>
        </w:rPr>
        <w:t xml:space="preserve">Flags – b: break in time </w:t>
      </w:r>
      <w:r>
        <w:rPr>
          <w:rFonts w:ascii="Times New Roman" w:hAnsi="Times New Roman" w:cs="Times New Roman"/>
          <w:noProof/>
          <w:sz w:val="20"/>
          <w:szCs w:val="20"/>
        </w:rPr>
        <w:t>series; e: estimated; p: provisional; u: low reliability (small number of observations).</w:t>
      </w:r>
    </w:p>
    <w:p w:rsidR="00EF5220" w:rsidRDefault="00EF2564">
      <w:pPr>
        <w:jc w:val="both"/>
        <w:rPr>
          <w:rFonts w:ascii="Times New Roman" w:eastAsia="Calibri" w:hAnsi="Times New Roman" w:cs="Times New Roman"/>
          <w:b/>
          <w:noProof/>
          <w:sz w:val="24"/>
          <w:szCs w:val="24"/>
          <w:lang w:val="en-GB"/>
        </w:rPr>
      </w:pPr>
      <w:r>
        <w:rPr>
          <w:rFonts w:ascii="Times New Roman" w:eastAsia="Calibri" w:hAnsi="Times New Roman" w:cs="Times New Roman"/>
          <w:b/>
          <w:noProof/>
          <w:sz w:val="24"/>
          <w:szCs w:val="24"/>
          <w:lang w:val="en-GB"/>
        </w:rPr>
        <w:br w:type="page"/>
      </w:r>
    </w:p>
    <w:p w:rsidR="00EF5220" w:rsidRDefault="00EF2564">
      <w:pPr>
        <w:rPr>
          <w:rFonts w:ascii="Times New Roman" w:hAnsi="Times New Roman" w:cs="Times New Roman"/>
          <w:b/>
          <w:noProof/>
          <w:sz w:val="24"/>
          <w:szCs w:val="24"/>
        </w:rPr>
      </w:pPr>
      <w:r>
        <w:rPr>
          <w:rFonts w:ascii="Times New Roman" w:hAnsi="Times New Roman" w:cs="Times New Roman"/>
          <w:b/>
          <w:noProof/>
          <w:sz w:val="24"/>
          <w:szCs w:val="24"/>
        </w:rPr>
        <w:t>Annex 1 (continued). Social scoreboard headline indicators, levels</w:t>
      </w:r>
    </w:p>
    <w:p w:rsidR="00EF5220" w:rsidRDefault="00EF2564">
      <w:pPr>
        <w:rPr>
          <w:rFonts w:ascii="Times New Roman" w:eastAsia="Calibri" w:hAnsi="Times New Roman" w:cs="Times New Roman"/>
          <w:b/>
          <w:noProof/>
          <w:sz w:val="24"/>
          <w:szCs w:val="24"/>
          <w:lang w:val="en-GB"/>
        </w:rPr>
      </w:pPr>
      <w:r>
        <w:rPr>
          <w:noProof/>
          <w:lang w:val="en-GB" w:eastAsia="en-GB" w:bidi="ar-SA"/>
        </w:rPr>
        <w:drawing>
          <wp:inline distT="0" distB="0" distL="0" distR="0">
            <wp:extent cx="4645449" cy="6122822"/>
            <wp:effectExtent l="0" t="0" r="317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4648401" cy="6126712"/>
                    </a:xfrm>
                    <a:prstGeom prst="rect">
                      <a:avLst/>
                    </a:prstGeom>
                    <a:noFill/>
                    <a:ln>
                      <a:noFill/>
                    </a:ln>
                  </pic:spPr>
                </pic:pic>
              </a:graphicData>
            </a:graphic>
          </wp:inline>
        </w:drawing>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Note: EUnw and EAnw refer to the non-weighted averages for EU and the euro are</w:t>
      </w:r>
      <w:r>
        <w:rPr>
          <w:rFonts w:ascii="Times New Roman" w:hAnsi="Times New Roman" w:cs="Times New Roman"/>
          <w:noProof/>
          <w:sz w:val="20"/>
          <w:szCs w:val="20"/>
        </w:rPr>
        <w:t>a.</w:t>
      </w:r>
    </w:p>
    <w:p w:rsidR="00EF5220" w:rsidRDefault="00EF2564">
      <w:pPr>
        <w:jc w:val="both"/>
        <w:rPr>
          <w:rFonts w:ascii="Times New Roman" w:hAnsi="Times New Roman" w:cs="Times New Roman"/>
          <w:noProof/>
          <w:sz w:val="20"/>
          <w:szCs w:val="20"/>
        </w:rPr>
      </w:pPr>
      <w:r>
        <w:rPr>
          <w:rFonts w:ascii="Times New Roman" w:hAnsi="Times New Roman" w:cs="Times New Roman"/>
          <w:noProof/>
          <w:sz w:val="20"/>
          <w:szCs w:val="20"/>
        </w:rPr>
        <w:t>Flags – b: break in time series; e: estimated; p: provisional; u: low reliability (small number of observations).</w:t>
      </w:r>
    </w:p>
    <w:p w:rsidR="00EF5220" w:rsidRDefault="00EF5220">
      <w:pPr>
        <w:rPr>
          <w:rFonts w:ascii="Times New Roman" w:eastAsia="Calibri" w:hAnsi="Times New Roman" w:cs="Times New Roman"/>
          <w:b/>
          <w:noProof/>
          <w:sz w:val="24"/>
          <w:szCs w:val="24"/>
          <w:lang w:val="en-GB"/>
        </w:rPr>
      </w:pPr>
    </w:p>
    <w:p w:rsidR="00EF5220" w:rsidRDefault="00EF2564">
      <w:pPr>
        <w:rPr>
          <w:rFonts w:ascii="Times New Roman" w:eastAsia="Calibri" w:hAnsi="Times New Roman" w:cs="Times New Roman"/>
          <w:b/>
          <w:noProof/>
          <w:sz w:val="24"/>
          <w:szCs w:val="24"/>
          <w:lang w:val="en-GB"/>
        </w:rPr>
      </w:pPr>
      <w:r>
        <w:rPr>
          <w:rFonts w:ascii="Times New Roman" w:eastAsia="Calibri" w:hAnsi="Times New Roman" w:cs="Times New Roman"/>
          <w:b/>
          <w:noProof/>
          <w:sz w:val="24"/>
          <w:szCs w:val="24"/>
          <w:lang w:val="en-GB"/>
        </w:rPr>
        <w:br w:type="page"/>
      </w:r>
    </w:p>
    <w:p w:rsidR="00EF5220" w:rsidRDefault="00EF2564">
      <w:pPr>
        <w:rPr>
          <w:rFonts w:ascii="Times New Roman" w:hAnsi="Times New Roman" w:cs="Times New Roman"/>
          <w:b/>
          <w:noProof/>
          <w:sz w:val="24"/>
          <w:szCs w:val="24"/>
        </w:rPr>
      </w:pPr>
      <w:r>
        <w:rPr>
          <w:rFonts w:ascii="Times New Roman" w:hAnsi="Times New Roman" w:cs="Times New Roman"/>
          <w:b/>
          <w:noProof/>
          <w:sz w:val="24"/>
          <w:szCs w:val="24"/>
        </w:rPr>
        <w:t>Annex 2. Social scoreboard headline indicators, changes and distance to EU</w:t>
      </w:r>
    </w:p>
    <w:p w:rsidR="00EF5220" w:rsidRDefault="00EF2564">
      <w:pPr>
        <w:jc w:val="both"/>
        <w:rPr>
          <w:rFonts w:ascii="Times New Roman" w:eastAsia="Calibri" w:hAnsi="Times New Roman" w:cs="Times New Roman"/>
          <w:b/>
          <w:noProof/>
          <w:sz w:val="24"/>
          <w:szCs w:val="24"/>
          <w:lang w:val="en-GB"/>
        </w:rPr>
      </w:pPr>
      <w:r>
        <w:rPr>
          <w:noProof/>
          <w:lang w:val="en-GB" w:eastAsia="en-GB" w:bidi="ar-SA"/>
        </w:rPr>
        <w:drawing>
          <wp:inline distT="0" distB="0" distL="0" distR="0">
            <wp:extent cx="5760720" cy="5260983"/>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5760720" cy="5260983"/>
                    </a:xfrm>
                    <a:prstGeom prst="rect">
                      <a:avLst/>
                    </a:prstGeom>
                    <a:noFill/>
                    <a:ln>
                      <a:noFill/>
                    </a:ln>
                  </pic:spPr>
                </pic:pic>
              </a:graphicData>
            </a:graphic>
          </wp:inline>
        </w:drawing>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EF5220" w:rsidRDefault="00EF2564">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Note: EUnw and EAnw refer to the non-weig</w:t>
      </w:r>
      <w:r>
        <w:rPr>
          <w:rFonts w:ascii="Times New Roman" w:hAnsi="Times New Roman" w:cs="Times New Roman"/>
          <w:noProof/>
          <w:sz w:val="20"/>
          <w:szCs w:val="20"/>
        </w:rPr>
        <w:t xml:space="preserve">hted averages for EU and the euro area. </w:t>
      </w:r>
      <w:r>
        <w:rPr>
          <w:rFonts w:ascii="Times New Roman" w:hAnsi="Times New Roman" w:cs="Times New Roman"/>
          <w:noProof/>
          <w:sz w:val="20"/>
          <w:szCs w:val="20"/>
          <w:lang w:val="en-GB"/>
        </w:rPr>
        <w:t>On</w:t>
      </w:r>
      <w:r>
        <w:rPr>
          <w:rFonts w:ascii="Times New Roman" w:hAnsi="Times New Roman" w:cs="Times New Roman"/>
          <w:noProof/>
          <w:color w:val="000000"/>
          <w:sz w:val="20"/>
          <w:szCs w:val="20"/>
        </w:rPr>
        <w:t xml:space="preserve"> </w:t>
      </w:r>
      <w:r>
        <w:rPr>
          <w:rFonts w:ascii="Times New Roman" w:hAnsi="Times New Roman" w:cs="Times New Roman"/>
          <w:noProof/>
          <w:color w:val="000000"/>
          <w:sz w:val="20"/>
          <w:szCs w:val="20"/>
          <w:lang w:val="en-GB"/>
        </w:rPr>
        <w:t>26</w:t>
      </w:r>
      <w:r>
        <w:rPr>
          <w:rFonts w:ascii="Times New Roman" w:hAnsi="Times New Roman" w:cs="Times New Roman"/>
          <w:noProof/>
          <w:color w:val="000000"/>
          <w:sz w:val="20"/>
          <w:szCs w:val="20"/>
          <w:vertAlign w:val="superscript"/>
        </w:rPr>
        <w:t>th</w:t>
      </w:r>
      <w:r>
        <w:rPr>
          <w:rFonts w:ascii="Times New Roman" w:hAnsi="Times New Roman" w:cs="Times New Roman"/>
          <w:noProof/>
          <w:color w:val="000000"/>
          <w:sz w:val="20"/>
          <w:szCs w:val="20"/>
        </w:rPr>
        <w:t xml:space="preserve"> October 201</w:t>
      </w:r>
      <w:r>
        <w:rPr>
          <w:rFonts w:ascii="Times New Roman" w:hAnsi="Times New Roman" w:cs="Times New Roman"/>
          <w:noProof/>
          <w:color w:val="000000"/>
          <w:sz w:val="20"/>
          <w:szCs w:val="20"/>
          <w:lang w:val="en-GB"/>
        </w:rPr>
        <w:t>8</w:t>
      </w:r>
      <w:r>
        <w:rPr>
          <w:rFonts w:ascii="Times New Roman" w:hAnsi="Times New Roman" w:cs="Times New Roman"/>
          <w:noProof/>
          <w:color w:val="000000"/>
          <w:sz w:val="20"/>
          <w:szCs w:val="20"/>
        </w:rPr>
        <w:t>, statistical significance estimates for changes of</w:t>
      </w:r>
      <w:r>
        <w:rPr>
          <w:rFonts w:ascii="Times New Roman" w:hAnsi="Times New Roman" w:cs="Times New Roman"/>
          <w:noProof/>
          <w:color w:val="000000"/>
          <w:sz w:val="20"/>
          <w:szCs w:val="20"/>
          <w:lang w:val="en-GB"/>
        </w:rPr>
        <w:t xml:space="preserve"> LFS and SILC-based indicators</w:t>
      </w:r>
      <w:r>
        <w:rPr>
          <w:rFonts w:ascii="Times New Roman" w:hAnsi="Times New Roman" w:cs="Times New Roman"/>
          <w:noProof/>
          <w:color w:val="000000"/>
          <w:sz w:val="20"/>
          <w:szCs w:val="20"/>
        </w:rPr>
        <w:t xml:space="preserve"> are not available.</w:t>
      </w:r>
      <w:r>
        <w:rPr>
          <w:rFonts w:ascii="Times New Roman" w:hAnsi="Times New Roman" w:cs="Times New Roman"/>
          <w:noProof/>
          <w:sz w:val="20"/>
          <w:szCs w:val="20"/>
        </w:rPr>
        <w:tab/>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Flags – b: break in time series; e: estimated; p: provisional; u: low reliability (small </w:t>
      </w:r>
      <w:r>
        <w:rPr>
          <w:rFonts w:ascii="Times New Roman" w:hAnsi="Times New Roman" w:cs="Times New Roman"/>
          <w:noProof/>
          <w:sz w:val="20"/>
          <w:szCs w:val="20"/>
        </w:rPr>
        <w:t>number of observations).</w:t>
      </w:r>
    </w:p>
    <w:p w:rsidR="00EF5220" w:rsidRDefault="00EF2564">
      <w:pPr>
        <w:rPr>
          <w:rFonts w:ascii="Times New Roman" w:hAnsi="Times New Roman" w:cs="Times New Roman"/>
          <w:b/>
          <w:noProof/>
          <w:sz w:val="24"/>
          <w:szCs w:val="24"/>
        </w:rPr>
      </w:pPr>
      <w:r>
        <w:rPr>
          <w:rFonts w:ascii="Times New Roman" w:eastAsia="Calibri" w:hAnsi="Times New Roman" w:cs="Times New Roman"/>
          <w:b/>
          <w:noProof/>
          <w:sz w:val="24"/>
          <w:szCs w:val="24"/>
          <w:lang w:val="en-GB"/>
        </w:rPr>
        <w:br w:type="page"/>
      </w:r>
      <w:r>
        <w:rPr>
          <w:rFonts w:ascii="Times New Roman" w:hAnsi="Times New Roman" w:cs="Times New Roman"/>
          <w:b/>
          <w:noProof/>
          <w:sz w:val="24"/>
          <w:szCs w:val="24"/>
        </w:rPr>
        <w:t>Annex 2 (continued). Social scoreboard headline indicators, changes and distance to EU</w:t>
      </w:r>
    </w:p>
    <w:p w:rsidR="00EF5220" w:rsidRDefault="00EF2564">
      <w:pPr>
        <w:rPr>
          <w:rFonts w:ascii="Times New Roman" w:eastAsia="Calibri" w:hAnsi="Times New Roman" w:cs="Times New Roman"/>
          <w:b/>
          <w:noProof/>
          <w:sz w:val="24"/>
          <w:szCs w:val="24"/>
          <w:lang w:val="en-GB"/>
        </w:rPr>
      </w:pPr>
      <w:r>
        <w:rPr>
          <w:noProof/>
          <w:lang w:val="en-GB" w:eastAsia="en-GB" w:bidi="ar-SA"/>
        </w:rPr>
        <w:drawing>
          <wp:inline distT="0" distB="0" distL="0" distR="0">
            <wp:extent cx="5760720" cy="5501340"/>
            <wp:effectExtent l="0" t="0" r="0" b="444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5760720" cy="5501340"/>
                    </a:xfrm>
                    <a:prstGeom prst="rect">
                      <a:avLst/>
                    </a:prstGeom>
                    <a:noFill/>
                    <a:ln>
                      <a:noFill/>
                    </a:ln>
                  </pic:spPr>
                </pic:pic>
              </a:graphicData>
            </a:graphic>
          </wp:inline>
        </w:drawing>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r>
        <w:rPr>
          <w:rFonts w:ascii="Times New Roman" w:hAnsi="Times New Roman" w:cs="Times New Roman"/>
          <w:noProof/>
          <w:sz w:val="20"/>
          <w:szCs w:val="20"/>
          <w:lang w:val="en-GB"/>
        </w:rPr>
        <w:t>, OECD</w:t>
      </w:r>
      <w:r>
        <w:rPr>
          <w:rFonts w:ascii="Times New Roman" w:hAnsi="Times New Roman" w:cs="Times New Roman"/>
          <w:noProof/>
          <w:sz w:val="20"/>
          <w:szCs w:val="20"/>
        </w:rPr>
        <w:t>.</w:t>
      </w:r>
    </w:p>
    <w:p w:rsidR="00EF5220" w:rsidRDefault="00EF2564">
      <w:pPr>
        <w:pStyle w:val="FootnoteText"/>
        <w:jc w:val="both"/>
        <w:rPr>
          <w:rFonts w:ascii="Times New Roman" w:hAnsi="Times New Roman" w:cs="Times New Roman"/>
          <w:noProof/>
          <w:lang w:val="en-GB"/>
        </w:rPr>
      </w:pPr>
      <w:r>
        <w:rPr>
          <w:rFonts w:ascii="Times New Roman" w:hAnsi="Times New Roman" w:cs="Times New Roman"/>
          <w:noProof/>
        </w:rPr>
        <w:t xml:space="preserve">Note: EUnw and EAnw refer to the non-weighted averages for EU and the euro area. Real GDHI per capita is measured </w:t>
      </w:r>
      <w:r>
        <w:rPr>
          <w:rFonts w:ascii="Times New Roman" w:hAnsi="Times New Roman" w:cs="Times New Roman"/>
          <w:noProof/>
        </w:rPr>
        <w:t>using 'unadjusted income' (i.e. without including social transfers in kind) and without correction for purchasing power standards.</w:t>
      </w:r>
      <w:r>
        <w:rPr>
          <w:rFonts w:ascii="Times New Roman" w:hAnsi="Times New Roman" w:cs="Times New Roman"/>
          <w:noProof/>
          <w:lang w:val="en-GB"/>
        </w:rPr>
        <w:t xml:space="preserve"> Net earnings of a full time single workers earning the average wage </w:t>
      </w:r>
      <w:r>
        <w:rPr>
          <w:rStyle w:val="FootnoteReference"/>
          <w:rFonts w:ascii="Times New Roman" w:hAnsi="Times New Roman" w:cs="Times New Roman"/>
          <w:noProof/>
          <w:vertAlign w:val="baseline"/>
        </w:rPr>
        <w:t xml:space="preserve">should be read and interpreted in conjunction with other </w:t>
      </w:r>
      <w:r>
        <w:rPr>
          <w:rStyle w:val="FootnoteReference"/>
          <w:rFonts w:ascii="Times New Roman" w:hAnsi="Times New Roman" w:cs="Times New Roman"/>
          <w:noProof/>
          <w:vertAlign w:val="baseline"/>
        </w:rPr>
        <w:t>indicators, such as the in-work poverty rate, the ratio between the fifth and the first decile of the wage distribution (D5/D1) and other relevant EPM/SPPM and JAF indicators.</w:t>
      </w:r>
      <w:r>
        <w:rPr>
          <w:rFonts w:ascii="Times New Roman" w:hAnsi="Times New Roman" w:cs="Times New Roman"/>
          <w:noProof/>
          <w:lang w:val="en-GB"/>
        </w:rPr>
        <w:t xml:space="preserve"> For this indicator, the distance to the EU average is expressed in purchasing po</w:t>
      </w:r>
      <w:r>
        <w:rPr>
          <w:rFonts w:ascii="Times New Roman" w:hAnsi="Times New Roman" w:cs="Times New Roman"/>
          <w:noProof/>
          <w:lang w:val="en-GB"/>
        </w:rPr>
        <w:t xml:space="preserve">wer standards (PPS) while the changes are expressed in real terms in national currency; 3-year averages are used for both levels and changes to smooth out short-term fluctuations. On 26th October 2018, statistical significance estimates for changes of LFS </w:t>
      </w:r>
      <w:r>
        <w:rPr>
          <w:rFonts w:ascii="Times New Roman" w:hAnsi="Times New Roman" w:cs="Times New Roman"/>
          <w:noProof/>
          <w:lang w:val="en-GB"/>
        </w:rPr>
        <w:t>and SILC-based indicators are not available.</w:t>
      </w:r>
      <w:r>
        <w:rPr>
          <w:rFonts w:ascii="Times New Roman" w:hAnsi="Times New Roman" w:cs="Times New Roman"/>
          <w:noProof/>
          <w:lang w:val="en-GB"/>
        </w:rPr>
        <w:tab/>
      </w:r>
    </w:p>
    <w:p w:rsidR="00EF5220" w:rsidRDefault="00EF2564">
      <w:pPr>
        <w:pStyle w:val="FootnoteText"/>
        <w:jc w:val="both"/>
        <w:rPr>
          <w:rFonts w:ascii="Times New Roman" w:hAnsi="Times New Roman" w:cs="Times New Roman"/>
          <w:noProof/>
        </w:rPr>
      </w:pPr>
      <w:r>
        <w:rPr>
          <w:rFonts w:ascii="Times New Roman" w:hAnsi="Times New Roman" w:cs="Times New Roman"/>
          <w:noProof/>
        </w:rPr>
        <w:t>Flags – b: break in time series; e: estimated; p: provisional; u: low reliability (small number of observations).</w:t>
      </w:r>
    </w:p>
    <w:p w:rsidR="00EF5220" w:rsidRDefault="00EF2564">
      <w:pPr>
        <w:rPr>
          <w:rFonts w:ascii="Times New Roman" w:hAnsi="Times New Roman" w:cs="Times New Roman"/>
          <w:b/>
          <w:noProof/>
          <w:sz w:val="24"/>
          <w:szCs w:val="24"/>
        </w:rPr>
      </w:pPr>
      <w:r>
        <w:rPr>
          <w:rFonts w:ascii="Times New Roman" w:eastAsia="Calibri" w:hAnsi="Times New Roman" w:cs="Times New Roman"/>
          <w:b/>
          <w:noProof/>
          <w:sz w:val="24"/>
          <w:szCs w:val="24"/>
          <w:lang w:val="en-GB"/>
        </w:rPr>
        <w:br w:type="page"/>
      </w:r>
      <w:r>
        <w:rPr>
          <w:rFonts w:ascii="Times New Roman" w:hAnsi="Times New Roman" w:cs="Times New Roman"/>
          <w:b/>
          <w:noProof/>
          <w:sz w:val="24"/>
          <w:szCs w:val="24"/>
        </w:rPr>
        <w:t>Annex 2 (continued). Social scoreboard headline indicators, changes and distance to EU</w:t>
      </w:r>
    </w:p>
    <w:p w:rsidR="00EF5220" w:rsidRDefault="00EF2564">
      <w:pPr>
        <w:rPr>
          <w:rFonts w:ascii="Times New Roman" w:eastAsia="Calibri" w:hAnsi="Times New Roman" w:cs="Times New Roman"/>
          <w:b/>
          <w:noProof/>
          <w:sz w:val="24"/>
          <w:szCs w:val="24"/>
          <w:lang w:val="en-GB"/>
        </w:rPr>
      </w:pPr>
      <w:r>
        <w:rPr>
          <w:noProof/>
          <w:lang w:val="en-GB" w:eastAsia="en-GB" w:bidi="ar-SA"/>
        </w:rPr>
        <w:drawing>
          <wp:inline distT="0" distB="0" distL="0" distR="0">
            <wp:extent cx="5760720" cy="6484892"/>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5760720" cy="6484892"/>
                    </a:xfrm>
                    <a:prstGeom prst="rect">
                      <a:avLst/>
                    </a:prstGeom>
                    <a:noFill/>
                    <a:ln>
                      <a:noFill/>
                    </a:ln>
                  </pic:spPr>
                </pic:pic>
              </a:graphicData>
            </a:graphic>
          </wp:inline>
        </w:drawing>
      </w:r>
    </w:p>
    <w:p w:rsidR="00EF5220" w:rsidRDefault="00EF2564">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w:t>
      </w:r>
      <w:r>
        <w:rPr>
          <w:rFonts w:ascii="Times New Roman" w:hAnsi="Times New Roman" w:cs="Times New Roman"/>
          <w:noProof/>
          <w:sz w:val="20"/>
          <w:szCs w:val="20"/>
        </w:rPr>
        <w:t>: Eurostat.</w:t>
      </w:r>
    </w:p>
    <w:p w:rsidR="00EF5220" w:rsidRDefault="00EF2564">
      <w:pPr>
        <w:spacing w:after="0" w:line="240" w:lineRule="auto"/>
        <w:jc w:val="both"/>
        <w:rPr>
          <w:rFonts w:ascii="Times New Roman" w:hAnsi="Times New Roman" w:cs="Times New Roman"/>
          <w:noProof/>
          <w:sz w:val="20"/>
          <w:szCs w:val="20"/>
          <w:lang w:val="en-GB"/>
        </w:rPr>
      </w:pPr>
      <w:r>
        <w:rPr>
          <w:rFonts w:ascii="Times New Roman" w:hAnsi="Times New Roman" w:cs="Times New Roman"/>
          <w:noProof/>
          <w:sz w:val="20"/>
          <w:szCs w:val="20"/>
        </w:rPr>
        <w:t xml:space="preserve">Note: EUnw and EAnw refer to the non-weighted averages for EU and the euro area. </w:t>
      </w:r>
    </w:p>
    <w:p w:rsidR="00EF5220" w:rsidRDefault="00EF2564">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Flags – b: break in time series; e: estimated; p: provisional; u: low reliability (small number of observations).</w:t>
      </w:r>
      <w:r>
        <w:rPr>
          <w:rFonts w:ascii="Times New Roman" w:hAnsi="Times New Roman" w:cs="Times New Roman"/>
          <w:noProof/>
          <w:sz w:val="20"/>
          <w:szCs w:val="20"/>
          <w:lang w:val="en-GB"/>
        </w:rPr>
        <w:t xml:space="preserve"> On</w:t>
      </w:r>
      <w:r>
        <w:rPr>
          <w:rFonts w:ascii="Times New Roman" w:hAnsi="Times New Roman" w:cs="Times New Roman"/>
          <w:noProof/>
          <w:color w:val="000000"/>
          <w:sz w:val="20"/>
          <w:szCs w:val="20"/>
        </w:rPr>
        <w:t xml:space="preserve"> </w:t>
      </w:r>
      <w:r>
        <w:rPr>
          <w:rFonts w:ascii="Times New Roman" w:hAnsi="Times New Roman" w:cs="Times New Roman"/>
          <w:noProof/>
          <w:color w:val="000000"/>
          <w:sz w:val="20"/>
          <w:szCs w:val="20"/>
          <w:lang w:val="en-GB"/>
        </w:rPr>
        <w:t>26</w:t>
      </w:r>
      <w:r>
        <w:rPr>
          <w:rFonts w:ascii="Times New Roman" w:hAnsi="Times New Roman" w:cs="Times New Roman"/>
          <w:noProof/>
          <w:color w:val="000000"/>
          <w:sz w:val="20"/>
          <w:szCs w:val="20"/>
          <w:vertAlign w:val="superscript"/>
        </w:rPr>
        <w:t>th</w:t>
      </w:r>
      <w:r>
        <w:rPr>
          <w:rFonts w:ascii="Times New Roman" w:hAnsi="Times New Roman" w:cs="Times New Roman"/>
          <w:noProof/>
          <w:color w:val="000000"/>
          <w:sz w:val="20"/>
          <w:szCs w:val="20"/>
        </w:rPr>
        <w:t xml:space="preserve"> October 201</w:t>
      </w:r>
      <w:r>
        <w:rPr>
          <w:rFonts w:ascii="Times New Roman" w:hAnsi="Times New Roman" w:cs="Times New Roman"/>
          <w:noProof/>
          <w:color w:val="000000"/>
          <w:sz w:val="20"/>
          <w:szCs w:val="20"/>
          <w:lang w:val="en-GB"/>
        </w:rPr>
        <w:t>8</w:t>
      </w:r>
      <w:r>
        <w:rPr>
          <w:rFonts w:ascii="Times New Roman" w:hAnsi="Times New Roman" w:cs="Times New Roman"/>
          <w:noProof/>
          <w:color w:val="000000"/>
          <w:sz w:val="20"/>
          <w:szCs w:val="20"/>
        </w:rPr>
        <w:t xml:space="preserve">, statistical significance </w:t>
      </w:r>
      <w:r>
        <w:rPr>
          <w:rFonts w:ascii="Times New Roman" w:hAnsi="Times New Roman" w:cs="Times New Roman"/>
          <w:noProof/>
          <w:color w:val="000000"/>
          <w:sz w:val="20"/>
          <w:szCs w:val="20"/>
        </w:rPr>
        <w:t>estimates for changes of</w:t>
      </w:r>
      <w:r>
        <w:rPr>
          <w:rFonts w:ascii="Times New Roman" w:hAnsi="Times New Roman" w:cs="Times New Roman"/>
          <w:noProof/>
          <w:color w:val="000000"/>
          <w:sz w:val="20"/>
          <w:szCs w:val="20"/>
          <w:lang w:val="en-GB"/>
        </w:rPr>
        <w:t xml:space="preserve"> LFS and SILC-based indicators</w:t>
      </w:r>
      <w:r>
        <w:rPr>
          <w:rFonts w:ascii="Times New Roman" w:hAnsi="Times New Roman" w:cs="Times New Roman"/>
          <w:noProof/>
          <w:color w:val="000000"/>
          <w:sz w:val="20"/>
          <w:szCs w:val="20"/>
        </w:rPr>
        <w:t xml:space="preserve"> are not available.</w:t>
      </w:r>
      <w:r>
        <w:rPr>
          <w:rFonts w:ascii="Times New Roman" w:hAnsi="Times New Roman" w:cs="Times New Roman"/>
          <w:noProof/>
          <w:sz w:val="20"/>
          <w:szCs w:val="20"/>
        </w:rPr>
        <w:tab/>
      </w:r>
    </w:p>
    <w:p w:rsidR="00EF5220" w:rsidRDefault="00EF2564">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br w:type="page"/>
      </w:r>
    </w:p>
    <w:p w:rsidR="00EF5220" w:rsidRDefault="00EF2564">
      <w:pPr>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Annex 3. Methodological note on the identification of trends and levels in the scoreboard </w:t>
      </w:r>
    </w:p>
    <w:p w:rsidR="00EF5220" w:rsidRDefault="00EF2564">
      <w:pPr>
        <w:jc w:val="both"/>
        <w:rPr>
          <w:rFonts w:cs="Times New Roman"/>
          <w:noProof/>
          <w:sz w:val="20"/>
          <w:szCs w:val="20"/>
          <w:lang w:val="en-US"/>
        </w:rPr>
      </w:pPr>
      <w:r>
        <w:rPr>
          <w:rFonts w:ascii="Times New Roman" w:hAnsi="Times New Roman" w:cs="Times New Roman"/>
          <w:noProof/>
          <w:sz w:val="20"/>
          <w:szCs w:val="20"/>
        </w:rPr>
        <w:t>In mid-2015 the European Commission, the Employment Committee and the Social Protection Committee agreed on a methodology for assessing Member States' performance on the scoreboard of key employment and social indicators. As part of the agreement, the meth</w:t>
      </w:r>
      <w:r>
        <w:rPr>
          <w:rFonts w:ascii="Times New Roman" w:hAnsi="Times New Roman" w:cs="Times New Roman"/>
          <w:noProof/>
          <w:sz w:val="20"/>
          <w:szCs w:val="20"/>
        </w:rPr>
        <w:t xml:space="preserve">odology </w:t>
      </w:r>
      <w:r>
        <w:rPr>
          <w:rFonts w:ascii="Times New Roman" w:hAnsi="Times New Roman" w:cs="Times New Roman"/>
          <w:noProof/>
          <w:sz w:val="20"/>
          <w:szCs w:val="20"/>
          <w:lang w:eastAsia="fr-BE"/>
        </w:rPr>
        <w:t>aimed at providing, for each indicator, a measure of the relative standing of each M</w:t>
      </w:r>
      <w:r>
        <w:rPr>
          <w:rFonts w:ascii="Times New Roman" w:hAnsi="Times New Roman" w:cs="Times New Roman"/>
          <w:noProof/>
          <w:sz w:val="20"/>
          <w:szCs w:val="20"/>
          <w:lang w:val="en-GB" w:eastAsia="fr-BE"/>
        </w:rPr>
        <w:t xml:space="preserve">ember </w:t>
      </w:r>
      <w:r>
        <w:rPr>
          <w:rFonts w:ascii="Times New Roman" w:hAnsi="Times New Roman" w:cs="Times New Roman"/>
          <w:noProof/>
          <w:sz w:val="20"/>
          <w:szCs w:val="20"/>
          <w:lang w:eastAsia="fr-BE"/>
        </w:rPr>
        <w:t>S</w:t>
      </w:r>
      <w:r>
        <w:rPr>
          <w:rFonts w:ascii="Times New Roman" w:hAnsi="Times New Roman" w:cs="Times New Roman"/>
          <w:noProof/>
          <w:sz w:val="20"/>
          <w:szCs w:val="20"/>
          <w:lang w:val="en-GB" w:eastAsia="fr-BE"/>
        </w:rPr>
        <w:t>tate</w:t>
      </w:r>
      <w:r>
        <w:rPr>
          <w:rFonts w:ascii="Times New Roman" w:hAnsi="Times New Roman" w:cs="Times New Roman"/>
          <w:noProof/>
          <w:sz w:val="20"/>
          <w:szCs w:val="20"/>
          <w:lang w:eastAsia="fr-BE"/>
        </w:rPr>
        <w:t xml:space="preserve"> within the distribution of the indicator values (scores) of the EU. The methodology is applied jointly to year-levels (levels) as well as to one-year ch</w:t>
      </w:r>
      <w:r>
        <w:rPr>
          <w:rFonts w:ascii="Times New Roman" w:hAnsi="Times New Roman" w:cs="Times New Roman"/>
          <w:noProof/>
          <w:sz w:val="20"/>
          <w:szCs w:val="20"/>
          <w:lang w:eastAsia="fr-BE"/>
        </w:rPr>
        <w:t>anges (changes), thus enabling a holistic assessment of MS performance</w:t>
      </w:r>
      <w:r>
        <w:rPr>
          <w:rStyle w:val="FootnoteReference"/>
          <w:rFonts w:ascii="Times New Roman" w:hAnsi="Times New Roman" w:cs="Times New Roman"/>
          <w:noProof/>
          <w:sz w:val="20"/>
          <w:szCs w:val="20"/>
          <w:lang w:eastAsia="fr-BE"/>
        </w:rPr>
        <w:footnoteReference w:id="121"/>
      </w:r>
      <w:r>
        <w:rPr>
          <w:rFonts w:ascii="Times New Roman" w:hAnsi="Times New Roman" w:cs="Times New Roman"/>
          <w:noProof/>
          <w:sz w:val="20"/>
          <w:szCs w:val="20"/>
          <w:lang w:eastAsia="fr-BE"/>
        </w:rPr>
        <w:t>.</w:t>
      </w:r>
      <w:r>
        <w:rPr>
          <w:rFonts w:ascii="Times New Roman" w:hAnsi="Times New Roman" w:cs="Times New Roman"/>
          <w:noProof/>
          <w:sz w:val="20"/>
          <w:szCs w:val="20"/>
          <w:lang w:val="en-US"/>
        </w:rPr>
        <w:t xml:space="preserve"> </w:t>
      </w:r>
    </w:p>
    <w:p w:rsidR="00EF5220" w:rsidRDefault="00EF2564">
      <w:pPr>
        <w:jc w:val="both"/>
        <w:rPr>
          <w:rFonts w:cs="Times New Roman"/>
          <w:noProof/>
          <w:sz w:val="20"/>
          <w:szCs w:val="20"/>
          <w:lang w:val="en-US"/>
        </w:rPr>
      </w:pPr>
      <w:r>
        <w:rPr>
          <w:rFonts w:ascii="Times New Roman" w:hAnsi="Times New Roman" w:cs="Times New Roman"/>
          <w:noProof/>
          <w:sz w:val="20"/>
          <w:szCs w:val="20"/>
          <w:lang w:val="en-US"/>
        </w:rPr>
        <w:t xml:space="preserve">In 2017 the Commission in agreement with the Employment Committee and the Social Protection Committee has decided to apply the methodology to the social scoreboard accompanying the </w:t>
      </w:r>
      <w:r>
        <w:rPr>
          <w:rFonts w:ascii="Times New Roman" w:hAnsi="Times New Roman" w:cs="Times New Roman"/>
          <w:noProof/>
          <w:sz w:val="20"/>
          <w:szCs w:val="20"/>
          <w:lang w:val="en-US"/>
        </w:rPr>
        <w:t>European Pillar of Social Rights.</w:t>
      </w:r>
    </w:p>
    <w:p w:rsidR="00EF5220" w:rsidRDefault="00EF2564">
      <w:pPr>
        <w:jc w:val="both"/>
        <w:rPr>
          <w:rFonts w:ascii="Times New Roman" w:hAnsi="Times New Roman" w:cs="Times New Roman"/>
          <w:noProof/>
          <w:sz w:val="20"/>
        </w:rPr>
      </w:pPr>
      <w:r>
        <w:rPr>
          <w:rFonts w:ascii="Times New Roman" w:hAnsi="Times New Roman" w:cs="Times New Roman"/>
          <w:noProof/>
          <w:sz w:val="20"/>
          <w:szCs w:val="20"/>
          <w:lang w:val="en-GB"/>
        </w:rPr>
        <w:t>F</w:t>
      </w:r>
      <w:r>
        <w:rPr>
          <w:rFonts w:ascii="Times New Roman" w:hAnsi="Times New Roman" w:cs="Times New Roman"/>
          <w:noProof/>
          <w:sz w:val="20"/>
          <w:szCs w:val="20"/>
        </w:rPr>
        <w:t>or each indicator, levels and changes are converted to standard scores (also known as z-scores)</w:t>
      </w:r>
      <w:r>
        <w:rPr>
          <w:rFonts w:ascii="Times New Roman" w:hAnsi="Times New Roman" w:cs="Times New Roman"/>
          <w:noProof/>
          <w:sz w:val="20"/>
          <w:szCs w:val="20"/>
          <w:lang w:val="en-GB"/>
        </w:rPr>
        <w:t xml:space="preserve"> </w:t>
      </w:r>
      <w:r>
        <w:rPr>
          <w:rFonts w:ascii="Times New Roman" w:hAnsi="Times New Roman" w:cs="Times New Roman"/>
          <w:noProof/>
          <w:sz w:val="20"/>
          <w:szCs w:val="20"/>
          <w:lang w:val="en-US"/>
        </w:rPr>
        <w:t xml:space="preserve">to apply the same metric to all the indicators. </w:t>
      </w:r>
      <w:r>
        <w:rPr>
          <w:rFonts w:ascii="Times New Roman" w:hAnsi="Times New Roman" w:cs="Times New Roman"/>
          <w:noProof/>
          <w:sz w:val="20"/>
        </w:rPr>
        <w:t>This is achieved by standardising raw values of both levels and changes accor</w:t>
      </w:r>
      <w:r>
        <w:rPr>
          <w:rFonts w:ascii="Times New Roman" w:hAnsi="Times New Roman" w:cs="Times New Roman"/>
          <w:noProof/>
          <w:sz w:val="20"/>
        </w:rPr>
        <w:t>ding to the formula:</w:t>
      </w:r>
    </w:p>
    <w:p w:rsidR="00EF5220" w:rsidRDefault="00EF2564">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m:t>
              </m:r>
              <m:r>
                <w:rPr>
                  <w:rFonts w:ascii="Cambria Math" w:hAnsi="Cambria Math" w:cs="Times New Roman"/>
                  <w:noProof/>
                  <w:sz w:val="20"/>
                </w:rPr>
                <m:t>-</m:t>
              </m:r>
              <m:r>
                <w:rPr>
                  <w:rFonts w:ascii="Cambria Math" w:hAnsi="Cambria Math" w:cs="Times New Roman"/>
                  <w:noProof/>
                  <w:sz w:val="20"/>
                </w:rPr>
                <m:t>score</m:t>
              </m:r>
              <m:r>
                <w:rPr>
                  <w:rFonts w:ascii="Cambria Math" w:hAnsi="Cambria Math" w:cs="Times New Roman"/>
                  <w:noProof/>
                  <w:sz w:val="20"/>
                </w:rPr>
                <m:t xml:space="preserve"> </m:t>
              </m:r>
              <m:r>
                <w:rPr>
                  <w:rFonts w:ascii="Cambria Math" w:hAnsi="Cambria Math" w:cs="Times New Roman"/>
                  <w:noProof/>
                  <w:sz w:val="20"/>
                </w:rPr>
                <m:t>for</m:t>
              </m:r>
              <m:r>
                <w:rPr>
                  <w:rFonts w:ascii="Cambria Math" w:hAnsi="Cambria Math" w:cs="Times New Roman"/>
                  <w:noProof/>
                  <w:sz w:val="20"/>
                </w:rPr>
                <m:t xml:space="preserve"> </m:t>
              </m:r>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 xml:space="preserve"> -</m:t>
                  </m:r>
                  <m:r>
                    <w:rPr>
                      <w:rFonts w:ascii="Cambria Math" w:hAnsi="Cambria Math" w:cs="Times New Roman"/>
                      <w:noProof/>
                      <w:sz w:val="20"/>
                    </w:rPr>
                    <m:t>average</m:t>
                  </m:r>
                  <m:r>
                    <w:rPr>
                      <w:rFonts w:ascii="Cambria Math" w:hAnsi="Cambria Math" w:cs="Times New Roman"/>
                      <w:noProof/>
                      <w:sz w:val="20"/>
                    </w:rPr>
                    <m:t xml:space="preserve"> </m:t>
                  </m:r>
                  <m:d>
                    <m:dPr>
                      <m:ctrlPr>
                        <w:rPr>
                          <w:rFonts w:ascii="Cambria Math" w:hAnsi="Cambria Math" w:cs="Times New Roman"/>
                          <w:i/>
                          <w:noProof/>
                          <w:sz w:val="20"/>
                        </w:rPr>
                      </m:ctrlPr>
                    </m:dPr>
                    <m:e>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e>
                  </m:d>
                </m:e>
              </m:d>
            </m:num>
            <m:den>
              <m:r>
                <w:rPr>
                  <w:rFonts w:ascii="Cambria Math" w:hAnsi="Cambria Math" w:cs="Times New Roman"/>
                  <w:noProof/>
                  <w:sz w:val="20"/>
                </w:rPr>
                <m:t>standard</m:t>
              </m:r>
              <m:r>
                <w:rPr>
                  <w:rFonts w:ascii="Cambria Math" w:hAnsi="Cambria Math" w:cs="Times New Roman"/>
                  <w:noProof/>
                  <w:sz w:val="20"/>
                </w:rPr>
                <m:t xml:space="preserve"> </m:t>
              </m:r>
              <m:r>
                <w:rPr>
                  <w:rFonts w:ascii="Cambria Math" w:hAnsi="Cambria Math" w:cs="Times New Roman"/>
                  <w:noProof/>
                  <w:sz w:val="20"/>
                </w:rPr>
                <m:t>deviation</m:t>
              </m:r>
              <m:r>
                <w:rPr>
                  <w:rFonts w:ascii="Cambria Math" w:hAnsi="Cambria Math" w:cs="Times New Roman"/>
                  <w:noProof/>
                  <w:sz w:val="20"/>
                </w:rPr>
                <m:t xml:space="preserve"> (</m:t>
              </m:r>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m:t>
              </m:r>
            </m:den>
          </m:f>
        </m:oMath>
      </m:oMathPara>
    </w:p>
    <w:p w:rsidR="00EF5220" w:rsidRDefault="00EF2564">
      <w:pPr>
        <w:spacing w:after="120"/>
        <w:jc w:val="both"/>
        <w:rPr>
          <w:rFonts w:ascii="Times New Roman" w:hAnsi="Times New Roman" w:cs="Times New Roman"/>
          <w:noProof/>
          <w:sz w:val="20"/>
        </w:rPr>
      </w:pPr>
      <w:r>
        <w:rPr>
          <w:rFonts w:ascii="Times New Roman" w:hAnsi="Times New Roman" w:cs="Times New Roman"/>
          <w:noProof/>
          <w:sz w:val="20"/>
          <w:lang w:val="en-US"/>
        </w:rPr>
        <w:t xml:space="preserve">Then </w:t>
      </w:r>
      <w:r>
        <w:rPr>
          <w:rFonts w:ascii="Times New Roman" w:hAnsi="Times New Roman" w:cs="Times New Roman"/>
          <w:noProof/>
          <w:sz w:val="20"/>
        </w:rPr>
        <w:t>the distributions of scores (separately for levels and changes) are analis</w:t>
      </w:r>
      <w:r>
        <w:rPr>
          <w:rFonts w:ascii="Times New Roman" w:hAnsi="Times New Roman" w:cs="Times New Roman"/>
          <w:noProof/>
          <w:sz w:val="20"/>
        </w:rPr>
        <w:t>ed.</w:t>
      </w:r>
      <w:r>
        <w:rPr>
          <w:rFonts w:ascii="Times New Roman" w:hAnsi="Times New Roman" w:cs="Times New Roman"/>
          <w:noProof/>
          <w:sz w:val="20"/>
          <w:lang w:val="en-GB"/>
        </w:rPr>
        <w:t xml:space="preserve"> </w:t>
      </w:r>
      <w:r>
        <w:rPr>
          <w:rFonts w:ascii="Times New Roman" w:hAnsi="Times New Roman" w:cs="Times New Roman"/>
          <w:noProof/>
          <w:sz w:val="20"/>
        </w:rPr>
        <w:t xml:space="preserve">This approach enables </w:t>
      </w:r>
      <w:r>
        <w:rPr>
          <w:rFonts w:ascii="Times New Roman" w:hAnsi="Times New Roman" w:cs="Times New Roman"/>
          <w:noProof/>
          <w:sz w:val="20"/>
          <w:lang w:val="en-US"/>
        </w:rPr>
        <w:t>expressing for each Member State its raw indicator value in terms of how many standard deviations it deviates from the (unweighted) average. T</w:t>
      </w:r>
      <w:r>
        <w:rPr>
          <w:rFonts w:ascii="Times New Roman" w:hAnsi="Times New Roman" w:cs="Times New Roman"/>
          <w:noProof/>
          <w:sz w:val="20"/>
        </w:rPr>
        <w:t>he performance of each MS is assessed and classified on the basis of the resulting z-sco</w:t>
      </w:r>
      <w:r>
        <w:rPr>
          <w:rFonts w:ascii="Times New Roman" w:hAnsi="Times New Roman" w:cs="Times New Roman"/>
          <w:noProof/>
          <w:sz w:val="20"/>
        </w:rPr>
        <w:t xml:space="preserve">res against a set of pre-defined thresholds, set as standard deviation multiples. </w:t>
      </w:r>
    </w:p>
    <w:p w:rsidR="00EF5220" w:rsidRDefault="00EF2564">
      <w:pPr>
        <w:spacing w:after="120"/>
        <w:jc w:val="both"/>
        <w:rPr>
          <w:rFonts w:ascii="Times New Roman" w:hAnsi="Times New Roman" w:cs="Times New Roman"/>
          <w:noProof/>
          <w:sz w:val="20"/>
        </w:rPr>
      </w:pPr>
      <w:r>
        <w:rPr>
          <w:rFonts w:ascii="Times New Roman" w:hAnsi="Times New Roman" w:cs="Times New Roman"/>
          <w:noProof/>
          <w:sz w:val="20"/>
        </w:rPr>
        <w:t>The most important issue within this approach is setting cut-off points. Given that no parametric assumption can be made about the distribution of the observed raw values</w:t>
      </w:r>
      <w:r>
        <w:rPr>
          <w:rStyle w:val="FootnoteReference"/>
          <w:rFonts w:ascii="Times New Roman" w:hAnsi="Times New Roman" w:cs="Times New Roman"/>
          <w:noProof/>
          <w:sz w:val="20"/>
        </w:rPr>
        <w:footnoteReference w:id="122"/>
      </w:r>
      <w:r>
        <w:rPr>
          <w:rFonts w:ascii="Times New Roman" w:hAnsi="Times New Roman" w:cs="Times New Roman"/>
          <w:noProof/>
          <w:sz w:val="20"/>
        </w:rPr>
        <w:t xml:space="preserve">, </w:t>
      </w:r>
      <w:r>
        <w:rPr>
          <w:rFonts w:ascii="Times New Roman" w:hAnsi="Times New Roman" w:cs="Times New Roman"/>
          <w:noProof/>
          <w:sz w:val="20"/>
        </w:rPr>
        <w:t xml:space="preserve">it is common to use a “rule of thumb” in selecting the thresholds. According to the analysis of the key indicators used in the scoreboard, it was agreed to consider:  </w:t>
      </w:r>
    </w:p>
    <w:p w:rsidR="00EF5220" w:rsidRDefault="00EF2564">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cs="Times New Roman"/>
          <w:noProof/>
          <w:sz w:val="20"/>
          <w:szCs w:val="20"/>
        </w:rPr>
        <w:t xml:space="preserve">Any score below -1 as a very good performance </w:t>
      </w:r>
    </w:p>
    <w:p w:rsidR="00EF5220" w:rsidRDefault="00EF2564">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cs="Times New Roman"/>
          <w:noProof/>
          <w:sz w:val="20"/>
          <w:szCs w:val="20"/>
        </w:rPr>
        <w:t>Any score between -1 and -0.5 as a good p</w:t>
      </w:r>
      <w:r>
        <w:rPr>
          <w:rFonts w:ascii="Times New Roman" w:hAnsi="Times New Roman" w:cs="Times New Roman"/>
          <w:noProof/>
          <w:sz w:val="20"/>
          <w:szCs w:val="20"/>
        </w:rPr>
        <w:t>erformance</w:t>
      </w:r>
    </w:p>
    <w:p w:rsidR="00EF5220" w:rsidRDefault="00EF2564">
      <w:pPr>
        <w:pStyle w:val="ListParagraph"/>
        <w:numPr>
          <w:ilvl w:val="0"/>
          <w:numId w:val="20"/>
        </w:numPr>
        <w:spacing w:after="120"/>
        <w:rPr>
          <w:rFonts w:ascii="Times New Roman" w:hAnsi="Times New Roman" w:cs="Times New Roman"/>
          <w:noProof/>
          <w:sz w:val="20"/>
          <w:szCs w:val="20"/>
        </w:rPr>
      </w:pPr>
      <w:r>
        <w:rPr>
          <w:rFonts w:ascii="Times New Roman" w:hAnsi="Times New Roman" w:cs="Times New Roman"/>
          <w:noProof/>
          <w:sz w:val="20"/>
          <w:szCs w:val="20"/>
        </w:rPr>
        <w:t>Any score between -0.5 and 0.5 as a neutral performance</w:t>
      </w:r>
    </w:p>
    <w:p w:rsidR="00EF5220" w:rsidRDefault="00EF2564">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cs="Times New Roman"/>
          <w:noProof/>
          <w:sz w:val="20"/>
          <w:szCs w:val="20"/>
        </w:rPr>
        <w:t>Any score between 0.5 and 1 as a bad performance</w:t>
      </w:r>
    </w:p>
    <w:p w:rsidR="00EF5220" w:rsidRDefault="00EF2564">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cs="Times New Roman"/>
          <w:noProof/>
          <w:sz w:val="20"/>
          <w:szCs w:val="20"/>
        </w:rPr>
        <w:t>Any score higher than 1 as a very bad performance</w:t>
      </w:r>
      <w:r>
        <w:rPr>
          <w:rStyle w:val="FootnoteReference"/>
          <w:rFonts w:ascii="Times New Roman" w:hAnsi="Times New Roman" w:cs="Times New Roman"/>
          <w:noProof/>
          <w:sz w:val="20"/>
          <w:szCs w:val="20"/>
        </w:rPr>
        <w:footnoteReference w:id="123"/>
      </w:r>
    </w:p>
    <w:p w:rsidR="00EF5220" w:rsidRDefault="00EF5220">
      <w:pPr>
        <w:pStyle w:val="caption4"/>
        <w:rPr>
          <w:rFonts w:ascii="Times New Roman" w:hAnsi="Times New Roman"/>
          <w:noProof/>
          <w:sz w:val="20"/>
        </w:rPr>
      </w:pPr>
    </w:p>
    <w:p w:rsidR="00EF5220" w:rsidRDefault="00EF2564">
      <w:pPr>
        <w:pStyle w:val="caption4"/>
        <w:rPr>
          <w:rFonts w:ascii="Times New Roman" w:hAnsi="Times New Roman"/>
          <w:noProof/>
          <w:sz w:val="20"/>
          <w:szCs w:val="20"/>
        </w:rPr>
      </w:pPr>
      <w:r>
        <w:rPr>
          <w:rFonts w:ascii="Times New Roman" w:hAnsi="Times New Roman"/>
          <w:noProof/>
          <w:sz w:val="20"/>
          <w:szCs w:val="20"/>
        </w:rPr>
        <w:t xml:space="preserve">Table </w:t>
      </w:r>
      <w:r>
        <w:rPr>
          <w:rFonts w:ascii="Times New Roman" w:hAnsi="Times New Roman"/>
          <w:noProof/>
          <w:sz w:val="20"/>
          <w:szCs w:val="20"/>
        </w:rPr>
        <w:fldChar w:fldCharType="begin"/>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4</w:t>
      </w:r>
      <w:r>
        <w:rPr>
          <w:rFonts w:ascii="Times New Roman" w:hAnsi="Times New Roman"/>
          <w:noProof/>
          <w:sz w:val="20"/>
          <w:szCs w:val="20"/>
        </w:rPr>
        <w:fldChar w:fldCharType="end"/>
      </w:r>
      <w:r>
        <w:rPr>
          <w:rFonts w:ascii="Times New Roman" w:hAnsi="Times New Roman"/>
          <w:noProof/>
          <w:sz w:val="20"/>
          <w:szCs w:val="20"/>
        </w:rPr>
        <w:t xml:space="preserve">: </w:t>
      </w:r>
      <w:r>
        <w:rPr>
          <w:rFonts w:ascii="Times New Roman" w:hAnsi="Times New Roman"/>
          <w:noProof/>
          <w:sz w:val="20"/>
          <w:szCs w:val="20"/>
          <w:lang w:eastAsia="it-IT"/>
        </w:rPr>
        <w:t>Z-scores threshold values</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rsidR="00EF5220" w:rsidTr="00EF5220">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rsidR="00EF5220" w:rsidRDefault="00EF2564">
            <w:pPr>
              <w:jc w:val="center"/>
              <w:rPr>
                <w:rFonts w:ascii="Times New Roman" w:hAnsi="Times New Roman" w:cs="Times New Roman"/>
                <w:noProof/>
                <w:color w:val="000000"/>
                <w:sz w:val="20"/>
                <w:lang w:val="en-US" w:eastAsia="it-IT"/>
              </w:rPr>
            </w:pPr>
            <w:r>
              <w:rPr>
                <w:rFonts w:ascii="Times New Roman" w:hAnsi="Times New Roman" w:cs="Times New Roman"/>
                <w:noProof/>
                <w:color w:val="000000"/>
                <w:sz w:val="20"/>
                <w:lang w:val="en-US" w:eastAsia="it-IT"/>
              </w:rPr>
              <w:t> </w:t>
            </w:r>
          </w:p>
        </w:tc>
        <w:tc>
          <w:tcPr>
            <w:tcW w:w="7271" w:type="dxa"/>
            <w:gridSpan w:val="5"/>
            <w:hideMark/>
          </w:tcPr>
          <w:p w:rsidR="00EF5220" w:rsidRDefault="00EF25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z-scores threshold values</w:t>
            </w:r>
          </w:p>
        </w:tc>
      </w:tr>
      <w:tr w:rsidR="00EF5220" w:rsidTr="00EF522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rsidR="00EF5220" w:rsidRDefault="00EF5220">
            <w:pPr>
              <w:rPr>
                <w:rFonts w:ascii="Times New Roman" w:hAnsi="Times New Roman" w:cs="Times New Roman"/>
                <w:noProof/>
                <w:color w:val="000000"/>
                <w:sz w:val="20"/>
                <w:lang w:eastAsia="it-IT"/>
              </w:rPr>
            </w:pPr>
          </w:p>
        </w:tc>
        <w:tc>
          <w:tcPr>
            <w:tcW w:w="1428" w:type="dxa"/>
            <w:noWrap/>
            <w:hideMark/>
          </w:tcPr>
          <w:p w:rsidR="00EF5220" w:rsidRDefault="00EF2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-1.0</w:t>
            </w:r>
          </w:p>
        </w:tc>
        <w:tc>
          <w:tcPr>
            <w:tcW w:w="1558" w:type="dxa"/>
            <w:noWrap/>
            <w:hideMark/>
          </w:tcPr>
          <w:p w:rsidR="00EF5220" w:rsidRDefault="00EF2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- 0.5</w:t>
            </w:r>
          </w:p>
        </w:tc>
        <w:tc>
          <w:tcPr>
            <w:tcW w:w="1428" w:type="dxa"/>
            <w:noWrap/>
            <w:hideMark/>
          </w:tcPr>
          <w:p w:rsidR="00EF5220" w:rsidRDefault="00EF2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0</w:t>
            </w:r>
          </w:p>
        </w:tc>
        <w:tc>
          <w:tcPr>
            <w:tcW w:w="1428" w:type="dxa"/>
            <w:noWrap/>
            <w:hideMark/>
          </w:tcPr>
          <w:p w:rsidR="00EF5220" w:rsidRDefault="00EF2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0.5</w:t>
            </w:r>
          </w:p>
        </w:tc>
        <w:tc>
          <w:tcPr>
            <w:tcW w:w="1430" w:type="dxa"/>
            <w:noWrap/>
            <w:hideMark/>
          </w:tcPr>
          <w:p w:rsidR="00EF5220" w:rsidRDefault="00EF2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lang w:eastAsia="it-IT"/>
              </w:rPr>
            </w:pPr>
            <w:r>
              <w:rPr>
                <w:rFonts w:ascii="Times New Roman" w:hAnsi="Times New Roman" w:cs="Times New Roman"/>
                <w:noProof/>
                <w:color w:val="C00000"/>
                <w:sz w:val="20"/>
                <w:lang w:eastAsia="it-IT"/>
              </w:rPr>
              <w:t>1.0</w:t>
            </w:r>
          </w:p>
        </w:tc>
      </w:tr>
      <w:tr w:rsidR="00EF5220" w:rsidTr="00EF5220">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rsidR="00EF5220" w:rsidRDefault="00EF5220">
            <w:pPr>
              <w:rPr>
                <w:rFonts w:ascii="Times New Roman" w:hAnsi="Times New Roman" w:cs="Times New Roman"/>
                <w:noProof/>
                <w:color w:val="000000"/>
                <w:sz w:val="20"/>
                <w:lang w:eastAsia="it-IT"/>
              </w:rPr>
            </w:pPr>
          </w:p>
        </w:tc>
        <w:tc>
          <w:tcPr>
            <w:tcW w:w="1428" w:type="dxa"/>
            <w:noWrap/>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(lower than)</w:t>
            </w:r>
          </w:p>
        </w:tc>
        <w:tc>
          <w:tcPr>
            <w:tcW w:w="1558" w:type="dxa"/>
            <w:noWrap/>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(lower than)</w:t>
            </w:r>
          </w:p>
        </w:tc>
        <w:tc>
          <w:tcPr>
            <w:tcW w:w="1428" w:type="dxa"/>
            <w:noWrap/>
            <w:hideMark/>
          </w:tcPr>
          <w:p w:rsidR="00EF5220" w:rsidRDefault="00EF25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lang w:eastAsia="it-IT"/>
              </w:rPr>
            </w:pPr>
            <w:r>
              <w:rPr>
                <w:rFonts w:ascii="Times New Roman" w:hAnsi="Times New Roman" w:cs="Times New Roman"/>
                <w:i/>
                <w:noProof/>
                <w:color w:val="auto"/>
                <w:sz w:val="20"/>
                <w:lang w:eastAsia="it-IT"/>
              </w:rPr>
              <w:t>(between)</w:t>
            </w:r>
          </w:p>
        </w:tc>
        <w:tc>
          <w:tcPr>
            <w:tcW w:w="1428" w:type="dxa"/>
            <w:noWrap/>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(Higher than)</w:t>
            </w:r>
          </w:p>
        </w:tc>
        <w:tc>
          <w:tcPr>
            <w:tcW w:w="1430" w:type="dxa"/>
            <w:noWrap/>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lang w:eastAsia="it-IT"/>
              </w:rPr>
            </w:pPr>
            <w:r>
              <w:rPr>
                <w:rFonts w:ascii="Times New Roman" w:hAnsi="Times New Roman" w:cs="Times New Roman"/>
                <w:i/>
                <w:iCs/>
                <w:noProof/>
                <w:color w:val="000000"/>
                <w:sz w:val="20"/>
                <w:lang w:eastAsia="it-IT"/>
              </w:rPr>
              <w:t>(Higher than)</w:t>
            </w:r>
          </w:p>
        </w:tc>
      </w:tr>
      <w:tr w:rsidR="00EF5220" w:rsidTr="00EF522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rsidR="00EF5220" w:rsidRDefault="00EF5220">
            <w:pPr>
              <w:rPr>
                <w:rFonts w:ascii="Times New Roman" w:hAnsi="Times New Roman" w:cs="Times New Roman"/>
                <w:noProof/>
                <w:color w:val="000000"/>
                <w:sz w:val="20"/>
                <w:lang w:eastAsia="it-IT"/>
              </w:rPr>
            </w:pPr>
          </w:p>
        </w:tc>
        <w:tc>
          <w:tcPr>
            <w:tcW w:w="7271" w:type="dxa"/>
            <w:gridSpan w:val="5"/>
            <w:hideMark/>
          </w:tcPr>
          <w:p w:rsidR="00EF5220" w:rsidRDefault="00EF2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lang w:eastAsia="it-IT"/>
              </w:rPr>
            </w:pPr>
            <w:r>
              <w:rPr>
                <w:rFonts w:ascii="Times New Roman" w:hAnsi="Times New Roman" w:cs="Times New Roman"/>
                <w:b/>
                <w:bCs/>
                <w:noProof/>
                <w:color w:val="000000"/>
                <w:sz w:val="20"/>
                <w:lang w:eastAsia="it-IT"/>
              </w:rPr>
              <w:t>Assessment</w:t>
            </w:r>
          </w:p>
        </w:tc>
      </w:tr>
      <w:tr w:rsidR="00EF5220" w:rsidTr="00EF5220">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rsidR="00EF5220" w:rsidRDefault="00EF2564">
            <w:pPr>
              <w:jc w:val="center"/>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Levels</w:t>
            </w:r>
          </w:p>
        </w:tc>
        <w:tc>
          <w:tcPr>
            <w:tcW w:w="142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Very Low</w:t>
            </w:r>
          </w:p>
        </w:tc>
        <w:tc>
          <w:tcPr>
            <w:tcW w:w="155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Low</w:t>
            </w:r>
          </w:p>
        </w:tc>
        <w:tc>
          <w:tcPr>
            <w:tcW w:w="142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On average</w:t>
            </w:r>
          </w:p>
        </w:tc>
        <w:tc>
          <w:tcPr>
            <w:tcW w:w="142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High</w:t>
            </w:r>
          </w:p>
        </w:tc>
        <w:tc>
          <w:tcPr>
            <w:tcW w:w="1430"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Very High</w:t>
            </w:r>
          </w:p>
        </w:tc>
      </w:tr>
      <w:tr w:rsidR="00EF5220" w:rsidTr="00EF5220">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rsidR="00EF5220" w:rsidRDefault="00EF2564">
            <w:pPr>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 </w:t>
            </w:r>
          </w:p>
        </w:tc>
        <w:tc>
          <w:tcPr>
            <w:tcW w:w="1428" w:type="dxa"/>
            <w:noWrap/>
            <w:hideMark/>
          </w:tcPr>
          <w:p w:rsidR="00EF5220" w:rsidRDefault="00EF5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558" w:type="dxa"/>
            <w:noWrap/>
            <w:hideMark/>
          </w:tcPr>
          <w:p w:rsidR="00EF5220" w:rsidRDefault="00EF5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rsidR="00EF5220" w:rsidRDefault="00EF5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rsidR="00EF5220" w:rsidRDefault="00EF5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30" w:type="dxa"/>
            <w:noWrap/>
            <w:hideMark/>
          </w:tcPr>
          <w:p w:rsidR="00EF5220" w:rsidRDefault="00EF25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 </w:t>
            </w:r>
          </w:p>
        </w:tc>
      </w:tr>
      <w:tr w:rsidR="00EF5220" w:rsidTr="00EF5220">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rsidR="00EF5220" w:rsidRDefault="00EF2564">
            <w:pPr>
              <w:jc w:val="center"/>
              <w:rPr>
                <w:rFonts w:ascii="Times New Roman" w:hAnsi="Times New Roman" w:cs="Times New Roman"/>
                <w:noProof/>
                <w:color w:val="000000"/>
                <w:sz w:val="20"/>
                <w:lang w:eastAsia="it-IT"/>
              </w:rPr>
            </w:pPr>
            <w:r>
              <w:rPr>
                <w:rFonts w:ascii="Times New Roman" w:hAnsi="Times New Roman" w:cs="Times New Roman"/>
                <w:noProof/>
                <w:color w:val="000000"/>
                <w:sz w:val="20"/>
                <w:lang w:eastAsia="it-IT"/>
              </w:rPr>
              <w:t>Changes</w:t>
            </w:r>
          </w:p>
        </w:tc>
        <w:tc>
          <w:tcPr>
            <w:tcW w:w="142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Much lower than average</w:t>
            </w:r>
          </w:p>
        </w:tc>
        <w:tc>
          <w:tcPr>
            <w:tcW w:w="155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Lower than average</w:t>
            </w:r>
          </w:p>
        </w:tc>
        <w:tc>
          <w:tcPr>
            <w:tcW w:w="142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On average</w:t>
            </w:r>
          </w:p>
        </w:tc>
        <w:tc>
          <w:tcPr>
            <w:tcW w:w="1428"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Higher than average</w:t>
            </w:r>
          </w:p>
        </w:tc>
        <w:tc>
          <w:tcPr>
            <w:tcW w:w="1430" w:type="dxa"/>
            <w:hideMark/>
          </w:tcPr>
          <w:p w:rsidR="00EF5220" w:rsidRDefault="00EF25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eastAsia="it-IT"/>
              </w:rPr>
            </w:pPr>
            <w:r>
              <w:rPr>
                <w:rFonts w:ascii="Times New Roman" w:hAnsi="Times New Roman" w:cs="Times New Roman"/>
                <w:noProof/>
                <w:color w:val="002060"/>
                <w:sz w:val="20"/>
                <w:lang w:eastAsia="it-IT"/>
              </w:rPr>
              <w:t>Much higher than</w:t>
            </w:r>
            <w:r>
              <w:rPr>
                <w:rFonts w:ascii="Times New Roman" w:hAnsi="Times New Roman" w:cs="Times New Roman"/>
                <w:noProof/>
                <w:color w:val="002060"/>
                <w:sz w:val="20"/>
                <w:lang w:eastAsia="it-IT"/>
              </w:rPr>
              <w:t xml:space="preserve"> average</w:t>
            </w:r>
          </w:p>
        </w:tc>
      </w:tr>
    </w:tbl>
    <w:p w:rsidR="00EF5220" w:rsidRDefault="00EF2564">
      <w:pPr>
        <w:jc w:val="both"/>
        <w:rPr>
          <w:rFonts w:ascii="Times New Roman" w:hAnsi="Times New Roman" w:cs="Times New Roman"/>
          <w:noProof/>
          <w:sz w:val="20"/>
        </w:rPr>
      </w:pPr>
      <w:r>
        <w:rPr>
          <w:rFonts w:ascii="Times New Roman" w:hAnsi="Times New Roman" w:cs="Times New Roman"/>
          <w:bCs/>
          <w:noProof/>
          <w:sz w:val="20"/>
        </w:rPr>
        <w:br w:type="page"/>
        <w:t xml:space="preserve">By combining the evaluation of levels and changes it is then possible to classify the overall performance of a country according to each indicator within one of </w:t>
      </w:r>
      <w:r>
        <w:rPr>
          <w:rFonts w:ascii="Times New Roman" w:hAnsi="Times New Roman" w:cs="Times New Roman"/>
          <w:noProof/>
          <w:sz w:val="20"/>
        </w:rPr>
        <w:t>the following seven categories. The colour coding is reflected in the respective fig</w:t>
      </w:r>
      <w:r>
        <w:rPr>
          <w:rFonts w:ascii="Times New Roman" w:hAnsi="Times New Roman" w:cs="Times New Roman"/>
          <w:noProof/>
          <w:sz w:val="20"/>
        </w:rPr>
        <w:t xml:space="preserve">ures in the body of the report. </w:t>
      </w:r>
    </w:p>
    <w:p w:rsidR="00EF5220" w:rsidRDefault="00EF2564">
      <w:pPr>
        <w:jc w:val="both"/>
        <w:rPr>
          <w:rFonts w:ascii="Times New Roman" w:hAnsi="Times New Roman" w:cs="Times New Roman"/>
          <w:noProof/>
          <w:sz w:val="20"/>
        </w:rPr>
      </w:pPr>
      <w:r>
        <w:rPr>
          <w:rFonts w:ascii="Times New Roman" w:hAnsi="Times New Roman" w:cs="Times New Roman"/>
          <w:noProof/>
          <w:sz w:val="20"/>
        </w:rPr>
        <w:t xml:space="preserve">The tables below provide the classification based on z-scores for those indicators for which a </w:t>
      </w:r>
      <w:r>
        <w:rPr>
          <w:rFonts w:ascii="Times New Roman" w:hAnsi="Times New Roman" w:cs="Times New Roman"/>
          <w:noProof/>
          <w:sz w:val="20"/>
          <w:u w:val="single"/>
        </w:rPr>
        <w:t>low value</w:t>
      </w:r>
      <w:r>
        <w:rPr>
          <w:rFonts w:ascii="Times New Roman" w:hAnsi="Times New Roman" w:cs="Times New Roman"/>
          <w:noProof/>
          <w:sz w:val="20"/>
        </w:rPr>
        <w:t xml:space="preserve"> is assessed as a </w:t>
      </w:r>
      <w:r>
        <w:rPr>
          <w:rFonts w:ascii="Times New Roman" w:hAnsi="Times New Roman" w:cs="Times New Roman"/>
          <w:noProof/>
          <w:sz w:val="20"/>
          <w:u w:val="single"/>
        </w:rPr>
        <w:t>good performance</w:t>
      </w:r>
      <w:r>
        <w:rPr>
          <w:rFonts w:ascii="Times New Roman" w:hAnsi="Times New Roman" w:cs="Times New Roman"/>
          <w:noProof/>
          <w:sz w:val="20"/>
        </w:rPr>
        <w:t xml:space="preserve"> (e.g. unemployment rate, AROPE, etc). </w:t>
      </w:r>
    </w:p>
    <w:tbl>
      <w:tblPr>
        <w:tblStyle w:val="TableGrid"/>
        <w:tblW w:w="0" w:type="auto"/>
        <w:tblLook w:val="04A0" w:firstRow="1" w:lastRow="0" w:firstColumn="1" w:lastColumn="0" w:noHBand="0" w:noVBand="1"/>
      </w:tblPr>
      <w:tblGrid>
        <w:gridCol w:w="1930"/>
        <w:gridCol w:w="3638"/>
        <w:gridCol w:w="3720"/>
      </w:tblGrid>
      <w:tr w:rsidR="00EF5220">
        <w:tc>
          <w:tcPr>
            <w:tcW w:w="2508" w:type="dxa"/>
            <w:shd w:val="clear" w:color="auto" w:fill="00B05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Best performers</w:t>
            </w:r>
            <w:r>
              <w:rPr>
                <w:rFonts w:ascii="Times New Roman" w:hAnsi="Times New Roman" w:cs="Times New Roman"/>
                <w:noProof/>
                <w:sz w:val="20"/>
                <w:szCs w:val="20"/>
                <w:lang w:val="en-US"/>
              </w:rPr>
              <w:t xml:space="preserve">  </w:t>
            </w:r>
          </w:p>
        </w:tc>
        <w:tc>
          <w:tcPr>
            <w:tcW w:w="5640" w:type="dxa"/>
            <w:shd w:val="clear" w:color="auto" w:fill="00B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less than -1.0 in </w:t>
            </w:r>
            <w:r>
              <w:rPr>
                <w:rFonts w:ascii="Times New Roman" w:hAnsi="Times New Roman" w:cs="Times New Roman"/>
                <w:noProof/>
                <w:sz w:val="20"/>
                <w:szCs w:val="20"/>
                <w:lang w:val="en-US"/>
              </w:rPr>
              <w:t>levels and less than 1.0 in changes</w:t>
            </w:r>
          </w:p>
        </w:tc>
        <w:tc>
          <w:tcPr>
            <w:tcW w:w="5640" w:type="dxa"/>
            <w:shd w:val="clear" w:color="auto" w:fill="00B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much better than the EU average and with the situation improving or not deteriorating much faster than the EU average</w:t>
            </w:r>
          </w:p>
        </w:tc>
      </w:tr>
      <w:tr w:rsidR="00EF5220">
        <w:tc>
          <w:tcPr>
            <w:tcW w:w="2508" w:type="dxa"/>
            <w:shd w:val="clear" w:color="auto" w:fill="92D05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Better than average</w:t>
            </w:r>
          </w:p>
        </w:tc>
        <w:tc>
          <w:tcPr>
            <w:tcW w:w="5640" w:type="dxa"/>
            <w:shd w:val="clear" w:color="auto" w:fill="92D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between -1.0 and -0.5 in levels and less than 1</w:t>
            </w:r>
            <w:r>
              <w:rPr>
                <w:rFonts w:ascii="Times New Roman" w:hAnsi="Times New Roman" w:cs="Times New Roman"/>
                <w:noProof/>
                <w:sz w:val="20"/>
                <w:szCs w:val="20"/>
                <w:lang w:val="en-US"/>
              </w:rPr>
              <w:t xml:space="preserve">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less than -1.0 in changes</w:t>
            </w:r>
          </w:p>
        </w:tc>
        <w:tc>
          <w:tcPr>
            <w:tcW w:w="5640" w:type="dxa"/>
            <w:shd w:val="clear" w:color="auto" w:fill="92D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better than the EU average and with the situation improving or not deteriorating much faster than the EU average</w:t>
            </w:r>
          </w:p>
        </w:tc>
      </w:tr>
      <w:tr w:rsidR="00EF5220">
        <w:tc>
          <w:tcPr>
            <w:tcW w:w="2508" w:type="dxa"/>
            <w:shd w:val="clear" w:color="auto" w:fill="4F81BD" w:themeFill="accent1"/>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Good but to monitor</w:t>
            </w:r>
          </w:p>
        </w:tc>
        <w:tc>
          <w:tcPr>
            <w:tcW w:w="5640" w:type="dxa"/>
            <w:shd w:val="clear" w:color="auto" w:fill="4F81BD" w:themeFill="accent1"/>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less</w:t>
            </w:r>
            <w:r>
              <w:rPr>
                <w:rFonts w:ascii="Times New Roman" w:hAnsi="Times New Roman" w:cs="Times New Roman"/>
                <w:noProof/>
                <w:sz w:val="20"/>
                <w:szCs w:val="20"/>
                <w:lang w:val="en-US"/>
              </w:rPr>
              <w:t xml:space="preserve"> than -0.5 in levels and more than 1.0 in changes, </w:t>
            </w:r>
            <w:r>
              <w:rPr>
                <w:rFonts w:ascii="Times New Roman" w:hAnsi="Times New Roman" w:cs="Times New Roman"/>
                <w:i/>
                <w:noProof/>
                <w:sz w:val="20"/>
                <w:szCs w:val="20"/>
                <w:lang w:val="en-US"/>
              </w:rPr>
              <w:t xml:space="preserve">and </w:t>
            </w:r>
            <w:r>
              <w:rPr>
                <w:rFonts w:ascii="Times New Roman" w:hAnsi="Times New Roman" w:cs="Times New Roman"/>
                <w:noProof/>
                <w:sz w:val="20"/>
                <w:szCs w:val="20"/>
                <w:lang w:val="en-US"/>
              </w:rPr>
              <w:t>presenting a change higher than zero</w:t>
            </w:r>
            <w:r>
              <w:rPr>
                <w:rStyle w:val="FootnoteReference"/>
                <w:rFonts w:ascii="Times New Roman" w:hAnsi="Times New Roman" w:cs="Times New Roman"/>
                <w:noProof/>
                <w:sz w:val="20"/>
                <w:szCs w:val="20"/>
                <w:lang w:val="en-US"/>
              </w:rPr>
              <w:footnoteReference w:id="124"/>
            </w:r>
          </w:p>
        </w:tc>
        <w:tc>
          <w:tcPr>
            <w:tcW w:w="5640" w:type="dxa"/>
            <w:shd w:val="clear" w:color="auto" w:fill="4F81BD" w:themeFill="accent1"/>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better or much better than the EU average but with the situation deteriorating much faster than the EU average</w:t>
            </w:r>
          </w:p>
        </w:tc>
      </w:tr>
      <w:tr w:rsidR="00EF5220">
        <w:tc>
          <w:tcPr>
            <w:tcW w:w="2508" w:type="dxa"/>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On average / neutral</w:t>
            </w:r>
          </w:p>
        </w:tc>
        <w:tc>
          <w:tcPr>
            <w:tcW w:w="5640" w:type="dxa"/>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between -0.5 and 0.5 in levels and between -1.0 and 1.0 in changes</w:t>
            </w:r>
          </w:p>
        </w:tc>
        <w:tc>
          <w:tcPr>
            <w:tcW w:w="5640" w:type="dxa"/>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on average and with the situation not improving nor deteriorating much faster than the EU average</w:t>
            </w:r>
          </w:p>
        </w:tc>
      </w:tr>
      <w:tr w:rsidR="00EF5220">
        <w:tc>
          <w:tcPr>
            <w:tcW w:w="2508" w:type="dxa"/>
            <w:shd w:val="clear" w:color="auto" w:fill="FFFF0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Weak but improving</w:t>
            </w:r>
          </w:p>
        </w:tc>
        <w:tc>
          <w:tcPr>
            <w:tcW w:w="5640" w:type="dxa"/>
            <w:shd w:val="clear" w:color="auto" w:fill="FFFF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more than 0.5 in levels and l</w:t>
            </w:r>
            <w:r>
              <w:rPr>
                <w:rFonts w:ascii="Times New Roman" w:hAnsi="Times New Roman" w:cs="Times New Roman"/>
                <w:noProof/>
                <w:sz w:val="20"/>
                <w:szCs w:val="20"/>
                <w:lang w:val="en-US"/>
              </w:rPr>
              <w:t>ess than -1.0 in changes</w:t>
            </w:r>
          </w:p>
        </w:tc>
        <w:tc>
          <w:tcPr>
            <w:tcW w:w="5640" w:type="dxa"/>
            <w:shd w:val="clear" w:color="auto" w:fill="FFFF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worse or much worse than the EU average but with the situation improving much faster than the EU average</w:t>
            </w:r>
          </w:p>
        </w:tc>
      </w:tr>
      <w:tr w:rsidR="00EF5220">
        <w:tc>
          <w:tcPr>
            <w:tcW w:w="2508" w:type="dxa"/>
            <w:shd w:val="clear" w:color="auto" w:fill="FFC00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To watch</w:t>
            </w:r>
          </w:p>
        </w:tc>
        <w:tc>
          <w:tcPr>
            <w:tcW w:w="5640" w:type="dxa"/>
            <w:shd w:val="clear" w:color="auto" w:fill="FFC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between 0.5 and 1.0 in levels and more than -1.0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more than 1.0 in changes (</w:t>
            </w:r>
            <w:r>
              <w:rPr>
                <w:rFonts w:ascii="Times New Roman" w:hAnsi="Times New Roman" w:cs="Times New Roman"/>
                <w:i/>
                <w:noProof/>
                <w:sz w:val="20"/>
                <w:szCs w:val="20"/>
                <w:lang w:val="en-US"/>
              </w:rPr>
              <w:t xml:space="preserve">and </w:t>
            </w:r>
            <w:r>
              <w:rPr>
                <w:rFonts w:ascii="Times New Roman" w:hAnsi="Times New Roman" w:cs="Times New Roman"/>
                <w:noProof/>
                <w:sz w:val="20"/>
                <w:szCs w:val="20"/>
                <w:lang w:val="en-US"/>
              </w:rPr>
              <w:t>presenting a change higher than zero</w:t>
            </w:r>
            <w:r>
              <w:rPr>
                <w:rStyle w:val="FootnoteReference"/>
                <w:rFonts w:ascii="Times New Roman" w:hAnsi="Times New Roman" w:cs="Times New Roman"/>
                <w:noProof/>
                <w:sz w:val="20"/>
                <w:szCs w:val="20"/>
                <w:lang w:val="en-US"/>
              </w:rPr>
              <w:footnoteReference w:id="125"/>
            </w:r>
            <w:r>
              <w:rPr>
                <w:rFonts w:ascii="Times New Roman" w:hAnsi="Times New Roman" w:cs="Times New Roman"/>
                <w:noProof/>
                <w:sz w:val="20"/>
                <w:szCs w:val="20"/>
                <w:lang w:val="en-US"/>
              </w:rPr>
              <w:t>)</w:t>
            </w:r>
          </w:p>
        </w:tc>
        <w:tc>
          <w:tcPr>
            <w:tcW w:w="5640" w:type="dxa"/>
            <w:shd w:val="clear" w:color="auto" w:fill="FFC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This category groups two different cases: i) Member States with levels worse than the EU average and with the situation deteriorating or not i</w:t>
            </w:r>
            <w:r>
              <w:rPr>
                <w:rFonts w:ascii="Times New Roman" w:hAnsi="Times New Roman" w:cs="Times New Roman"/>
                <w:noProof/>
                <w:sz w:val="20"/>
                <w:szCs w:val="20"/>
                <w:lang w:val="en-US"/>
              </w:rPr>
              <w:t>mproving sufficiently fast; ii) Member States with levels in line with the EU average but with the situation deteriorating much faster than the EU average</w:t>
            </w:r>
          </w:p>
        </w:tc>
      </w:tr>
      <w:tr w:rsidR="00EF5220">
        <w:tc>
          <w:tcPr>
            <w:tcW w:w="2508" w:type="dxa"/>
            <w:shd w:val="clear" w:color="auto" w:fill="FF000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Critical situations</w:t>
            </w:r>
          </w:p>
        </w:tc>
        <w:tc>
          <w:tcPr>
            <w:tcW w:w="5640" w:type="dxa"/>
            <w:shd w:val="clear" w:color="auto" w:fill="FF0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more than 1.0 in levels and more than -1.0 in changes</w:t>
            </w:r>
          </w:p>
        </w:tc>
        <w:tc>
          <w:tcPr>
            <w:tcW w:w="5640" w:type="dxa"/>
            <w:shd w:val="clear" w:color="auto" w:fill="FF0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w:t>
            </w:r>
            <w:r>
              <w:rPr>
                <w:rFonts w:ascii="Times New Roman" w:hAnsi="Times New Roman" w:cs="Times New Roman"/>
                <w:noProof/>
                <w:sz w:val="20"/>
                <w:szCs w:val="20"/>
                <w:lang w:val="en-US"/>
              </w:rPr>
              <w:t xml:space="preserve"> levels much worse than the EU average and with the situation deteriorating or not improving sufficiently fast</w:t>
            </w:r>
          </w:p>
        </w:tc>
      </w:tr>
    </w:tbl>
    <w:p w:rsidR="00EF5220" w:rsidRDefault="00EF5220">
      <w:pPr>
        <w:jc w:val="both"/>
        <w:rPr>
          <w:rFonts w:ascii="Times New Roman" w:hAnsi="Times New Roman" w:cs="Times New Roman"/>
          <w:noProof/>
          <w:sz w:val="20"/>
          <w:szCs w:val="20"/>
        </w:rPr>
      </w:pPr>
    </w:p>
    <w:p w:rsidR="00EF5220" w:rsidRDefault="00EF5220">
      <w:pPr>
        <w:rPr>
          <w:rFonts w:ascii="Times New Roman" w:hAnsi="Times New Roman" w:cs="Times New Roman"/>
          <w:noProof/>
          <w:sz w:val="24"/>
          <w:szCs w:val="24"/>
          <w:lang w:val="en-US"/>
        </w:rPr>
      </w:pPr>
    </w:p>
    <w:p w:rsidR="00EF5220" w:rsidRDefault="00EF2564">
      <w:pPr>
        <w:rPr>
          <w:rFonts w:ascii="Times New Roman" w:hAnsi="Times New Roman" w:cs="Times New Roman"/>
          <w:b/>
          <w:i/>
          <w:noProof/>
          <w:sz w:val="24"/>
          <w:szCs w:val="24"/>
          <w:lang w:val="en-US"/>
        </w:rPr>
      </w:pPr>
      <w:r>
        <w:rPr>
          <w:noProof/>
          <w:lang w:val="en-GB" w:eastAsia="en-GB" w:bidi="ar-SA"/>
        </w:rPr>
        <w:drawing>
          <wp:inline distT="0" distB="0" distL="0" distR="0">
            <wp:extent cx="5785286" cy="1330656"/>
            <wp:effectExtent l="0" t="0" r="635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5786657" cy="1330971"/>
                    </a:xfrm>
                    <a:prstGeom prst="rect">
                      <a:avLst/>
                    </a:prstGeom>
                    <a:noFill/>
                    <a:ln>
                      <a:noFill/>
                    </a:ln>
                  </pic:spPr>
                </pic:pic>
              </a:graphicData>
            </a:graphic>
          </wp:inline>
        </w:drawing>
      </w:r>
    </w:p>
    <w:p w:rsidR="00EF5220" w:rsidRDefault="00EF5220">
      <w:pPr>
        <w:rPr>
          <w:rFonts w:ascii="Times New Roman" w:hAnsi="Times New Roman" w:cs="Times New Roman"/>
          <w:b/>
          <w:i/>
          <w:noProof/>
          <w:sz w:val="24"/>
          <w:szCs w:val="24"/>
          <w:lang w:val="en-US"/>
        </w:rPr>
      </w:pPr>
    </w:p>
    <w:p w:rsidR="00EF5220" w:rsidRDefault="00EF2564">
      <w:pPr>
        <w:jc w:val="both"/>
        <w:rPr>
          <w:rFonts w:ascii="Times New Roman" w:hAnsi="Times New Roman" w:cs="Times New Roman"/>
          <w:noProof/>
          <w:sz w:val="20"/>
        </w:rPr>
      </w:pPr>
      <w:r>
        <w:rPr>
          <w:rFonts w:ascii="Times New Roman" w:hAnsi="Times New Roman" w:cs="Times New Roman"/>
          <w:noProof/>
          <w:sz w:val="20"/>
        </w:rPr>
        <w:t xml:space="preserve">The tables below provide the classification based on z-scores for those indicators for which a </w:t>
      </w:r>
      <w:r>
        <w:rPr>
          <w:rFonts w:ascii="Times New Roman" w:hAnsi="Times New Roman" w:cs="Times New Roman"/>
          <w:noProof/>
          <w:sz w:val="20"/>
          <w:u w:val="single"/>
        </w:rPr>
        <w:t>high value</w:t>
      </w:r>
      <w:r>
        <w:rPr>
          <w:rFonts w:ascii="Times New Roman" w:hAnsi="Times New Roman" w:cs="Times New Roman"/>
          <w:noProof/>
          <w:sz w:val="20"/>
        </w:rPr>
        <w:t xml:space="preserve"> is assessed as a </w:t>
      </w:r>
      <w:r>
        <w:rPr>
          <w:rFonts w:ascii="Times New Roman" w:hAnsi="Times New Roman" w:cs="Times New Roman"/>
          <w:noProof/>
          <w:sz w:val="20"/>
          <w:u w:val="single"/>
        </w:rPr>
        <w:t>good performance</w:t>
      </w:r>
      <w:r>
        <w:rPr>
          <w:rFonts w:ascii="Times New Roman" w:hAnsi="Times New Roman" w:cs="Times New Roman"/>
          <w:noProof/>
          <w:sz w:val="20"/>
        </w:rPr>
        <w:t xml:space="preserve"> (e.g. employment rate, participation into childcare, etc). </w:t>
      </w:r>
    </w:p>
    <w:tbl>
      <w:tblPr>
        <w:tblStyle w:val="TableGrid"/>
        <w:tblW w:w="0" w:type="auto"/>
        <w:tblLook w:val="04A0" w:firstRow="1" w:lastRow="0" w:firstColumn="1" w:lastColumn="0" w:noHBand="0" w:noVBand="1"/>
      </w:tblPr>
      <w:tblGrid>
        <w:gridCol w:w="1930"/>
        <w:gridCol w:w="3638"/>
        <w:gridCol w:w="3720"/>
      </w:tblGrid>
      <w:tr w:rsidR="00EF5220">
        <w:tc>
          <w:tcPr>
            <w:tcW w:w="2508" w:type="dxa"/>
            <w:shd w:val="clear" w:color="auto" w:fill="00B05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Best performers</w:t>
            </w:r>
            <w:r>
              <w:rPr>
                <w:rFonts w:ascii="Times New Roman" w:hAnsi="Times New Roman" w:cs="Times New Roman"/>
                <w:noProof/>
                <w:sz w:val="20"/>
                <w:szCs w:val="20"/>
                <w:lang w:val="en-US"/>
              </w:rPr>
              <w:t xml:space="preserve">  </w:t>
            </w:r>
          </w:p>
        </w:tc>
        <w:tc>
          <w:tcPr>
            <w:tcW w:w="5640" w:type="dxa"/>
            <w:shd w:val="clear" w:color="auto" w:fill="00B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more than 1.0 in levels and more than -1.0 in changes</w:t>
            </w:r>
          </w:p>
        </w:tc>
        <w:tc>
          <w:tcPr>
            <w:tcW w:w="5640" w:type="dxa"/>
            <w:shd w:val="clear" w:color="auto" w:fill="00B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much better than the EU average and with the situation improving or not deteriorating muc</w:t>
            </w:r>
            <w:r>
              <w:rPr>
                <w:rFonts w:ascii="Times New Roman" w:hAnsi="Times New Roman" w:cs="Times New Roman"/>
                <w:noProof/>
                <w:sz w:val="20"/>
                <w:szCs w:val="20"/>
                <w:lang w:val="en-US"/>
              </w:rPr>
              <w:t>h faster than the EU average</w:t>
            </w:r>
          </w:p>
        </w:tc>
      </w:tr>
      <w:tr w:rsidR="00EF5220">
        <w:tc>
          <w:tcPr>
            <w:tcW w:w="2508" w:type="dxa"/>
            <w:shd w:val="clear" w:color="auto" w:fill="92D05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Better than average</w:t>
            </w:r>
          </w:p>
        </w:tc>
        <w:tc>
          <w:tcPr>
            <w:tcW w:w="5640" w:type="dxa"/>
            <w:shd w:val="clear" w:color="auto" w:fill="92D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between 1.0 and 0.5 in levels and more than -1.0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more than 1.0 in changes</w:t>
            </w:r>
          </w:p>
        </w:tc>
        <w:tc>
          <w:tcPr>
            <w:tcW w:w="5640" w:type="dxa"/>
            <w:shd w:val="clear" w:color="auto" w:fill="92D05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Member States with levels better than the EU average and with the </w:t>
            </w:r>
            <w:r>
              <w:rPr>
                <w:rFonts w:ascii="Times New Roman" w:hAnsi="Times New Roman" w:cs="Times New Roman"/>
                <w:noProof/>
                <w:sz w:val="20"/>
                <w:szCs w:val="20"/>
                <w:lang w:val="en-US"/>
              </w:rPr>
              <w:t>situation improving or not deteriorating much faster than the EU average</w:t>
            </w:r>
          </w:p>
        </w:tc>
      </w:tr>
      <w:tr w:rsidR="00EF5220">
        <w:tc>
          <w:tcPr>
            <w:tcW w:w="2508" w:type="dxa"/>
            <w:shd w:val="clear" w:color="auto" w:fill="4F81BD" w:themeFill="accent1"/>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Good but to monitor</w:t>
            </w:r>
          </w:p>
        </w:tc>
        <w:tc>
          <w:tcPr>
            <w:tcW w:w="5640" w:type="dxa"/>
            <w:shd w:val="clear" w:color="auto" w:fill="4F81BD" w:themeFill="accent1"/>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more than 0.5 in levels and less than -1.0 in changes, </w:t>
            </w:r>
            <w:r>
              <w:rPr>
                <w:rFonts w:ascii="Times New Roman" w:hAnsi="Times New Roman" w:cs="Times New Roman"/>
                <w:i/>
                <w:noProof/>
                <w:sz w:val="20"/>
                <w:szCs w:val="20"/>
                <w:lang w:val="en-US"/>
              </w:rPr>
              <w:t xml:space="preserve">and </w:t>
            </w:r>
            <w:r>
              <w:rPr>
                <w:rFonts w:ascii="Times New Roman" w:hAnsi="Times New Roman" w:cs="Times New Roman"/>
                <w:noProof/>
                <w:sz w:val="20"/>
                <w:szCs w:val="20"/>
                <w:lang w:val="en-US"/>
              </w:rPr>
              <w:t>presenting a change lower than zero</w:t>
            </w:r>
            <w:r>
              <w:rPr>
                <w:rStyle w:val="FootnoteReference"/>
                <w:rFonts w:ascii="Times New Roman" w:hAnsi="Times New Roman" w:cs="Times New Roman"/>
                <w:noProof/>
                <w:sz w:val="20"/>
                <w:szCs w:val="20"/>
                <w:lang w:val="en-US"/>
              </w:rPr>
              <w:footnoteReference w:id="126"/>
            </w:r>
          </w:p>
        </w:tc>
        <w:tc>
          <w:tcPr>
            <w:tcW w:w="5640" w:type="dxa"/>
            <w:shd w:val="clear" w:color="auto" w:fill="4F81BD" w:themeFill="accent1"/>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better or much better than the E</w:t>
            </w:r>
            <w:r>
              <w:rPr>
                <w:rFonts w:ascii="Times New Roman" w:hAnsi="Times New Roman" w:cs="Times New Roman"/>
                <w:noProof/>
                <w:sz w:val="20"/>
                <w:szCs w:val="20"/>
                <w:lang w:val="en-US"/>
              </w:rPr>
              <w:t>U average but with the situation deteriorating much faster than the EU average</w:t>
            </w:r>
          </w:p>
        </w:tc>
      </w:tr>
      <w:tr w:rsidR="00EF5220">
        <w:tc>
          <w:tcPr>
            <w:tcW w:w="2508" w:type="dxa"/>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On average / neutral</w:t>
            </w:r>
          </w:p>
        </w:tc>
        <w:tc>
          <w:tcPr>
            <w:tcW w:w="5640" w:type="dxa"/>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between -0.5 and 0.5 in levels and between -1.0 and 1.0 in changes</w:t>
            </w:r>
          </w:p>
        </w:tc>
        <w:tc>
          <w:tcPr>
            <w:tcW w:w="5640" w:type="dxa"/>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on average and with the situation not improving nor de</w:t>
            </w:r>
            <w:r>
              <w:rPr>
                <w:rFonts w:ascii="Times New Roman" w:hAnsi="Times New Roman" w:cs="Times New Roman"/>
                <w:noProof/>
                <w:sz w:val="20"/>
                <w:szCs w:val="20"/>
                <w:lang w:val="en-US"/>
              </w:rPr>
              <w:t>teriorating much faster than the EU average</w:t>
            </w:r>
          </w:p>
        </w:tc>
      </w:tr>
      <w:tr w:rsidR="00EF5220">
        <w:tc>
          <w:tcPr>
            <w:tcW w:w="2508" w:type="dxa"/>
            <w:shd w:val="clear" w:color="auto" w:fill="FFFF0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Weak but improving</w:t>
            </w:r>
          </w:p>
        </w:tc>
        <w:tc>
          <w:tcPr>
            <w:tcW w:w="5640" w:type="dxa"/>
            <w:shd w:val="clear" w:color="auto" w:fill="FFFF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less than -0.5 in levels and more than 1.0 in changes</w:t>
            </w:r>
          </w:p>
        </w:tc>
        <w:tc>
          <w:tcPr>
            <w:tcW w:w="5640" w:type="dxa"/>
            <w:shd w:val="clear" w:color="auto" w:fill="FFFF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worse or much worse than the EU average but with the situation improving much faster than the EU average</w:t>
            </w:r>
          </w:p>
        </w:tc>
      </w:tr>
      <w:tr w:rsidR="00EF5220">
        <w:tc>
          <w:tcPr>
            <w:tcW w:w="2508" w:type="dxa"/>
            <w:shd w:val="clear" w:color="auto" w:fill="FFC00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To watch</w:t>
            </w:r>
          </w:p>
        </w:tc>
        <w:tc>
          <w:tcPr>
            <w:tcW w:w="5640" w:type="dxa"/>
            <w:shd w:val="clear" w:color="auto" w:fill="FFC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scoring between -0.5 and -1.0 in levels and less than 1.0 in changes </w:t>
            </w:r>
            <w:r>
              <w:rPr>
                <w:rFonts w:ascii="Times New Roman" w:hAnsi="Times New Roman" w:cs="Times New Roman"/>
                <w:noProof/>
                <w:sz w:val="20"/>
                <w:szCs w:val="20"/>
                <w:u w:val="single"/>
                <w:lang w:val="en-US"/>
              </w:rPr>
              <w:t>or</w:t>
            </w:r>
            <w:r>
              <w:rPr>
                <w:rFonts w:ascii="Times New Roman" w:hAnsi="Times New Roman" w:cs="Times New Roman"/>
                <w:noProof/>
                <w:sz w:val="20"/>
                <w:szCs w:val="20"/>
                <w:lang w:val="en-US"/>
              </w:rPr>
              <w:t xml:space="preserve"> scoring between  -0.5 and 0.5 in levels and less than -1.0 in changes (</w:t>
            </w:r>
            <w:r>
              <w:rPr>
                <w:rFonts w:ascii="Times New Roman" w:hAnsi="Times New Roman" w:cs="Times New Roman"/>
                <w:i/>
                <w:noProof/>
                <w:sz w:val="20"/>
                <w:szCs w:val="20"/>
                <w:lang w:val="en-US"/>
              </w:rPr>
              <w:t xml:space="preserve">and </w:t>
            </w:r>
            <w:r>
              <w:rPr>
                <w:rFonts w:ascii="Times New Roman" w:hAnsi="Times New Roman" w:cs="Times New Roman"/>
                <w:noProof/>
                <w:sz w:val="20"/>
                <w:szCs w:val="20"/>
                <w:lang w:val="en-US"/>
              </w:rPr>
              <w:t>presenting a change lower than zero</w:t>
            </w:r>
            <w:r>
              <w:rPr>
                <w:rStyle w:val="FootnoteReference"/>
                <w:rFonts w:ascii="Times New Roman" w:hAnsi="Times New Roman" w:cs="Times New Roman"/>
                <w:noProof/>
                <w:sz w:val="20"/>
                <w:szCs w:val="20"/>
                <w:lang w:val="en-US"/>
              </w:rPr>
              <w:footnoteReference w:id="127"/>
            </w:r>
            <w:r>
              <w:rPr>
                <w:rFonts w:ascii="Times New Roman" w:hAnsi="Times New Roman" w:cs="Times New Roman"/>
                <w:noProof/>
                <w:sz w:val="20"/>
                <w:szCs w:val="20"/>
                <w:lang w:val="en-US"/>
              </w:rPr>
              <w:t>)</w:t>
            </w:r>
          </w:p>
        </w:tc>
        <w:tc>
          <w:tcPr>
            <w:tcW w:w="5640" w:type="dxa"/>
            <w:shd w:val="clear" w:color="auto" w:fill="FFC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This category groups two different cases: i) Member States w</w:t>
            </w:r>
            <w:r>
              <w:rPr>
                <w:rFonts w:ascii="Times New Roman" w:hAnsi="Times New Roman" w:cs="Times New Roman"/>
                <w:noProof/>
                <w:sz w:val="20"/>
                <w:szCs w:val="20"/>
                <w:lang w:val="en-US"/>
              </w:rPr>
              <w:t>ith levels worse than the EU average and with the situation deteriorating or not improving sufficiently fast; ii) Member States with levels in line with the EU average but with the situation deteriorating much faster than the EU average</w:t>
            </w:r>
          </w:p>
        </w:tc>
      </w:tr>
      <w:tr w:rsidR="00EF5220">
        <w:tc>
          <w:tcPr>
            <w:tcW w:w="2508" w:type="dxa"/>
            <w:shd w:val="clear" w:color="auto" w:fill="FF0000"/>
          </w:tcPr>
          <w:p w:rsidR="00EF5220" w:rsidRDefault="00EF2564">
            <w:pPr>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Critical </w:t>
            </w:r>
            <w:r>
              <w:rPr>
                <w:rFonts w:ascii="Times New Roman" w:hAnsi="Times New Roman" w:cs="Times New Roman"/>
                <w:b/>
                <w:noProof/>
                <w:sz w:val="20"/>
                <w:szCs w:val="20"/>
                <w:lang w:val="en-US"/>
              </w:rPr>
              <w:t>situations</w:t>
            </w:r>
          </w:p>
        </w:tc>
        <w:tc>
          <w:tcPr>
            <w:tcW w:w="5640" w:type="dxa"/>
            <w:shd w:val="clear" w:color="auto" w:fill="FF0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scoring less than 1.0 in levels and less than 1.0 in changes</w:t>
            </w:r>
          </w:p>
        </w:tc>
        <w:tc>
          <w:tcPr>
            <w:tcW w:w="5640" w:type="dxa"/>
            <w:shd w:val="clear" w:color="auto" w:fill="FF0000"/>
          </w:tcPr>
          <w:p w:rsidR="00EF5220" w:rsidRDefault="00EF2564">
            <w:pPr>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Member States with levels much worse than the EU average and with the situation deteriorating or not improving sufficiently fast</w:t>
            </w:r>
          </w:p>
        </w:tc>
      </w:tr>
    </w:tbl>
    <w:p w:rsidR="00EF5220" w:rsidRDefault="00EF5220">
      <w:pPr>
        <w:rPr>
          <w:rFonts w:ascii="Times New Roman" w:hAnsi="Times New Roman" w:cs="Times New Roman"/>
          <w:b/>
          <w:i/>
          <w:noProof/>
          <w:sz w:val="24"/>
          <w:szCs w:val="24"/>
        </w:rPr>
      </w:pPr>
    </w:p>
    <w:p w:rsidR="00EF5220" w:rsidRDefault="00EF5220">
      <w:pPr>
        <w:rPr>
          <w:rFonts w:ascii="Times New Roman" w:hAnsi="Times New Roman" w:cs="Times New Roman"/>
          <w:b/>
          <w:i/>
          <w:noProof/>
          <w:sz w:val="24"/>
          <w:szCs w:val="24"/>
        </w:rPr>
      </w:pPr>
    </w:p>
    <w:p w:rsidR="00EF5220" w:rsidRDefault="00EF2564">
      <w:pPr>
        <w:rPr>
          <w:rFonts w:ascii="Times New Roman" w:hAnsi="Times New Roman" w:cs="Times New Roman"/>
          <w:b/>
          <w:i/>
          <w:noProof/>
          <w:sz w:val="24"/>
          <w:szCs w:val="24"/>
          <w:lang w:val="en-GB"/>
        </w:rPr>
      </w:pPr>
      <w:r>
        <w:rPr>
          <w:noProof/>
          <w:lang w:val="en-GB" w:eastAsia="en-GB" w:bidi="ar-SA"/>
        </w:rPr>
        <w:drawing>
          <wp:inline distT="0" distB="0" distL="0" distR="0">
            <wp:extent cx="5760720" cy="1325006"/>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5760720" cy="1325006"/>
                    </a:xfrm>
                    <a:prstGeom prst="rect">
                      <a:avLst/>
                    </a:prstGeom>
                    <a:noFill/>
                    <a:ln>
                      <a:noFill/>
                    </a:ln>
                  </pic:spPr>
                </pic:pic>
              </a:graphicData>
            </a:graphic>
          </wp:inline>
        </w:drawing>
      </w:r>
    </w:p>
    <w:p w:rsidR="00EF5220" w:rsidRDefault="00EF5220">
      <w:pPr>
        <w:rPr>
          <w:rFonts w:ascii="Times New Roman" w:hAnsi="Times New Roman" w:cs="Times New Roman"/>
          <w:b/>
          <w:i/>
          <w:noProof/>
          <w:sz w:val="24"/>
          <w:szCs w:val="24"/>
          <w:lang w:val="en-GB"/>
        </w:rPr>
      </w:pPr>
    </w:p>
    <w:p w:rsidR="00EF5220" w:rsidRDefault="00EF5220">
      <w:pPr>
        <w:rPr>
          <w:rFonts w:ascii="Times New Roman" w:hAnsi="Times New Roman" w:cs="Times New Roman"/>
          <w:b/>
          <w:i/>
          <w:noProof/>
          <w:sz w:val="24"/>
          <w:szCs w:val="24"/>
          <w:lang w:val="en-GB"/>
        </w:rPr>
        <w:sectPr w:rsidR="00EF5220">
          <w:headerReference w:type="even" r:id="rId110"/>
          <w:headerReference w:type="default" r:id="rId111"/>
          <w:footerReference w:type="even" r:id="rId112"/>
          <w:footerReference w:type="default" r:id="rId113"/>
          <w:headerReference w:type="first" r:id="rId114"/>
          <w:footerReference w:type="first" r:id="rId115"/>
          <w:pgSz w:w="11906" w:h="16838"/>
          <w:pgMar w:top="1417" w:right="1417" w:bottom="1417" w:left="1417" w:header="708" w:footer="708" w:gutter="0"/>
          <w:cols w:space="708"/>
          <w:docGrid w:linePitch="360"/>
        </w:sectPr>
      </w:pPr>
    </w:p>
    <w:p w:rsidR="00EF5220" w:rsidRDefault="00EF2564">
      <w:pPr>
        <w:spacing w:after="0"/>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Cut-off points summary table</w:t>
      </w:r>
    </w:p>
    <w:tbl>
      <w:tblPr>
        <w:tblW w:w="13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08"/>
        <w:gridCol w:w="845"/>
        <w:gridCol w:w="1361"/>
        <w:gridCol w:w="1360"/>
        <w:gridCol w:w="2218"/>
        <w:gridCol w:w="1532"/>
        <w:gridCol w:w="1492"/>
      </w:tblGrid>
      <w:tr w:rsidR="00EF5220">
        <w:trPr>
          <w:trHeight w:val="409"/>
        </w:trPr>
        <w:tc>
          <w:tcPr>
            <w:tcW w:w="4308" w:type="dxa"/>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20"/>
                <w:szCs w:val="20"/>
                <w:lang w:eastAsia="en-GB"/>
              </w:rPr>
            </w:pPr>
          </w:p>
        </w:tc>
        <w:tc>
          <w:tcPr>
            <w:tcW w:w="845" w:type="dxa"/>
            <w:shd w:val="clear" w:color="auto" w:fill="auto"/>
            <w:noWrap/>
            <w:vAlign w:val="center"/>
            <w:hideMark/>
          </w:tcPr>
          <w:p w:rsidR="00EF5220" w:rsidRDefault="00EF5220">
            <w:pPr>
              <w:spacing w:after="0" w:line="240" w:lineRule="auto"/>
              <w:jc w:val="center"/>
              <w:rPr>
                <w:rFonts w:ascii="Times New Roman" w:eastAsia="Times New Roman" w:hAnsi="Times New Roman" w:cs="Times New Roman"/>
                <w:b/>
                <w:noProof/>
                <w:color w:val="000000"/>
                <w:sz w:val="20"/>
                <w:szCs w:val="20"/>
                <w:lang w:eastAsia="en-GB"/>
              </w:rPr>
            </w:pP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Very low</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Low</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On average</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High</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Very high</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xml:space="preserve">Early leavers from education and training </w:t>
            </w:r>
          </w:p>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of poulation aged 18-24)</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5.</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7.</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7.</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 and 11.</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11.</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13.</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 xml:space="preserve">0 </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 and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Gender employment gap (pps)</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7.8pps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7.8pps and 13.</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13.</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w:t>
            </w:r>
            <w:r>
              <w:rPr>
                <w:rFonts w:ascii="Times New Roman" w:eastAsia="Times New Roman" w:hAnsi="Times New Roman" w:cs="Times New Roman"/>
                <w:noProof/>
                <w:color w:val="000000"/>
                <w:sz w:val="16"/>
                <w:szCs w:val="16"/>
                <w:lang w:eastAsia="en-GB"/>
              </w:rPr>
              <w:t xml:space="preserve"> than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 and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val="pt-PT" w:eastAsia="en-GB"/>
              </w:rPr>
            </w:pPr>
            <w:r>
              <w:rPr>
                <w:rFonts w:ascii="Times New Roman" w:eastAsia="Times New Roman" w:hAnsi="Times New Roman" w:cs="Times New Roman"/>
                <w:b/>
                <w:noProof/>
                <w:color w:val="000000"/>
                <w:sz w:val="16"/>
                <w:szCs w:val="16"/>
                <w:lang w:val="pt-PT" w:eastAsia="en-GB"/>
              </w:rPr>
              <w:t>Income quintile ratio (S80/S20)</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less than 3.</w:t>
            </w:r>
            <w:r>
              <w:rPr>
                <w:rFonts w:ascii="Times New Roman" w:eastAsia="Times New Roman" w:hAnsi="Times New Roman" w:cs="Times New Roman"/>
                <w:noProof/>
                <w:color w:val="000000"/>
                <w:sz w:val="16"/>
                <w:szCs w:val="16"/>
                <w:lang w:val="en-GB" w:eastAsia="en-GB"/>
              </w:rPr>
              <w:t>7</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less than 4.</w:t>
            </w:r>
            <w:r>
              <w:rPr>
                <w:rFonts w:ascii="Times New Roman" w:eastAsia="Times New Roman" w:hAnsi="Times New Roman" w:cs="Times New Roman"/>
                <w:noProof/>
                <w:color w:val="000000"/>
                <w:sz w:val="16"/>
                <w:szCs w:val="16"/>
                <w:lang w:val="en-GB" w:eastAsia="en-GB"/>
              </w:rPr>
              <w:t>3</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between 4.</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 xml:space="preserve"> and 5.</w:t>
            </w:r>
            <w:r>
              <w:rPr>
                <w:rFonts w:ascii="Times New Roman" w:eastAsia="Times New Roman" w:hAnsi="Times New Roman" w:cs="Times New Roman"/>
                <w:noProof/>
                <w:color w:val="000000"/>
                <w:sz w:val="16"/>
                <w:szCs w:val="16"/>
                <w:lang w:val="en-GB" w:eastAsia="en-GB"/>
              </w:rPr>
              <w:t>6</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more than 5.</w:t>
            </w:r>
            <w:r>
              <w:rPr>
                <w:rFonts w:ascii="Times New Roman" w:eastAsia="Times New Roman" w:hAnsi="Times New Roman" w:cs="Times New Roman"/>
                <w:noProof/>
                <w:color w:val="000000"/>
                <w:sz w:val="16"/>
                <w:szCs w:val="16"/>
                <w:lang w:val="en-GB" w:eastAsia="en-GB"/>
              </w:rPr>
              <w:t>6</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more than 6.</w:t>
            </w:r>
            <w:r>
              <w:rPr>
                <w:rFonts w:ascii="Times New Roman" w:eastAsia="Times New Roman" w:hAnsi="Times New Roman" w:cs="Times New Roman"/>
                <w:noProof/>
                <w:color w:val="000000"/>
                <w:sz w:val="16"/>
                <w:szCs w:val="16"/>
                <w:lang w:val="en-GB" w:eastAsia="en-GB"/>
              </w:rPr>
              <w:t>2</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less than -0.</w:t>
            </w:r>
            <w:r>
              <w:rPr>
                <w:rFonts w:ascii="Times New Roman" w:eastAsia="Times New Roman" w:hAnsi="Times New Roman" w:cs="Times New Roman"/>
                <w:noProof/>
                <w:color w:val="000000"/>
                <w:sz w:val="16"/>
                <w:szCs w:val="16"/>
                <w:lang w:val="en-GB" w:eastAsia="en-GB"/>
              </w:rPr>
              <w:t>3</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-0.2</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between</w:t>
            </w:r>
            <w:r>
              <w:rPr>
                <w:rFonts w:ascii="Times New Roman" w:eastAsia="Times New Roman" w:hAnsi="Times New Roman" w:cs="Times New Roman"/>
                <w:noProof/>
                <w:color w:val="000000"/>
                <w:sz w:val="16"/>
                <w:szCs w:val="16"/>
                <w:lang w:eastAsia="en-GB"/>
              </w:rPr>
              <w:t xml:space="preserve"> -0.2 and 0.</w:t>
            </w:r>
            <w:r>
              <w:rPr>
                <w:rFonts w:ascii="Times New Roman" w:eastAsia="Times New Roman" w:hAnsi="Times New Roman" w:cs="Times New Roman"/>
                <w:noProof/>
                <w:color w:val="000000"/>
                <w:sz w:val="16"/>
                <w:szCs w:val="16"/>
                <w:lang w:val="en-GB" w:eastAsia="en-GB"/>
              </w:rPr>
              <w:t>0</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0</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2</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At risk of poverty or social exclusion (%)</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16.</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19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between </w:t>
            </w:r>
            <w:r>
              <w:rPr>
                <w:rFonts w:ascii="Times New Roman" w:eastAsia="Times New Roman" w:hAnsi="Times New Roman" w:cs="Times New Roman"/>
                <w:noProof/>
                <w:color w:val="000000"/>
                <w:sz w:val="16"/>
                <w:szCs w:val="16"/>
                <w:lang w:val="en-GB" w:eastAsia="en-GB"/>
              </w:rPr>
              <w:t>19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 and 2</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2</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29</w:t>
            </w:r>
            <w:r>
              <w:rPr>
                <w:rFonts w:ascii="Times New Roman" w:eastAsia="Times New Roman" w:hAnsi="Times New Roman" w:cs="Times New Roman"/>
                <w:noProof/>
                <w:color w:val="000000"/>
                <w:sz w:val="16"/>
                <w:szCs w:val="16"/>
                <w:lang w:eastAsia="en-GB"/>
              </w:rPr>
              <w:t>.7%</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 xml:space="preserve">pps and </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0.</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Youth NEET (% of total population aged 15-24)</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6.</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between </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 and 1</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.2%</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-1.5pps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-1.1pps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-1.1pps and -0.</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w:t>
            </w:r>
            <w:r>
              <w:rPr>
                <w:rFonts w:ascii="Times New Roman" w:eastAsia="Times New Roman" w:hAnsi="Times New Roman" w:cs="Times New Roman"/>
                <w:noProof/>
                <w:color w:val="000000"/>
                <w:sz w:val="16"/>
                <w:szCs w:val="16"/>
                <w:lang w:eastAsia="en-GB"/>
              </w:rPr>
              <w:t>than -0.</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xml:space="preserve">Employment rate (% population aged 20-64) </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6</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6</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6</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 and 7</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7</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7</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between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 and 1.</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 xml:space="preserve">Unemployment rate (% </w:t>
            </w:r>
            <w:r>
              <w:rPr>
                <w:rFonts w:ascii="Times New Roman" w:eastAsia="Times New Roman" w:hAnsi="Times New Roman" w:cs="Times New Roman"/>
                <w:b/>
                <w:noProof/>
                <w:color w:val="000000"/>
                <w:sz w:val="16"/>
                <w:szCs w:val="16"/>
                <w:lang w:val="en-GB" w:eastAsia="en-GB"/>
              </w:rPr>
              <w:t xml:space="preserve">active </w:t>
            </w:r>
            <w:r>
              <w:rPr>
                <w:rFonts w:ascii="Times New Roman" w:eastAsia="Times New Roman" w:hAnsi="Times New Roman" w:cs="Times New Roman"/>
                <w:b/>
                <w:noProof/>
                <w:color w:val="000000"/>
                <w:sz w:val="16"/>
                <w:szCs w:val="16"/>
                <w:lang w:eastAsia="en-GB"/>
              </w:rPr>
              <w:t xml:space="preserve">population aged 15-74) </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between </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 xml:space="preserve">% and </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1</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-1.7pps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 and -0.</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w:t>
            </w:r>
            <w:r>
              <w:rPr>
                <w:rFonts w:ascii="Times New Roman" w:eastAsia="Times New Roman" w:hAnsi="Times New Roman" w:cs="Times New Roman"/>
                <w:noProof/>
                <w:color w:val="000000"/>
                <w:sz w:val="16"/>
                <w:szCs w:val="16"/>
                <w:lang w:eastAsia="en-GB"/>
              </w:rPr>
              <w:t xml:space="preserve"> than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val="en-GB" w:eastAsia="en-GB"/>
              </w:rPr>
              <w:t>Long-term u</w:t>
            </w:r>
            <w:r>
              <w:rPr>
                <w:rFonts w:ascii="Times New Roman" w:eastAsia="Times New Roman" w:hAnsi="Times New Roman" w:cs="Times New Roman"/>
                <w:b/>
                <w:noProof/>
                <w:color w:val="000000"/>
                <w:sz w:val="16"/>
                <w:szCs w:val="16"/>
                <w:lang w:eastAsia="en-GB"/>
              </w:rPr>
              <w:t xml:space="preserve">nemployment rate (% </w:t>
            </w:r>
            <w:r>
              <w:rPr>
                <w:rFonts w:ascii="Times New Roman" w:eastAsia="Times New Roman" w:hAnsi="Times New Roman" w:cs="Times New Roman"/>
                <w:b/>
                <w:noProof/>
                <w:color w:val="000000"/>
                <w:sz w:val="16"/>
                <w:szCs w:val="16"/>
                <w:lang w:val="en-GB" w:eastAsia="en-GB"/>
              </w:rPr>
              <w:t xml:space="preserve">active </w:t>
            </w:r>
            <w:r>
              <w:rPr>
                <w:rFonts w:ascii="Times New Roman" w:eastAsia="Times New Roman" w:hAnsi="Times New Roman" w:cs="Times New Roman"/>
                <w:b/>
                <w:noProof/>
                <w:color w:val="000000"/>
                <w:sz w:val="16"/>
                <w:szCs w:val="16"/>
                <w:lang w:eastAsia="en-GB"/>
              </w:rPr>
              <w:t>population aged 15-74)</w:t>
            </w:r>
          </w:p>
        </w:tc>
        <w:tc>
          <w:tcPr>
            <w:tcW w:w="845"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between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 xml:space="preserve">% and </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p>
        </w:tc>
      </w:tr>
      <w:tr w:rsidR="00EF5220">
        <w:trPr>
          <w:trHeight w:hRule="exact" w:val="258"/>
        </w:trPr>
        <w:tc>
          <w:tcPr>
            <w:tcW w:w="4308" w:type="dxa"/>
            <w:vMerge/>
            <w:shd w:val="clear" w:color="auto" w:fill="auto"/>
            <w:vAlign w:val="center"/>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 and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Real GDHI per capita (2008 = 100)</w:t>
            </w:r>
          </w:p>
        </w:tc>
        <w:tc>
          <w:tcPr>
            <w:tcW w:w="845"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less than 9</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7</w:t>
            </w:r>
          </w:p>
        </w:tc>
        <w:tc>
          <w:tcPr>
            <w:tcW w:w="1360"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less than 9</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1</w:t>
            </w:r>
          </w:p>
        </w:tc>
        <w:tc>
          <w:tcPr>
            <w:tcW w:w="2218"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 xml:space="preserve">between </w:t>
            </w:r>
            <w:r>
              <w:rPr>
                <w:rFonts w:ascii="Times New Roman" w:eastAsia="Times New Roman" w:hAnsi="Times New Roman" w:cs="Times New Roman"/>
                <w:noProof/>
                <w:color w:val="000000"/>
                <w:sz w:val="16"/>
                <w:szCs w:val="16"/>
                <w:lang w:val="en-GB" w:eastAsia="en-GB"/>
              </w:rPr>
              <w:t>97</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 and 1</w:t>
            </w:r>
            <w:r>
              <w:rPr>
                <w:rFonts w:ascii="Times New Roman" w:eastAsia="Times New Roman" w:hAnsi="Times New Roman" w:cs="Times New Roman"/>
                <w:noProof/>
                <w:color w:val="000000"/>
                <w:sz w:val="16"/>
                <w:szCs w:val="16"/>
                <w:lang w:val="en-GB" w:eastAsia="en-GB"/>
              </w:rPr>
              <w:t>10</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0</w:t>
            </w:r>
          </w:p>
        </w:tc>
        <w:tc>
          <w:tcPr>
            <w:tcW w:w="153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more than 1</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0.</w:t>
            </w:r>
            <w:r>
              <w:rPr>
                <w:rFonts w:ascii="Times New Roman" w:eastAsia="Times New Roman" w:hAnsi="Times New Roman" w:cs="Times New Roman"/>
                <w:noProof/>
                <w:color w:val="000000"/>
                <w:sz w:val="16"/>
                <w:szCs w:val="16"/>
                <w:lang w:val="en-GB" w:eastAsia="en-GB"/>
              </w:rPr>
              <w:t>0</w:t>
            </w:r>
          </w:p>
        </w:tc>
        <w:tc>
          <w:tcPr>
            <w:tcW w:w="149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val="en-GB" w:eastAsia="en-GB"/>
              </w:rPr>
            </w:pPr>
            <w:r>
              <w:rPr>
                <w:rFonts w:ascii="Times New Roman" w:eastAsia="Times New Roman" w:hAnsi="Times New Roman" w:cs="Times New Roman"/>
                <w:noProof/>
                <w:color w:val="000000"/>
                <w:sz w:val="16"/>
                <w:szCs w:val="16"/>
                <w:lang w:eastAsia="en-GB"/>
              </w:rPr>
              <w:t>more than 1</w:t>
            </w:r>
            <w:r>
              <w:rPr>
                <w:rFonts w:ascii="Times New Roman" w:eastAsia="Times New Roman" w:hAnsi="Times New Roman" w:cs="Times New Roman"/>
                <w:noProof/>
                <w:color w:val="000000"/>
                <w:sz w:val="16"/>
                <w:szCs w:val="16"/>
                <w:lang w:val="en-GB" w:eastAsia="en-GB"/>
              </w:rPr>
              <w:t>16</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p>
        </w:tc>
      </w:tr>
      <w:tr w:rsidR="00EF5220">
        <w:trPr>
          <w:trHeight w:hRule="exact" w:val="258"/>
        </w:trPr>
        <w:tc>
          <w:tcPr>
            <w:tcW w:w="4308" w:type="dxa"/>
            <w:vMerge/>
            <w:shd w:val="clear" w:color="auto" w:fill="auto"/>
            <w:vAlign w:val="center"/>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 xml:space="preserve">pps and </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.8pps</w:t>
            </w:r>
          </w:p>
        </w:tc>
        <w:tc>
          <w:tcPr>
            <w:tcW w:w="153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.8pps</w:t>
            </w:r>
          </w:p>
        </w:tc>
        <w:tc>
          <w:tcPr>
            <w:tcW w:w="149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pps</w:t>
            </w:r>
          </w:p>
        </w:tc>
      </w:tr>
      <w:tr w:rsidR="00EF5220">
        <w:trPr>
          <w:trHeight w:val="341"/>
        </w:trPr>
        <w:tc>
          <w:tcPr>
            <w:tcW w:w="4308" w:type="dxa"/>
            <w:vMerge w:val="restart"/>
            <w:shd w:val="clear" w:color="auto" w:fill="auto"/>
            <w:vAlign w:val="center"/>
          </w:tcPr>
          <w:p w:rsidR="00EF5220" w:rsidRDefault="00EF2564">
            <w:pPr>
              <w:spacing w:after="0" w:line="240" w:lineRule="auto"/>
              <w:rPr>
                <w:rFonts w:ascii="Times New Roman" w:eastAsia="Times New Roman" w:hAnsi="Times New Roman" w:cs="Times New Roman"/>
                <w:b/>
                <w:noProof/>
                <w:color w:val="000000"/>
                <w:sz w:val="16"/>
                <w:szCs w:val="16"/>
                <w:lang w:val="en-GB" w:eastAsia="en-GB"/>
              </w:rPr>
            </w:pPr>
            <w:r>
              <w:rPr>
                <w:rFonts w:ascii="Times New Roman" w:eastAsia="Times New Roman" w:hAnsi="Times New Roman" w:cs="Times New Roman"/>
                <w:b/>
                <w:noProof/>
                <w:color w:val="000000"/>
                <w:sz w:val="16"/>
                <w:szCs w:val="16"/>
                <w:lang w:val="en-GB" w:eastAsia="en-GB"/>
              </w:rPr>
              <w:t xml:space="preserve">Net </w:t>
            </w:r>
            <w:r>
              <w:rPr>
                <w:rFonts w:ascii="Times New Roman" w:eastAsia="Times New Roman" w:hAnsi="Times New Roman" w:cs="Times New Roman"/>
                <w:b/>
                <w:noProof/>
                <w:color w:val="000000"/>
                <w:sz w:val="16"/>
                <w:szCs w:val="16"/>
                <w:lang w:val="en-GB" w:eastAsia="en-GB"/>
              </w:rPr>
              <w:t>earnings of a full time single worker earning the average wage (levels in PPS, changes in national currency in real terms)</w:t>
            </w:r>
          </w:p>
        </w:tc>
        <w:tc>
          <w:tcPr>
            <w:tcW w:w="845"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12</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559</w:t>
            </w:r>
          </w:p>
        </w:tc>
        <w:tc>
          <w:tcPr>
            <w:tcW w:w="1360"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16</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115</w:t>
            </w:r>
          </w:p>
        </w:tc>
        <w:tc>
          <w:tcPr>
            <w:tcW w:w="2218"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16</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115</w:t>
            </w:r>
            <w:r>
              <w:rPr>
                <w:rFonts w:ascii="Times New Roman" w:eastAsia="Times New Roman" w:hAnsi="Times New Roman" w:cs="Times New Roman"/>
                <w:noProof/>
                <w:color w:val="000000"/>
                <w:sz w:val="16"/>
                <w:szCs w:val="16"/>
                <w:lang w:val="en-GB" w:eastAsia="en-GB"/>
              </w:rPr>
              <w:t xml:space="preserve"> </w:t>
            </w:r>
            <w:r>
              <w:rPr>
                <w:rFonts w:ascii="Times New Roman" w:eastAsia="Times New Roman" w:hAnsi="Times New Roman" w:cs="Times New Roman"/>
                <w:noProof/>
                <w:color w:val="000000"/>
                <w:sz w:val="16"/>
                <w:szCs w:val="16"/>
                <w:lang w:eastAsia="en-GB"/>
              </w:rPr>
              <w:t>and 23</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228</w:t>
            </w:r>
          </w:p>
        </w:tc>
        <w:tc>
          <w:tcPr>
            <w:tcW w:w="153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23</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228</w:t>
            </w:r>
          </w:p>
        </w:tc>
        <w:tc>
          <w:tcPr>
            <w:tcW w:w="149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26</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784</w:t>
            </w:r>
          </w:p>
        </w:tc>
      </w:tr>
      <w:tr w:rsidR="00EF5220">
        <w:trPr>
          <w:trHeight w:val="341"/>
        </w:trPr>
        <w:tc>
          <w:tcPr>
            <w:tcW w:w="4308" w:type="dxa"/>
            <w:vMerge/>
            <w:shd w:val="clear" w:color="auto" w:fill="auto"/>
            <w:vAlign w:val="center"/>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w:t>
            </w:r>
            <w:r>
              <w:rPr>
                <w:rFonts w:ascii="Times New Roman" w:eastAsia="Times New Roman" w:hAnsi="Times New Roman" w:cs="Times New Roman"/>
                <w:noProof/>
                <w:color w:val="000000"/>
                <w:sz w:val="16"/>
                <w:szCs w:val="16"/>
                <w:lang w:eastAsia="en-GB"/>
              </w:rPr>
              <w:t>0.</w:t>
            </w:r>
            <w:r>
              <w:rPr>
                <w:rFonts w:ascii="Times New Roman" w:eastAsia="Times New Roman" w:hAnsi="Times New Roman" w:cs="Times New Roman"/>
                <w:noProof/>
                <w:color w:val="000000"/>
                <w:sz w:val="16"/>
                <w:szCs w:val="16"/>
                <w:lang w:val="en-GB" w:eastAsia="en-GB"/>
              </w:rPr>
              <w:t>1%</w:t>
            </w:r>
          </w:p>
        </w:tc>
        <w:tc>
          <w:tcPr>
            <w:tcW w:w="1360"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w:t>
            </w:r>
            <w:r>
              <w:rPr>
                <w:rFonts w:ascii="Times New Roman" w:eastAsia="Times New Roman" w:hAnsi="Times New Roman" w:cs="Times New Roman"/>
                <w:noProof/>
                <w:color w:val="000000"/>
                <w:sz w:val="16"/>
                <w:szCs w:val="16"/>
                <w:lang w:eastAsia="en-GB"/>
              </w:rPr>
              <w:t>than 1.</w:t>
            </w:r>
            <w:r>
              <w:rPr>
                <w:rFonts w:ascii="Times New Roman" w:eastAsia="Times New Roman" w:hAnsi="Times New Roman" w:cs="Times New Roman"/>
                <w:noProof/>
                <w:color w:val="000000"/>
                <w:sz w:val="16"/>
                <w:szCs w:val="16"/>
                <w:lang w:val="en-GB" w:eastAsia="en-GB"/>
              </w:rPr>
              <w:t>2%</w:t>
            </w:r>
          </w:p>
        </w:tc>
        <w:tc>
          <w:tcPr>
            <w:tcW w:w="2218"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 xml:space="preserve"> and </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p>
        </w:tc>
        <w:tc>
          <w:tcPr>
            <w:tcW w:w="153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p>
        </w:tc>
        <w:tc>
          <w:tcPr>
            <w:tcW w:w="1492" w:type="dxa"/>
            <w:shd w:val="clear" w:color="auto" w:fill="auto"/>
            <w:noWrap/>
            <w:vAlign w:val="center"/>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2%</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Impact of social transfers (other than pensions) on poverty reduction (%)</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22.</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2</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 xml:space="preserve">% and </w:t>
            </w:r>
            <w:r>
              <w:rPr>
                <w:rFonts w:ascii="Times New Roman" w:eastAsia="Times New Roman" w:hAnsi="Times New Roman" w:cs="Times New Roman"/>
                <w:noProof/>
                <w:color w:val="000000"/>
                <w:sz w:val="16"/>
                <w:szCs w:val="16"/>
                <w:lang w:val="en-GB" w:eastAsia="en-GB"/>
              </w:rPr>
              <w:t>39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39</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4</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-3.</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 xml:space="preserve">pps and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5</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Children aged less than 3 years in formal childcare (%)</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12</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val="en-GB" w:eastAsia="en-GB"/>
              </w:rPr>
              <w:t>21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between </w:t>
            </w:r>
            <w:r>
              <w:rPr>
                <w:rFonts w:ascii="Times New Roman" w:eastAsia="Times New Roman" w:hAnsi="Times New Roman" w:cs="Times New Roman"/>
                <w:noProof/>
                <w:color w:val="000000"/>
                <w:sz w:val="16"/>
                <w:szCs w:val="16"/>
                <w:lang w:val="en-GB" w:eastAsia="en-GB"/>
              </w:rPr>
              <w:t>21</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 and 3</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w:t>
            </w:r>
            <w:r>
              <w:rPr>
                <w:rFonts w:ascii="Times New Roman" w:eastAsia="Times New Roman" w:hAnsi="Times New Roman" w:cs="Times New Roman"/>
                <w:noProof/>
                <w:color w:val="000000"/>
                <w:sz w:val="16"/>
                <w:szCs w:val="16"/>
                <w:lang w:val="en-GB" w:eastAsia="en-GB"/>
              </w:rPr>
              <w:t>8</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4</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than </w:t>
            </w:r>
            <w:r>
              <w:rPr>
                <w:rFonts w:ascii="Times New Roman" w:eastAsia="Times New Roman" w:hAnsi="Times New Roman" w:cs="Times New Roman"/>
                <w:noProof/>
                <w:color w:val="000000"/>
                <w:sz w:val="16"/>
                <w:szCs w:val="16"/>
                <w:lang w:eastAsia="en-GB"/>
              </w:rPr>
              <w:t>-3.</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 xml:space="preserve">pps and </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6</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Self-reported unmet need for medical care (%)</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1.</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 xml:space="preserve">% and </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than </w:t>
            </w:r>
            <w:r>
              <w:rPr>
                <w:rFonts w:ascii="Times New Roman" w:eastAsia="Times New Roman" w:hAnsi="Times New Roman" w:cs="Times New Roman"/>
                <w:noProof/>
                <w:color w:val="000000"/>
                <w:sz w:val="16"/>
                <w:szCs w:val="16"/>
                <w:lang w:val="en-GB" w:eastAsia="en-GB"/>
              </w:rPr>
              <w:t>3</w:t>
            </w:r>
            <w:r>
              <w:rPr>
                <w:rFonts w:ascii="Times New Roman" w:eastAsia="Times New Roman" w:hAnsi="Times New Roman" w:cs="Times New Roman"/>
                <w:noProof/>
                <w:color w:val="000000"/>
                <w:sz w:val="16"/>
                <w:szCs w:val="16"/>
                <w:lang w:eastAsia="en-GB"/>
              </w:rPr>
              <w:t>.</w:t>
            </w:r>
            <w:r>
              <w:rPr>
                <w:rFonts w:ascii="Times New Roman" w:eastAsia="Times New Roman" w:hAnsi="Times New Roman" w:cs="Times New Roman"/>
                <w:noProof/>
                <w:color w:val="000000"/>
                <w:sz w:val="16"/>
                <w:szCs w:val="16"/>
                <w:lang w:val="en-GB" w:eastAsia="en-GB"/>
              </w:rPr>
              <w:t>9</w:t>
            </w:r>
            <w:r>
              <w:rPr>
                <w:rFonts w:ascii="Times New Roman" w:eastAsia="Times New Roman" w:hAnsi="Times New Roman" w:cs="Times New Roman"/>
                <w:noProof/>
                <w:color w:val="000000"/>
                <w:sz w:val="16"/>
                <w:szCs w:val="16"/>
                <w:lang w:eastAsia="en-GB"/>
              </w:rPr>
              <w:t>%</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5.</w:t>
            </w:r>
            <w:r>
              <w:rPr>
                <w:rFonts w:ascii="Times New Roman" w:eastAsia="Times New Roman" w:hAnsi="Times New Roman" w:cs="Times New Roman"/>
                <w:noProof/>
                <w:color w:val="000000"/>
                <w:sz w:val="16"/>
                <w:szCs w:val="16"/>
                <w:lang w:val="en-GB" w:eastAsia="en-GB"/>
              </w:rPr>
              <w:t>4</w:t>
            </w:r>
            <w:r>
              <w:rPr>
                <w:rFonts w:ascii="Times New Roman" w:eastAsia="Times New Roman" w:hAnsi="Times New Roman" w:cs="Times New Roman"/>
                <w:noProof/>
                <w:color w:val="000000"/>
                <w:sz w:val="16"/>
                <w:szCs w:val="16"/>
                <w:lang w:eastAsia="en-GB"/>
              </w:rPr>
              <w:t>%</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-2.</w:t>
            </w:r>
            <w:r>
              <w:rPr>
                <w:rFonts w:ascii="Times New Roman" w:eastAsia="Times New Roman" w:hAnsi="Times New Roman" w:cs="Times New Roman"/>
                <w:noProof/>
                <w:color w:val="000000"/>
                <w:sz w:val="16"/>
                <w:szCs w:val="16"/>
                <w:lang w:val="en-GB" w:eastAsia="en-GB"/>
              </w:rPr>
              <w:t>2</w:t>
            </w:r>
            <w:r>
              <w:rPr>
                <w:rFonts w:ascii="Times New Roman" w:eastAsia="Times New Roman" w:hAnsi="Times New Roman" w:cs="Times New Roman"/>
                <w:noProof/>
                <w:color w:val="000000"/>
                <w:sz w:val="16"/>
                <w:szCs w:val="16"/>
                <w:lang w:eastAsia="en-GB"/>
              </w:rPr>
              <w:t>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less </w:t>
            </w:r>
            <w:r>
              <w:rPr>
                <w:rFonts w:ascii="Times New Roman" w:eastAsia="Times New Roman" w:hAnsi="Times New Roman" w:cs="Times New Roman"/>
                <w:noProof/>
                <w:color w:val="000000"/>
                <w:sz w:val="16"/>
                <w:szCs w:val="16"/>
                <w:lang w:eastAsia="en-GB"/>
              </w:rPr>
              <w:t>than -1.5pps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-1.5pps and 0.</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0</w:t>
            </w:r>
            <w:r>
              <w:rPr>
                <w:rFonts w:ascii="Times New Roman" w:eastAsia="Times New Roman" w:hAnsi="Times New Roman" w:cs="Times New Roman"/>
                <w:noProof/>
                <w:color w:val="000000"/>
                <w:sz w:val="16"/>
                <w:szCs w:val="16"/>
                <w:lang w:eastAsia="en-GB"/>
              </w:rPr>
              <w:t>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0.</w:t>
            </w:r>
            <w:r>
              <w:rPr>
                <w:rFonts w:ascii="Times New Roman" w:eastAsia="Times New Roman" w:hAnsi="Times New Roman" w:cs="Times New Roman"/>
                <w:noProof/>
                <w:color w:val="000000"/>
                <w:sz w:val="16"/>
                <w:szCs w:val="16"/>
                <w:lang w:val="en-GB" w:eastAsia="en-GB"/>
              </w:rPr>
              <w:t>7</w:t>
            </w:r>
            <w:r>
              <w:rPr>
                <w:rFonts w:ascii="Times New Roman" w:eastAsia="Times New Roman" w:hAnsi="Times New Roman" w:cs="Times New Roman"/>
                <w:noProof/>
                <w:color w:val="000000"/>
                <w:sz w:val="16"/>
                <w:szCs w:val="16"/>
                <w:lang w:eastAsia="en-GB"/>
              </w:rPr>
              <w:t>pps</w:t>
            </w:r>
          </w:p>
        </w:tc>
      </w:tr>
      <w:tr w:rsidR="00EF5220">
        <w:trPr>
          <w:trHeight w:hRule="exact" w:val="258"/>
        </w:trPr>
        <w:tc>
          <w:tcPr>
            <w:tcW w:w="4308" w:type="dxa"/>
            <w:vMerge w:val="restart"/>
            <w:shd w:val="clear" w:color="auto" w:fill="auto"/>
            <w:vAlign w:val="center"/>
            <w:hideMark/>
          </w:tcPr>
          <w:p w:rsidR="00EF5220" w:rsidRDefault="00EF2564">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Individuals who have basic or above basic overall digital skills (% of population aged 16-74)</w:t>
            </w: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Levels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43.4%</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50.4%</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50.4% and 64.3%</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64.3%</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more </w:t>
            </w:r>
            <w:r>
              <w:rPr>
                <w:rFonts w:ascii="Times New Roman" w:eastAsia="Times New Roman" w:hAnsi="Times New Roman" w:cs="Times New Roman"/>
                <w:noProof/>
                <w:color w:val="000000"/>
                <w:sz w:val="16"/>
                <w:szCs w:val="16"/>
                <w:lang w:eastAsia="en-GB"/>
              </w:rPr>
              <w:t>than 71.3%</w:t>
            </w:r>
          </w:p>
        </w:tc>
      </w:tr>
      <w:tr w:rsidR="00EF5220">
        <w:trPr>
          <w:trHeight w:hRule="exact" w:val="258"/>
        </w:trPr>
        <w:tc>
          <w:tcPr>
            <w:tcW w:w="4308" w:type="dxa"/>
            <w:vMerge/>
            <w:shd w:val="clear" w:color="auto" w:fill="auto"/>
            <w:vAlign w:val="center"/>
            <w:hideMark/>
          </w:tcPr>
          <w:p w:rsidR="00EF5220" w:rsidRDefault="00EF5220">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Changes</w:t>
            </w:r>
          </w:p>
        </w:tc>
        <w:tc>
          <w:tcPr>
            <w:tcW w:w="1361"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-3.0pps</w:t>
            </w:r>
          </w:p>
        </w:tc>
        <w:tc>
          <w:tcPr>
            <w:tcW w:w="1360"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less than -0.9pps</w:t>
            </w:r>
          </w:p>
        </w:tc>
        <w:tc>
          <w:tcPr>
            <w:tcW w:w="2218"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between -0.9pps and 3.5pps</w:t>
            </w:r>
          </w:p>
        </w:tc>
        <w:tc>
          <w:tcPr>
            <w:tcW w:w="153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3.5pps</w:t>
            </w:r>
          </w:p>
        </w:tc>
        <w:tc>
          <w:tcPr>
            <w:tcW w:w="1492" w:type="dxa"/>
            <w:shd w:val="clear" w:color="auto" w:fill="auto"/>
            <w:noWrap/>
            <w:vAlign w:val="center"/>
            <w:hideMark/>
          </w:tcPr>
          <w:p w:rsidR="00EF5220" w:rsidRDefault="00EF2564">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more than 5.6pps</w:t>
            </w:r>
          </w:p>
        </w:tc>
      </w:tr>
    </w:tbl>
    <w:p w:rsidR="00EF5220" w:rsidRDefault="00EF5220">
      <w:pPr>
        <w:spacing w:line="360" w:lineRule="auto"/>
        <w:contextualSpacing/>
        <w:jc w:val="both"/>
        <w:rPr>
          <w:rFonts w:ascii="Times New Roman" w:hAnsi="Times New Roman" w:cs="Times New Roman"/>
          <w:b/>
          <w:noProof/>
          <w:sz w:val="24"/>
          <w:lang w:val="en-GB"/>
        </w:rPr>
        <w:sectPr w:rsidR="00EF5220">
          <w:headerReference w:type="even" r:id="rId116"/>
          <w:headerReference w:type="default" r:id="rId117"/>
          <w:footerReference w:type="even" r:id="rId118"/>
          <w:footerReference w:type="default" r:id="rId119"/>
          <w:headerReference w:type="first" r:id="rId120"/>
          <w:footerReference w:type="first" r:id="rId121"/>
          <w:pgSz w:w="16838" w:h="11906" w:orient="landscape"/>
          <w:pgMar w:top="1417" w:right="1417" w:bottom="1417" w:left="1417" w:header="708" w:footer="708" w:gutter="0"/>
          <w:cols w:space="708"/>
          <w:docGrid w:linePitch="360"/>
        </w:sectPr>
      </w:pPr>
    </w:p>
    <w:p w:rsidR="00EF5220" w:rsidRDefault="00EF2564">
      <w:pPr>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Annex 4: Summary overview of the ‘employment trends to watch’ and number</w:t>
      </w:r>
      <w:r>
        <w:rPr>
          <w:rFonts w:ascii="Times New Roman" w:eastAsia="Calibri" w:hAnsi="Times New Roman" w:cs="Times New Roman"/>
          <w:b/>
          <w:noProof/>
          <w:sz w:val="24"/>
          <w:szCs w:val="24"/>
        </w:rPr>
        <w:t xml:space="preserve"> of Member States with deterioration or improvement as identified by the 201</w:t>
      </w:r>
      <w:r>
        <w:rPr>
          <w:rFonts w:ascii="Times New Roman" w:eastAsia="Calibri" w:hAnsi="Times New Roman" w:cs="Times New Roman"/>
          <w:b/>
          <w:noProof/>
          <w:sz w:val="24"/>
          <w:szCs w:val="24"/>
          <w:lang w:val="en-GB"/>
        </w:rPr>
        <w:t>8</w:t>
      </w:r>
      <w:r>
        <w:rPr>
          <w:rFonts w:ascii="Times New Roman" w:eastAsia="Calibri" w:hAnsi="Times New Roman" w:cs="Times New Roman"/>
          <w:b/>
          <w:noProof/>
          <w:sz w:val="24"/>
          <w:szCs w:val="24"/>
        </w:rPr>
        <w:t xml:space="preserve"> Employment Performance Monitor (EPM).</w:t>
      </w:r>
    </w:p>
    <w:p w:rsidR="00EF5220" w:rsidRDefault="00EF2564">
      <w:pPr>
        <w:jc w:val="both"/>
        <w:rPr>
          <w:rFonts w:ascii="Times New Roman" w:hAnsi="Times New Roman" w:cs="Times New Roman"/>
          <w:noProof/>
          <w:sz w:val="20"/>
          <w:szCs w:val="20"/>
        </w:rPr>
      </w:pPr>
      <w:r>
        <w:rPr>
          <w:rFonts w:ascii="Times New Roman" w:hAnsi="Times New Roman" w:cs="Times New Roman"/>
          <w:noProof/>
          <w:sz w:val="20"/>
          <w:lang w:val="en-GB" w:eastAsia="en-GB" w:bidi="ar-SA"/>
        </w:rPr>
        <w:drawing>
          <wp:inline distT="0" distB="0" distL="0" distR="0">
            <wp:extent cx="5874105" cy="3290941"/>
            <wp:effectExtent l="0" t="0" r="0" b="508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5877800" cy="3293011"/>
                    </a:xfrm>
                    <a:prstGeom prst="rect">
                      <a:avLst/>
                    </a:prstGeom>
                    <a:noFill/>
                  </pic:spPr>
                </pic:pic>
              </a:graphicData>
            </a:graphic>
          </wp:inline>
        </w:drawing>
      </w:r>
    </w:p>
    <w:p w:rsidR="00EF5220" w:rsidRDefault="00EF2564">
      <w:pPr>
        <w:jc w:val="both"/>
        <w:rPr>
          <w:rFonts w:ascii="Times New Roman" w:hAnsi="Times New Roman" w:cs="Times New Roman"/>
          <w:noProof/>
          <w:sz w:val="20"/>
        </w:rPr>
      </w:pPr>
      <w:r>
        <w:rPr>
          <w:rFonts w:ascii="Times New Roman" w:hAnsi="Times New Roman" w:cs="Times New Roman"/>
          <w:noProof/>
          <w:sz w:val="20"/>
        </w:rPr>
        <w:t>Note: 201</w:t>
      </w:r>
      <w:r>
        <w:rPr>
          <w:rFonts w:ascii="Times New Roman" w:hAnsi="Times New Roman" w:cs="Times New Roman"/>
          <w:noProof/>
          <w:sz w:val="20"/>
          <w:lang w:val="en-GB"/>
        </w:rPr>
        <w:t>6</w:t>
      </w:r>
      <w:r>
        <w:rPr>
          <w:rFonts w:ascii="Times New Roman" w:hAnsi="Times New Roman" w:cs="Times New Roman"/>
          <w:noProof/>
          <w:sz w:val="20"/>
        </w:rPr>
        <w:t>-201</w:t>
      </w:r>
      <w:r>
        <w:rPr>
          <w:rFonts w:ascii="Times New Roman" w:hAnsi="Times New Roman" w:cs="Times New Roman"/>
          <w:noProof/>
          <w:sz w:val="20"/>
          <w:lang w:val="en-GB"/>
        </w:rPr>
        <w:t>7</w:t>
      </w:r>
      <w:r>
        <w:rPr>
          <w:rFonts w:ascii="Times New Roman" w:hAnsi="Times New Roman" w:cs="Times New Roman"/>
          <w:noProof/>
          <w:sz w:val="20"/>
        </w:rPr>
        <w:t xml:space="preserve"> changes, except 201</w:t>
      </w:r>
      <w:r>
        <w:rPr>
          <w:rFonts w:ascii="Times New Roman" w:hAnsi="Times New Roman" w:cs="Times New Roman"/>
          <w:noProof/>
          <w:sz w:val="20"/>
          <w:lang w:val="en-GB"/>
        </w:rPr>
        <w:t>5</w:t>
      </w:r>
      <w:r>
        <w:rPr>
          <w:rFonts w:ascii="Times New Roman" w:hAnsi="Times New Roman" w:cs="Times New Roman"/>
          <w:noProof/>
          <w:sz w:val="20"/>
        </w:rPr>
        <w:t>-201</w:t>
      </w:r>
      <w:r>
        <w:rPr>
          <w:rFonts w:ascii="Times New Roman" w:hAnsi="Times New Roman" w:cs="Times New Roman"/>
          <w:noProof/>
          <w:sz w:val="20"/>
          <w:lang w:val="en-GB"/>
        </w:rPr>
        <w:t>6</w:t>
      </w:r>
      <w:r>
        <w:rPr>
          <w:rFonts w:ascii="Times New Roman" w:hAnsi="Times New Roman" w:cs="Times New Roman"/>
          <w:noProof/>
          <w:sz w:val="20"/>
        </w:rPr>
        <w:t xml:space="preserve"> for at-risk-of poverty rate of unemployed, unemployment trap and gender pay gap.</w:t>
      </w:r>
    </w:p>
    <w:p w:rsidR="00EF5220" w:rsidRDefault="00EF2564">
      <w:pPr>
        <w:rPr>
          <w:noProof/>
        </w:rPr>
      </w:pPr>
      <w:r>
        <w:rPr>
          <w:noProof/>
        </w:rPr>
        <w:br w:type="page"/>
      </w:r>
    </w:p>
    <w:p w:rsidR="00EF5220" w:rsidRDefault="00EF2564">
      <w:pPr>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Annex 5: Summary overview of the ‘social trends to watch’ and number of Member States with deterioration or improvement over 2015-2016 as identified by the </w:t>
      </w:r>
      <w:r>
        <w:rPr>
          <w:rFonts w:ascii="Times New Roman" w:eastAsia="Calibri" w:hAnsi="Times New Roman" w:cs="Times New Roman"/>
          <w:b/>
          <w:noProof/>
          <w:sz w:val="24"/>
          <w:szCs w:val="24"/>
          <w:lang w:val="en-GB"/>
        </w:rPr>
        <w:t xml:space="preserve">August </w:t>
      </w:r>
      <w:r>
        <w:rPr>
          <w:rFonts w:ascii="Times New Roman" w:eastAsia="Calibri" w:hAnsi="Times New Roman" w:cs="Times New Roman"/>
          <w:b/>
          <w:noProof/>
          <w:sz w:val="24"/>
          <w:szCs w:val="24"/>
        </w:rPr>
        <w:t>2018 update of the Social Protection Performance Monitor.</w:t>
      </w:r>
    </w:p>
    <w:p w:rsidR="00EF5220" w:rsidRDefault="00EF2564">
      <w:pPr>
        <w:rPr>
          <w:rFonts w:ascii="Times New Roman" w:eastAsia="Calibri" w:hAnsi="Times New Roman" w:cs="Times New Roman"/>
          <w:b/>
          <w:noProof/>
          <w:sz w:val="24"/>
          <w:szCs w:val="24"/>
        </w:rPr>
      </w:pPr>
      <w:r>
        <w:rPr>
          <w:rFonts w:ascii="Times New Roman" w:eastAsia="Calibri" w:hAnsi="Times New Roman" w:cs="Times New Roman"/>
          <w:b/>
          <w:noProof/>
          <w:sz w:val="24"/>
          <w:szCs w:val="24"/>
          <w:lang w:val="en-GB" w:eastAsia="en-GB" w:bidi="ar-SA"/>
        </w:rPr>
        <w:drawing>
          <wp:inline distT="0" distB="0" distL="0" distR="0">
            <wp:extent cx="5778328" cy="5566867"/>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5777875" cy="5566430"/>
                    </a:xfrm>
                    <a:prstGeom prst="rect">
                      <a:avLst/>
                    </a:prstGeom>
                    <a:noFill/>
                  </pic:spPr>
                </pic:pic>
              </a:graphicData>
            </a:graphic>
          </wp:inline>
        </w:drawing>
      </w:r>
    </w:p>
    <w:p w:rsidR="00EF5220" w:rsidRDefault="00EF2564">
      <w:pPr>
        <w:jc w:val="both"/>
        <w:rPr>
          <w:rFonts w:ascii="Times New Roman" w:hAnsi="Times New Roman" w:cs="Times New Roman"/>
          <w:iCs/>
          <w:noProof/>
          <w:sz w:val="24"/>
          <w:szCs w:val="24"/>
          <w:lang w:val="en-GB"/>
        </w:rPr>
      </w:pPr>
      <w:r>
        <w:rPr>
          <w:rFonts w:ascii="Times New Roman" w:hAnsi="Times New Roman" w:cs="Times New Roman"/>
          <w:noProof/>
          <w:sz w:val="20"/>
        </w:rPr>
        <w:t>Note: for EU-SILC based indicator</w:t>
      </w:r>
      <w:r>
        <w:rPr>
          <w:rFonts w:ascii="Times New Roman" w:hAnsi="Times New Roman" w:cs="Times New Roman"/>
          <w:noProof/>
          <w:sz w:val="20"/>
        </w:rPr>
        <w:t xml:space="preserve">s the </w:t>
      </w:r>
      <w:r>
        <w:rPr>
          <w:rFonts w:ascii="Times New Roman" w:hAnsi="Times New Roman" w:cs="Times New Roman"/>
          <w:noProof/>
          <w:sz w:val="20"/>
          <w:lang w:val="en-GB"/>
        </w:rPr>
        <w:t xml:space="preserve">indicated </w:t>
      </w:r>
      <w:r>
        <w:rPr>
          <w:rFonts w:ascii="Times New Roman" w:hAnsi="Times New Roman" w:cs="Times New Roman"/>
          <w:noProof/>
          <w:sz w:val="20"/>
        </w:rPr>
        <w:t xml:space="preserve">changes </w:t>
      </w:r>
      <w:r>
        <w:rPr>
          <w:rFonts w:ascii="Times New Roman" w:hAnsi="Times New Roman" w:cs="Times New Roman"/>
          <w:noProof/>
          <w:sz w:val="20"/>
          <w:lang w:val="en-GB"/>
        </w:rPr>
        <w:t xml:space="preserve">for 2015-2016 </w:t>
      </w:r>
      <w:r>
        <w:rPr>
          <w:rFonts w:ascii="Times New Roman" w:hAnsi="Times New Roman" w:cs="Times New Roman"/>
          <w:noProof/>
          <w:sz w:val="20"/>
        </w:rPr>
        <w:t>generally actually refer to 2014-2015 for income and household work intensity indicators, and similarly for unmet need</w:t>
      </w:r>
      <w:r>
        <w:rPr>
          <w:rFonts w:ascii="Times New Roman" w:hAnsi="Times New Roman" w:cs="Times New Roman"/>
          <w:noProof/>
          <w:sz w:val="20"/>
          <w:lang w:val="en-GB"/>
        </w:rPr>
        <w:t>s</w:t>
      </w:r>
      <w:r>
        <w:rPr>
          <w:rFonts w:ascii="Times New Roman" w:hAnsi="Times New Roman" w:cs="Times New Roman"/>
          <w:noProof/>
          <w:sz w:val="20"/>
        </w:rPr>
        <w:t xml:space="preserve"> for medical care.</w:t>
      </w:r>
      <w:r>
        <w:rPr>
          <w:rFonts w:ascii="Times New Roman" w:hAnsi="Times New Roman" w:cs="Times New Roman"/>
          <w:noProof/>
          <w:sz w:val="20"/>
          <w:lang w:val="en-GB"/>
        </w:rPr>
        <w:t xml:space="preserve"> For LFS-based indicators (LTU rate, early school leavers, youth unemployment rat</w:t>
      </w:r>
      <w:r>
        <w:rPr>
          <w:rFonts w:ascii="Times New Roman" w:hAnsi="Times New Roman" w:cs="Times New Roman"/>
          <w:noProof/>
          <w:sz w:val="20"/>
          <w:lang w:val="en-GB"/>
        </w:rPr>
        <w:t>io, NEETs (15-24), ER (55-64)) and severe material deprivation (not yet final for 2017 for several MS in August 2018) the changes refer to the period 2016-2017.</w:t>
      </w:r>
      <w:bookmarkStart w:id="84" w:name="_GoBack"/>
      <w:bookmarkEnd w:id="84"/>
    </w:p>
    <w:sectPr w:rsidR="00EF5220">
      <w:headerReference w:type="even" r:id="rId124"/>
      <w:headerReference w:type="default" r:id="rId125"/>
      <w:footerReference w:type="even" r:id="rId126"/>
      <w:footerReference w:type="default" r:id="rId127"/>
      <w:headerReference w:type="first" r:id="rId128"/>
      <w:footerReference w:type="first" r:id="rId1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220" w:rsidRDefault="00EF2564">
      <w:pPr>
        <w:spacing w:after="0" w:line="240" w:lineRule="auto"/>
      </w:pPr>
      <w:r>
        <w:separator/>
      </w:r>
    </w:p>
  </w:endnote>
  <w:endnote w:type="continuationSeparator" w:id="0">
    <w:p w:rsidR="00EF5220" w:rsidRDefault="00EF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ordia New">
    <w:altName w:val="Microsoft Sans Serif"/>
    <w:panose1 w:val="020B0304020202020204"/>
    <w:charset w:val="00"/>
    <w:family w:val="swiss"/>
    <w:pitch w:val="variable"/>
    <w:sig w:usb0="00000000" w:usb1="00000000" w:usb2="00000000" w:usb3="00000000" w:csb0="00010001" w:csb1="00000000"/>
  </w:font>
  <w:font w:name="Angsana New">
    <w:altName w:val="Leelawadee UI"/>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692769"/>
      <w:docPartObj>
        <w:docPartGallery w:val="Page Numbers (Bottom of Page)"/>
        <w:docPartUnique/>
      </w:docPartObj>
    </w:sdtPr>
    <w:sdtEndPr>
      <w:rPr>
        <w:noProof/>
      </w:rPr>
    </w:sdtEndPr>
    <w:sdtContent>
      <w:p w:rsidR="00EF5220" w:rsidRDefault="00EF2564">
        <w:pPr>
          <w:pStyle w:val="Footer"/>
          <w:jc w:val="right"/>
        </w:pPr>
        <w:r>
          <w:fldChar w:fldCharType="begin"/>
        </w:r>
        <w:r>
          <w:instrText xml:space="preserve"> PAGE   \* MERGEFORMAT </w:instrText>
        </w:r>
        <w:r>
          <w:fldChar w:fldCharType="separate"/>
        </w:r>
        <w:r>
          <w:rPr>
            <w:noProof/>
          </w:rPr>
          <w:t>159</w:t>
        </w:r>
        <w:r>
          <w:rPr>
            <w:noProof/>
          </w:rPr>
          <w:fldChar w:fldCharType="end"/>
        </w:r>
      </w:p>
    </w:sdtContent>
  </w:sdt>
  <w:p w:rsidR="00EF5220" w:rsidRDefault="00EF522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 w:rsidR="00EF5220" w:rsidRDefault="00EF522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21869"/>
      <w:docPartObj>
        <w:docPartGallery w:val="Page Numbers (Bottom of Page)"/>
        <w:docPartUnique/>
      </w:docPartObj>
    </w:sdtPr>
    <w:sdtEndPr>
      <w:rPr>
        <w:rFonts w:ascii="Times New Roman" w:hAnsi="Times New Roman" w:cs="Times New Roman"/>
        <w:noProof/>
      </w:rPr>
    </w:sdtEndPr>
    <w:sdtContent>
      <w:p w:rsidR="00EF5220" w:rsidRDefault="00EF2564">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167</w:t>
        </w:r>
        <w:r>
          <w:rPr>
            <w:rFonts w:ascii="Times New Roman" w:hAnsi="Times New Roman" w:cs="Times New Roman"/>
            <w:noProof/>
          </w:rPr>
          <w:fldChar w:fldCharType="end"/>
        </w:r>
      </w:p>
    </w:sdtContent>
  </w:sdt>
  <w:p w:rsidR="00EF5220" w:rsidRDefault="00EF5220"/>
  <w:p w:rsidR="00EF5220" w:rsidRDefault="00EF5220"/>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 w:rsidR="00EF5220" w:rsidRDefault="00EF5220"/>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817181"/>
      <w:docPartObj>
        <w:docPartGallery w:val="Page Numbers (Bottom of Page)"/>
        <w:docPartUnique/>
      </w:docPartObj>
    </w:sdtPr>
    <w:sdtEndPr>
      <w:rPr>
        <w:rFonts w:ascii="Times New Roman" w:hAnsi="Times New Roman" w:cs="Times New Roman"/>
        <w:noProof/>
      </w:rPr>
    </w:sdtEndPr>
    <w:sdtContent>
      <w:p w:rsidR="00EF5220" w:rsidRDefault="00EF2564">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169</w:t>
        </w:r>
        <w:r>
          <w:rPr>
            <w:rFonts w:ascii="Times New Roman" w:hAnsi="Times New Roman" w:cs="Times New Roman"/>
            <w:noProof/>
          </w:rPr>
          <w:fldChar w:fldCharType="end"/>
        </w:r>
      </w:p>
    </w:sdtContent>
  </w:sdt>
  <w:p w:rsidR="00EF5220" w:rsidRDefault="00EF5220"/>
  <w:p w:rsidR="00EF5220" w:rsidRDefault="00EF5220"/>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2564">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826339"/>
      <w:docPartObj>
        <w:docPartGallery w:val="Page Numbers (Bottom of Page)"/>
        <w:docPartUnique/>
      </w:docPartObj>
    </w:sdtPr>
    <w:sdtEndPr>
      <w:rPr>
        <w:rFonts w:ascii="Times New Roman" w:hAnsi="Times New Roman" w:cs="Times New Roman"/>
        <w:noProof/>
      </w:rPr>
    </w:sdtEndPr>
    <w:sdtContent>
      <w:p w:rsidR="00EF5220" w:rsidRDefault="00EF2564">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27</w:t>
        </w:r>
        <w:r>
          <w:rPr>
            <w:rFonts w:ascii="Times New Roman" w:hAnsi="Times New Roman" w:cs="Times New Roman"/>
            <w:noProof/>
          </w:rPr>
          <w:fldChar w:fldCharType="end"/>
        </w:r>
      </w:p>
    </w:sdtContent>
  </w:sdt>
  <w:p w:rsidR="00EF5220" w:rsidRDefault="00EF522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814559"/>
      <w:docPartObj>
        <w:docPartGallery w:val="Page Numbers (Bottom of Page)"/>
        <w:docPartUnique/>
      </w:docPartObj>
    </w:sdtPr>
    <w:sdtEndPr>
      <w:rPr>
        <w:rFonts w:ascii="Times New Roman" w:hAnsi="Times New Roman" w:cs="Times New Roman"/>
        <w:noProof/>
      </w:rPr>
    </w:sdtEndPr>
    <w:sdtContent>
      <w:p w:rsidR="00EF5220" w:rsidRDefault="00EF2564">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28</w:t>
        </w:r>
        <w:r>
          <w:rPr>
            <w:rFonts w:ascii="Times New Roman" w:hAnsi="Times New Roman" w:cs="Times New Roman"/>
            <w:noProof/>
          </w:rPr>
          <w:fldChar w:fldCharType="end"/>
        </w:r>
      </w:p>
    </w:sdtContent>
  </w:sdt>
  <w:p w:rsidR="00EF5220" w:rsidRDefault="00EF522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220" w:rsidRDefault="00EF2564">
      <w:pPr>
        <w:spacing w:after="0" w:line="240" w:lineRule="auto"/>
      </w:pPr>
      <w:r>
        <w:separator/>
      </w:r>
    </w:p>
  </w:footnote>
  <w:footnote w:type="continuationSeparator" w:id="0">
    <w:p w:rsidR="00EF5220" w:rsidRDefault="00EF2564">
      <w:pPr>
        <w:spacing w:after="0" w:line="240" w:lineRule="auto"/>
      </w:pPr>
      <w:r>
        <w:continuationSeparator/>
      </w:r>
    </w:p>
  </w:footnote>
  <w:footnote w:id="1">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Revised Employment Guidelines have been adopted by the Council of the European Union in July 2018, aligning the guidelines to the European Pillar of Social Rights (Council Decision (EU) 2018/1215 of 16 July 2018 on guidelines for the employment policies o</w:t>
      </w:r>
      <w:r>
        <w:rPr>
          <w:rFonts w:ascii="Times New Roman" w:hAnsi="Times New Roman" w:cs="Times New Roman"/>
          <w:lang w:val="en-GB"/>
        </w:rPr>
        <w:t>f the Member States).</w:t>
      </w:r>
    </w:p>
  </w:footnote>
  <w:footnote w:id="2">
    <w:p w:rsidR="00EF5220" w:rsidRDefault="00EF2564">
      <w:pPr>
        <w:pStyle w:val="FootnoteText"/>
        <w:jc w:val="both"/>
        <w:rPr>
          <w:rStyle w:val="FootnoteReference"/>
          <w:rFonts w:ascii="Times New Roman" w:hAnsi="Times New Roman" w:cs="Times New Roman"/>
          <w:sz w:val="22"/>
          <w:szCs w:val="22"/>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lang w:val="en-GB"/>
        </w:rPr>
        <w:t xml:space="preserve">Total employment figures come from National Accounts (domestic concept), other figures from Labour Force Survey data. </w:t>
      </w:r>
      <w:r>
        <w:rPr>
          <w:rStyle w:val="FootnoteReference"/>
          <w:rFonts w:ascii="Times New Roman" w:hAnsi="Times New Roman" w:cs="Times New Roman"/>
          <w:vertAlign w:val="baseline"/>
        </w:rPr>
        <w:t>Seasonally adjusted quarterly figures are used throughout this section.</w:t>
      </w:r>
    </w:p>
  </w:footnote>
  <w:footnote w:id="3">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In the Communication "</w:t>
      </w:r>
      <w:r>
        <w:rPr>
          <w:rFonts w:ascii="Times New Roman" w:hAnsi="Times New Roman" w:cs="Times New Roman"/>
        </w:rPr>
        <w:t xml:space="preserve">Strengthening </w:t>
      </w:r>
      <w:r>
        <w:rPr>
          <w:rFonts w:ascii="Times New Roman" w:hAnsi="Times New Roman" w:cs="Times New Roman"/>
        </w:rPr>
        <w:t>European Identity through Education and Culture</w:t>
      </w:r>
      <w:r>
        <w:rPr>
          <w:rFonts w:ascii="Times New Roman" w:hAnsi="Times New Roman" w:cs="Times New Roman"/>
          <w:lang w:val="en-GB"/>
        </w:rPr>
        <w:t>" of 14 November 2017 (</w:t>
      </w:r>
      <w:r>
        <w:rPr>
          <w:rFonts w:ascii="Times New Roman" w:hAnsi="Times New Roman" w:cs="Times New Roman"/>
        </w:rPr>
        <w:t>COM(2017) 673 final</w:t>
      </w:r>
      <w:r>
        <w:rPr>
          <w:rFonts w:ascii="Times New Roman" w:hAnsi="Times New Roman" w:cs="Times New Roman"/>
          <w:lang w:val="en-GB"/>
        </w:rPr>
        <w:t>) the Commission indicates the ambition to reduce the benchmark for early school leaving to 5% by 2025.</w:t>
      </w:r>
    </w:p>
  </w:footnote>
  <w:footnote w:id="4">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More details in European Commission (2018), "Employment and S</w:t>
      </w:r>
      <w:r>
        <w:rPr>
          <w:rFonts w:ascii="Times New Roman" w:hAnsi="Times New Roman" w:cs="Times New Roman"/>
          <w:lang w:val="en-GB"/>
        </w:rPr>
        <w:t>ocial Developments in Europe. Annual Review 2018".</w:t>
      </w:r>
    </w:p>
  </w:footnote>
  <w:footnote w:id="5">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Within services, the largest percentage increase was recorded in "information and communication" activities, followed by "professional, scientific and technical activities; administrative and support ser</w:t>
      </w:r>
      <w:r>
        <w:rPr>
          <w:rStyle w:val="FootnoteReference"/>
          <w:rFonts w:ascii="Times New Roman" w:hAnsi="Times New Roman" w:cs="Times New Roman"/>
          <w:vertAlign w:val="baseline"/>
        </w:rPr>
        <w:t>vice activities" (respectively by 3.4% and 2.9% in 2017). On the contrary, "financial and insurance services" recorded a drop by 0.7%.</w:t>
      </w:r>
    </w:p>
  </w:footnote>
  <w:footnote w:id="6">
    <w:p w:rsidR="00EF5220" w:rsidRDefault="00EF2564">
      <w:pPr>
        <w:pStyle w:val="FootnoteText"/>
        <w:jc w:val="both"/>
        <w:rPr>
          <w:rFonts w:ascii="Times New Roman" w:hAnsi="Times New Roman" w:cs="Times New Roman"/>
          <w:lang w:val="pl-PL"/>
        </w:rPr>
      </w:pPr>
      <w:r>
        <w:rPr>
          <w:rStyle w:val="FootnoteReference"/>
          <w:rFonts w:ascii="Times New Roman" w:hAnsi="Times New Roman" w:cs="Times New Roman"/>
        </w:rPr>
        <w:footnoteRef/>
      </w:r>
      <w:r>
        <w:rPr>
          <w:rStyle w:val="FootnoteReference"/>
          <w:rFonts w:ascii="Times New Roman" w:hAnsi="Times New Roman" w:cs="Times New Roman"/>
          <w:lang w:val="pl-PL"/>
        </w:rPr>
        <w:t xml:space="preserve"> </w:t>
      </w:r>
      <w:r>
        <w:rPr>
          <w:rStyle w:val="FootnoteReference"/>
          <w:rFonts w:ascii="Times New Roman" w:hAnsi="Times New Roman" w:cs="Times New Roman"/>
          <w:vertAlign w:val="baseline"/>
          <w:lang w:val="pl-PL"/>
        </w:rPr>
        <w:t xml:space="preserve">People at risk of poverty or social exclusion (AROPE) are people who are at risk of poverty (AROP) and/or experiencing </w:t>
      </w:r>
      <w:r>
        <w:rPr>
          <w:rStyle w:val="FootnoteReference"/>
          <w:rFonts w:ascii="Times New Roman" w:hAnsi="Times New Roman" w:cs="Times New Roman"/>
          <w:vertAlign w:val="baseline"/>
          <w:lang w:val="pl-PL"/>
        </w:rPr>
        <w:t>severe material deprivation (SMD) and/or living in households with very low work intensity</w:t>
      </w:r>
      <w:r>
        <w:rPr>
          <w:rFonts w:ascii="Times New Roman" w:hAnsi="Times New Roman" w:cs="Times New Roman"/>
          <w:lang w:val="pl-PL"/>
        </w:rPr>
        <w:t xml:space="preserve"> (VLWI)</w:t>
      </w:r>
      <w:r>
        <w:rPr>
          <w:rStyle w:val="FootnoteReference"/>
          <w:rFonts w:ascii="Times New Roman" w:hAnsi="Times New Roman" w:cs="Times New Roman"/>
          <w:vertAlign w:val="baseline"/>
          <w:lang w:val="pl-PL"/>
        </w:rPr>
        <w:t xml:space="preserve">. </w:t>
      </w:r>
    </w:p>
    <w:p w:rsidR="00EF5220" w:rsidRDefault="00EF2564">
      <w:pPr>
        <w:pStyle w:val="FootnoteText"/>
        <w:jc w:val="both"/>
        <w:rPr>
          <w:rStyle w:val="FootnoteReference"/>
          <w:rFonts w:ascii="Times New Roman" w:hAnsi="Times New Roman" w:cs="Times New Roman"/>
          <w:vertAlign w:val="baseline"/>
          <w:lang w:val="pl-PL"/>
        </w:rPr>
      </w:pPr>
      <w:r>
        <w:rPr>
          <w:rStyle w:val="FootnoteReference"/>
          <w:rFonts w:ascii="Times New Roman" w:hAnsi="Times New Roman" w:cs="Times New Roman"/>
          <w:vertAlign w:val="baseline"/>
          <w:lang w:val="pl-PL"/>
        </w:rPr>
        <w:t>People at</w:t>
      </w:r>
      <w:r>
        <w:rPr>
          <w:rFonts w:ascii="Times New Roman" w:hAnsi="Times New Roman" w:cs="Times New Roman"/>
          <w:lang w:val="pl-PL"/>
        </w:rPr>
        <w:t xml:space="preserve"> </w:t>
      </w:r>
      <w:r>
        <w:rPr>
          <w:rStyle w:val="FootnoteReference"/>
          <w:rFonts w:ascii="Times New Roman" w:hAnsi="Times New Roman" w:cs="Times New Roman"/>
          <w:vertAlign w:val="baseline"/>
          <w:lang w:val="pl-PL"/>
        </w:rPr>
        <w:t xml:space="preserve">risk of poverty are people living in a household whose equivalised disposable income is below 60% of the national equivalised median income (this indicator is therefore an income poverty indicator). </w:t>
      </w:r>
    </w:p>
    <w:p w:rsidR="00EF5220" w:rsidRDefault="00EF2564">
      <w:pPr>
        <w:pStyle w:val="FootnoteText"/>
        <w:jc w:val="both"/>
        <w:rPr>
          <w:rStyle w:val="FootnoteReference"/>
          <w:rFonts w:ascii="Times New Roman" w:hAnsi="Times New Roman" w:cs="Times New Roman"/>
          <w:vertAlign w:val="baseline"/>
          <w:lang w:val="pl-PL"/>
        </w:rPr>
      </w:pPr>
      <w:r>
        <w:rPr>
          <w:rStyle w:val="FootnoteReference"/>
          <w:rFonts w:ascii="Times New Roman" w:hAnsi="Times New Roman" w:cs="Times New Roman"/>
          <w:vertAlign w:val="baseline"/>
          <w:lang w:val="pl-PL"/>
        </w:rPr>
        <w:t xml:space="preserve">People are severely materially deprived if they live in </w:t>
      </w:r>
      <w:r>
        <w:rPr>
          <w:rStyle w:val="FootnoteReference"/>
          <w:rFonts w:ascii="Times New Roman" w:hAnsi="Times New Roman" w:cs="Times New Roman"/>
          <w:vertAlign w:val="baseline"/>
          <w:lang w:val="pl-PL"/>
        </w:rPr>
        <w:t>a household unable to afford at least four of the following items: 1) pay rent/mortgage/ utility bills on time; 2) keep home adequately warm; 3) meet unexpected expenses; 4) eat meat, fish or a protein equivalent every second day; 5) one week annual holida</w:t>
      </w:r>
      <w:r>
        <w:rPr>
          <w:rStyle w:val="FootnoteReference"/>
          <w:rFonts w:ascii="Times New Roman" w:hAnsi="Times New Roman" w:cs="Times New Roman"/>
          <w:vertAlign w:val="baseline"/>
          <w:lang w:val="pl-PL"/>
        </w:rPr>
        <w:t xml:space="preserve">y away from home; 6) have access to a car for private use; 7) have a washing machine; 8) have a colour TV; and 9) have a telephone. </w:t>
      </w:r>
    </w:p>
    <w:p w:rsidR="00EF5220" w:rsidRDefault="00EF2564">
      <w:pPr>
        <w:pStyle w:val="FootnoteText"/>
        <w:jc w:val="both"/>
        <w:rPr>
          <w:rStyle w:val="FootnoteReference"/>
          <w:rFonts w:ascii="Times New Roman" w:hAnsi="Times New Roman" w:cs="Times New Roman"/>
          <w:vertAlign w:val="baseline"/>
          <w:lang w:val="pl-PL"/>
        </w:rPr>
      </w:pPr>
      <w:r>
        <w:rPr>
          <w:rStyle w:val="FootnoteReference"/>
          <w:rFonts w:ascii="Times New Roman" w:hAnsi="Times New Roman" w:cs="Times New Roman"/>
          <w:vertAlign w:val="baseline"/>
          <w:lang w:val="pl-PL"/>
        </w:rPr>
        <w:t>People living in households with very low work intensity (i.e. (quasi-)jobless households) are people aged 0-59 living in a</w:t>
      </w:r>
      <w:r>
        <w:rPr>
          <w:rStyle w:val="FootnoteReference"/>
          <w:rFonts w:ascii="Times New Roman" w:hAnsi="Times New Roman" w:cs="Times New Roman"/>
          <w:vertAlign w:val="baseline"/>
          <w:lang w:val="pl-PL"/>
        </w:rPr>
        <w:t xml:space="preserve"> household where working-age adults (18-59) worked less than 20% of their total work potential during the past year.</w:t>
      </w:r>
    </w:p>
  </w:footnote>
  <w:footnote w:id="7">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income statistics of EU SILC refer to the previous income year</w:t>
      </w:r>
      <w:r>
        <w:rPr>
          <w:rFonts w:ascii="Times New Roman" w:hAnsi="Times New Roman" w:cs="Times New Roman"/>
          <w:lang w:val="en-GB"/>
        </w:rPr>
        <w:t>, with the exception of United Kingdom (survey year) and Ireland (incom</w:t>
      </w:r>
      <w:r>
        <w:rPr>
          <w:rFonts w:ascii="Times New Roman" w:hAnsi="Times New Roman" w:cs="Times New Roman"/>
          <w:lang w:val="en-GB"/>
        </w:rPr>
        <w:t>e of 12 months preceding the survey)</w:t>
      </w:r>
      <w:r>
        <w:rPr>
          <w:rStyle w:val="FootnoteReference"/>
          <w:rFonts w:ascii="Times New Roman" w:hAnsi="Times New Roman" w:cs="Times New Roman"/>
          <w:vertAlign w:val="baseline"/>
        </w:rPr>
        <w:t>.</w:t>
      </w:r>
    </w:p>
  </w:footnote>
  <w:footnote w:id="8">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EU-SILC data refer in most Member States to incomes recorded in the previous year (i.e. 2016 incomes for SILC 2017, see also footnote </w:t>
      </w:r>
      <w:r>
        <w:rPr>
          <w:rFonts w:ascii="Times New Roman" w:hAnsi="Times New Roman" w:cs="Times New Roman"/>
          <w:lang w:val="en-GB"/>
        </w:rPr>
        <w:fldChar w:fldCharType="begin"/>
      </w:r>
      <w:r>
        <w:rPr>
          <w:rFonts w:ascii="Times New Roman" w:hAnsi="Times New Roman" w:cs="Times New Roman"/>
          <w:lang w:val="en-GB"/>
        </w:rPr>
        <w:instrText xml:space="preserve"> NOTEREF _Ref529538880 \h </w:instrText>
      </w:r>
      <w:r>
        <w:rPr>
          <w:rFonts w:ascii="Times New Roman" w:hAnsi="Times New Roman" w:cs="Times New Roman"/>
          <w:lang w:val="en-GB"/>
        </w:rPr>
      </w:r>
      <w:r>
        <w:rPr>
          <w:rFonts w:ascii="Times New Roman" w:hAnsi="Times New Roman" w:cs="Times New Roman"/>
          <w:lang w:val="en-GB"/>
        </w:rPr>
        <w:fldChar w:fldCharType="separate"/>
      </w:r>
      <w:r>
        <w:rPr>
          <w:rFonts w:ascii="Times New Roman" w:hAnsi="Times New Roman" w:cs="Times New Roman"/>
          <w:lang w:val="en-GB"/>
        </w:rPr>
        <w:t>7</w:t>
      </w:r>
      <w:r>
        <w:rPr>
          <w:rFonts w:ascii="Times New Roman" w:hAnsi="Times New Roman" w:cs="Times New Roman"/>
          <w:lang w:val="en-GB"/>
        </w:rPr>
        <w:fldChar w:fldCharType="end"/>
      </w:r>
      <w:r>
        <w:rPr>
          <w:rFonts w:ascii="Times New Roman" w:hAnsi="Times New Roman" w:cs="Times New Roman"/>
          <w:lang w:val="en-GB"/>
        </w:rPr>
        <w:t>). Flash estimate statistics published by Eurostat indicate that improvements in the at-risk-of-poverty indicator (as well as the S80/S20 ratio) are also expected in most Member States for incomes recorded in 2017 (i.e. for indicators published</w:t>
      </w:r>
      <w:r>
        <w:rPr>
          <w:rFonts w:ascii="Times New Roman" w:hAnsi="Times New Roman" w:cs="Times New Roman"/>
          <w:lang w:val="en-GB"/>
        </w:rPr>
        <w:t xml:space="preserve"> in 2018).</w:t>
      </w:r>
    </w:p>
  </w:footnote>
  <w:footnote w:id="9">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2018 SPC annual report.</w:t>
      </w:r>
    </w:p>
  </w:footnote>
  <w:footnote w:id="10">
    <w:p w:rsidR="00EF5220" w:rsidRDefault="00EF2564">
      <w:pPr>
        <w:pStyle w:val="FootnoteText"/>
        <w:rPr>
          <w:rFonts w:ascii="Times New Roman" w:hAnsi="Times New Roman" w:cs="Times New Roman"/>
          <w:lang w:val="en-GB"/>
        </w:rPr>
      </w:pPr>
      <w:r>
        <w:rPr>
          <w:rFonts w:ascii="Times New Roman" w:hAnsi="Times New Roman" w:cs="Times New Roman"/>
          <w:vertAlign w:val="superscript"/>
          <w:lang w:val="en-GB"/>
        </w:rPr>
        <w:footnoteRef/>
      </w:r>
      <w:r>
        <w:rPr>
          <w:rFonts w:ascii="Times New Roman" w:hAnsi="Times New Roman" w:cs="Times New Roman"/>
          <w:vertAlign w:val="superscript"/>
          <w:lang w:val="en-GB"/>
        </w:rPr>
        <w:t xml:space="preserve"> </w:t>
      </w:r>
      <w:r>
        <w:rPr>
          <w:rFonts w:ascii="Times New Roman" w:hAnsi="Times New Roman" w:cs="Times New Roman"/>
          <w:lang w:val="en-GB"/>
        </w:rPr>
        <w:t>2018 SPC annual report.</w:t>
      </w:r>
    </w:p>
  </w:footnote>
  <w:footnote w:id="11">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SWD(2017) 200 final, accompanying the Communication COM(2017) 250 final of 26 April 2017.</w:t>
      </w:r>
    </w:p>
  </w:footnote>
  <w:footnote w:id="12">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w:t>
      </w:r>
      <w:r>
        <w:rPr>
          <w:rStyle w:val="FootnoteReference"/>
          <w:rFonts w:ascii="Times New Roman" w:hAnsi="Times New Roman" w:cs="Times New Roman"/>
          <w:vertAlign w:val="baseline"/>
          <w:lang w:val="en-GB"/>
        </w:rPr>
        <w:t>The E</w:t>
      </w:r>
      <w:r>
        <w:rPr>
          <w:rFonts w:ascii="Times New Roman" w:hAnsi="Times New Roman" w:cs="Times New Roman"/>
          <w:lang w:val="en-GB"/>
        </w:rPr>
        <w:t xml:space="preserve">mployment </w:t>
      </w:r>
      <w:r>
        <w:rPr>
          <w:rStyle w:val="FootnoteReference"/>
          <w:rFonts w:ascii="Times New Roman" w:hAnsi="Times New Roman" w:cs="Times New Roman"/>
          <w:vertAlign w:val="baseline"/>
          <w:lang w:val="en-GB"/>
        </w:rPr>
        <w:t xml:space="preserve">Performance Monitor (EPM) and the Social Protection Performance Monitor (SPPM) are </w:t>
      </w:r>
      <w:r>
        <w:rPr>
          <w:rStyle w:val="FootnoteReference"/>
          <w:rFonts w:ascii="Times New Roman" w:hAnsi="Times New Roman" w:cs="Times New Roman"/>
          <w:vertAlign w:val="baseline"/>
          <w:lang w:val="en-GB"/>
        </w:rPr>
        <w:t>yearly reports prepared respectively by the Employment Committee and the Social Protection Committee. They</w:t>
      </w:r>
      <w:r>
        <w:rPr>
          <w:rFonts w:ascii="Times New Roman" w:hAnsi="Times New Roman" w:cs="Times New Roman"/>
          <w:lang w:val="en-GB"/>
        </w:rPr>
        <w:t xml:space="preserve"> identify </w:t>
      </w:r>
      <w:r>
        <w:rPr>
          <w:rStyle w:val="FootnoteReference"/>
          <w:rFonts w:ascii="Times New Roman" w:hAnsi="Times New Roman" w:cs="Times New Roman"/>
          <w:vertAlign w:val="baseline"/>
          <w:lang w:val="en-GB"/>
        </w:rPr>
        <w:t xml:space="preserve">trends to watch, key employment and social challenges in Member States, and </w:t>
      </w:r>
      <w:r>
        <w:rPr>
          <w:rFonts w:ascii="Times New Roman" w:hAnsi="Times New Roman" w:cs="Times New Roman"/>
          <w:lang w:val="en-GB"/>
        </w:rPr>
        <w:t xml:space="preserve">monitor </w:t>
      </w:r>
      <w:r>
        <w:rPr>
          <w:rStyle w:val="FootnoteReference"/>
          <w:rFonts w:ascii="Times New Roman" w:hAnsi="Times New Roman" w:cs="Times New Roman"/>
          <w:vertAlign w:val="baseline"/>
          <w:lang w:val="en-GB"/>
        </w:rPr>
        <w:t xml:space="preserve">progress towards the Europe 2020 employment and poverty </w:t>
      </w:r>
      <w:r>
        <w:rPr>
          <w:rStyle w:val="FootnoteReference"/>
          <w:rFonts w:ascii="Times New Roman" w:hAnsi="Times New Roman" w:cs="Times New Roman"/>
          <w:vertAlign w:val="baseline"/>
          <w:lang w:val="en-GB"/>
        </w:rPr>
        <w:t>reduction targets.</w:t>
      </w:r>
    </w:p>
  </w:footnote>
  <w:footnote w:id="13">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In the 2018 Joint Employment Report, upon request of the Employment Committee and the Social Protection Committee (and their Indicator Sub-Groups), two headline indicators in the domain of "dynamic labour markets and fair working condi</w:t>
      </w:r>
      <w:r>
        <w:rPr>
          <w:rStyle w:val="FootnoteReference"/>
          <w:rFonts w:ascii="Times New Roman" w:hAnsi="Times New Roman" w:cs="Times New Roman"/>
          <w:vertAlign w:val="baseline"/>
        </w:rPr>
        <w:t>tions"</w:t>
      </w:r>
      <w:r>
        <w:rPr>
          <w:rFonts w:ascii="Times New Roman" w:hAnsi="Times New Roman" w:cs="Times New Roman"/>
        </w:rPr>
        <w:t xml:space="preserve"> </w:t>
      </w:r>
      <w:r>
        <w:rPr>
          <w:rStyle w:val="FootnoteReference"/>
          <w:rFonts w:ascii="Times New Roman" w:hAnsi="Times New Roman" w:cs="Times New Roman"/>
          <w:vertAlign w:val="baseline"/>
        </w:rPr>
        <w:t>("participants in active labour market policies per 100 persons wanting to work" and "compensation of employees per hour worked, in euro") were not included in the overview table and not presented as Scoreboard headline indicators in subsequent anal</w:t>
      </w:r>
      <w:r>
        <w:rPr>
          <w:rStyle w:val="FootnoteReference"/>
          <w:rFonts w:ascii="Times New Roman" w:hAnsi="Times New Roman" w:cs="Times New Roman"/>
          <w:vertAlign w:val="baseline"/>
        </w:rPr>
        <w:t>ysis, due to technical concerns. Following discussions, in September 2018 the Committees have agreed replacing these indicators with alternative ones (respectively "long-term unemployment rate" and "net earnings of a full-time single worker without childre</w:t>
      </w:r>
      <w:r>
        <w:rPr>
          <w:rStyle w:val="FootnoteReference"/>
          <w:rFonts w:ascii="Times New Roman" w:hAnsi="Times New Roman" w:cs="Times New Roman"/>
          <w:vertAlign w:val="baseline"/>
        </w:rPr>
        <w:t xml:space="preserve">n earning an average wage"). These indicators, which are related </w:t>
      </w:r>
      <w:r>
        <w:rPr>
          <w:rFonts w:ascii="Times New Roman" w:hAnsi="Times New Roman" w:cs="Times New Roman"/>
          <w:lang w:val="en-GB"/>
        </w:rPr>
        <w:t>in</w:t>
      </w:r>
      <w:r>
        <w:rPr>
          <w:rFonts w:ascii="Times New Roman" w:hAnsi="Times New Roman" w:cs="Times New Roman"/>
        </w:rPr>
        <w:t xml:space="preserve"> </w:t>
      </w:r>
      <w:r>
        <w:rPr>
          <w:rFonts w:ascii="Times New Roman" w:hAnsi="Times New Roman" w:cs="Times New Roman"/>
          <w:lang w:val="en-GB"/>
        </w:rPr>
        <w:t>particular</w:t>
      </w:r>
      <w:r>
        <w:rPr>
          <w:rFonts w:ascii="Times New Roman" w:hAnsi="Times New Roman" w:cs="Times New Roman"/>
        </w:rPr>
        <w:t xml:space="preserve"> </w:t>
      </w:r>
      <w:r>
        <w:rPr>
          <w:rStyle w:val="FootnoteReference"/>
          <w:rFonts w:ascii="Times New Roman" w:hAnsi="Times New Roman" w:cs="Times New Roman"/>
          <w:vertAlign w:val="baseline"/>
        </w:rPr>
        <w:t xml:space="preserve">to the Pillar principles on "Active support to employment" and "Wages", will be used in the analysis of the current Joint Employment Report. </w:t>
      </w:r>
    </w:p>
  </w:footnote>
  <w:footnote w:id="14">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As demanded by the Committees, th</w:t>
      </w:r>
      <w:r>
        <w:rPr>
          <w:rStyle w:val="FootnoteReference"/>
          <w:rFonts w:ascii="Times New Roman" w:hAnsi="Times New Roman" w:cs="Times New Roman"/>
          <w:vertAlign w:val="baseline"/>
        </w:rPr>
        <w:t>is indicator is measured using 'unadjusted income' (i.e. without including social transfers in kind) and dropping reference to the use of purchasing power standards (PPS) units.</w:t>
      </w:r>
    </w:p>
  </w:footnote>
  <w:footnote w:id="15">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Levels of this indicator are expressed in purchasing power standards (PPS) w</w:t>
      </w:r>
      <w:r>
        <w:rPr>
          <w:rStyle w:val="FootnoteReference"/>
          <w:rFonts w:ascii="Times New Roman" w:hAnsi="Times New Roman" w:cs="Times New Roman"/>
          <w:vertAlign w:val="baseline"/>
        </w:rPr>
        <w:t>hile changes are expressed in national currency in real terms. To smooth out short-term fluctuations, 3-year averages are used for both levels and changes. This indicator should be read and interpreted in conjunction with other indicators, such as the in-w</w:t>
      </w:r>
      <w:r>
        <w:rPr>
          <w:rStyle w:val="FootnoteReference"/>
          <w:rFonts w:ascii="Times New Roman" w:hAnsi="Times New Roman" w:cs="Times New Roman"/>
          <w:vertAlign w:val="baseline"/>
        </w:rPr>
        <w:t>ork poverty rate, the ratio between the fifth and the first decile of the wage distribution (D5/D1) and other relevant EPM/SPPM and JAF indicators.</w:t>
      </w:r>
    </w:p>
  </w:footnote>
  <w:footnote w:id="16">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This is measured as the difference, among total population, between the share of people at risk of poverty</w:t>
      </w:r>
      <w:r>
        <w:rPr>
          <w:rStyle w:val="FootnoteReference"/>
          <w:rFonts w:ascii="Times New Roman" w:hAnsi="Times New Roman" w:cs="Times New Roman"/>
          <w:vertAlign w:val="baseline"/>
        </w:rPr>
        <w:t xml:space="preserve"> rate before and after social transfers.</w:t>
      </w:r>
    </w:p>
  </w:footnote>
  <w:footnote w:id="17">
    <w:p w:rsidR="00EF5220" w:rsidRDefault="00EF2564">
      <w:pPr>
        <w:pStyle w:val="FootnoteText"/>
        <w:jc w:val="both"/>
        <w:rPr>
          <w:rStyle w:val="FootnoteReference"/>
          <w:rFonts w:ascii="Times New Roman" w:hAnsi="Times New Roman" w:cs="Times New Roman"/>
          <w:lang w:val="en-GB"/>
        </w:rPr>
      </w:pPr>
      <w:r>
        <w:rPr>
          <w:rStyle w:val="FootnoteReference"/>
          <w:rFonts w:ascii="Times New Roman" w:hAnsi="Times New Roman" w:cs="Times New Roman"/>
        </w:rPr>
        <w:footnoteRef/>
      </w:r>
      <w:r>
        <w:rPr>
          <w:rStyle w:val="FootnoteReference"/>
          <w:rFonts w:ascii="Times New Roman" w:hAnsi="Times New Roman" w:cs="Times New Roman"/>
          <w:lang w:val="en-GB"/>
        </w:rPr>
        <w:t xml:space="preserve"> </w:t>
      </w:r>
      <w:r>
        <w:rPr>
          <w:rStyle w:val="FootnoteReference"/>
          <w:rFonts w:ascii="Times New Roman" w:hAnsi="Times New Roman" w:cs="Times New Roman"/>
          <w:vertAlign w:val="baseline"/>
          <w:lang w:val="en-GB"/>
        </w:rPr>
        <w:t xml:space="preserve">With the exception of the Gross Disposable Household Income, which is measured as an index number (2008=100, thus reflecting a change compared to pre-crisis) and changes in the latest year; and </w:t>
      </w:r>
      <w:r>
        <w:rPr>
          <w:rFonts w:ascii="Times New Roman" w:hAnsi="Times New Roman" w:cs="Times New Roman"/>
          <w:lang w:val="en-GB"/>
        </w:rPr>
        <w:t xml:space="preserve">net </w:t>
      </w:r>
      <w:r>
        <w:rPr>
          <w:rStyle w:val="FootnoteReference"/>
          <w:rFonts w:ascii="Times New Roman" w:hAnsi="Times New Roman" w:cs="Times New Roman"/>
          <w:vertAlign w:val="baseline"/>
          <w:lang w:val="en-GB"/>
        </w:rPr>
        <w:t>earnings of a f</w:t>
      </w:r>
      <w:r>
        <w:rPr>
          <w:rStyle w:val="FootnoteReference"/>
          <w:rFonts w:ascii="Times New Roman" w:hAnsi="Times New Roman" w:cs="Times New Roman"/>
          <w:vertAlign w:val="baseline"/>
          <w:lang w:val="en-GB"/>
        </w:rPr>
        <w:t>ull-time single worker without children earning an average wage</w:t>
      </w:r>
      <w:r>
        <w:rPr>
          <w:rFonts w:ascii="Times New Roman" w:hAnsi="Times New Roman" w:cs="Times New Roman"/>
          <w:lang w:val="en-GB"/>
        </w:rPr>
        <w:t>, for which three-years averages are used, in agreement with the Employment Committee and the Social Protection Committee.</w:t>
      </w:r>
    </w:p>
  </w:footnote>
  <w:footnote w:id="18">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The cut-off date for the extraction of social scoreboard headline in</w:t>
      </w:r>
      <w:r>
        <w:rPr>
          <w:rFonts w:ascii="Times New Roman" w:hAnsi="Times New Roman" w:cs="Times New Roman"/>
          <w:lang w:val="en-GB"/>
        </w:rPr>
        <w:t>dicators is 26</w:t>
      </w:r>
      <w:r>
        <w:rPr>
          <w:rFonts w:ascii="Times New Roman" w:hAnsi="Times New Roman" w:cs="Times New Roman"/>
          <w:vertAlign w:val="superscript"/>
          <w:lang w:val="en-GB"/>
        </w:rPr>
        <w:t>th</w:t>
      </w:r>
      <w:r>
        <w:rPr>
          <w:rFonts w:ascii="Times New Roman" w:hAnsi="Times New Roman" w:cs="Times New Roman"/>
          <w:lang w:val="en-GB"/>
        </w:rPr>
        <w:t xml:space="preserve"> October 2018. An update will be provided in the final version of the Joint Employment Report for adoption by the EPSCO Council.</w:t>
      </w:r>
    </w:p>
  </w:footnote>
  <w:footnote w:id="19">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This evidence refers to weighted EU averages, except for the indicator "Net earnings of a full-time single worker without children earning an average wage" for which unweighted average is used.</w:t>
      </w:r>
    </w:p>
  </w:footnote>
  <w:footnote w:id="20">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The improving trend is confirmed if the two new indicators </w:t>
      </w:r>
      <w:r>
        <w:rPr>
          <w:rFonts w:ascii="Times New Roman" w:hAnsi="Times New Roman" w:cs="Times New Roman"/>
          <w:lang w:val="en-GB"/>
        </w:rPr>
        <w:t>("long-term unemployment rate" and "net earnings of a full-time single worker without children earning an average wage") are excluded from the count to allow a comparison on the same set of indicators. In this case, the overall percentage of "critical situ</w:t>
      </w:r>
      <w:r>
        <w:rPr>
          <w:rFonts w:ascii="Times New Roman" w:hAnsi="Times New Roman" w:cs="Times New Roman"/>
          <w:lang w:val="en-GB"/>
        </w:rPr>
        <w:t>ations", "to watch" or "weak but improving" cases among total assessments is still 31%, while the percentage of "critical situations" slightly increases to 11%.</w:t>
      </w:r>
    </w:p>
  </w:footnote>
  <w:footnote w:id="21">
    <w:p w:rsidR="00EF5220" w:rsidRDefault="00EF2564">
      <w:pPr>
        <w:pStyle w:val="FootnoteText"/>
        <w:jc w:val="both"/>
        <w:rPr>
          <w:rFonts w:ascii="Times New Roman" w:hAnsi="Times New Roman" w:cs="Times New Roman"/>
          <w:lang w:val="pt-PT"/>
        </w:rPr>
      </w:pPr>
      <w:r>
        <w:rPr>
          <w:rStyle w:val="FootnoteReference"/>
          <w:rFonts w:ascii="Times New Roman" w:hAnsi="Times New Roman" w:cs="Times New Roman"/>
          <w:lang w:val="en-GB"/>
        </w:rPr>
        <w:footnoteRef/>
      </w:r>
      <w:r>
        <w:rPr>
          <w:rFonts w:ascii="Times New Roman" w:hAnsi="Times New Roman" w:cs="Times New Roman"/>
          <w:lang w:val="pt-PT"/>
        </w:rPr>
        <w:t xml:space="preserve"> </w:t>
      </w:r>
      <w:r>
        <w:rPr>
          <w:rFonts w:ascii="Times New Roman" w:hAnsi="Times New Roman" w:cs="Times New Roman"/>
          <w:i/>
          <w:lang w:val="pt-PT"/>
        </w:rPr>
        <w:t>Completing Europe's Economic and Monetary Union</w:t>
      </w:r>
      <w:r>
        <w:rPr>
          <w:rFonts w:ascii="Times New Roman" w:hAnsi="Times New Roman" w:cs="Times New Roman"/>
          <w:lang w:val="pt-PT"/>
        </w:rPr>
        <w:t>, Report by Jean-Claude Juncker, in close coop</w:t>
      </w:r>
      <w:r>
        <w:rPr>
          <w:rFonts w:ascii="Times New Roman" w:hAnsi="Times New Roman" w:cs="Times New Roman"/>
          <w:lang w:val="pt-PT"/>
        </w:rPr>
        <w:t>eration with Donald Tusk, Jeroen Dijsselbloem, Mario Draghi and Martin Schulz, 22 June 2015.</w:t>
      </w:r>
    </w:p>
  </w:footnote>
  <w:footnote w:id="22">
    <w:p w:rsidR="00EF5220" w:rsidRDefault="00EF2564">
      <w:pPr>
        <w:pStyle w:val="FootnoteText"/>
        <w:rPr>
          <w:rFonts w:ascii="Times New Roman" w:hAnsi="Times New Roman" w:cs="Times New Roman"/>
          <w:lang w:val="pt-PT"/>
        </w:rPr>
      </w:pPr>
      <w:r>
        <w:rPr>
          <w:rStyle w:val="FootnoteReference"/>
          <w:rFonts w:ascii="Times New Roman" w:hAnsi="Times New Roman" w:cs="Times New Roman"/>
          <w:lang w:val="en-GB"/>
        </w:rPr>
        <w:footnoteRef/>
      </w:r>
      <w:r>
        <w:rPr>
          <w:rFonts w:ascii="Times New Roman" w:hAnsi="Times New Roman" w:cs="Times New Roman"/>
          <w:lang w:val="pt-PT"/>
        </w:rPr>
        <w:t xml:space="preserve"> COM(2017) 291 final.</w:t>
      </w:r>
    </w:p>
  </w:footnote>
  <w:footnote w:id="23">
    <w:p w:rsidR="00EF5220" w:rsidRDefault="00EF2564">
      <w:pPr>
        <w:pStyle w:val="FootnoteText"/>
        <w:jc w:val="both"/>
        <w:rPr>
          <w:rFonts w:ascii="Times New Roman" w:hAnsi="Times New Roman" w:cs="Times New Roman"/>
          <w:lang w:val="pt-PT"/>
        </w:rPr>
      </w:pPr>
      <w:r>
        <w:rPr>
          <w:rStyle w:val="FootnoteReference"/>
          <w:rFonts w:ascii="Times New Roman" w:hAnsi="Times New Roman" w:cs="Times New Roman"/>
          <w:lang w:val="en-GB"/>
        </w:rPr>
        <w:footnoteRef/>
      </w:r>
      <w:r>
        <w:rPr>
          <w:rFonts w:ascii="Times New Roman" w:hAnsi="Times New Roman" w:cs="Times New Roman"/>
          <w:lang w:val="pt-PT"/>
        </w:rPr>
        <w:t xml:space="preserve"> COM(2017) 250 final.</w:t>
      </w:r>
    </w:p>
  </w:footnote>
  <w:footnote w:id="24">
    <w:p w:rsidR="00EF5220" w:rsidRDefault="00EF2564">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lang w:val="en-GB"/>
        </w:rPr>
        <w:t xml:space="preserve"> </w:t>
      </w:r>
      <w:r>
        <w:rPr>
          <w:rFonts w:ascii="Times New Roman" w:hAnsi="Times New Roman" w:cs="Times New Roman"/>
          <w:lang w:val="en-GB"/>
        </w:rPr>
        <w:t>Council Decision (EU) 2018/1215 of 16 July 2018 on guidelines for the employment policies of the Member States.</w:t>
      </w:r>
    </w:p>
  </w:footnote>
  <w:footnote w:id="25">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w:t>
      </w:r>
      <w:r>
        <w:rPr>
          <w:rStyle w:val="FootnoteReference"/>
          <w:rFonts w:ascii="Times New Roman" w:hAnsi="Times New Roman" w:cs="Times New Roman"/>
          <w:vertAlign w:val="baseline"/>
        </w:rPr>
        <w:t xml:space="preserve">ncluding LABREF database, available at http://ec.europa.eu/social/main.jsp?catId=1143&amp;intPageId=3193. </w:t>
      </w:r>
    </w:p>
  </w:footnote>
  <w:footnote w:id="26">
    <w:p w:rsidR="00EF5220" w:rsidRDefault="00EF2564">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lang w:val="en-GB"/>
        </w:rPr>
        <w:t xml:space="preserve"> </w:t>
      </w:r>
      <w:r>
        <w:rPr>
          <w:rStyle w:val="FootnoteReference"/>
          <w:rFonts w:ascii="Times New Roman" w:hAnsi="Times New Roman" w:cs="Times New Roman"/>
          <w:vertAlign w:val="baseline"/>
          <w:lang w:val="en-GB"/>
        </w:rPr>
        <w:t>European Commission (2018). Labour Market and Wage Developments in Europe. Annual review 2018. Luxembourg: Publications Office of the European Union.</w:t>
      </w:r>
      <w:r>
        <w:rPr>
          <w:rFonts w:ascii="Times New Roman" w:hAnsi="Times New Roman" w:cs="Times New Roman"/>
          <w:lang w:val="en-GB"/>
        </w:rPr>
        <w:t xml:space="preserve"> A</w:t>
      </w:r>
      <w:r>
        <w:rPr>
          <w:rFonts w:ascii="Times New Roman" w:hAnsi="Times New Roman" w:cs="Times New Roman"/>
          <w:lang w:val="en-GB"/>
        </w:rPr>
        <w:t>vailable at: http://ec.europa.eu/social/main.jsp?catId=738&amp;langId=en&amp;pubId=8139&amp;furtherPubs=yes</w:t>
      </w:r>
    </w:p>
  </w:footnote>
  <w:footnote w:id="27">
    <w:p w:rsidR="00EF5220" w:rsidRDefault="00EF2564">
      <w:pPr>
        <w:pStyle w:val="FootnoteText"/>
        <w:jc w:val="both"/>
        <w:rPr>
          <w:rStyle w:val="FootnoteReference"/>
          <w:rFonts w:ascii="Times New Roman" w:hAnsi="Times New Roman" w:cs="Times New Roman"/>
          <w:lang w:val="en-GB"/>
        </w:rPr>
      </w:pPr>
      <w:r>
        <w:rPr>
          <w:rStyle w:val="FootnoteReference"/>
          <w:rFonts w:ascii="Times New Roman" w:hAnsi="Times New Roman" w:cs="Times New Roman"/>
        </w:rPr>
        <w:footnoteRef/>
      </w:r>
      <w:r>
        <w:rPr>
          <w:rStyle w:val="FootnoteReference"/>
          <w:rFonts w:ascii="Times New Roman" w:hAnsi="Times New Roman" w:cs="Times New Roman"/>
          <w:lang w:val="en-GB"/>
        </w:rPr>
        <w:t xml:space="preserve"> </w:t>
      </w:r>
      <w:r>
        <w:rPr>
          <w:rStyle w:val="FootnoteReference"/>
          <w:rFonts w:ascii="Times New Roman" w:hAnsi="Times New Roman" w:cs="Times New Roman"/>
          <w:vertAlign w:val="baseline"/>
          <w:lang w:val="en-GB"/>
        </w:rPr>
        <w:t>European Commission (2018). Employment and Social Developments in Europe. Annual Review 2018. Luxembourg: Publications Office of the European Union.</w:t>
      </w:r>
      <w:r>
        <w:rPr>
          <w:rFonts w:ascii="Times New Roman" w:hAnsi="Times New Roman" w:cs="Times New Roman"/>
          <w:lang w:val="en-GB"/>
        </w:rPr>
        <w:t xml:space="preserve"> Available at: http://ec.europa.eu/social/main.jsp?catId=738&amp;langId=en&amp;pubId=8110&amp;furtherPubs=yes</w:t>
      </w:r>
    </w:p>
  </w:footnote>
  <w:footnote w:id="28">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When looking at social scoreboard figures according to the common methodology, the report uses the concept of convergence in levels, or "beta-convergence". </w:t>
      </w:r>
      <w:r>
        <w:rPr>
          <w:rStyle w:val="FootnoteReference"/>
          <w:rFonts w:ascii="Times New Roman" w:hAnsi="Times New Roman" w:cs="Times New Roman"/>
          <w:vertAlign w:val="baseline"/>
        </w:rPr>
        <w:t>This refers to the situation where indicators in worse-performing countries improve faster than in best performing ones. It can be assessed by looking at the slope of the regression line in the scatterplot of levels against changes.</w:t>
      </w:r>
    </w:p>
  </w:footnote>
  <w:footnote w:id="29">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See Chapter 2 and Ann</w:t>
      </w:r>
      <w:r>
        <w:rPr>
          <w:rStyle w:val="FootnoteReference"/>
          <w:rFonts w:ascii="Times New Roman" w:hAnsi="Times New Roman" w:cs="Times New Roman"/>
          <w:vertAlign w:val="baseline"/>
        </w:rPr>
        <w:t>ex 2 for details.</w:t>
      </w:r>
    </w:p>
  </w:footnote>
  <w:footnote w:id="30">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This decrease should be interpreted with caution as employment statistics for Denmark present a break in series in 2017 and 2016 (see also Annexes 1 and 2). A break in series is also flagged for Belgium in 2017.</w:t>
      </w:r>
    </w:p>
  </w:footnote>
  <w:footnote w:id="31">
    <w:p w:rsidR="00EF5220" w:rsidRDefault="00EF2564">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Eurostat, LFS.</w:t>
      </w:r>
    </w:p>
  </w:footnote>
  <w:footnote w:id="32">
    <w:p w:rsidR="00EF5220" w:rsidRDefault="00EF2564">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IMF (</w:t>
      </w:r>
      <w:r>
        <w:rPr>
          <w:rFonts w:ascii="Times New Roman" w:hAnsi="Times New Roman" w:cs="Times New Roman"/>
          <w:lang w:val="en-GB"/>
        </w:rPr>
        <w:t>2017), World Economic Outlook, October 2017.</w:t>
      </w:r>
    </w:p>
  </w:footnote>
  <w:footnote w:id="33">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Style w:val="FootnoteReference"/>
          <w:rFonts w:ascii="Times New Roman" w:hAnsi="Times New Roman" w:cs="Times New Roman"/>
          <w:vertAlign w:val="baseline"/>
        </w:rPr>
        <w:t>European Commission (2018). Labour Market and Wage Developments in Europe. Annual review 2018. Luxembourg: Publications Office of the European Union</w:t>
      </w:r>
      <w:r>
        <w:rPr>
          <w:rFonts w:ascii="Times New Roman" w:hAnsi="Times New Roman" w:cs="Times New Roman"/>
          <w:lang w:val="en-GB"/>
        </w:rPr>
        <w:t>.</w:t>
      </w:r>
    </w:p>
  </w:footnote>
  <w:footnote w:id="34">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Net earnings levels are measured in purchasing power stan</w:t>
      </w:r>
      <w:r>
        <w:rPr>
          <w:rStyle w:val="FootnoteReference"/>
          <w:rFonts w:ascii="Times New Roman" w:hAnsi="Times New Roman" w:cs="Times New Roman"/>
          <w:vertAlign w:val="baseline"/>
        </w:rPr>
        <w:t>dards (PPS) to allow a meaningful comparison across Member States. The changes are measured in national currency and in real terms. This indicator should be read and interpreted in conjunction with other indicators, such as the in-work poverty rate, the ra</w:t>
      </w:r>
      <w:r>
        <w:rPr>
          <w:rStyle w:val="FootnoteReference"/>
          <w:rFonts w:ascii="Times New Roman" w:hAnsi="Times New Roman" w:cs="Times New Roman"/>
          <w:vertAlign w:val="baseline"/>
        </w:rPr>
        <w:t>tio between the fifth and the first decile of the wage distribution (D5/D1) and other relevant EPM/SPPM and JAF indicators.</w:t>
      </w:r>
    </w:p>
  </w:footnote>
  <w:footnote w:id="35">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European Commission (2018). Labour Market and Wage Developments in Europe. Annual review 2018. Luxembourg: Publications Office of </w:t>
      </w:r>
      <w:r>
        <w:rPr>
          <w:rStyle w:val="FootnoteReference"/>
          <w:rFonts w:ascii="Times New Roman" w:hAnsi="Times New Roman" w:cs="Times New Roman"/>
          <w:vertAlign w:val="baseline"/>
        </w:rPr>
        <w:t>the European Union</w:t>
      </w:r>
      <w:r>
        <w:rPr>
          <w:rFonts w:ascii="Times New Roman" w:hAnsi="Times New Roman" w:cs="Times New Roman"/>
        </w:rPr>
        <w:t>.</w:t>
      </w:r>
    </w:p>
  </w:footnote>
  <w:footnote w:id="36">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More information on recent trends including on different income groups can be found in: Tax Policies in the European Union – 2018 Survey, European Commission, DG TAXUD.</w:t>
      </w:r>
    </w:p>
  </w:footnote>
  <w:footnote w:id="37">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(2018) Statutory minimum wages 2018.</w:t>
      </w:r>
    </w:p>
  </w:footnote>
  <w:footnote w:id="38">
    <w:p w:rsidR="00EF5220" w:rsidRDefault="00EF2564">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This </w:t>
      </w:r>
      <w:r>
        <w:rPr>
          <w:rFonts w:ascii="Times New Roman" w:hAnsi="Times New Roman" w:cs="Times New Roman"/>
          <w:lang w:val="en-GB"/>
        </w:rPr>
        <w:t>in</w:t>
      </w:r>
      <w:r>
        <w:rPr>
          <w:rFonts w:ascii="Times New Roman" w:hAnsi="Times New Roman" w:cs="Times New Roman"/>
        </w:rPr>
        <w:t>crease</w:t>
      </w:r>
      <w:r>
        <w:rPr>
          <w:rFonts w:ascii="Times New Roman" w:hAnsi="Times New Roman" w:cs="Times New Roman"/>
        </w:rPr>
        <w:t xml:space="preserve"> should be interpreted with caution as Denmark present</w:t>
      </w:r>
      <w:r>
        <w:rPr>
          <w:rFonts w:ascii="Times New Roman" w:hAnsi="Times New Roman" w:cs="Times New Roman"/>
          <w:lang w:val="en-GB"/>
        </w:rPr>
        <w:t>s</w:t>
      </w:r>
      <w:r>
        <w:rPr>
          <w:rFonts w:ascii="Times New Roman" w:hAnsi="Times New Roman" w:cs="Times New Roman"/>
        </w:rPr>
        <w:t xml:space="preserve"> a break in series in 2017 and 2016 (see also Annexes 1 and 2).</w:t>
      </w:r>
      <w:r>
        <w:rPr>
          <w:rFonts w:ascii="Times New Roman" w:hAnsi="Times New Roman" w:cs="Times New Roman"/>
          <w:lang w:val="en-GB"/>
        </w:rPr>
        <w:t xml:space="preserve"> Breaks in series are also flagged for Belgium and Malta in 2017.</w:t>
      </w:r>
    </w:p>
  </w:footnote>
  <w:footnote w:id="39">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PISA defines “low achievers” as those 15-year-old students who in basi</w:t>
      </w:r>
      <w:r>
        <w:rPr>
          <w:rStyle w:val="FootnoteReference"/>
          <w:rFonts w:ascii="Times New Roman" w:hAnsi="Times New Roman" w:cs="Times New Roman"/>
          <w:vertAlign w:val="baseline"/>
        </w:rPr>
        <w:t>c skills score below the baseline level of proficiency that is required to participate fully in modern society (i.e. level 2).</w:t>
      </w:r>
      <w:r>
        <w:rPr>
          <w:rStyle w:val="FootnoteReference"/>
          <w:rFonts w:ascii="Times New Roman" w:hAnsi="Times New Roman" w:cs="Times New Roman"/>
        </w:rPr>
        <w:t xml:space="preserve"> </w:t>
      </w:r>
    </w:p>
  </w:footnote>
  <w:footnote w:id="40">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OECD's Programme for International Student Assessment (PISA) survey of basic competences of 15 year-old is conducted every</w:t>
      </w:r>
      <w:r>
        <w:rPr>
          <w:rStyle w:val="FootnoteReference"/>
          <w:rFonts w:ascii="Times New Roman" w:hAnsi="Times New Roman" w:cs="Times New Roman"/>
          <w:vertAlign w:val="baseline"/>
        </w:rPr>
        <w:t xml:space="preserve"> three years.</w:t>
      </w:r>
    </w:p>
  </w:footnote>
  <w:footnote w:id="41">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DG EMPL worked with Member States (in consultation with DG EAC) to develop a comprehensive framework for benchmarking adult skills and adult learning systems in the EU, from a cross-country perspective. The framework is based on a three-ste</w:t>
      </w:r>
      <w:r>
        <w:rPr>
          <w:rStyle w:val="FootnoteReference"/>
          <w:rFonts w:ascii="Times New Roman" w:hAnsi="Times New Roman" w:cs="Times New Roman"/>
          <w:vertAlign w:val="baseline"/>
        </w:rPr>
        <w:t>p approach endorsed by EMCO and SPC in June 2017. In a first step, broad key challenges in the field of adult skills and learning are discussed and a set of high-level outcome indicators is identified (employment rates, productivity and skills mismatch). I</w:t>
      </w:r>
      <w:r>
        <w:rPr>
          <w:rStyle w:val="FootnoteReference"/>
          <w:rFonts w:ascii="Times New Roman" w:hAnsi="Times New Roman" w:cs="Times New Roman"/>
          <w:vertAlign w:val="baseline"/>
        </w:rPr>
        <w:t>n a second step, a set of performance indicators is identified, including the share of adults with medium and high skills, participation of adults in learning, digital skills, and the share of jobs requiring medium and high skills. For the third step, a th</w:t>
      </w:r>
      <w:r>
        <w:rPr>
          <w:rStyle w:val="FootnoteReference"/>
          <w:rFonts w:ascii="Times New Roman" w:hAnsi="Times New Roman" w:cs="Times New Roman"/>
          <w:vertAlign w:val="baseline"/>
        </w:rPr>
        <w:t>ematic approach is followed to identify key policy levers that are effective in improving performance of adult skills and learning systems: the provision of guidance on learning opportunities; initiatives aimed to engage disadvantaged groups to learning, s</w:t>
      </w:r>
      <w:r>
        <w:rPr>
          <w:rStyle w:val="FootnoteReference"/>
          <w:rFonts w:ascii="Times New Roman" w:hAnsi="Times New Roman" w:cs="Times New Roman"/>
          <w:vertAlign w:val="baseline"/>
        </w:rPr>
        <w:t>uch as the unemployed and the low-qualified; and measures to support/incentivise  enterprises  in training their staff. The latter indicators are presented in this section.</w:t>
      </w:r>
    </w:p>
  </w:footnote>
  <w:footnote w:id="42">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Data cover the range of services (such as the provision of information, assessmen</w:t>
      </w:r>
      <w:r>
        <w:rPr>
          <w:rStyle w:val="FootnoteReference"/>
          <w:rFonts w:ascii="Times New Roman" w:hAnsi="Times New Roman" w:cs="Times New Roman"/>
          <w:vertAlign w:val="baseline"/>
        </w:rPr>
        <w:t>t, career management skills, orientation and advice) to assist learners and/or potential learners to make choices relating to education and training possibilities.</w:t>
      </w:r>
    </w:p>
  </w:footnote>
  <w:footnote w:id="43">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European Commission (2015), An in-depth analysis of adult learning policies and their </w:t>
      </w:r>
      <w:r>
        <w:rPr>
          <w:rStyle w:val="FootnoteReference"/>
          <w:rFonts w:ascii="Times New Roman" w:hAnsi="Times New Roman" w:cs="Times New Roman"/>
          <w:vertAlign w:val="baseline"/>
        </w:rPr>
        <w:t>effectiveness in Europe.</w:t>
      </w:r>
    </w:p>
  </w:footnote>
  <w:footnote w:id="44">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See, for example, ESRI (2012) ‘Literacy, Numeracy and Activation among the Unemployed’; Shaw</w:t>
      </w:r>
      <w:r>
        <w:rPr>
          <w:rFonts w:ascii="Times New Roman" w:hAnsi="Times New Roman" w:cs="Times New Roman"/>
        </w:rPr>
        <w:t>,</w:t>
      </w:r>
      <w:r>
        <w:rPr>
          <w:rStyle w:val="FootnoteReference"/>
          <w:rFonts w:ascii="Times New Roman" w:hAnsi="Times New Roman" w:cs="Times New Roman"/>
          <w:vertAlign w:val="baseline"/>
        </w:rPr>
        <w:t xml:space="preserve"> N., Armistead, C. (2002) ‘Evaluation of the Union Learning Fund Year 4’, London: Department for Education and Skills; Casey, H. et al (</w:t>
      </w:r>
      <w:r>
        <w:rPr>
          <w:rStyle w:val="FootnoteReference"/>
          <w:rFonts w:ascii="Times New Roman" w:hAnsi="Times New Roman" w:cs="Times New Roman"/>
          <w:vertAlign w:val="baseline"/>
        </w:rPr>
        <w:t>2006) ‘You wouldn’t expect a maths teacher to teach plastering: Embedding literacy, language and numeracy in post-16 vocational programmes – the impact on learning and achievement’, NRDC.</w:t>
      </w:r>
    </w:p>
  </w:footnote>
  <w:footnote w:id="45">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Low-qualified </w:t>
      </w:r>
      <w:r>
        <w:rPr>
          <w:rStyle w:val="FootnoteReference"/>
          <w:rFonts w:ascii="Times New Roman" w:hAnsi="Times New Roman" w:cs="Times New Roman"/>
          <w:vertAlign w:val="baseline"/>
          <w:lang w:val="en-GB"/>
        </w:rPr>
        <w:t>a</w:t>
      </w:r>
      <w:r>
        <w:rPr>
          <w:rFonts w:ascii="Times New Roman" w:hAnsi="Times New Roman" w:cs="Times New Roman"/>
          <w:lang w:val="en-GB"/>
        </w:rPr>
        <w:t>re</w:t>
      </w:r>
      <w:r>
        <w:rPr>
          <w:rStyle w:val="FootnoteReference"/>
          <w:rFonts w:ascii="Times New Roman" w:hAnsi="Times New Roman" w:cs="Times New Roman"/>
          <w:vertAlign w:val="baseline"/>
        </w:rPr>
        <w:t xml:space="preserve"> defined here as persons with at most lower secon</w:t>
      </w:r>
      <w:r>
        <w:rPr>
          <w:rStyle w:val="FootnoteReference"/>
          <w:rFonts w:ascii="Times New Roman" w:hAnsi="Times New Roman" w:cs="Times New Roman"/>
          <w:vertAlign w:val="baseline"/>
        </w:rPr>
        <w:t>dary educational attainment (ISCED levels 0-2).</w:t>
      </w:r>
    </w:p>
  </w:footnote>
  <w:footnote w:id="46">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Data are part of the European statistics on Lifelong Learning and cover all three types of financial incentives, namely direct subsidies for training, tax incentives and receipts from levy-based training fu</w:t>
      </w:r>
      <w:r>
        <w:rPr>
          <w:rStyle w:val="FootnoteReference"/>
          <w:rFonts w:ascii="Times New Roman" w:hAnsi="Times New Roman" w:cs="Times New Roman"/>
          <w:vertAlign w:val="baseline"/>
        </w:rPr>
        <w:t>nds. Among others, the survey provides data on enterprises' receipts from collective, mutual or other training funds and any other financial support acquired from the public sector for the provision of continuing vocational training.</w:t>
      </w:r>
    </w:p>
  </w:footnote>
  <w:footnote w:id="47">
    <w:p w:rsidR="00EF5220" w:rsidRDefault="00EF2564">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This </w:t>
      </w:r>
      <w:r>
        <w:rPr>
          <w:rFonts w:ascii="Times New Roman" w:hAnsi="Times New Roman" w:cs="Times New Roman"/>
          <w:lang w:val="en-GB"/>
        </w:rPr>
        <w:t>in</w:t>
      </w:r>
      <w:r>
        <w:rPr>
          <w:rFonts w:ascii="Times New Roman" w:hAnsi="Times New Roman" w:cs="Times New Roman"/>
        </w:rPr>
        <w:t>crease should</w:t>
      </w:r>
      <w:r>
        <w:rPr>
          <w:rFonts w:ascii="Times New Roman" w:hAnsi="Times New Roman" w:cs="Times New Roman"/>
        </w:rPr>
        <w:t xml:space="preserve"> be interpreted with caution as Denmark present</w:t>
      </w:r>
      <w:r>
        <w:rPr>
          <w:rFonts w:ascii="Times New Roman" w:hAnsi="Times New Roman" w:cs="Times New Roman"/>
          <w:lang w:val="en-GB"/>
        </w:rPr>
        <w:t>s</w:t>
      </w:r>
      <w:r>
        <w:rPr>
          <w:rFonts w:ascii="Times New Roman" w:hAnsi="Times New Roman" w:cs="Times New Roman"/>
        </w:rPr>
        <w:t xml:space="preserve"> a break in series in 2017 and 2016 (see also Annexes 1 and 2).</w:t>
      </w:r>
      <w:r>
        <w:rPr>
          <w:rFonts w:ascii="Times New Roman" w:hAnsi="Times New Roman" w:cs="Times New Roman"/>
          <w:lang w:val="en-GB"/>
        </w:rPr>
        <w:t xml:space="preserve"> Breaks in series are also flagged for Belgium, Ireland and Malta in 2017.</w:t>
      </w:r>
    </w:p>
  </w:footnote>
  <w:footnote w:id="48">
    <w:p w:rsidR="00EF5220" w:rsidRDefault="00EF2564">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(2016)</w:t>
      </w:r>
      <w:r>
        <w:rPr>
          <w:rFonts w:ascii="Times New Roman" w:hAnsi="Times New Roman" w:cs="Times New Roman"/>
          <w:lang w:val="en-GB"/>
        </w:rPr>
        <w:t>,</w:t>
      </w:r>
      <w:r>
        <w:rPr>
          <w:rStyle w:val="FootnoteReference"/>
          <w:rFonts w:ascii="Times New Roman" w:hAnsi="Times New Roman" w:cs="Times New Roman"/>
          <w:vertAlign w:val="baseline"/>
        </w:rPr>
        <w:t xml:space="preserve"> 'Exploring the Diversity of NEETs'</w:t>
      </w:r>
      <w:r>
        <w:rPr>
          <w:rFonts w:ascii="Times New Roman" w:hAnsi="Times New Roman" w:cs="Times New Roman"/>
          <w:lang w:val="en-GB"/>
        </w:rPr>
        <w:t>.</w:t>
      </w:r>
      <w:r>
        <w:rPr>
          <w:rStyle w:val="FootnoteReference"/>
          <w:rFonts w:ascii="Times New Roman" w:hAnsi="Times New Roman" w:cs="Times New Roman"/>
          <w:vertAlign w:val="baseline"/>
        </w:rPr>
        <w:t xml:space="preserve"> Luxembourg</w:t>
      </w:r>
      <w:r>
        <w:rPr>
          <w:rFonts w:ascii="Times New Roman" w:hAnsi="Times New Roman" w:cs="Times New Roman"/>
          <w:lang w:val="en-GB"/>
        </w:rPr>
        <w:t>:</w:t>
      </w:r>
      <w:r>
        <w:rPr>
          <w:rStyle w:val="FootnoteReference"/>
          <w:rFonts w:ascii="Times New Roman" w:hAnsi="Times New Roman" w:cs="Times New Roman"/>
          <w:vertAlign w:val="baseline"/>
        </w:rPr>
        <w:t xml:space="preserve"> Pu</w:t>
      </w:r>
      <w:r>
        <w:rPr>
          <w:rStyle w:val="FootnoteReference"/>
          <w:rFonts w:ascii="Times New Roman" w:hAnsi="Times New Roman" w:cs="Times New Roman"/>
          <w:vertAlign w:val="baseline"/>
        </w:rPr>
        <w:t>blications Office of the European Union</w:t>
      </w:r>
      <w:r>
        <w:rPr>
          <w:rFonts w:ascii="Times New Roman" w:hAnsi="Times New Roman" w:cs="Times New Roman"/>
          <w:lang w:val="en-GB"/>
        </w:rPr>
        <w:t>.</w:t>
      </w:r>
    </w:p>
  </w:footnote>
  <w:footnote w:id="49">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In 2017, 44.9% of women aged 30-34 in the EU had tertiary education compared to 34.9% of men</w:t>
      </w:r>
      <w:r>
        <w:rPr>
          <w:rStyle w:val="FootnoteReference"/>
          <w:rFonts w:ascii="Times New Roman" w:hAnsi="Times New Roman" w:cs="Times New Roman"/>
          <w:vertAlign w:val="baseline"/>
          <w:lang w:val="en-GB"/>
        </w:rPr>
        <w:t xml:space="preserve"> (see also earlier in this Section)</w:t>
      </w:r>
      <w:r>
        <w:rPr>
          <w:rStyle w:val="FootnoteReference"/>
          <w:rFonts w:ascii="Times New Roman" w:hAnsi="Times New Roman" w:cs="Times New Roman"/>
          <w:vertAlign w:val="baseline"/>
        </w:rPr>
        <w:t>; in all Member States, the tertiary education attainment rate is higher for women tha</w:t>
      </w:r>
      <w:r>
        <w:rPr>
          <w:rStyle w:val="FootnoteReference"/>
          <w:rFonts w:ascii="Times New Roman" w:hAnsi="Times New Roman" w:cs="Times New Roman"/>
          <w:vertAlign w:val="baseline"/>
        </w:rPr>
        <w:t>n for men.</w:t>
      </w:r>
    </w:p>
  </w:footnote>
  <w:footnote w:id="50">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reference Social Scoreboard indicator is the unadjusted gender pay gap (i.e. not adjusted according to individual characteristics that may explain part of the earnings difference), which should give an overall picture of gender inequalitie</w:t>
      </w:r>
      <w:r>
        <w:rPr>
          <w:rStyle w:val="FootnoteReference"/>
          <w:rFonts w:ascii="Times New Roman" w:hAnsi="Times New Roman" w:cs="Times New Roman"/>
          <w:vertAlign w:val="baseline"/>
        </w:rPr>
        <w:t>s in terms of pay. Research shows that most of the gap persists even when differences in educational attainment, occupational choice, working hours and other observable attributes are taken into account (e.g. http://ec.europa.eu/justice/gender-equality/fil</w:t>
      </w:r>
      <w:r>
        <w:rPr>
          <w:rStyle w:val="FootnoteReference"/>
          <w:rFonts w:ascii="Times New Roman" w:hAnsi="Times New Roman" w:cs="Times New Roman"/>
          <w:vertAlign w:val="baseline"/>
        </w:rPr>
        <w:t>es/gender_pay_gap/2016_factors_gpg_en.pdf).</w:t>
      </w:r>
    </w:p>
  </w:footnote>
  <w:footnote w:id="51">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lang w:val="en-GB"/>
        </w:rPr>
        <w:t>European Commission (2018), "</w:t>
      </w:r>
      <w:r>
        <w:rPr>
          <w:rStyle w:val="FootnoteReference"/>
          <w:rFonts w:ascii="Times New Roman" w:hAnsi="Times New Roman" w:cs="Times New Roman"/>
          <w:vertAlign w:val="baseline"/>
        </w:rPr>
        <w:t>Ageing Report 2018</w:t>
      </w:r>
      <w:r>
        <w:rPr>
          <w:rFonts w:ascii="Times New Roman" w:hAnsi="Times New Roman" w:cs="Times New Roman"/>
          <w:lang w:val="en-GB"/>
        </w:rPr>
        <w:t>"</w:t>
      </w:r>
      <w:r>
        <w:rPr>
          <w:rStyle w:val="FootnoteReference"/>
          <w:rFonts w:ascii="Times New Roman" w:hAnsi="Times New Roman" w:cs="Times New Roman"/>
          <w:vertAlign w:val="baseline"/>
        </w:rPr>
        <w:t>,</w:t>
      </w:r>
      <w:r>
        <w:rPr>
          <w:rFonts w:ascii="Times New Roman" w:hAnsi="Times New Roman" w:cs="Times New Roman"/>
          <w:lang w:val="en-GB"/>
        </w:rPr>
        <w:t xml:space="preserve"> European Economy Institutional Paper 079</w:t>
      </w:r>
      <w:r>
        <w:rPr>
          <w:rStyle w:val="FootnoteReference"/>
          <w:rFonts w:ascii="Times New Roman" w:hAnsi="Times New Roman" w:cs="Times New Roman"/>
          <w:vertAlign w:val="baseline"/>
        </w:rPr>
        <w:t>.</w:t>
      </w:r>
    </w:p>
  </w:footnote>
  <w:footnote w:id="52">
    <w:p w:rsidR="00EF5220" w:rsidRDefault="00EF2564">
      <w:pPr>
        <w:pStyle w:val="FootnoteText"/>
        <w:jc w:val="both"/>
        <w:rPr>
          <w:rStyle w:val="FootnoteReference"/>
          <w:rFonts w:ascii="Times New Roman" w:hAnsi="Times New Roman" w:cs="Times New Roman"/>
          <w:lang w:val="en-GB"/>
        </w:rPr>
      </w:pPr>
      <w:r>
        <w:rPr>
          <w:rStyle w:val="FootnoteReference"/>
          <w:rFonts w:ascii="Times New Roman" w:hAnsi="Times New Roman" w:cs="Times New Roman"/>
        </w:rPr>
        <w:footnoteRef/>
      </w:r>
      <w:r>
        <w:rPr>
          <w:rStyle w:val="FootnoteReference"/>
          <w:rFonts w:ascii="Times New Roman" w:hAnsi="Times New Roman" w:cs="Times New Roman"/>
          <w:lang w:val="en-GB"/>
        </w:rPr>
        <w:t xml:space="preserve"> </w:t>
      </w:r>
      <w:r>
        <w:rPr>
          <w:rStyle w:val="FootnoteReference"/>
          <w:rFonts w:ascii="Times New Roman" w:hAnsi="Times New Roman" w:cs="Times New Roman"/>
          <w:vertAlign w:val="baseline"/>
          <w:lang w:val="en-GB"/>
        </w:rPr>
        <w:t>The inactivity trap for the second e</w:t>
      </w:r>
      <w:r>
        <w:rPr>
          <w:rFonts w:ascii="Times New Roman" w:hAnsi="Times New Roman" w:cs="Times New Roman"/>
          <w:lang w:val="en-GB"/>
        </w:rPr>
        <w:t>arner</w:t>
      </w:r>
      <w:r>
        <w:rPr>
          <w:rStyle w:val="FootnoteReference"/>
          <w:rFonts w:ascii="Times New Roman" w:hAnsi="Times New Roman" w:cs="Times New Roman"/>
          <w:vertAlign w:val="baseline"/>
          <w:lang w:val="en-GB"/>
        </w:rPr>
        <w:t xml:space="preserve"> </w:t>
      </w:r>
      <w:r>
        <w:rPr>
          <w:rFonts w:ascii="Times New Roman" w:hAnsi="Times New Roman" w:cs="Times New Roman"/>
          <w:lang w:val="en-GB"/>
        </w:rPr>
        <w:t xml:space="preserve">measures the </w:t>
      </w:r>
      <w:r>
        <w:rPr>
          <w:rStyle w:val="FootnoteReference"/>
          <w:rFonts w:ascii="Times New Roman" w:hAnsi="Times New Roman" w:cs="Times New Roman"/>
          <w:vertAlign w:val="baseline"/>
          <w:lang w:val="en-GB"/>
        </w:rPr>
        <w:t xml:space="preserve">marginal effective tax rate on labour income from a second </w:t>
      </w:r>
      <w:r>
        <w:rPr>
          <w:rStyle w:val="FootnoteReference"/>
          <w:rFonts w:ascii="Times New Roman" w:hAnsi="Times New Roman" w:cs="Times New Roman"/>
          <w:vertAlign w:val="baseline"/>
          <w:lang w:val="en-GB"/>
        </w:rPr>
        <w:t>member of a couple moving from social assistance to work. The low wage trap is calculated for couple without children where a second earner increases earnings from 33% to 67% of the average wage and where the principal earner earns 100% of the average wage</w:t>
      </w:r>
      <w:r>
        <w:rPr>
          <w:rStyle w:val="FootnoteReference"/>
          <w:rFonts w:ascii="Times New Roman" w:hAnsi="Times New Roman" w:cs="Times New Roman"/>
          <w:vertAlign w:val="baseline"/>
          <w:lang w:val="en-GB"/>
        </w:rPr>
        <w:t>.</w:t>
      </w:r>
      <w:r>
        <w:rPr>
          <w:rStyle w:val="FootnoteReference"/>
          <w:rFonts w:ascii="Times New Roman" w:hAnsi="Times New Roman" w:cs="Times New Roman"/>
          <w:lang w:val="en-GB"/>
        </w:rPr>
        <w:t xml:space="preserve"> </w:t>
      </w:r>
    </w:p>
  </w:footnote>
  <w:footnote w:id="53">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In the EU, in 2014, around 20% of people aged 15-29 had a migrant background – either foreign-born or native born with at least one foreign born parent. Source: Eurostat.</w:t>
      </w:r>
    </w:p>
  </w:footnote>
  <w:footnote w:id="54">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OECD (2017), Catching Up? Intergenerational Mobility and Children of Immigrant</w:t>
      </w:r>
      <w:r>
        <w:rPr>
          <w:rStyle w:val="FootnoteReference"/>
          <w:rFonts w:ascii="Times New Roman" w:hAnsi="Times New Roman" w:cs="Times New Roman"/>
          <w:vertAlign w:val="baseline"/>
        </w:rPr>
        <w:t>s.</w:t>
      </w:r>
    </w:p>
  </w:footnote>
  <w:footnote w:id="55">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employment rate of non-EU born people is higher for those arrived for study or employment reasons (71% in 2014, even higher than for natives) and lower for those arrived for family reasons and for refugees. Migrants for family reasons were in 2014</w:t>
      </w:r>
      <w:r>
        <w:rPr>
          <w:rStyle w:val="FootnoteReference"/>
          <w:rFonts w:ascii="Times New Roman" w:hAnsi="Times New Roman" w:cs="Times New Roman"/>
          <w:vertAlign w:val="baseline"/>
        </w:rPr>
        <w:t xml:space="preserve"> the biggest share among non-EU born people (52%). Their employment rate was 53% in 2014, lower than among refugees (56%).</w:t>
      </w:r>
    </w:p>
  </w:footnote>
  <w:footnote w:id="56">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In terms of educational attainment, third-country nationals (aged 25-54) were more likely to have a low level of education in 2017 </w:t>
      </w:r>
      <w:r>
        <w:rPr>
          <w:rStyle w:val="FootnoteReference"/>
          <w:rFonts w:ascii="Times New Roman" w:hAnsi="Times New Roman" w:cs="Times New Roman"/>
          <w:vertAlign w:val="baseline"/>
        </w:rPr>
        <w:t>(43.6%) compared to host-country nationals (21.2%), and less likely to have reached tertiary education (respectively 26.3% and 31.6%).</w:t>
      </w:r>
    </w:p>
  </w:footnote>
  <w:footnote w:id="57">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gap in the employment rate among non-EU born and native-born is the most pronounced among those with tertiary educa</w:t>
      </w:r>
      <w:r>
        <w:rPr>
          <w:rStyle w:val="FootnoteReference"/>
          <w:rFonts w:ascii="Times New Roman" w:hAnsi="Times New Roman" w:cs="Times New Roman"/>
          <w:vertAlign w:val="baseline"/>
        </w:rPr>
        <w:t>tion, highlighting that migrants face lower returns on their education compared to natives (see also Employment and Social Developments in Europe 2015). In 2017, around 42% of third-country nationals with high level of education were over-qualified: i.e. w</w:t>
      </w:r>
      <w:r>
        <w:rPr>
          <w:rStyle w:val="FootnoteReference"/>
          <w:rFonts w:ascii="Times New Roman" w:hAnsi="Times New Roman" w:cs="Times New Roman"/>
          <w:vertAlign w:val="baseline"/>
        </w:rPr>
        <w:t>orking but in low or medium-skilled occupations, compared to around 20% among host-country nationals. However, the gap between the two groups did reduce over the last few years, from 25 pps in 2012 to 20</w:t>
      </w:r>
      <w:r>
        <w:rPr>
          <w:rFonts w:ascii="Times New Roman" w:hAnsi="Times New Roman" w:cs="Times New Roman"/>
        </w:rPr>
        <w:t xml:space="preserve"> </w:t>
      </w:r>
      <w:r>
        <w:rPr>
          <w:rFonts w:ascii="Times New Roman" w:hAnsi="Times New Roman" w:cs="Times New Roman"/>
          <w:lang w:val="en-GB"/>
        </w:rPr>
        <w:t>pps</w:t>
      </w:r>
      <w:r>
        <w:rPr>
          <w:rStyle w:val="FootnoteReference"/>
          <w:rFonts w:ascii="Times New Roman" w:hAnsi="Times New Roman" w:cs="Times New Roman"/>
          <w:vertAlign w:val="baseline"/>
        </w:rPr>
        <w:t xml:space="preserve"> in 2017.</w:t>
      </w:r>
    </w:p>
  </w:footnote>
  <w:footnote w:id="58">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Data come from EU-SILC 2015 analysed </w:t>
      </w:r>
      <w:r>
        <w:rPr>
          <w:rStyle w:val="FootnoteReference"/>
          <w:rFonts w:ascii="Times New Roman" w:hAnsi="Times New Roman" w:cs="Times New Roman"/>
          <w:vertAlign w:val="baseline"/>
        </w:rPr>
        <w:t>by the Academic Network of European Disability Experts (ANED).</w:t>
      </w:r>
      <w:r>
        <w:rPr>
          <w:rStyle w:val="FootnoteReference"/>
          <w:rFonts w:ascii="Times New Roman" w:hAnsi="Times New Roman" w:cs="Times New Roman"/>
        </w:rPr>
        <w:t xml:space="preserve"> </w:t>
      </w:r>
    </w:p>
  </w:footnote>
  <w:footnote w:id="59">
    <w:p w:rsidR="00EF5220" w:rsidRDefault="00EF2564">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The prevalence of disability also differs among Member States to a considerable extent.</w:t>
      </w:r>
    </w:p>
  </w:footnote>
  <w:footnote w:id="60">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ibid</w:t>
      </w:r>
    </w:p>
  </w:footnote>
  <w:footnote w:id="61">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EU-SILC (2017) In-work at-risk-of-poverty rate by level of activity limitation, sex and age (</w:t>
      </w:r>
      <w:r>
        <w:rPr>
          <w:rStyle w:val="FootnoteReference"/>
          <w:rFonts w:ascii="Times New Roman" w:hAnsi="Times New Roman" w:cs="Times New Roman"/>
          <w:vertAlign w:val="baseline"/>
        </w:rPr>
        <w:t>hlth_dpe050)</w:t>
      </w:r>
    </w:p>
  </w:footnote>
  <w:footnote w:id="62">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(2018), The social and employment situation of people with disabilities, Publications Office of the European Union, Luxembourg</w:t>
      </w:r>
      <w:r>
        <w:rPr>
          <w:rFonts w:ascii="Times New Roman" w:hAnsi="Times New Roman" w:cs="Times New Roman"/>
          <w:lang w:val="en-GB"/>
        </w:rPr>
        <w:t>, forthcoming</w:t>
      </w:r>
      <w:r>
        <w:rPr>
          <w:rStyle w:val="FootnoteReference"/>
          <w:rFonts w:ascii="Times New Roman" w:hAnsi="Times New Roman" w:cs="Times New Roman"/>
          <w:vertAlign w:val="baseline"/>
        </w:rPr>
        <w:t>.</w:t>
      </w:r>
    </w:p>
  </w:footnote>
  <w:footnote w:id="63">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COM(2017) 247 final</w:t>
      </w:r>
    </w:p>
  </w:footnote>
  <w:footnote w:id="64">
    <w:p w:rsidR="00EF5220" w:rsidRDefault="00EF2564">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Council Recommendation of 10 March 2014 on a Quality Framework for</w:t>
      </w:r>
      <w:r>
        <w:rPr>
          <w:rStyle w:val="FootnoteReference"/>
          <w:rFonts w:ascii="Times New Roman" w:hAnsi="Times New Roman" w:cs="Times New Roman"/>
          <w:vertAlign w:val="baseline"/>
        </w:rPr>
        <w:t xml:space="preserve"> Traineeships, 2014/C 88/01.</w:t>
      </w:r>
    </w:p>
  </w:footnote>
  <w:footnote w:id="65">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A forthcoming ad-hoc </w:t>
      </w:r>
      <w:r>
        <w:rPr>
          <w:rFonts w:ascii="Times New Roman" w:hAnsi="Times New Roman" w:cs="Times New Roman"/>
          <w:lang w:val="it-IT"/>
        </w:rPr>
        <w:t>Eurostat</w:t>
      </w:r>
      <w:r>
        <w:rPr>
          <w:rFonts w:ascii="Times New Roman" w:hAnsi="Times New Roman" w:cs="Times New Roman"/>
        </w:rPr>
        <w:t xml:space="preserve"> </w:t>
      </w:r>
      <w:r>
        <w:rPr>
          <w:rStyle w:val="FootnoteReference"/>
          <w:rFonts w:ascii="Times New Roman" w:hAnsi="Times New Roman" w:cs="Times New Roman"/>
          <w:vertAlign w:val="baseline"/>
        </w:rPr>
        <w:t>LFS module on self-employment, whose results are expected in 2019, will help shedding light on the issue.</w:t>
      </w:r>
    </w:p>
  </w:footnote>
  <w:footnote w:id="66">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Eurofound (2017), Exploring self-employment in the European Union, Publications Office </w:t>
      </w:r>
      <w:r>
        <w:rPr>
          <w:rStyle w:val="FootnoteReference"/>
          <w:rFonts w:ascii="Times New Roman" w:hAnsi="Times New Roman" w:cs="Times New Roman"/>
          <w:vertAlign w:val="baseline"/>
        </w:rPr>
        <w:t>of the European Union, Luxembourg.</w:t>
      </w:r>
    </w:p>
  </w:footnote>
  <w:footnote w:id="67">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Based on 2015 data from the sixth European Working Conditions Survey (EWCS) five distinct clusters of self-employed are identified (‘employers’, ‘stable own-account workers’, ‘small traders and farmers’, ‘vulnerable’ an</w:t>
      </w:r>
      <w:r>
        <w:rPr>
          <w:rStyle w:val="FootnoteReference"/>
          <w:rFonts w:ascii="Times New Roman" w:hAnsi="Times New Roman" w:cs="Times New Roman"/>
          <w:vertAlign w:val="baseline"/>
        </w:rPr>
        <w:t>d ‘concealed’). The clusters are the outcome of a statistical model (latent class analysis) controlling for variables for economic dependence (e.g. number of clients, ease of finding new customers), operational dependence (e.g. able to take time off on sho</w:t>
      </w:r>
      <w:r>
        <w:rPr>
          <w:rStyle w:val="FootnoteReference"/>
          <w:rFonts w:ascii="Times New Roman" w:hAnsi="Times New Roman" w:cs="Times New Roman"/>
          <w:vertAlign w:val="baseline"/>
        </w:rPr>
        <w:t>rt notice) and entrepreneurialism (e.g. having multiple establishments, reason to become self-employed). More details in Eurofound (2017)</w:t>
      </w:r>
      <w:r>
        <w:rPr>
          <w:rStyle w:val="FootnoteReference"/>
          <w:rFonts w:ascii="Times New Roman" w:hAnsi="Times New Roman" w:cs="Times New Roman"/>
          <w:vertAlign w:val="baseline"/>
          <w:lang w:val="en-GB"/>
        </w:rPr>
        <w:t>, ibid</w:t>
      </w:r>
      <w:r>
        <w:rPr>
          <w:rStyle w:val="FootnoteReference"/>
          <w:rFonts w:ascii="Times New Roman" w:hAnsi="Times New Roman" w:cs="Times New Roman"/>
          <w:vertAlign w:val="baseline"/>
        </w:rPr>
        <w:t>.</w:t>
      </w:r>
    </w:p>
  </w:footnote>
  <w:footnote w:id="68">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The COLLEEM </w:t>
      </w:r>
      <w:r>
        <w:rPr>
          <w:rFonts w:ascii="Times New Roman" w:hAnsi="Times New Roman" w:cs="Times New Roman"/>
          <w:lang w:val="en-GB"/>
        </w:rPr>
        <w:t xml:space="preserve">("Collaborative Economy and Employment") </w:t>
      </w:r>
      <w:r>
        <w:rPr>
          <w:rStyle w:val="FootnoteReference"/>
          <w:rFonts w:ascii="Times New Roman" w:hAnsi="Times New Roman" w:cs="Times New Roman"/>
          <w:vertAlign w:val="baseline"/>
        </w:rPr>
        <w:t>survey is an online panel survey on digital platforms co</w:t>
      </w:r>
      <w:r>
        <w:rPr>
          <w:rStyle w:val="FootnoteReference"/>
          <w:rFonts w:ascii="Times New Roman" w:hAnsi="Times New Roman" w:cs="Times New Roman"/>
          <w:vertAlign w:val="baseline"/>
        </w:rPr>
        <w:t>mmissioned by DG EMPL and coordinated by the JRC. It was conducted in 14 European Member States: DE, ES, FI, FR, HR, HU, IT, LT, NL, PT, RO, SE, SK and UK. The survey was conducted in June 2017. See Pesole et al., (2018).</w:t>
      </w:r>
    </w:p>
  </w:footnote>
  <w:footnote w:id="69">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European Commission (2018). Empl</w:t>
      </w:r>
      <w:r>
        <w:rPr>
          <w:rStyle w:val="FootnoteReference"/>
          <w:rFonts w:ascii="Times New Roman" w:hAnsi="Times New Roman" w:cs="Times New Roman"/>
          <w:vertAlign w:val="baseline"/>
        </w:rPr>
        <w:t>oyment and Social Developments in Europe. Annual Review 2018. Luxembourg: Publications Office of the European Union</w:t>
      </w:r>
      <w:r>
        <w:rPr>
          <w:rFonts w:ascii="Times New Roman" w:hAnsi="Times New Roman" w:cs="Times New Roman"/>
        </w:rPr>
        <w:t>.</w:t>
      </w:r>
    </w:p>
  </w:footnote>
  <w:footnote w:id="70">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(2018), “Does employment Status matter for job quality?", forthcoming.</w:t>
      </w:r>
    </w:p>
  </w:footnote>
  <w:footnote w:id="71">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seventh dimension, i.e. earnings, is excluded beca</w:t>
      </w:r>
      <w:r>
        <w:rPr>
          <w:rStyle w:val="FootnoteReference"/>
          <w:rFonts w:ascii="Times New Roman" w:hAnsi="Times New Roman" w:cs="Times New Roman"/>
          <w:vertAlign w:val="baseline"/>
        </w:rPr>
        <w:t>use of low reliability.</w:t>
      </w:r>
    </w:p>
  </w:footnote>
  <w:footnote w:id="72">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For these reasons, the long-term unemployment rate has been agreed by </w:t>
      </w:r>
      <w:r>
        <w:rPr>
          <w:rStyle w:val="FootnoteReference"/>
          <w:rFonts w:ascii="Times New Roman" w:hAnsi="Times New Roman" w:cs="Times New Roman"/>
          <w:vertAlign w:val="baseline"/>
          <w:lang w:val="en-GB"/>
        </w:rPr>
        <w:t>t</w:t>
      </w:r>
      <w:r>
        <w:rPr>
          <w:rFonts w:ascii="Times New Roman" w:hAnsi="Times New Roman" w:cs="Times New Roman"/>
          <w:lang w:val="en-GB"/>
        </w:rPr>
        <w:t xml:space="preserve">he Employment Committee </w:t>
      </w:r>
      <w:r>
        <w:rPr>
          <w:rStyle w:val="FootnoteReference"/>
          <w:rFonts w:ascii="Times New Roman" w:hAnsi="Times New Roman" w:cs="Times New Roman"/>
          <w:vertAlign w:val="baseline"/>
        </w:rPr>
        <w:t xml:space="preserve">as </w:t>
      </w:r>
      <w:r>
        <w:rPr>
          <w:rFonts w:ascii="Times New Roman" w:hAnsi="Times New Roman" w:cs="Times New Roman"/>
          <w:lang w:val="en-GB"/>
        </w:rPr>
        <w:t xml:space="preserve">a </w:t>
      </w:r>
      <w:r>
        <w:rPr>
          <w:rStyle w:val="FootnoteReference"/>
          <w:rFonts w:ascii="Times New Roman" w:hAnsi="Times New Roman" w:cs="Times New Roman"/>
          <w:vertAlign w:val="baseline"/>
        </w:rPr>
        <w:t>headline social scoreboard indicator to monitor active support to employment.</w:t>
      </w:r>
    </w:p>
  </w:footnote>
  <w:footnote w:id="73">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Nonetheless, this indicator should be interpreted </w:t>
      </w:r>
      <w:r>
        <w:rPr>
          <w:rStyle w:val="FootnoteReference"/>
          <w:rFonts w:ascii="Times New Roman" w:hAnsi="Times New Roman" w:cs="Times New Roman"/>
          <w:vertAlign w:val="baseline"/>
        </w:rPr>
        <w:t>with caution, as it only measures participation to (and not effectiveness of) labour market policies, and for a number of countries it presents statistical reliability issues, related to the data collection process.</w:t>
      </w:r>
    </w:p>
  </w:footnote>
  <w:footnote w:id="74">
    <w:p w:rsidR="00EF5220" w:rsidRDefault="00EF25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FootnoteReference"/>
          <w:rFonts w:ascii="Times New Roman" w:hAnsi="Times New Roman" w:cs="Times New Roman"/>
          <w:vertAlign w:val="baseline"/>
        </w:rPr>
        <w:t xml:space="preserve">European Commission (2018). Labour </w:t>
      </w:r>
      <w:r>
        <w:rPr>
          <w:rStyle w:val="FootnoteReference"/>
          <w:rFonts w:ascii="Times New Roman" w:hAnsi="Times New Roman" w:cs="Times New Roman"/>
          <w:vertAlign w:val="baseline"/>
        </w:rPr>
        <w:t>Market and Wage Developments in Europe. Annual review 2018. Luxembourg: Publications Office of the European Union</w:t>
      </w:r>
      <w:r>
        <w:rPr>
          <w:rFonts w:ascii="Times New Roman" w:hAnsi="Times New Roman" w:cs="Times New Roman"/>
        </w:rPr>
        <w:t>.</w:t>
      </w:r>
    </w:p>
  </w:footnote>
  <w:footnote w:id="75">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Those who have been unemployed for less than one year.</w:t>
      </w:r>
    </w:p>
  </w:footnote>
  <w:footnote w:id="76">
    <w:p w:rsidR="00EF5220" w:rsidRDefault="00EF2564">
      <w:pPr>
        <w:keepNext/>
        <w:spacing w:line="240" w:lineRule="auto"/>
        <w:jc w:val="both"/>
        <w:rPr>
          <w:rFonts w:ascii="Times New Roman" w:hAnsi="Times New Roman" w:cs="Times New Roman"/>
          <w:noProof/>
          <w:lang w:val="en-GB" w:eastAsia="en-GB"/>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noProof/>
          <w:sz w:val="20"/>
          <w:szCs w:val="20"/>
          <w:lang w:val="en-GB" w:eastAsia="en-GB"/>
        </w:rPr>
        <w:t>The OECD models used for this indicator have been refined since adoption of the 20</w:t>
      </w:r>
      <w:r>
        <w:rPr>
          <w:rFonts w:ascii="Times New Roman" w:hAnsi="Times New Roman" w:cs="Times New Roman"/>
          <w:noProof/>
          <w:sz w:val="20"/>
          <w:szCs w:val="20"/>
          <w:lang w:val="en-GB" w:eastAsia="en-GB"/>
        </w:rPr>
        <w:t>18 Joint Employment Report in Council, in particular for AT, DK, EE, FI, DE, ES, IE, IT, UK.</w:t>
      </w:r>
    </w:p>
  </w:footnote>
  <w:footnote w:id="77">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These policy indicators were developed by the OECD using data collected via comprehensive expert surveys. They provide information about legal (i.e. de jure) con</w:t>
      </w:r>
      <w:r>
        <w:rPr>
          <w:rStyle w:val="FootnoteReference"/>
          <w:rFonts w:ascii="Times New Roman" w:hAnsi="Times New Roman" w:cs="Times New Roman"/>
          <w:vertAlign w:val="baseline"/>
        </w:rPr>
        <w:t>ditions, but not about its effective implementation (which can vary between countries with the same rules).</w:t>
      </w:r>
      <w:r>
        <w:rPr>
          <w:rFonts w:ascii="Times New Roman" w:hAnsi="Times New Roman" w:cs="Times New Roman"/>
          <w:lang w:val="fr-BE"/>
        </w:rPr>
        <w:t>T</w:t>
      </w:r>
      <w:r>
        <w:rPr>
          <w:rStyle w:val="FootnoteReference"/>
          <w:rFonts w:ascii="Times New Roman" w:hAnsi="Times New Roman" w:cs="Times New Roman"/>
          <w:vertAlign w:val="baseline"/>
        </w:rPr>
        <w:t>hese indicators cannot be interpreted in a simplistic manner, as it is not possible to identify an 'optimal' degree of strictness for job-search and</w:t>
      </w:r>
      <w:r>
        <w:rPr>
          <w:rStyle w:val="FootnoteReference"/>
          <w:rFonts w:ascii="Times New Roman" w:hAnsi="Times New Roman" w:cs="Times New Roman"/>
          <w:vertAlign w:val="baseline"/>
        </w:rPr>
        <w:t xml:space="preserve"> availability requirements.</w:t>
      </w:r>
    </w:p>
  </w:footnote>
  <w:footnote w:id="78">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This number refers to "long-term" EU-28 movers of working age, living in EU-28, based on Eurostat demography statistics. For details, see European Commission (</w:t>
      </w:r>
      <w:r>
        <w:rPr>
          <w:rFonts w:ascii="Times New Roman" w:hAnsi="Times New Roman" w:cs="Times New Roman"/>
          <w:lang w:val="en-GB"/>
        </w:rPr>
        <w:t>forthcoming</w:t>
      </w:r>
      <w:r>
        <w:rPr>
          <w:rStyle w:val="FootnoteReference"/>
          <w:rFonts w:ascii="Times New Roman" w:hAnsi="Times New Roman" w:cs="Times New Roman"/>
          <w:vertAlign w:val="baseline"/>
        </w:rPr>
        <w:t>), 201</w:t>
      </w:r>
      <w:r>
        <w:rPr>
          <w:rFonts w:ascii="Times New Roman" w:hAnsi="Times New Roman" w:cs="Times New Roman"/>
          <w:lang w:val="en-GB"/>
        </w:rPr>
        <w:t>8</w:t>
      </w:r>
      <w:r>
        <w:rPr>
          <w:rStyle w:val="FootnoteReference"/>
          <w:rFonts w:ascii="Times New Roman" w:hAnsi="Times New Roman" w:cs="Times New Roman"/>
          <w:vertAlign w:val="baseline"/>
        </w:rPr>
        <w:t xml:space="preserve"> Annual Report on Intra-EU Labour Mobility, Direc</w:t>
      </w:r>
      <w:r>
        <w:rPr>
          <w:rStyle w:val="FootnoteReference"/>
          <w:rFonts w:ascii="Times New Roman" w:hAnsi="Times New Roman" w:cs="Times New Roman"/>
          <w:vertAlign w:val="baseline"/>
        </w:rPr>
        <w:t>torate-General for Employment, Social Affairs and Inclusion.</w:t>
      </w:r>
    </w:p>
  </w:footnote>
  <w:footnote w:id="79">
    <w:p w:rsidR="00EF5220" w:rsidRDefault="00EF2564">
      <w:pPr>
        <w:pStyle w:val="FootnoteText"/>
        <w:jc w:val="both"/>
        <w:rPr>
          <w:rFonts w:ascii="Times New Roman" w:hAnsi="Times New Roman" w:cs="Times New Roman"/>
          <w:lang w:val="nl-B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nl-BE"/>
        </w:rPr>
        <w:t>DNB (2018), "DNBulletin: Flexibilisering arbeidsmarkt gaat gepaard met daling arbeidsinkomensquote", published on 1</w:t>
      </w:r>
      <w:r>
        <w:rPr>
          <w:rFonts w:ascii="Times New Roman" w:hAnsi="Times New Roman" w:cs="Times New Roman"/>
          <w:vertAlign w:val="superscript"/>
          <w:lang w:val="nl-BE"/>
        </w:rPr>
        <w:t>st</w:t>
      </w:r>
      <w:r>
        <w:rPr>
          <w:rFonts w:ascii="Times New Roman" w:hAnsi="Times New Roman" w:cs="Times New Roman"/>
          <w:lang w:val="nl-BE"/>
        </w:rPr>
        <w:t xml:space="preserve"> February 2018.</w:t>
      </w:r>
    </w:p>
  </w:footnote>
  <w:footnote w:id="80">
    <w:p w:rsidR="00EF5220" w:rsidRDefault="00EF2564">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See Chapters 5 in Employment and Social Developments in Europe, 2018 and 2017 editions. </w:t>
      </w:r>
    </w:p>
  </w:footnote>
  <w:footnote w:id="81">
    <w:p w:rsidR="00EF5220" w:rsidRDefault="00EF2564">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Eurofound (2016), 'The concept of representativeness at national, international and European level'.</w:t>
      </w:r>
    </w:p>
  </w:footnote>
  <w:footnote w:id="82">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As collected, for instance, during the seminar "The Social Pillar and European Semester as tools for delivering social Europe – a reflection with civil society", held on 2 October 2018 in Brussels.</w:t>
      </w:r>
    </w:p>
  </w:footnote>
  <w:footnote w:id="83">
    <w:p w:rsidR="00EF5220" w:rsidRDefault="00EF2564">
      <w:pPr>
        <w:pStyle w:val="FootnoteText"/>
        <w:jc w:val="both"/>
        <w:rPr>
          <w:rStyle w:val="FootnoteReference"/>
          <w:rFonts w:ascii="Times New Roman" w:hAnsi="Times New Roman" w:cs="Times New Roman"/>
          <w:lang w:val="en-GB"/>
        </w:rPr>
      </w:pPr>
      <w:r>
        <w:rPr>
          <w:rStyle w:val="FootnoteReference"/>
          <w:rFonts w:ascii="Times New Roman" w:hAnsi="Times New Roman" w:cs="Times New Roman"/>
        </w:rPr>
        <w:footnoteRef/>
      </w:r>
      <w:r>
        <w:rPr>
          <w:rStyle w:val="FootnoteReference"/>
          <w:rFonts w:ascii="Times New Roman" w:hAnsi="Times New Roman" w:cs="Times New Roman"/>
          <w:lang w:val="en-GB"/>
        </w:rPr>
        <w:t xml:space="preserve"> </w:t>
      </w:r>
      <w:r>
        <w:rPr>
          <w:rStyle w:val="FootnoteReference"/>
          <w:rFonts w:ascii="Times New Roman" w:hAnsi="Times New Roman" w:cs="Times New Roman"/>
          <w:vertAlign w:val="baseline"/>
          <w:lang w:val="en-GB"/>
        </w:rPr>
        <w:t xml:space="preserve">This paragraph is based on the conclusions of the EMCO </w:t>
      </w:r>
      <w:r>
        <w:rPr>
          <w:rStyle w:val="FootnoteReference"/>
          <w:rFonts w:ascii="Times New Roman" w:hAnsi="Times New Roman" w:cs="Times New Roman"/>
          <w:vertAlign w:val="baseline"/>
          <w:lang w:val="en-GB"/>
        </w:rPr>
        <w:t>Thematic Review on the implementation of the Council Recommendation on the integration of the long-term unemployed in the labour market of 3rd October 2018.</w:t>
      </w:r>
      <w:r>
        <w:rPr>
          <w:rFonts w:ascii="Times New Roman" w:hAnsi="Times New Roman" w:cs="Times New Roman"/>
          <w:lang w:val="en-GB"/>
        </w:rPr>
        <w:t xml:space="preserve"> An in-depth evaluation is underway and will be published in early 2019, together with a report to t</w:t>
      </w:r>
      <w:r>
        <w:rPr>
          <w:rFonts w:ascii="Times New Roman" w:hAnsi="Times New Roman" w:cs="Times New Roman"/>
          <w:lang w:val="en-GB"/>
        </w:rPr>
        <w:t>he Council.</w:t>
      </w:r>
    </w:p>
  </w:footnote>
  <w:footnote w:id="84">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A detailed analysis of involvement of social partners in recent reforms can be found in Eurofound (2019), “Social dialogue practices within the context of the EU Semester”, forthcoming.</w:t>
      </w:r>
    </w:p>
  </w:footnote>
  <w:footnote w:id="85">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On 26</w:t>
      </w:r>
      <w:r>
        <w:rPr>
          <w:rFonts w:ascii="Times New Roman" w:hAnsi="Times New Roman" w:cs="Times New Roman"/>
          <w:vertAlign w:val="superscript"/>
          <w:lang w:val="en-GB"/>
        </w:rPr>
        <w:t>th</w:t>
      </w:r>
      <w:r>
        <w:rPr>
          <w:rFonts w:ascii="Times New Roman" w:hAnsi="Times New Roman" w:cs="Times New Roman"/>
          <w:lang w:val="en-GB"/>
        </w:rPr>
        <w:t xml:space="preserve"> October 2018 data for 2017 are available only </w:t>
      </w:r>
      <w:r>
        <w:rPr>
          <w:rFonts w:ascii="Times New Roman" w:hAnsi="Times New Roman" w:cs="Times New Roman"/>
          <w:lang w:val="en-GB"/>
        </w:rPr>
        <w:t>for 18 Member States. An update will be provided in the final version of the Joint Employment Report.</w:t>
      </w:r>
    </w:p>
  </w:footnote>
  <w:footnote w:id="86">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GDHI is measured using 'unadjusted income' (i.e. without including social transfers in kind), in real terms. Data not available for HR, and MT </w:t>
      </w:r>
      <w:r>
        <w:rPr>
          <w:rStyle w:val="FootnoteReference"/>
          <w:rFonts w:ascii="Times New Roman" w:hAnsi="Times New Roman" w:cs="Times New Roman"/>
          <w:vertAlign w:val="baseline"/>
          <w:lang w:val="en-GB"/>
        </w:rPr>
        <w:t>o</w:t>
      </w:r>
      <w:r>
        <w:rPr>
          <w:rFonts w:ascii="Times New Roman" w:hAnsi="Times New Roman" w:cs="Times New Roman"/>
          <w:lang w:val="en-GB"/>
        </w:rPr>
        <w:t>n</w:t>
      </w:r>
      <w:r>
        <w:rPr>
          <w:rStyle w:val="FootnoteReference"/>
          <w:rFonts w:ascii="Times New Roman" w:hAnsi="Times New Roman" w:cs="Times New Roman"/>
          <w:vertAlign w:val="baseline"/>
        </w:rPr>
        <w:t xml:space="preserve"> 2</w:t>
      </w:r>
      <w:r>
        <w:rPr>
          <w:rFonts w:ascii="Times New Roman" w:hAnsi="Times New Roman" w:cs="Times New Roman"/>
          <w:lang w:val="en-GB"/>
        </w:rPr>
        <w:t>6</w:t>
      </w:r>
      <w:r>
        <w:rPr>
          <w:rStyle w:val="FootnoteReference"/>
          <w:rFonts w:ascii="Times New Roman" w:hAnsi="Times New Roman" w:cs="Times New Roman"/>
          <w:vertAlign w:val="baseline"/>
        </w:rPr>
        <w:t xml:space="preserve">th </w:t>
      </w:r>
      <w:r>
        <w:rPr>
          <w:rFonts w:ascii="Times New Roman" w:hAnsi="Times New Roman" w:cs="Times New Roman"/>
          <w:lang w:val="en-GB"/>
        </w:rPr>
        <w:t>O</w:t>
      </w:r>
      <w:r>
        <w:rPr>
          <w:rFonts w:ascii="Times New Roman" w:hAnsi="Times New Roman" w:cs="Times New Roman"/>
          <w:lang w:val="en-GB"/>
        </w:rPr>
        <w:t xml:space="preserve">ctober </w:t>
      </w:r>
      <w:r>
        <w:rPr>
          <w:rStyle w:val="FootnoteReference"/>
          <w:rFonts w:ascii="Times New Roman" w:hAnsi="Times New Roman" w:cs="Times New Roman"/>
          <w:vertAlign w:val="baseline"/>
        </w:rPr>
        <w:t>2018.</w:t>
      </w:r>
    </w:p>
  </w:footnote>
  <w:footnote w:id="87">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See Chapter 1.2 for definitions of at-risk-of-poverty or social exclusion and its components. Note: the income statistics of EU SILC refer to the previous income year. Therefore, 2017 EU SILC figures for AROP, S80/S20, etc. refer to the 2016</w:t>
      </w:r>
      <w:r>
        <w:rPr>
          <w:rStyle w:val="FootnoteReference"/>
          <w:rFonts w:ascii="Times New Roman" w:hAnsi="Times New Roman" w:cs="Times New Roman"/>
          <w:vertAlign w:val="baseline"/>
        </w:rPr>
        <w:t xml:space="preserve"> income year.</w:t>
      </w:r>
    </w:p>
  </w:footnote>
  <w:footnote w:id="88">
    <w:p w:rsidR="00EF5220" w:rsidRDefault="00EF2564">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The relative median at-risk-of-poverty gap is calculated as the difference between the median equivalised total net income of persons below the at-risk-of-poverty threshold and the at-risk-of-poverty threshold, expressed as a percentage of </w:t>
      </w:r>
      <w:r>
        <w:rPr>
          <w:rFonts w:ascii="Times New Roman" w:hAnsi="Times New Roman" w:cs="Times New Roman"/>
        </w:rPr>
        <w:t>the at-risk-of-poverty threshold (60% of the national median equivalised income).</w:t>
      </w:r>
    </w:p>
  </w:footnote>
  <w:footnote w:id="89">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EU-SILC (2017)</w:t>
      </w:r>
      <w:r>
        <w:rPr>
          <w:rFonts w:ascii="Times New Roman" w:hAnsi="Times New Roman" w:cs="Times New Roman"/>
          <w:lang w:val="en-GB"/>
        </w:rPr>
        <w:t>, p</w:t>
      </w:r>
      <w:r>
        <w:rPr>
          <w:rStyle w:val="FootnoteReference"/>
          <w:rFonts w:ascii="Times New Roman" w:hAnsi="Times New Roman" w:cs="Times New Roman"/>
          <w:vertAlign w:val="baseline"/>
        </w:rPr>
        <w:t xml:space="preserve">eople at risk of poverty or social exclusion by level of activity limitation, sex and age </w:t>
      </w:r>
      <w:r>
        <w:rPr>
          <w:rFonts w:ascii="Times New Roman" w:hAnsi="Times New Roman" w:cs="Times New Roman"/>
          <w:lang w:val="en-GB"/>
        </w:rPr>
        <w:t>[</w:t>
      </w:r>
      <w:r>
        <w:rPr>
          <w:rStyle w:val="FootnoteReference"/>
          <w:rFonts w:ascii="Times New Roman" w:hAnsi="Times New Roman" w:cs="Times New Roman"/>
          <w:vertAlign w:val="baseline"/>
        </w:rPr>
        <w:t>hlth_dpe010</w:t>
      </w:r>
      <w:r>
        <w:rPr>
          <w:rFonts w:ascii="Times New Roman" w:hAnsi="Times New Roman" w:cs="Times New Roman"/>
          <w:lang w:val="en-GB"/>
        </w:rPr>
        <w:t>]</w:t>
      </w:r>
      <w:r>
        <w:rPr>
          <w:rFonts w:ascii="Times New Roman" w:hAnsi="Times New Roman" w:cs="Times New Roman"/>
        </w:rPr>
        <w:t>.</w:t>
      </w:r>
    </w:p>
  </w:footnote>
  <w:footnote w:id="90">
    <w:p w:rsidR="00EF5220" w:rsidRDefault="00EF2564">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ibid</w:t>
      </w:r>
      <w:r>
        <w:rPr>
          <w:rFonts w:ascii="Times New Roman" w:hAnsi="Times New Roman" w:cs="Times New Roman"/>
        </w:rPr>
        <w:t>.</w:t>
      </w:r>
    </w:p>
  </w:footnote>
  <w:footnote w:id="91">
    <w:p w:rsidR="00EF5220" w:rsidRDefault="00EF2564">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Based on ESSPROS data. No 2015 data </w:t>
      </w:r>
      <w:r>
        <w:rPr>
          <w:rStyle w:val="FootnoteReference"/>
          <w:rFonts w:ascii="Times New Roman" w:hAnsi="Times New Roman" w:cs="Times New Roman"/>
          <w:vertAlign w:val="baseline"/>
        </w:rPr>
        <w:t>available for PL</w:t>
      </w:r>
      <w:r>
        <w:rPr>
          <w:rFonts w:ascii="Times New Roman" w:hAnsi="Times New Roman" w:cs="Times New Roman"/>
        </w:rPr>
        <w:t>.</w:t>
      </w:r>
    </w:p>
  </w:footnote>
  <w:footnote w:id="92">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See</w:t>
      </w:r>
      <w:r>
        <w:rPr>
          <w:rFonts w:ascii="Times New Roman" w:hAnsi="Times New Roman" w:cs="Times New Roman"/>
          <w:lang w:val="en-GB"/>
        </w:rPr>
        <w:t xml:space="preserve"> also</w:t>
      </w:r>
      <w:r>
        <w:rPr>
          <w:rStyle w:val="FootnoteReference"/>
          <w:rFonts w:ascii="Times New Roman" w:hAnsi="Times New Roman" w:cs="Times New Roman"/>
          <w:vertAlign w:val="baseline"/>
        </w:rPr>
        <w:t xml:space="preserve"> </w:t>
      </w:r>
      <w:r>
        <w:rPr>
          <w:rStyle w:val="FootnoteReference"/>
          <w:rFonts w:ascii="Times New Roman" w:hAnsi="Times New Roman" w:cs="Times New Roman"/>
          <w:vertAlign w:val="baseline"/>
          <w:lang w:val="en-GB"/>
        </w:rPr>
        <w:t>European Commission (2018), Employment and Social Developments in Europe. Annual Review 2018. Luxembourg: Publications Office of the European Union.</w:t>
      </w:r>
    </w:p>
  </w:footnote>
  <w:footnote w:id="93">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This topic is partly addressed also in Section 3.3.</w:t>
      </w:r>
    </w:p>
  </w:footnote>
  <w:footnote w:id="94">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Evidence in this parag</w:t>
      </w:r>
      <w:r>
        <w:rPr>
          <w:rStyle w:val="FootnoteReference"/>
          <w:rFonts w:ascii="Times New Roman" w:hAnsi="Times New Roman" w:cs="Times New Roman"/>
          <w:vertAlign w:val="baseline"/>
        </w:rPr>
        <w:t>raph and the following is based on European Commission, SWD(2018) 70 final – "Impact Assessment Accompanying the Proposal for a Council recommendation on access to social protection for workers and the self-employed".</w:t>
      </w:r>
    </w:p>
  </w:footnote>
  <w:footnote w:id="95">
    <w:p w:rsidR="00EF5220" w:rsidRDefault="00EF25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AT, BE, BG, CZ, DE, DK, EE, EL, ES, </w:t>
      </w:r>
      <w:r>
        <w:rPr>
          <w:rFonts w:ascii="Times New Roman" w:hAnsi="Times New Roman" w:cs="Times New Roman"/>
        </w:rPr>
        <w:t xml:space="preserve">FI, FR, HU, HR, IT, LU, MT, NL, PL, PT, SE, SI, RO, SK </w:t>
      </w:r>
      <w:r>
        <w:rPr>
          <w:rFonts w:ascii="Times New Roman" w:hAnsi="Times New Roman" w:cs="Times New Roman"/>
          <w:lang w:val="en-GB"/>
        </w:rPr>
        <w:t>and</w:t>
      </w:r>
      <w:r>
        <w:rPr>
          <w:rFonts w:ascii="Times New Roman" w:hAnsi="Times New Roman" w:cs="Times New Roman"/>
        </w:rPr>
        <w:t xml:space="preserve"> </w:t>
      </w:r>
      <w:r>
        <w:rPr>
          <w:rFonts w:ascii="Times New Roman" w:hAnsi="Times New Roman" w:cs="Times New Roman"/>
          <w:lang w:val="en-GB"/>
        </w:rPr>
        <w:t>UK</w:t>
      </w:r>
      <w:r>
        <w:rPr>
          <w:rFonts w:ascii="Times New Roman" w:hAnsi="Times New Roman" w:cs="Times New Roman"/>
        </w:rPr>
        <w:t>.</w:t>
      </w:r>
    </w:p>
  </w:footnote>
  <w:footnote w:id="96">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Approved by the SPC in June 2018.</w:t>
      </w:r>
    </w:p>
  </w:footnote>
  <w:footnote w:id="97">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A 'low-wage earner' is defined in the benchmarking framework as somebody earning 50% of the average national gross wage.</w:t>
      </w:r>
    </w:p>
  </w:footnote>
  <w:footnote w:id="98">
    <w:p w:rsidR="00EF5220" w:rsidRDefault="00EF2564">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The indicators are based on the </w:t>
      </w:r>
      <w:r>
        <w:rPr>
          <w:rStyle w:val="FootnoteReference"/>
          <w:rFonts w:ascii="Times New Roman" w:hAnsi="Times New Roman" w:cs="Times New Roman"/>
          <w:vertAlign w:val="baseline"/>
        </w:rPr>
        <w:t>latest available information in the OECD Tax-benefit model. Information is not available for CY. Information about IT and EL does not include the newly introduced minimum income schemes and they have not been included in this analysis.</w:t>
      </w:r>
    </w:p>
  </w:footnote>
  <w:footnote w:id="99">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lang w:val="en-GB"/>
        </w:rPr>
        <w:t>S</w:t>
      </w:r>
      <w:r>
        <w:rPr>
          <w:rFonts w:ascii="Times New Roman" w:hAnsi="Times New Roman" w:cs="Times New Roman"/>
          <w:lang w:val="en-GB"/>
        </w:rPr>
        <w:t xml:space="preserve">ee Footnote </w:t>
      </w:r>
      <w:r>
        <w:rPr>
          <w:rFonts w:ascii="Times New Roman" w:hAnsi="Times New Roman" w:cs="Times New Roman"/>
          <w:lang w:val="en-GB"/>
        </w:rPr>
        <w:fldChar w:fldCharType="begin"/>
      </w:r>
      <w:r>
        <w:rPr>
          <w:rFonts w:ascii="Times New Roman" w:hAnsi="Times New Roman" w:cs="Times New Roman"/>
          <w:lang w:val="en-GB"/>
        </w:rPr>
        <w:instrText xml:space="preserve"> NOTE</w:instrText>
      </w:r>
      <w:r>
        <w:rPr>
          <w:rFonts w:ascii="Times New Roman" w:hAnsi="Times New Roman" w:cs="Times New Roman"/>
          <w:lang w:val="en-GB"/>
        </w:rPr>
        <w:instrText xml:space="preserve">REF _Ref529521272 \h </w:instrText>
      </w:r>
      <w:r>
        <w:rPr>
          <w:rFonts w:ascii="Times New Roman" w:hAnsi="Times New Roman" w:cs="Times New Roman"/>
          <w:lang w:val="en-GB"/>
        </w:rPr>
      </w:r>
      <w:r>
        <w:rPr>
          <w:rFonts w:ascii="Times New Roman" w:hAnsi="Times New Roman" w:cs="Times New Roman"/>
          <w:lang w:val="en-GB"/>
        </w:rPr>
        <w:fldChar w:fldCharType="separate"/>
      </w:r>
      <w:r>
        <w:rPr>
          <w:rFonts w:ascii="Times New Roman" w:hAnsi="Times New Roman" w:cs="Times New Roman"/>
          <w:lang w:val="en-GB"/>
        </w:rPr>
        <w:t>88</w:t>
      </w:r>
      <w:r>
        <w:rPr>
          <w:rFonts w:ascii="Times New Roman" w:hAnsi="Times New Roman" w:cs="Times New Roman"/>
          <w:lang w:val="en-GB"/>
        </w:rPr>
        <w:fldChar w:fldCharType="end"/>
      </w:r>
      <w:r>
        <w:rPr>
          <w:rFonts w:ascii="Times New Roman" w:hAnsi="Times New Roman" w:cs="Times New Roman"/>
          <w:lang w:val="en-GB"/>
        </w:rPr>
        <w:t xml:space="preserve"> for a definition of the relative at-risk-of-poverty gap</w:t>
      </w:r>
      <w:r>
        <w:rPr>
          <w:rStyle w:val="FootnoteReference"/>
          <w:rFonts w:ascii="Times New Roman" w:hAnsi="Times New Roman" w:cs="Times New Roman"/>
          <w:vertAlign w:val="baseline"/>
        </w:rPr>
        <w:t>.</w:t>
      </w:r>
    </w:p>
  </w:footnote>
  <w:footnote w:id="100">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vertAlign w:val="superscript"/>
          <w:lang w:val="en-GB"/>
        </w:rPr>
        <w:t xml:space="preserve"> </w:t>
      </w:r>
      <w:r>
        <w:rPr>
          <w:rFonts w:ascii="Times New Roman" w:hAnsi="Times New Roman" w:cs="Times New Roman"/>
          <w:lang w:val="en-GB"/>
        </w:rPr>
        <w:t>Number of persons who meet the eligibility requirements and could potentially benefit from a scheme.</w:t>
      </w:r>
    </w:p>
  </w:footnote>
  <w:footnote w:id="101">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This differs from the theoretical concept of 'universal basic income', where a certain level of income is provided to every citizen, regardless of their situation. For more information please see European Commission (2018), Employment and Social Developmen</w:t>
      </w:r>
      <w:r>
        <w:rPr>
          <w:rStyle w:val="FootnoteReference"/>
          <w:rFonts w:ascii="Times New Roman" w:hAnsi="Times New Roman" w:cs="Times New Roman"/>
          <w:vertAlign w:val="baseline"/>
        </w:rPr>
        <w:t>ts in Europe</w:t>
      </w:r>
      <w:r>
        <w:rPr>
          <w:rFonts w:ascii="Times New Roman" w:hAnsi="Times New Roman" w:cs="Times New Roman"/>
          <w:lang w:val="en-GB"/>
        </w:rPr>
        <w:t>, Annual Review</w:t>
      </w:r>
      <w:r>
        <w:rPr>
          <w:rStyle w:val="FootnoteReference"/>
          <w:rFonts w:ascii="Times New Roman" w:hAnsi="Times New Roman" w:cs="Times New Roman"/>
          <w:vertAlign w:val="baseline"/>
        </w:rPr>
        <w:t xml:space="preserve"> 2018, p. 142.</w:t>
      </w:r>
    </w:p>
  </w:footnote>
  <w:footnote w:id="102">
    <w:p w:rsidR="00EF5220" w:rsidRDefault="00EF2564">
      <w:pPr>
        <w:pStyle w:val="FootnoteText"/>
        <w:jc w:val="both"/>
        <w:rPr>
          <w:rStyle w:val="FootnoteReference"/>
          <w:rFonts w:ascii="Times New Roman" w:hAnsi="Times New Roman" w:cs="Times New Roman"/>
          <w:sz w:val="22"/>
          <w:szCs w:val="22"/>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From the 2016 EU SILC ad-hoc module on access to services. Reasons taken into account for the purpose of the benchmarking: 'no suitable courses or programmes available' and 'cannot afford it'.</w:t>
      </w:r>
    </w:p>
  </w:footnote>
  <w:footnote w:id="103">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A more comprehens</w:t>
      </w:r>
      <w:r>
        <w:rPr>
          <w:rStyle w:val="FootnoteReference"/>
          <w:rFonts w:ascii="Times New Roman" w:hAnsi="Times New Roman" w:cs="Times New Roman"/>
          <w:vertAlign w:val="baseline"/>
        </w:rPr>
        <w:t>ive discussion of the issue of unmet medical care needs and access to housing are presented below in this section.</w:t>
      </w:r>
    </w:p>
  </w:footnote>
  <w:footnote w:id="104">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Data in this paragraph is sourced from EU-SILC.</w:t>
      </w:r>
      <w:r>
        <w:rPr>
          <w:rStyle w:val="FootnoteReference"/>
          <w:rFonts w:ascii="Times New Roman" w:hAnsi="Times New Roman" w:cs="Times New Roman"/>
        </w:rPr>
        <w:t xml:space="preserve"> </w:t>
      </w:r>
    </w:p>
  </w:footnote>
  <w:footnote w:id="105">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housing deprivation rate is a measure of poor amenities in a dwelling and is calcula</w:t>
      </w:r>
      <w:r>
        <w:rPr>
          <w:rStyle w:val="FootnoteReference"/>
          <w:rFonts w:ascii="Times New Roman" w:hAnsi="Times New Roman" w:cs="Times New Roman"/>
          <w:vertAlign w:val="baseline"/>
        </w:rPr>
        <w:t xml:space="preserve">ted by referring to those households experiencing at least one of the following: (i) a leaking roof, (ii) no bath, nor shower in the dwelling, (iii) no indoor toilet, (iv) a dwelling considered too dark. </w:t>
      </w:r>
    </w:p>
  </w:footnote>
  <w:footnote w:id="106">
    <w:p w:rsidR="00EF5220" w:rsidRDefault="00EF2564">
      <w:pPr>
        <w:pStyle w:val="FootnoteText"/>
        <w:jc w:val="both"/>
        <w:rPr>
          <w:rStyle w:val="FootnoteReference"/>
          <w:rFonts w:ascii="Times New Roman" w:hAnsi="Times New Roman" w:cs="Times New Roman"/>
          <w:lang w:val="en-GB"/>
        </w:rPr>
      </w:pPr>
      <w:r>
        <w:rPr>
          <w:rStyle w:val="FootnoteReference"/>
          <w:rFonts w:ascii="Times New Roman" w:hAnsi="Times New Roman" w:cs="Times New Roman"/>
        </w:rPr>
        <w:footnoteRef/>
      </w:r>
      <w:r>
        <w:rPr>
          <w:rStyle w:val="FootnoteReference"/>
          <w:rFonts w:ascii="Times New Roman" w:hAnsi="Times New Roman" w:cs="Times New Roman"/>
          <w:lang w:val="en-GB"/>
        </w:rPr>
        <w:t xml:space="preserve"> </w:t>
      </w:r>
      <w:r>
        <w:rPr>
          <w:rFonts w:ascii="Times New Roman" w:hAnsi="Times New Roman" w:cs="Times New Roman"/>
          <w:lang w:val="en-IE"/>
        </w:rPr>
        <w:t xml:space="preserve">Data compiled by </w:t>
      </w:r>
      <w:r>
        <w:rPr>
          <w:rStyle w:val="FootnoteReference"/>
          <w:rFonts w:ascii="Times New Roman" w:hAnsi="Times New Roman" w:cs="Times New Roman"/>
          <w:vertAlign w:val="baseline"/>
          <w:lang w:val="en-GB"/>
        </w:rPr>
        <w:t>FEANTSA</w:t>
      </w:r>
      <w:r>
        <w:rPr>
          <w:rStyle w:val="FootnoteReference"/>
          <w:rFonts w:ascii="Times New Roman" w:hAnsi="Times New Roman" w:cs="Times New Roman"/>
          <w:vertAlign w:val="baseline"/>
          <w:lang w:val="en-IE"/>
        </w:rPr>
        <w:t>,</w:t>
      </w:r>
      <w:r>
        <w:rPr>
          <w:rStyle w:val="FootnoteReference"/>
          <w:rFonts w:ascii="Times New Roman" w:hAnsi="Times New Roman" w:cs="Times New Roman"/>
          <w:vertAlign w:val="baseline"/>
          <w:lang w:val="en-GB"/>
        </w:rPr>
        <w:t xml:space="preserve"> the federation of national civil society organisations working with the homeless in Europe.</w:t>
      </w:r>
      <w:r>
        <w:rPr>
          <w:rStyle w:val="FootnoteReference"/>
          <w:rFonts w:ascii="Times New Roman" w:hAnsi="Times New Roman" w:cs="Times New Roman"/>
          <w:lang w:val="en-GB"/>
        </w:rPr>
        <w:t xml:space="preserve"> </w:t>
      </w:r>
      <w:r>
        <w:rPr>
          <w:rFonts w:ascii="Times New Roman" w:hAnsi="Times New Roman" w:cs="Times New Roman"/>
          <w:lang w:val="en-IE"/>
        </w:rPr>
        <w:t xml:space="preserve">See </w:t>
      </w:r>
      <w:r>
        <w:rPr>
          <w:rStyle w:val="FootnoteReference"/>
          <w:rFonts w:ascii="Times New Roman" w:hAnsi="Times New Roman" w:cs="Times New Roman"/>
          <w:vertAlign w:val="baseline"/>
          <w:lang w:val="en-GB"/>
        </w:rPr>
        <w:t>FEANTSA (2018), Third overview of housing exclusion in Europe.</w:t>
      </w:r>
    </w:p>
  </w:footnote>
  <w:footnote w:id="107">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Ratio of the median individual gross pensions of 65-74 relative to the median individual gross</w:t>
      </w:r>
      <w:r>
        <w:rPr>
          <w:rStyle w:val="FootnoteReference"/>
          <w:rFonts w:ascii="Times New Roman" w:hAnsi="Times New Roman" w:cs="Times New Roman"/>
          <w:vertAlign w:val="baseline"/>
        </w:rPr>
        <w:t xml:space="preserve"> earnings of 50-59.</w:t>
      </w:r>
    </w:p>
  </w:footnote>
  <w:footnote w:id="108">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Data for Croatia and Ireland are for 2016</w:t>
      </w:r>
      <w:r>
        <w:rPr>
          <w:rFonts w:ascii="Times New Roman" w:hAnsi="Times New Roman" w:cs="Times New Roman"/>
        </w:rPr>
        <w:t>.</w:t>
      </w:r>
    </w:p>
  </w:footnote>
  <w:footnote w:id="109">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Survey of Health, Ageing and Retirement in Europe. Data source: SHARE wave 7, 2017.</w:t>
      </w:r>
    </w:p>
  </w:footnote>
  <w:footnote w:id="110">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For the purposes of this comparison, ‘retired self-employed’ are defined as retirees who have spent 50%</w:t>
      </w:r>
      <w:r>
        <w:rPr>
          <w:rStyle w:val="FootnoteReference"/>
          <w:rFonts w:ascii="Times New Roman" w:hAnsi="Times New Roman" w:cs="Times New Roman"/>
          <w:vertAlign w:val="baseline"/>
        </w:rPr>
        <w:t xml:space="preserve"> or more of their working careers as self-employed.</w:t>
      </w:r>
    </w:p>
  </w:footnote>
  <w:footnote w:id="111">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The Survey of Health, Ageing and Retirement in Europe (SHARE) is a multidisciplinary and cross-national panel database of micro data on health, socio-economic status and social and family networks of mo</w:t>
      </w:r>
      <w:r>
        <w:rPr>
          <w:rStyle w:val="FootnoteReference"/>
          <w:rFonts w:ascii="Times New Roman" w:hAnsi="Times New Roman" w:cs="Times New Roman"/>
          <w:vertAlign w:val="baseline"/>
        </w:rPr>
        <w:t>re than 120,000 individuals aged 50 or older (more than 297,000 interviews). SHARE covers 27 European countries.SHARE wave 7 survey excluded IE, NL and UK. In some Member States, sample sizes do not allow for a comparison.</w:t>
      </w:r>
    </w:p>
  </w:footnote>
  <w:footnote w:id="112">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The S80/S20 ratio is one third </w:t>
      </w:r>
      <w:r>
        <w:rPr>
          <w:rStyle w:val="FootnoteReference"/>
          <w:rFonts w:ascii="Times New Roman" w:hAnsi="Times New Roman" w:cs="Times New Roman"/>
          <w:vertAlign w:val="baseline"/>
        </w:rPr>
        <w:t>higher among retired self-employed than among retired employees.</w:t>
      </w:r>
    </w:p>
  </w:footnote>
  <w:footnote w:id="113">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EU-28 except IE, NL and UK.</w:t>
      </w:r>
    </w:p>
  </w:footnote>
  <w:footnote w:id="114">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Self-reported unmet needs for medical care concern a person's </w:t>
      </w:r>
      <w:r>
        <w:rPr>
          <w:rStyle w:val="FootnoteReference"/>
          <w:rFonts w:ascii="Times New Roman" w:hAnsi="Times New Roman" w:cs="Times New Roman"/>
          <w:vertAlign w:val="baseline"/>
          <w:lang w:val="en-GB"/>
        </w:rPr>
        <w:t>s</w:t>
      </w:r>
      <w:r>
        <w:rPr>
          <w:rFonts w:ascii="Times New Roman" w:hAnsi="Times New Roman" w:cs="Times New Roman"/>
          <w:lang w:val="en-GB"/>
        </w:rPr>
        <w:t>ubjective</w:t>
      </w:r>
      <w:r>
        <w:rPr>
          <w:rStyle w:val="FootnoteReference"/>
          <w:rFonts w:ascii="Times New Roman" w:hAnsi="Times New Roman" w:cs="Times New Roman"/>
          <w:vertAlign w:val="baseline"/>
        </w:rPr>
        <w:t xml:space="preserve"> assessment of whether he or she needed examination or treatment for a specific type of</w:t>
      </w:r>
      <w:r>
        <w:rPr>
          <w:rStyle w:val="FootnoteReference"/>
          <w:rFonts w:ascii="Times New Roman" w:hAnsi="Times New Roman" w:cs="Times New Roman"/>
          <w:vertAlign w:val="baseline"/>
        </w:rPr>
        <w:t xml:space="preserve"> health care, but did not have it or did not seek it because of the following three reasons: ‘Financial reasons’, ‘Waiting list’ and ‘Too far to travel’. The problems that people report in obtaining care when they are ill often reflect significant barriers</w:t>
      </w:r>
      <w:r>
        <w:rPr>
          <w:rStyle w:val="FootnoteReference"/>
          <w:rFonts w:ascii="Times New Roman" w:hAnsi="Times New Roman" w:cs="Times New Roman"/>
          <w:vertAlign w:val="baseline"/>
        </w:rPr>
        <w:t xml:space="preserve"> to care.</w:t>
      </w:r>
    </w:p>
  </w:footnote>
  <w:footnote w:id="115">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Out-of-pocket spending refers to direct payments for goods and services from the household primary income or savings, where the payment is made by the user at the time of the purchased of goods or the use of the services either without any reim</w:t>
      </w:r>
      <w:r>
        <w:rPr>
          <w:rStyle w:val="FootnoteReference"/>
          <w:rFonts w:ascii="Times New Roman" w:hAnsi="Times New Roman" w:cs="Times New Roman"/>
          <w:vertAlign w:val="baseline"/>
        </w:rPr>
        <w:t>bursement or as cost-sharing with an organised scheme.</w:t>
      </w:r>
    </w:p>
  </w:footnote>
  <w:footnote w:id="116">
    <w:p w:rsidR="00EF5220" w:rsidRDefault="00EF2564">
      <w:pPr>
        <w:pStyle w:val="FootnoteText"/>
        <w:jc w:val="both"/>
        <w:rPr>
          <w:rStyle w:val="FootnoteReference"/>
          <w:rFonts w:ascii="Times New Roman" w:hAnsi="Times New Roman" w:cs="Times New Roman"/>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Ageing Report 2018, European Commission</w:t>
      </w:r>
      <w:r>
        <w:rPr>
          <w:rFonts w:ascii="Times New Roman" w:hAnsi="Times New Roman" w:cs="Times New Roman"/>
          <w:lang w:val="en-GB"/>
        </w:rPr>
        <w:t>.</w:t>
      </w:r>
    </w:p>
  </w:footnote>
  <w:footnote w:id="117">
    <w:p w:rsidR="00EF5220" w:rsidRDefault="00EF2564">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Joint teams of Social Assistance and Employment Agency offer comprehensive integrated services to unemployed people in  remote areas of Bulgaria</w:t>
      </w:r>
      <w:r>
        <w:rPr>
          <w:rStyle w:val="FootnoteReference"/>
          <w:rFonts w:ascii="Times New Roman" w:hAnsi="Times New Roman" w:cs="Times New Roman"/>
          <w:vertAlign w:val="baseline"/>
          <w:lang w:val="en-GB"/>
        </w:rPr>
        <w:t>.</w:t>
      </w:r>
    </w:p>
  </w:footnote>
  <w:footnote w:id="118">
    <w:p w:rsidR="00EF5220" w:rsidRDefault="00EF2564">
      <w:pPr>
        <w:pStyle w:val="FootnoteText"/>
        <w:jc w:val="both"/>
        <w:rPr>
          <w:rStyle w:val="FootnoteReference"/>
          <w:rFonts w:ascii="Times New Roman" w:hAnsi="Times New Roman" w:cs="Times New Roman"/>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Supported by the ESF</w:t>
      </w:r>
      <w:r>
        <w:rPr>
          <w:rStyle w:val="FootnoteReference"/>
          <w:rFonts w:ascii="Times New Roman" w:hAnsi="Times New Roman" w:cs="Times New Roman"/>
          <w:vertAlign w:val="baseline"/>
          <w:lang w:val="en-GB"/>
        </w:rPr>
        <w:t>.</w:t>
      </w:r>
    </w:p>
  </w:footnote>
  <w:footnote w:id="119">
    <w:p w:rsidR="00EF5220" w:rsidRDefault="00EF2564">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European Commission and the Social Protection Committee (2018). The 2018 Pension Adequacy Report: current and future income adequacy in old age in the EU.</w:t>
      </w:r>
    </w:p>
  </w:footnote>
  <w:footnote w:id="120">
    <w:p w:rsidR="00EF5220" w:rsidRDefault="00EF2564">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Ibid.</w:t>
      </w:r>
    </w:p>
  </w:footnote>
  <w:footnote w:id="121">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With the exception of the new indicator "net earnings of a full-tim</w:t>
      </w:r>
      <w:r>
        <w:rPr>
          <w:rFonts w:ascii="Times New Roman" w:hAnsi="Times New Roman" w:cs="Times New Roman"/>
          <w:lang w:val="en-GB"/>
        </w:rPr>
        <w:t>e single worker without children earning an average wage" for which 3-year averages are used for both levels and changes to smooth out short-term fluctuations.</w:t>
      </w:r>
    </w:p>
  </w:footnote>
  <w:footnote w:id="122">
    <w:p w:rsidR="00EF5220" w:rsidRDefault="00EF2564">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Both normality and T-shaped distribution tests were carried out resulting in the rejection of </w:t>
      </w:r>
      <w:r>
        <w:rPr>
          <w:rFonts w:ascii="Times New Roman" w:hAnsi="Times New Roman" w:cs="Times New Roman"/>
          <w:lang w:val="en-US"/>
        </w:rPr>
        <w:t>any distributional hypothesis.</w:t>
      </w:r>
    </w:p>
  </w:footnote>
  <w:footnote w:id="123">
    <w:p w:rsidR="00EF5220" w:rsidRDefault="00EF2564">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In case of normality, chosen cut-off points roughly corresponds to 15 %, 30%, 50%, 70% and 85% of cumulative distribution.</w:t>
      </w:r>
    </w:p>
  </w:footnote>
  <w:footnote w:id="124">
    <w:p w:rsidR="00EF5220" w:rsidRDefault="00EF25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latter condition prevents a Member State presenting "low" or "very low" level to be flagged as</w:t>
      </w:r>
      <w:r>
        <w:rPr>
          <w:rFonts w:ascii="Times New Roman" w:hAnsi="Times New Roman" w:cs="Times New Roman"/>
        </w:rPr>
        <w:t xml:space="preserve"> "deteriorating" when showing a change "much higher than average", but still</w:t>
      </w:r>
      <w:r>
        <w:rPr>
          <w:rFonts w:ascii="Times New Roman" w:hAnsi="Times New Roman" w:cs="Times New Roman"/>
          <w:lang w:val="en-GB"/>
        </w:rPr>
        <w:t xml:space="preserve"> improving</w:t>
      </w:r>
      <w:r>
        <w:rPr>
          <w:rFonts w:ascii="Times New Roman" w:hAnsi="Times New Roman" w:cs="Times New Roman"/>
        </w:rPr>
        <w:t>.</w:t>
      </w:r>
    </w:p>
  </w:footnote>
  <w:footnote w:id="125">
    <w:p w:rsidR="00EF5220" w:rsidRDefault="00EF25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latter condition prevents a Member State presenting </w:t>
      </w:r>
      <w:r>
        <w:rPr>
          <w:rFonts w:ascii="Times New Roman" w:hAnsi="Times New Roman" w:cs="Times New Roman"/>
          <w:lang w:val="en-GB"/>
        </w:rPr>
        <w:t>an "on average"</w:t>
      </w:r>
      <w:r>
        <w:rPr>
          <w:rFonts w:ascii="Times New Roman" w:hAnsi="Times New Roman" w:cs="Times New Roman"/>
        </w:rPr>
        <w:t xml:space="preserve"> level to be flagged as "</w:t>
      </w:r>
      <w:r>
        <w:rPr>
          <w:rFonts w:ascii="Times New Roman" w:hAnsi="Times New Roman" w:cs="Times New Roman"/>
          <w:lang w:val="en-GB"/>
        </w:rPr>
        <w:t>to watch</w:t>
      </w:r>
      <w:r>
        <w:rPr>
          <w:rFonts w:ascii="Times New Roman" w:hAnsi="Times New Roman" w:cs="Times New Roman"/>
        </w:rPr>
        <w:t>" when showing a change "much higher than average", but still</w:t>
      </w:r>
      <w:r>
        <w:rPr>
          <w:rFonts w:ascii="Times New Roman" w:hAnsi="Times New Roman" w:cs="Times New Roman"/>
          <w:lang w:val="en-GB"/>
        </w:rPr>
        <w:t xml:space="preserve"> improving</w:t>
      </w:r>
      <w:r>
        <w:rPr>
          <w:rFonts w:ascii="Times New Roman" w:hAnsi="Times New Roman" w:cs="Times New Roman"/>
        </w:rPr>
        <w:t>.</w:t>
      </w:r>
    </w:p>
  </w:footnote>
  <w:footnote w:id="126">
    <w:p w:rsidR="00EF5220" w:rsidRDefault="00EF25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latter condition prevents a Member State presenting "high" or "very high" level to be flagged as "deteriorating" when showing a change "much lower than average", but still</w:t>
      </w:r>
      <w:r>
        <w:rPr>
          <w:rFonts w:ascii="Times New Roman" w:hAnsi="Times New Roman" w:cs="Times New Roman"/>
          <w:lang w:val="en-GB"/>
        </w:rPr>
        <w:t xml:space="preserve"> improving</w:t>
      </w:r>
      <w:r>
        <w:rPr>
          <w:rFonts w:ascii="Times New Roman" w:hAnsi="Times New Roman" w:cs="Times New Roman"/>
        </w:rPr>
        <w:t>.</w:t>
      </w:r>
    </w:p>
  </w:footnote>
  <w:footnote w:id="127">
    <w:p w:rsidR="00EF5220" w:rsidRDefault="00EF2564">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The latter condition prevents a Member State presenti</w:t>
      </w:r>
      <w:r>
        <w:rPr>
          <w:rFonts w:ascii="Times New Roman" w:hAnsi="Times New Roman" w:cs="Times New Roman"/>
        </w:rPr>
        <w:t xml:space="preserve">ng </w:t>
      </w:r>
      <w:r>
        <w:rPr>
          <w:rFonts w:ascii="Times New Roman" w:hAnsi="Times New Roman" w:cs="Times New Roman"/>
          <w:lang w:val="en-GB"/>
        </w:rPr>
        <w:t>an "on average"</w:t>
      </w:r>
      <w:r>
        <w:rPr>
          <w:rFonts w:ascii="Times New Roman" w:hAnsi="Times New Roman" w:cs="Times New Roman"/>
        </w:rPr>
        <w:t xml:space="preserve"> level to be flagged as "</w:t>
      </w:r>
      <w:r>
        <w:rPr>
          <w:rFonts w:ascii="Times New Roman" w:hAnsi="Times New Roman" w:cs="Times New Roman"/>
          <w:lang w:val="en-GB"/>
        </w:rPr>
        <w:t>to watch</w:t>
      </w:r>
      <w:r>
        <w:rPr>
          <w:rFonts w:ascii="Times New Roman" w:hAnsi="Times New Roman" w:cs="Times New Roman"/>
        </w:rPr>
        <w:t xml:space="preserve">" when showing a change "much </w:t>
      </w:r>
      <w:r>
        <w:rPr>
          <w:rFonts w:ascii="Times New Roman" w:hAnsi="Times New Roman" w:cs="Times New Roman"/>
          <w:lang w:val="en-GB"/>
        </w:rPr>
        <w:t>lower</w:t>
      </w:r>
      <w:r>
        <w:rPr>
          <w:rFonts w:ascii="Times New Roman" w:hAnsi="Times New Roman" w:cs="Times New Roman"/>
        </w:rPr>
        <w:t xml:space="preserve"> than average", but still</w:t>
      </w:r>
      <w:r>
        <w:rPr>
          <w:rFonts w:ascii="Times New Roman" w:hAnsi="Times New Roman" w:cs="Times New Roman"/>
          <w:lang w:val="en-GB"/>
        </w:rPr>
        <w:t xml:space="preserve"> improving</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 w:rsidR="00EF5220" w:rsidRDefault="00EF522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 w:rsidR="00EF5220" w:rsidRDefault="00EF5220"/>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20" w:rsidRDefault="00EF522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3BC80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8662A"/>
    <w:multiLevelType w:val="multilevel"/>
    <w:tmpl w:val="FF9CA58E"/>
    <w:lvl w:ilvl="0">
      <w:start w:val="3"/>
      <w:numFmt w:val="decimal"/>
      <w:lvlText w:val="%1."/>
      <w:lvlJc w:val="left"/>
      <w:pPr>
        <w:ind w:left="1080" w:hanging="360"/>
      </w:pPr>
      <w:rPr>
        <w:rFonts w:hint="default"/>
      </w:rPr>
    </w:lvl>
    <w:lvl w:ilvl="1">
      <w:start w:val="2"/>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67C6BEF"/>
    <w:multiLevelType w:val="hybridMultilevel"/>
    <w:tmpl w:val="66705D6A"/>
    <w:lvl w:ilvl="0" w:tplc="0809000F">
      <w:start w:val="1"/>
      <w:numFmt w:val="decimal"/>
      <w:lvlText w:val="%1."/>
      <w:lvlJc w:val="left"/>
      <w:pPr>
        <w:ind w:left="993" w:hanging="360"/>
      </w:pPr>
    </w:lvl>
    <w:lvl w:ilvl="1" w:tplc="08090019" w:tentative="1">
      <w:start w:val="1"/>
      <w:numFmt w:val="lowerLetter"/>
      <w:lvlText w:val="%2."/>
      <w:lvlJc w:val="left"/>
      <w:pPr>
        <w:ind w:left="1713" w:hanging="360"/>
      </w:pPr>
    </w:lvl>
    <w:lvl w:ilvl="2" w:tplc="0809001B" w:tentative="1">
      <w:start w:val="1"/>
      <w:numFmt w:val="lowerRoman"/>
      <w:lvlText w:val="%3."/>
      <w:lvlJc w:val="right"/>
      <w:pPr>
        <w:ind w:left="2433" w:hanging="180"/>
      </w:pPr>
    </w:lvl>
    <w:lvl w:ilvl="3" w:tplc="0809000F" w:tentative="1">
      <w:start w:val="1"/>
      <w:numFmt w:val="decimal"/>
      <w:lvlText w:val="%4."/>
      <w:lvlJc w:val="left"/>
      <w:pPr>
        <w:ind w:left="3153" w:hanging="360"/>
      </w:pPr>
    </w:lvl>
    <w:lvl w:ilvl="4" w:tplc="08090019" w:tentative="1">
      <w:start w:val="1"/>
      <w:numFmt w:val="lowerLetter"/>
      <w:lvlText w:val="%5."/>
      <w:lvlJc w:val="left"/>
      <w:pPr>
        <w:ind w:left="3873" w:hanging="360"/>
      </w:pPr>
    </w:lvl>
    <w:lvl w:ilvl="5" w:tplc="0809001B" w:tentative="1">
      <w:start w:val="1"/>
      <w:numFmt w:val="lowerRoman"/>
      <w:lvlText w:val="%6."/>
      <w:lvlJc w:val="right"/>
      <w:pPr>
        <w:ind w:left="4593" w:hanging="180"/>
      </w:pPr>
    </w:lvl>
    <w:lvl w:ilvl="6" w:tplc="0809000F" w:tentative="1">
      <w:start w:val="1"/>
      <w:numFmt w:val="decimal"/>
      <w:lvlText w:val="%7."/>
      <w:lvlJc w:val="left"/>
      <w:pPr>
        <w:ind w:left="5313" w:hanging="360"/>
      </w:pPr>
    </w:lvl>
    <w:lvl w:ilvl="7" w:tplc="08090019" w:tentative="1">
      <w:start w:val="1"/>
      <w:numFmt w:val="lowerLetter"/>
      <w:lvlText w:val="%8."/>
      <w:lvlJc w:val="left"/>
      <w:pPr>
        <w:ind w:left="6033" w:hanging="360"/>
      </w:pPr>
    </w:lvl>
    <w:lvl w:ilvl="8" w:tplc="0809001B" w:tentative="1">
      <w:start w:val="1"/>
      <w:numFmt w:val="lowerRoman"/>
      <w:lvlText w:val="%9."/>
      <w:lvlJc w:val="right"/>
      <w:pPr>
        <w:ind w:left="6753" w:hanging="180"/>
      </w:pPr>
    </w:lvl>
  </w:abstractNum>
  <w:abstractNum w:abstractNumId="3" w15:restartNumberingAfterBreak="0">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3251A"/>
    <w:multiLevelType w:val="hybridMultilevel"/>
    <w:tmpl w:val="7B68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F43598"/>
    <w:multiLevelType w:val="hybridMultilevel"/>
    <w:tmpl w:val="06901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 w15:restartNumberingAfterBreak="0">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5536F"/>
    <w:multiLevelType w:val="hybridMultilevel"/>
    <w:tmpl w:val="550C289E"/>
    <w:lvl w:ilvl="0" w:tplc="BD0E6C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BA37A3D"/>
    <w:multiLevelType w:val="hybridMultilevel"/>
    <w:tmpl w:val="30104474"/>
    <w:lvl w:ilvl="0" w:tplc="B0C0507E">
      <w:start w:val="460"/>
      <w:numFmt w:val="bullet"/>
      <w:lvlText w:val="-"/>
      <w:lvlJc w:val="left"/>
      <w:pPr>
        <w:ind w:left="1800" w:hanging="360"/>
      </w:pPr>
      <w:rPr>
        <w:rFonts w:ascii="Calibri" w:eastAsia="Calibri" w:hAnsi="Calibri" w:cs="Times New Roman" w:hint="default"/>
      </w:rPr>
    </w:lvl>
    <w:lvl w:ilvl="1" w:tplc="08090005">
      <w:start w:val="1"/>
      <w:numFmt w:val="bullet"/>
      <w:lvlText w:val=""/>
      <w:lvlJc w:val="left"/>
      <w:pPr>
        <w:ind w:left="2520" w:hanging="360"/>
      </w:pPr>
      <w:rPr>
        <w:rFonts w:ascii="Wingdings" w:hAnsi="Wingdings"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4C1036EC"/>
    <w:multiLevelType w:val="hybridMultilevel"/>
    <w:tmpl w:val="903C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86A11"/>
    <w:multiLevelType w:val="hybridMultilevel"/>
    <w:tmpl w:val="577492F0"/>
    <w:lvl w:ilvl="0" w:tplc="73B445A6">
      <w:numFmt w:val="bullet"/>
      <w:lvlText w:val="-"/>
      <w:lvlJc w:val="left"/>
      <w:pPr>
        <w:ind w:left="720" w:hanging="360"/>
      </w:pPr>
      <w:rPr>
        <w:rFonts w:ascii="Calibri" w:eastAsia="Calibri" w:hAnsi="Calibri"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C360B4"/>
    <w:multiLevelType w:val="hybridMultilevel"/>
    <w:tmpl w:val="1D8E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5D5A71"/>
    <w:multiLevelType w:val="hybridMultilevel"/>
    <w:tmpl w:val="F762FC72"/>
    <w:lvl w:ilvl="0" w:tplc="28FCC366">
      <w:numFmt w:val="bullet"/>
      <w:lvlText w:val="-"/>
      <w:lvlJc w:val="left"/>
      <w:pPr>
        <w:ind w:left="360" w:hanging="360"/>
      </w:pPr>
      <w:rPr>
        <w:rFonts w:ascii="Calibri" w:eastAsia="Times New Roman" w:hAnsi="Calibri" w:cs="Calibri" w:hint="default"/>
        <w:color w:val="40315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8" w15:restartNumberingAfterBreak="0">
    <w:nsid w:val="77B52236"/>
    <w:multiLevelType w:val="hybridMultilevel"/>
    <w:tmpl w:val="5AEC9DE0"/>
    <w:lvl w:ilvl="0" w:tplc="B0C0507E">
      <w:start w:val="460"/>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8"/>
  </w:num>
  <w:num w:numId="5">
    <w:abstractNumId w:val="5"/>
  </w:num>
  <w:num w:numId="6">
    <w:abstractNumId w:val="2"/>
  </w:num>
  <w:num w:numId="7">
    <w:abstractNumId w:val="0"/>
  </w:num>
  <w:num w:numId="8">
    <w:abstractNumId w:val="11"/>
  </w:num>
  <w:num w:numId="9">
    <w:abstractNumId w:val="17"/>
  </w:num>
  <w:num w:numId="10">
    <w:abstractNumId w:val="1"/>
  </w:num>
  <w:num w:numId="11">
    <w:abstractNumId w:val="12"/>
  </w:num>
  <w:num w:numId="12">
    <w:abstractNumId w:val="18"/>
  </w:num>
  <w:num w:numId="13">
    <w:abstractNumId w:val="7"/>
  </w:num>
  <w:num w:numId="14">
    <w:abstractNumId w:val="16"/>
  </w:num>
  <w:num w:numId="15">
    <w:abstractNumId w:val="13"/>
  </w:num>
  <w:num w:numId="16">
    <w:abstractNumId w:val="4"/>
  </w:num>
  <w:num w:numId="17">
    <w:abstractNumId w:val="9"/>
  </w:num>
  <w:num w:numId="18">
    <w:abstractNumId w:val="14"/>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hideSpellingErrors/>
  <w:hideGrammaticalErrors/>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A6AD0776-A669-4AEF-8117-EC0BE35F37D7"/>
    <w:docVar w:name="LW_COVERPAGE_TYPE" w:val="1"/>
    <w:docVar w:name="LW_CROSSREFERENCE" w:val="&lt;UNUSED&gt;"/>
    <w:docVar w:name="LW_DocType" w:val="NORMAL"/>
    <w:docVar w:name="LW_EMISSION" w:val="21.11.2018"/>
    <w:docVar w:name="LW_EMISSION_ISODATE" w:val="2018-11-21"/>
    <w:docVar w:name="LW_EMISSION_LOCATION" w:val="BRX"/>
    <w:docVar w:name="LW_EMISSION_PREFIX" w:val="Brussels, "/>
    <w:docVar w:name="LW_EMISSION_SUFFIX" w:val=" "/>
    <w:docVar w:name="LW_ID_DOCTYPE_NONLW" w:val="CP-035"/>
    <w:docVar w:name="LW_LANGUE" w:val="EN"/>
    <w:docVar w:name="LW_LEVEL_OF_SENSITIVITY" w:val="Standard treatment"/>
    <w:docVar w:name="LW_NOM.INST" w:val="EUROPEAN COMMISSION"/>
    <w:docVar w:name="LW_NOM.INST_JOINTDOC" w:val="&lt;EMPTY&gt;"/>
    <w:docVar w:name="LW_PART_NBR" w:val="1"/>
    <w:docVar w:name="LW_PART_NBR_TOTAL" w:val="1"/>
    <w:docVar w:name="LW_REF.II.NEW.CP" w:val="&lt;UNUSED&gt;"/>
    <w:docVar w:name="LW_REF.II.NEW.CP_NUMBER" w:val="&lt;UNUSED&gt;"/>
    <w:docVar w:name="LW_REF.II.NEW.CP_YEAR" w:val="2018"/>
    <w:docVar w:name="LW_REF.INST.NEW" w:val="COM"/>
    <w:docVar w:name="LW_REF.INST.NEW_ADOPTED" w:val="final"/>
    <w:docVar w:name="LW_REF.INST.NEW_TEXT" w:val="(2018) 7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ccompanying the Communication from the Commission_x000d__x000d__x000d__x000d__x000d__x000d__x000b__x000d__x000d__x000d__x000d__x000d__x000d__x000b_on the Annual Growth Survey 2019"/>
    <w:docVar w:name="LW_TYPE.DOC.CP" w:val="DRAFT JOINT EMPLOYMENT REPORT _x000b_FROM THE COMMISSION AND THE COUNCIL _x000b_"/>
  </w:docVars>
  <w:rsids>
    <w:rsidRoot w:val="00EF5220"/>
    <w:rsid w:val="00EF2564"/>
    <w:rsid w:val="00EF5220"/>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C90465F-6540-45AD-A218-41E288C9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customStyle="1" w:styleId="caption1">
    <w:name w:val="caption1"/>
    <w:aliases w:val="caption"/>
    <w:basedOn w:val="Normal"/>
    <w:next w:val="Normal"/>
    <w:unhideWhenUsed/>
    <w:qFormat/>
    <w:rPr>
      <w:rFonts w:ascii="Calibri" w:eastAsia="Times New Roman" w:hAnsi="Calibri" w:cs="Times New Roman"/>
      <w:b/>
      <w:bCs/>
      <w:sz w:val="18"/>
      <w:szCs w:val="18"/>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style>
  <w:style w:type="paragraph" w:customStyle="1" w:styleId="p1">
    <w:name w:val="p1"/>
    <w:basedOn w:val="Normal"/>
    <w:pPr>
      <w:spacing w:after="0" w:line="240" w:lineRule="auto"/>
    </w:pPr>
    <w:rPr>
      <w:rFonts w:ascii="Helvetica" w:hAnsi="Helvetica"/>
      <w:sz w:val="17"/>
      <w:szCs w:val="17"/>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eastAsia="en-US" w:bidi="ar-SA"/>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pPr>
      <w:spacing w:after="0" w:line="240" w:lineRule="auto"/>
    </w:pPr>
  </w:style>
  <w:style w:type="paragraph" w:customStyle="1" w:styleId="caption2">
    <w:name w:val="caption2"/>
    <w:aliases w:val="caption"/>
    <w:basedOn w:val="Normal"/>
    <w:next w:val="Normal"/>
    <w:uiPriority w:val="35"/>
    <w:unhideWhenUsed/>
    <w:qFormat/>
    <w:pPr>
      <w:spacing w:line="240" w:lineRule="auto"/>
    </w:pPr>
    <w:rPr>
      <w:b/>
      <w:bCs/>
      <w:color w:val="4F81BD" w:themeColor="accent1"/>
      <w:sz w:val="18"/>
      <w:szCs w:val="18"/>
    </w:rPr>
  </w:style>
  <w:style w:type="numbering" w:customStyle="1" w:styleId="Bullets">
    <w:name w:val="Bullets"/>
    <w:aliases w:val="NumbLstBTBullet,NumbLstBullet"/>
    <w:uiPriority w:val="99"/>
    <w:pPr>
      <w:numPr>
        <w:numId w:val="17"/>
      </w:numPr>
    </w:pPr>
  </w:style>
  <w:style w:type="paragraph" w:customStyle="1" w:styleId="Bullet1">
    <w:name w:val="Bullet 1"/>
    <w:aliases w:val="Bullet1,BTBullet1"/>
    <w:basedOn w:val="Normal"/>
    <w:uiPriority w:val="6"/>
    <w:qFormat/>
    <w:pPr>
      <w:numPr>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2">
    <w:name w:val="Bullet 2"/>
    <w:aliases w:val="Bullet2,BTBullet2"/>
    <w:basedOn w:val="Normal"/>
    <w:uiPriority w:val="6"/>
    <w:qFormat/>
    <w:pPr>
      <w:numPr>
        <w:ilvl w:val="1"/>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aption3">
    <w:name w:val="caption3"/>
    <w:aliases w:val="caption"/>
    <w:basedOn w:val="Normal"/>
    <w:next w:val="Normal"/>
    <w:unhideWhenUsed/>
    <w:qFormat/>
    <w:rPr>
      <w:rFonts w:ascii="Calibri" w:eastAsia="Times New Roman" w:hAnsi="Calibri" w:cs="Times New Roman"/>
      <w:b/>
      <w:bCs/>
      <w:sz w:val="18"/>
      <w:szCs w:val="18"/>
      <w:lang w:val="en-GB" w:eastAsia="en-GB" w:bidi="ar-SA"/>
    </w:r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lang w:val="en-GB" w:eastAsia="en-GB" w:bidi="ar-SA"/>
    </w:rPr>
  </w:style>
  <w:style w:type="table" w:styleId="LightShading-Accent1">
    <w:name w:val="Light Shading Accent 1"/>
    <w:basedOn w:val="TableNormal"/>
    <w:uiPriority w:val="60"/>
    <w:pPr>
      <w:spacing w:after="0" w:line="240" w:lineRule="auto"/>
    </w:pPr>
    <w:rPr>
      <w:color w:val="365F91" w:themeColor="accent1" w:themeShade="BF"/>
      <w:lang w:val="it-IT" w:eastAsia="en-US"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8628">
      <w:bodyDiv w:val="1"/>
      <w:marLeft w:val="0"/>
      <w:marRight w:val="0"/>
      <w:marTop w:val="0"/>
      <w:marBottom w:val="0"/>
      <w:divBdr>
        <w:top w:val="none" w:sz="0" w:space="0" w:color="auto"/>
        <w:left w:val="none" w:sz="0" w:space="0" w:color="auto"/>
        <w:bottom w:val="none" w:sz="0" w:space="0" w:color="auto"/>
        <w:right w:val="none" w:sz="0" w:space="0" w:color="auto"/>
      </w:divBdr>
    </w:div>
    <w:div w:id="78983969">
      <w:bodyDiv w:val="1"/>
      <w:marLeft w:val="0"/>
      <w:marRight w:val="0"/>
      <w:marTop w:val="0"/>
      <w:marBottom w:val="0"/>
      <w:divBdr>
        <w:top w:val="none" w:sz="0" w:space="0" w:color="auto"/>
        <w:left w:val="none" w:sz="0" w:space="0" w:color="auto"/>
        <w:bottom w:val="none" w:sz="0" w:space="0" w:color="auto"/>
        <w:right w:val="none" w:sz="0" w:space="0" w:color="auto"/>
      </w:divBdr>
    </w:div>
    <w:div w:id="166334583">
      <w:bodyDiv w:val="1"/>
      <w:marLeft w:val="0"/>
      <w:marRight w:val="0"/>
      <w:marTop w:val="0"/>
      <w:marBottom w:val="0"/>
      <w:divBdr>
        <w:top w:val="none" w:sz="0" w:space="0" w:color="auto"/>
        <w:left w:val="none" w:sz="0" w:space="0" w:color="auto"/>
        <w:bottom w:val="none" w:sz="0" w:space="0" w:color="auto"/>
        <w:right w:val="none" w:sz="0" w:space="0" w:color="auto"/>
      </w:divBdr>
    </w:div>
    <w:div w:id="218326599">
      <w:bodyDiv w:val="1"/>
      <w:marLeft w:val="0"/>
      <w:marRight w:val="0"/>
      <w:marTop w:val="0"/>
      <w:marBottom w:val="0"/>
      <w:divBdr>
        <w:top w:val="none" w:sz="0" w:space="0" w:color="auto"/>
        <w:left w:val="none" w:sz="0" w:space="0" w:color="auto"/>
        <w:bottom w:val="none" w:sz="0" w:space="0" w:color="auto"/>
        <w:right w:val="none" w:sz="0" w:space="0" w:color="auto"/>
      </w:divBdr>
    </w:div>
    <w:div w:id="270599525">
      <w:bodyDiv w:val="1"/>
      <w:marLeft w:val="0"/>
      <w:marRight w:val="0"/>
      <w:marTop w:val="0"/>
      <w:marBottom w:val="0"/>
      <w:divBdr>
        <w:top w:val="none" w:sz="0" w:space="0" w:color="auto"/>
        <w:left w:val="none" w:sz="0" w:space="0" w:color="auto"/>
        <w:bottom w:val="none" w:sz="0" w:space="0" w:color="auto"/>
        <w:right w:val="none" w:sz="0" w:space="0" w:color="auto"/>
      </w:divBdr>
    </w:div>
    <w:div w:id="293800910">
      <w:bodyDiv w:val="1"/>
      <w:marLeft w:val="0"/>
      <w:marRight w:val="0"/>
      <w:marTop w:val="0"/>
      <w:marBottom w:val="0"/>
      <w:divBdr>
        <w:top w:val="none" w:sz="0" w:space="0" w:color="auto"/>
        <w:left w:val="none" w:sz="0" w:space="0" w:color="auto"/>
        <w:bottom w:val="none" w:sz="0" w:space="0" w:color="auto"/>
        <w:right w:val="none" w:sz="0" w:space="0" w:color="auto"/>
      </w:divBdr>
    </w:div>
    <w:div w:id="349451542">
      <w:bodyDiv w:val="1"/>
      <w:marLeft w:val="0"/>
      <w:marRight w:val="0"/>
      <w:marTop w:val="0"/>
      <w:marBottom w:val="0"/>
      <w:divBdr>
        <w:top w:val="none" w:sz="0" w:space="0" w:color="auto"/>
        <w:left w:val="none" w:sz="0" w:space="0" w:color="auto"/>
        <w:bottom w:val="none" w:sz="0" w:space="0" w:color="auto"/>
        <w:right w:val="none" w:sz="0" w:space="0" w:color="auto"/>
      </w:divBdr>
    </w:div>
    <w:div w:id="372312360">
      <w:bodyDiv w:val="1"/>
      <w:marLeft w:val="0"/>
      <w:marRight w:val="0"/>
      <w:marTop w:val="0"/>
      <w:marBottom w:val="0"/>
      <w:divBdr>
        <w:top w:val="none" w:sz="0" w:space="0" w:color="auto"/>
        <w:left w:val="none" w:sz="0" w:space="0" w:color="auto"/>
        <w:bottom w:val="none" w:sz="0" w:space="0" w:color="auto"/>
        <w:right w:val="none" w:sz="0" w:space="0" w:color="auto"/>
      </w:divBdr>
    </w:div>
    <w:div w:id="377971127">
      <w:bodyDiv w:val="1"/>
      <w:marLeft w:val="0"/>
      <w:marRight w:val="0"/>
      <w:marTop w:val="0"/>
      <w:marBottom w:val="0"/>
      <w:divBdr>
        <w:top w:val="none" w:sz="0" w:space="0" w:color="auto"/>
        <w:left w:val="none" w:sz="0" w:space="0" w:color="auto"/>
        <w:bottom w:val="none" w:sz="0" w:space="0" w:color="auto"/>
        <w:right w:val="none" w:sz="0" w:space="0" w:color="auto"/>
      </w:divBdr>
    </w:div>
    <w:div w:id="428623679">
      <w:bodyDiv w:val="1"/>
      <w:marLeft w:val="0"/>
      <w:marRight w:val="0"/>
      <w:marTop w:val="0"/>
      <w:marBottom w:val="0"/>
      <w:divBdr>
        <w:top w:val="none" w:sz="0" w:space="0" w:color="auto"/>
        <w:left w:val="none" w:sz="0" w:space="0" w:color="auto"/>
        <w:bottom w:val="none" w:sz="0" w:space="0" w:color="auto"/>
        <w:right w:val="none" w:sz="0" w:space="0" w:color="auto"/>
      </w:divBdr>
    </w:div>
    <w:div w:id="588972892">
      <w:bodyDiv w:val="1"/>
      <w:marLeft w:val="0"/>
      <w:marRight w:val="0"/>
      <w:marTop w:val="0"/>
      <w:marBottom w:val="0"/>
      <w:divBdr>
        <w:top w:val="none" w:sz="0" w:space="0" w:color="auto"/>
        <w:left w:val="none" w:sz="0" w:space="0" w:color="auto"/>
        <w:bottom w:val="none" w:sz="0" w:space="0" w:color="auto"/>
        <w:right w:val="none" w:sz="0" w:space="0" w:color="auto"/>
      </w:divBdr>
    </w:div>
    <w:div w:id="685592935">
      <w:bodyDiv w:val="1"/>
      <w:marLeft w:val="0"/>
      <w:marRight w:val="0"/>
      <w:marTop w:val="0"/>
      <w:marBottom w:val="0"/>
      <w:divBdr>
        <w:top w:val="none" w:sz="0" w:space="0" w:color="auto"/>
        <w:left w:val="none" w:sz="0" w:space="0" w:color="auto"/>
        <w:bottom w:val="none" w:sz="0" w:space="0" w:color="auto"/>
        <w:right w:val="none" w:sz="0" w:space="0" w:color="auto"/>
      </w:divBdr>
    </w:div>
    <w:div w:id="686177168">
      <w:bodyDiv w:val="1"/>
      <w:marLeft w:val="0"/>
      <w:marRight w:val="0"/>
      <w:marTop w:val="0"/>
      <w:marBottom w:val="0"/>
      <w:divBdr>
        <w:top w:val="none" w:sz="0" w:space="0" w:color="auto"/>
        <w:left w:val="none" w:sz="0" w:space="0" w:color="auto"/>
        <w:bottom w:val="none" w:sz="0" w:space="0" w:color="auto"/>
        <w:right w:val="none" w:sz="0" w:space="0" w:color="auto"/>
      </w:divBdr>
    </w:div>
    <w:div w:id="756558449">
      <w:bodyDiv w:val="1"/>
      <w:marLeft w:val="0"/>
      <w:marRight w:val="0"/>
      <w:marTop w:val="0"/>
      <w:marBottom w:val="0"/>
      <w:divBdr>
        <w:top w:val="none" w:sz="0" w:space="0" w:color="auto"/>
        <w:left w:val="none" w:sz="0" w:space="0" w:color="auto"/>
        <w:bottom w:val="none" w:sz="0" w:space="0" w:color="auto"/>
        <w:right w:val="none" w:sz="0" w:space="0" w:color="auto"/>
      </w:divBdr>
    </w:div>
    <w:div w:id="768815737">
      <w:bodyDiv w:val="1"/>
      <w:marLeft w:val="0"/>
      <w:marRight w:val="0"/>
      <w:marTop w:val="0"/>
      <w:marBottom w:val="0"/>
      <w:divBdr>
        <w:top w:val="none" w:sz="0" w:space="0" w:color="auto"/>
        <w:left w:val="none" w:sz="0" w:space="0" w:color="auto"/>
        <w:bottom w:val="none" w:sz="0" w:space="0" w:color="auto"/>
        <w:right w:val="none" w:sz="0" w:space="0" w:color="auto"/>
      </w:divBdr>
    </w:div>
    <w:div w:id="824318180">
      <w:bodyDiv w:val="1"/>
      <w:marLeft w:val="0"/>
      <w:marRight w:val="0"/>
      <w:marTop w:val="0"/>
      <w:marBottom w:val="0"/>
      <w:divBdr>
        <w:top w:val="none" w:sz="0" w:space="0" w:color="auto"/>
        <w:left w:val="none" w:sz="0" w:space="0" w:color="auto"/>
        <w:bottom w:val="none" w:sz="0" w:space="0" w:color="auto"/>
        <w:right w:val="none" w:sz="0" w:space="0" w:color="auto"/>
      </w:divBdr>
    </w:div>
    <w:div w:id="856575107">
      <w:bodyDiv w:val="1"/>
      <w:marLeft w:val="0"/>
      <w:marRight w:val="0"/>
      <w:marTop w:val="0"/>
      <w:marBottom w:val="0"/>
      <w:divBdr>
        <w:top w:val="none" w:sz="0" w:space="0" w:color="auto"/>
        <w:left w:val="none" w:sz="0" w:space="0" w:color="auto"/>
        <w:bottom w:val="none" w:sz="0" w:space="0" w:color="auto"/>
        <w:right w:val="none" w:sz="0" w:space="0" w:color="auto"/>
      </w:divBdr>
    </w:div>
    <w:div w:id="865017805">
      <w:bodyDiv w:val="1"/>
      <w:marLeft w:val="0"/>
      <w:marRight w:val="0"/>
      <w:marTop w:val="0"/>
      <w:marBottom w:val="0"/>
      <w:divBdr>
        <w:top w:val="none" w:sz="0" w:space="0" w:color="auto"/>
        <w:left w:val="none" w:sz="0" w:space="0" w:color="auto"/>
        <w:bottom w:val="none" w:sz="0" w:space="0" w:color="auto"/>
        <w:right w:val="none" w:sz="0" w:space="0" w:color="auto"/>
      </w:divBdr>
    </w:div>
    <w:div w:id="948241332">
      <w:bodyDiv w:val="1"/>
      <w:marLeft w:val="0"/>
      <w:marRight w:val="0"/>
      <w:marTop w:val="0"/>
      <w:marBottom w:val="0"/>
      <w:divBdr>
        <w:top w:val="none" w:sz="0" w:space="0" w:color="auto"/>
        <w:left w:val="none" w:sz="0" w:space="0" w:color="auto"/>
        <w:bottom w:val="none" w:sz="0" w:space="0" w:color="auto"/>
        <w:right w:val="none" w:sz="0" w:space="0" w:color="auto"/>
      </w:divBdr>
    </w:div>
    <w:div w:id="1022703499">
      <w:bodyDiv w:val="1"/>
      <w:marLeft w:val="0"/>
      <w:marRight w:val="0"/>
      <w:marTop w:val="0"/>
      <w:marBottom w:val="0"/>
      <w:divBdr>
        <w:top w:val="none" w:sz="0" w:space="0" w:color="auto"/>
        <w:left w:val="none" w:sz="0" w:space="0" w:color="auto"/>
        <w:bottom w:val="none" w:sz="0" w:space="0" w:color="auto"/>
        <w:right w:val="none" w:sz="0" w:space="0" w:color="auto"/>
      </w:divBdr>
    </w:div>
    <w:div w:id="1053194197">
      <w:bodyDiv w:val="1"/>
      <w:marLeft w:val="0"/>
      <w:marRight w:val="0"/>
      <w:marTop w:val="0"/>
      <w:marBottom w:val="0"/>
      <w:divBdr>
        <w:top w:val="none" w:sz="0" w:space="0" w:color="auto"/>
        <w:left w:val="none" w:sz="0" w:space="0" w:color="auto"/>
        <w:bottom w:val="none" w:sz="0" w:space="0" w:color="auto"/>
        <w:right w:val="none" w:sz="0" w:space="0" w:color="auto"/>
      </w:divBdr>
    </w:div>
    <w:div w:id="1060403953">
      <w:bodyDiv w:val="1"/>
      <w:marLeft w:val="0"/>
      <w:marRight w:val="0"/>
      <w:marTop w:val="0"/>
      <w:marBottom w:val="0"/>
      <w:divBdr>
        <w:top w:val="none" w:sz="0" w:space="0" w:color="auto"/>
        <w:left w:val="none" w:sz="0" w:space="0" w:color="auto"/>
        <w:bottom w:val="none" w:sz="0" w:space="0" w:color="auto"/>
        <w:right w:val="none" w:sz="0" w:space="0" w:color="auto"/>
      </w:divBdr>
      <w:divsChild>
        <w:div w:id="969476412">
          <w:marLeft w:val="0"/>
          <w:marRight w:val="0"/>
          <w:marTop w:val="0"/>
          <w:marBottom w:val="0"/>
          <w:divBdr>
            <w:top w:val="none" w:sz="0" w:space="0" w:color="auto"/>
            <w:left w:val="none" w:sz="0" w:space="0" w:color="auto"/>
            <w:bottom w:val="none" w:sz="0" w:space="0" w:color="auto"/>
            <w:right w:val="none" w:sz="0" w:space="0" w:color="auto"/>
          </w:divBdr>
        </w:div>
        <w:div w:id="987587115">
          <w:marLeft w:val="0"/>
          <w:marRight w:val="0"/>
          <w:marTop w:val="0"/>
          <w:marBottom w:val="0"/>
          <w:divBdr>
            <w:top w:val="none" w:sz="0" w:space="0" w:color="auto"/>
            <w:left w:val="none" w:sz="0" w:space="0" w:color="auto"/>
            <w:bottom w:val="none" w:sz="0" w:space="0" w:color="auto"/>
            <w:right w:val="none" w:sz="0" w:space="0" w:color="auto"/>
          </w:divBdr>
        </w:div>
        <w:div w:id="552078085">
          <w:marLeft w:val="0"/>
          <w:marRight w:val="0"/>
          <w:marTop w:val="0"/>
          <w:marBottom w:val="0"/>
          <w:divBdr>
            <w:top w:val="none" w:sz="0" w:space="0" w:color="auto"/>
            <w:left w:val="none" w:sz="0" w:space="0" w:color="auto"/>
            <w:bottom w:val="none" w:sz="0" w:space="0" w:color="auto"/>
            <w:right w:val="none" w:sz="0" w:space="0" w:color="auto"/>
          </w:divBdr>
        </w:div>
        <w:div w:id="1286421750">
          <w:marLeft w:val="0"/>
          <w:marRight w:val="0"/>
          <w:marTop w:val="0"/>
          <w:marBottom w:val="0"/>
          <w:divBdr>
            <w:top w:val="none" w:sz="0" w:space="0" w:color="auto"/>
            <w:left w:val="none" w:sz="0" w:space="0" w:color="auto"/>
            <w:bottom w:val="none" w:sz="0" w:space="0" w:color="auto"/>
            <w:right w:val="none" w:sz="0" w:space="0" w:color="auto"/>
          </w:divBdr>
        </w:div>
        <w:div w:id="1097290522">
          <w:marLeft w:val="0"/>
          <w:marRight w:val="0"/>
          <w:marTop w:val="0"/>
          <w:marBottom w:val="0"/>
          <w:divBdr>
            <w:top w:val="none" w:sz="0" w:space="0" w:color="auto"/>
            <w:left w:val="none" w:sz="0" w:space="0" w:color="auto"/>
            <w:bottom w:val="none" w:sz="0" w:space="0" w:color="auto"/>
            <w:right w:val="none" w:sz="0" w:space="0" w:color="auto"/>
          </w:divBdr>
        </w:div>
      </w:divsChild>
    </w:div>
    <w:div w:id="1118791346">
      <w:bodyDiv w:val="1"/>
      <w:marLeft w:val="0"/>
      <w:marRight w:val="0"/>
      <w:marTop w:val="0"/>
      <w:marBottom w:val="0"/>
      <w:divBdr>
        <w:top w:val="none" w:sz="0" w:space="0" w:color="auto"/>
        <w:left w:val="none" w:sz="0" w:space="0" w:color="auto"/>
        <w:bottom w:val="none" w:sz="0" w:space="0" w:color="auto"/>
        <w:right w:val="none" w:sz="0" w:space="0" w:color="auto"/>
      </w:divBdr>
    </w:div>
    <w:div w:id="1140615748">
      <w:bodyDiv w:val="1"/>
      <w:marLeft w:val="0"/>
      <w:marRight w:val="0"/>
      <w:marTop w:val="0"/>
      <w:marBottom w:val="0"/>
      <w:divBdr>
        <w:top w:val="none" w:sz="0" w:space="0" w:color="auto"/>
        <w:left w:val="none" w:sz="0" w:space="0" w:color="auto"/>
        <w:bottom w:val="none" w:sz="0" w:space="0" w:color="auto"/>
        <w:right w:val="none" w:sz="0" w:space="0" w:color="auto"/>
      </w:divBdr>
    </w:div>
    <w:div w:id="1236554328">
      <w:bodyDiv w:val="1"/>
      <w:marLeft w:val="0"/>
      <w:marRight w:val="0"/>
      <w:marTop w:val="0"/>
      <w:marBottom w:val="0"/>
      <w:divBdr>
        <w:top w:val="none" w:sz="0" w:space="0" w:color="auto"/>
        <w:left w:val="none" w:sz="0" w:space="0" w:color="auto"/>
        <w:bottom w:val="none" w:sz="0" w:space="0" w:color="auto"/>
        <w:right w:val="none" w:sz="0" w:space="0" w:color="auto"/>
      </w:divBdr>
    </w:div>
    <w:div w:id="1258372325">
      <w:bodyDiv w:val="1"/>
      <w:marLeft w:val="0"/>
      <w:marRight w:val="0"/>
      <w:marTop w:val="0"/>
      <w:marBottom w:val="0"/>
      <w:divBdr>
        <w:top w:val="none" w:sz="0" w:space="0" w:color="auto"/>
        <w:left w:val="none" w:sz="0" w:space="0" w:color="auto"/>
        <w:bottom w:val="none" w:sz="0" w:space="0" w:color="auto"/>
        <w:right w:val="none" w:sz="0" w:space="0" w:color="auto"/>
      </w:divBdr>
    </w:div>
    <w:div w:id="1283654103">
      <w:bodyDiv w:val="1"/>
      <w:marLeft w:val="0"/>
      <w:marRight w:val="0"/>
      <w:marTop w:val="0"/>
      <w:marBottom w:val="0"/>
      <w:divBdr>
        <w:top w:val="none" w:sz="0" w:space="0" w:color="auto"/>
        <w:left w:val="none" w:sz="0" w:space="0" w:color="auto"/>
        <w:bottom w:val="none" w:sz="0" w:space="0" w:color="auto"/>
        <w:right w:val="none" w:sz="0" w:space="0" w:color="auto"/>
      </w:divBdr>
    </w:div>
    <w:div w:id="1292252607">
      <w:bodyDiv w:val="1"/>
      <w:marLeft w:val="0"/>
      <w:marRight w:val="0"/>
      <w:marTop w:val="0"/>
      <w:marBottom w:val="0"/>
      <w:divBdr>
        <w:top w:val="none" w:sz="0" w:space="0" w:color="auto"/>
        <w:left w:val="none" w:sz="0" w:space="0" w:color="auto"/>
        <w:bottom w:val="none" w:sz="0" w:space="0" w:color="auto"/>
        <w:right w:val="none" w:sz="0" w:space="0" w:color="auto"/>
      </w:divBdr>
    </w:div>
    <w:div w:id="1343821286">
      <w:bodyDiv w:val="1"/>
      <w:marLeft w:val="0"/>
      <w:marRight w:val="0"/>
      <w:marTop w:val="0"/>
      <w:marBottom w:val="0"/>
      <w:divBdr>
        <w:top w:val="none" w:sz="0" w:space="0" w:color="auto"/>
        <w:left w:val="none" w:sz="0" w:space="0" w:color="auto"/>
        <w:bottom w:val="none" w:sz="0" w:space="0" w:color="auto"/>
        <w:right w:val="none" w:sz="0" w:space="0" w:color="auto"/>
      </w:divBdr>
    </w:div>
    <w:div w:id="1395473199">
      <w:bodyDiv w:val="1"/>
      <w:marLeft w:val="0"/>
      <w:marRight w:val="0"/>
      <w:marTop w:val="0"/>
      <w:marBottom w:val="0"/>
      <w:divBdr>
        <w:top w:val="none" w:sz="0" w:space="0" w:color="auto"/>
        <w:left w:val="none" w:sz="0" w:space="0" w:color="auto"/>
        <w:bottom w:val="none" w:sz="0" w:space="0" w:color="auto"/>
        <w:right w:val="none" w:sz="0" w:space="0" w:color="auto"/>
      </w:divBdr>
    </w:div>
    <w:div w:id="1450784112">
      <w:bodyDiv w:val="1"/>
      <w:marLeft w:val="0"/>
      <w:marRight w:val="0"/>
      <w:marTop w:val="0"/>
      <w:marBottom w:val="0"/>
      <w:divBdr>
        <w:top w:val="none" w:sz="0" w:space="0" w:color="auto"/>
        <w:left w:val="none" w:sz="0" w:space="0" w:color="auto"/>
        <w:bottom w:val="none" w:sz="0" w:space="0" w:color="auto"/>
        <w:right w:val="none" w:sz="0" w:space="0" w:color="auto"/>
      </w:divBdr>
    </w:div>
    <w:div w:id="1619490799">
      <w:bodyDiv w:val="1"/>
      <w:marLeft w:val="0"/>
      <w:marRight w:val="0"/>
      <w:marTop w:val="0"/>
      <w:marBottom w:val="0"/>
      <w:divBdr>
        <w:top w:val="none" w:sz="0" w:space="0" w:color="auto"/>
        <w:left w:val="none" w:sz="0" w:space="0" w:color="auto"/>
        <w:bottom w:val="none" w:sz="0" w:space="0" w:color="auto"/>
        <w:right w:val="none" w:sz="0" w:space="0" w:color="auto"/>
      </w:divBdr>
    </w:div>
    <w:div w:id="1622611341">
      <w:bodyDiv w:val="1"/>
      <w:marLeft w:val="0"/>
      <w:marRight w:val="0"/>
      <w:marTop w:val="0"/>
      <w:marBottom w:val="0"/>
      <w:divBdr>
        <w:top w:val="none" w:sz="0" w:space="0" w:color="auto"/>
        <w:left w:val="none" w:sz="0" w:space="0" w:color="auto"/>
        <w:bottom w:val="none" w:sz="0" w:space="0" w:color="auto"/>
        <w:right w:val="none" w:sz="0" w:space="0" w:color="auto"/>
      </w:divBdr>
    </w:div>
    <w:div w:id="1645281451">
      <w:bodyDiv w:val="1"/>
      <w:marLeft w:val="0"/>
      <w:marRight w:val="0"/>
      <w:marTop w:val="0"/>
      <w:marBottom w:val="0"/>
      <w:divBdr>
        <w:top w:val="none" w:sz="0" w:space="0" w:color="auto"/>
        <w:left w:val="none" w:sz="0" w:space="0" w:color="auto"/>
        <w:bottom w:val="none" w:sz="0" w:space="0" w:color="auto"/>
        <w:right w:val="none" w:sz="0" w:space="0" w:color="auto"/>
      </w:divBdr>
    </w:div>
    <w:div w:id="1697467213">
      <w:bodyDiv w:val="1"/>
      <w:marLeft w:val="0"/>
      <w:marRight w:val="0"/>
      <w:marTop w:val="0"/>
      <w:marBottom w:val="0"/>
      <w:divBdr>
        <w:top w:val="none" w:sz="0" w:space="0" w:color="auto"/>
        <w:left w:val="none" w:sz="0" w:space="0" w:color="auto"/>
        <w:bottom w:val="none" w:sz="0" w:space="0" w:color="auto"/>
        <w:right w:val="none" w:sz="0" w:space="0" w:color="auto"/>
      </w:divBdr>
    </w:div>
    <w:div w:id="1710183356">
      <w:bodyDiv w:val="1"/>
      <w:marLeft w:val="0"/>
      <w:marRight w:val="0"/>
      <w:marTop w:val="0"/>
      <w:marBottom w:val="0"/>
      <w:divBdr>
        <w:top w:val="none" w:sz="0" w:space="0" w:color="auto"/>
        <w:left w:val="none" w:sz="0" w:space="0" w:color="auto"/>
        <w:bottom w:val="none" w:sz="0" w:space="0" w:color="auto"/>
        <w:right w:val="none" w:sz="0" w:space="0" w:color="auto"/>
      </w:divBdr>
    </w:div>
    <w:div w:id="1783911856">
      <w:bodyDiv w:val="1"/>
      <w:marLeft w:val="0"/>
      <w:marRight w:val="0"/>
      <w:marTop w:val="0"/>
      <w:marBottom w:val="0"/>
      <w:divBdr>
        <w:top w:val="none" w:sz="0" w:space="0" w:color="auto"/>
        <w:left w:val="none" w:sz="0" w:space="0" w:color="auto"/>
        <w:bottom w:val="none" w:sz="0" w:space="0" w:color="auto"/>
        <w:right w:val="none" w:sz="0" w:space="0" w:color="auto"/>
      </w:divBdr>
    </w:div>
    <w:div w:id="1796831369">
      <w:bodyDiv w:val="1"/>
      <w:marLeft w:val="0"/>
      <w:marRight w:val="0"/>
      <w:marTop w:val="0"/>
      <w:marBottom w:val="0"/>
      <w:divBdr>
        <w:top w:val="none" w:sz="0" w:space="0" w:color="auto"/>
        <w:left w:val="none" w:sz="0" w:space="0" w:color="auto"/>
        <w:bottom w:val="none" w:sz="0" w:space="0" w:color="auto"/>
        <w:right w:val="none" w:sz="0" w:space="0" w:color="auto"/>
      </w:divBdr>
      <w:divsChild>
        <w:div w:id="1965110512">
          <w:marLeft w:val="0"/>
          <w:marRight w:val="0"/>
          <w:marTop w:val="0"/>
          <w:marBottom w:val="0"/>
          <w:divBdr>
            <w:top w:val="none" w:sz="0" w:space="0" w:color="auto"/>
            <w:left w:val="none" w:sz="0" w:space="0" w:color="auto"/>
            <w:bottom w:val="none" w:sz="0" w:space="0" w:color="auto"/>
            <w:right w:val="none" w:sz="0" w:space="0" w:color="auto"/>
          </w:divBdr>
        </w:div>
      </w:divsChild>
    </w:div>
    <w:div w:id="1860704672">
      <w:bodyDiv w:val="1"/>
      <w:marLeft w:val="0"/>
      <w:marRight w:val="0"/>
      <w:marTop w:val="0"/>
      <w:marBottom w:val="0"/>
      <w:divBdr>
        <w:top w:val="none" w:sz="0" w:space="0" w:color="auto"/>
        <w:left w:val="none" w:sz="0" w:space="0" w:color="auto"/>
        <w:bottom w:val="none" w:sz="0" w:space="0" w:color="auto"/>
        <w:right w:val="none" w:sz="0" w:space="0" w:color="auto"/>
      </w:divBdr>
    </w:div>
    <w:div w:id="1860774715">
      <w:bodyDiv w:val="1"/>
      <w:marLeft w:val="0"/>
      <w:marRight w:val="0"/>
      <w:marTop w:val="0"/>
      <w:marBottom w:val="0"/>
      <w:divBdr>
        <w:top w:val="none" w:sz="0" w:space="0" w:color="auto"/>
        <w:left w:val="none" w:sz="0" w:space="0" w:color="auto"/>
        <w:bottom w:val="none" w:sz="0" w:space="0" w:color="auto"/>
        <w:right w:val="none" w:sz="0" w:space="0" w:color="auto"/>
      </w:divBdr>
    </w:div>
    <w:div w:id="1960913443">
      <w:bodyDiv w:val="1"/>
      <w:marLeft w:val="0"/>
      <w:marRight w:val="0"/>
      <w:marTop w:val="0"/>
      <w:marBottom w:val="0"/>
      <w:divBdr>
        <w:top w:val="none" w:sz="0" w:space="0" w:color="auto"/>
        <w:left w:val="none" w:sz="0" w:space="0" w:color="auto"/>
        <w:bottom w:val="none" w:sz="0" w:space="0" w:color="auto"/>
        <w:right w:val="none" w:sz="0" w:space="0" w:color="auto"/>
      </w:divBdr>
    </w:div>
    <w:div w:id="2023048483">
      <w:bodyDiv w:val="1"/>
      <w:marLeft w:val="0"/>
      <w:marRight w:val="0"/>
      <w:marTop w:val="0"/>
      <w:marBottom w:val="0"/>
      <w:divBdr>
        <w:top w:val="none" w:sz="0" w:space="0" w:color="auto"/>
        <w:left w:val="none" w:sz="0" w:space="0" w:color="auto"/>
        <w:bottom w:val="none" w:sz="0" w:space="0" w:color="auto"/>
        <w:right w:val="none" w:sz="0" w:space="0" w:color="auto"/>
      </w:divBdr>
    </w:div>
    <w:div w:id="209145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14.xml"/><Relationship Id="rId21" Type="http://schemas.openxmlformats.org/officeDocument/2006/relationships/footer" Target="footer5.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footer" Target="footer10.xml"/><Relationship Id="rId16" Type="http://schemas.openxmlformats.org/officeDocument/2006/relationships/image" Target="media/image3.png"/><Relationship Id="rId107" Type="http://schemas.openxmlformats.org/officeDocument/2006/relationships/image" Target="media/image82.emf"/><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emf"/><Relationship Id="rId123" Type="http://schemas.openxmlformats.org/officeDocument/2006/relationships/image" Target="media/image86.png"/><Relationship Id="rId128" Type="http://schemas.openxmlformats.org/officeDocument/2006/relationships/header" Target="header18.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emf"/><Relationship Id="rId113" Type="http://schemas.openxmlformats.org/officeDocument/2006/relationships/footer" Target="footer11.xml"/><Relationship Id="rId118" Type="http://schemas.openxmlformats.org/officeDocument/2006/relationships/footer" Target="footer13.xml"/><Relationship Id="rId126" Type="http://schemas.openxmlformats.org/officeDocument/2006/relationships/footer" Target="footer16.xml"/><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47.emf"/><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8.emf"/><Relationship Id="rId108" Type="http://schemas.openxmlformats.org/officeDocument/2006/relationships/image" Target="media/image83.emf"/><Relationship Id="rId116" Type="http://schemas.openxmlformats.org/officeDocument/2006/relationships/header" Target="header13.xml"/><Relationship Id="rId124" Type="http://schemas.openxmlformats.org/officeDocument/2006/relationships/header" Target="header16.xml"/><Relationship Id="rId129" Type="http://schemas.openxmlformats.org/officeDocument/2006/relationships/footer" Target="footer18.xml"/><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81.emf"/><Relationship Id="rId114" Type="http://schemas.openxmlformats.org/officeDocument/2006/relationships/header" Target="header12.xml"/><Relationship Id="rId119" Type="http://schemas.openxmlformats.org/officeDocument/2006/relationships/footer" Target="footer14.xml"/><Relationship Id="rId12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85.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4.png"/><Relationship Id="rId109" Type="http://schemas.openxmlformats.org/officeDocument/2006/relationships/image" Target="media/image84.emf"/><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emf"/><Relationship Id="rId120" Type="http://schemas.openxmlformats.org/officeDocument/2006/relationships/header" Target="header15.xml"/><Relationship Id="rId125"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image" Target="media/image5.emf"/><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header" Target="header10.xml"/><Relationship Id="rId115" Type="http://schemas.openxmlformats.org/officeDocument/2006/relationships/footer" Target="footer12.xml"/><Relationship Id="rId131"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6517BB0-FA67-4B67-95A2-1ABB2DE1F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48148</Words>
  <Characters>262894</Characters>
  <Application>Microsoft Office Word</Application>
  <DocSecurity>0</DocSecurity>
  <Lines>4381</Lines>
  <Paragraphs>1095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19</cp:revision>
  <cp:lastPrinted>2018-11-16T15:32:00Z</cp:lastPrinted>
  <dcterms:created xsi:type="dcterms:W3CDTF">2018-11-20T10:46:00Z</dcterms:created>
  <dcterms:modified xsi:type="dcterms:W3CDTF">2018-11-20T13:18:00Z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