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B6F" w:rsidRDefault="004D2280">
      <w:pPr>
        <w:pStyle w:val="Pagedecouverture"/>
        <w:rPr>
          <w:noProof/>
          <w:highlight w:val="yellow"/>
        </w:rPr>
      </w:pPr>
      <w:r w:rsidRPr="004D228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6168187-5FC4-47CF-9D01-4873B6A1BCC8" style="width:450.75pt;height:379.5pt">
            <v:imagedata r:id="rId8" o:title=""/>
          </v:shape>
        </w:pict>
      </w:r>
      <w:bookmarkStart w:id="0" w:name="_GoBack"/>
      <w:bookmarkEnd w:id="0"/>
    </w:p>
    <w:p w:rsidR="007A1B6F" w:rsidRDefault="007A1B6F">
      <w:pPr>
        <w:rPr>
          <w:noProof/>
          <w:highlight w:val="yellow"/>
        </w:rPr>
        <w:sectPr w:rsidR="007A1B6F">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7A1B6F" w:rsidRDefault="007A1B6F">
      <w:pPr>
        <w:pStyle w:val="Exposdesmotifstitre"/>
        <w:rPr>
          <w:noProof/>
        </w:rPr>
      </w:pPr>
    </w:p>
    <w:p w:rsidR="007A1B6F" w:rsidRDefault="007A1B6F">
      <w:pPr>
        <w:pBdr>
          <w:top w:val="nil"/>
          <w:left w:val="nil"/>
          <w:bottom w:val="nil"/>
          <w:right w:val="nil"/>
          <w:between w:val="nil"/>
          <w:bar w:val="nil"/>
        </w:pBdr>
        <w:spacing w:before="0" w:after="240"/>
        <w:rPr>
          <w:rFonts w:eastAsia="Arial Unicode MS"/>
          <w:noProof/>
        </w:rPr>
      </w:pPr>
    </w:p>
    <w:p w:rsidR="007A1B6F" w:rsidRDefault="004D2280">
      <w:pPr>
        <w:pStyle w:val="Statut"/>
        <w:rPr>
          <w:noProof/>
        </w:rPr>
      </w:pPr>
      <w:r>
        <w:rPr>
          <w:noProof/>
        </w:rPr>
        <w:t>Препоръка за</w:t>
      </w:r>
    </w:p>
    <w:p w:rsidR="007A1B6F" w:rsidRDefault="004D2280">
      <w:pPr>
        <w:pStyle w:val="Typedudocument"/>
        <w:rPr>
          <w:noProof/>
        </w:rPr>
      </w:pPr>
      <w:r>
        <w:rPr>
          <w:noProof/>
        </w:rPr>
        <w:t>ПРЕПОРЪКА НА СЪВЕТА</w:t>
      </w:r>
    </w:p>
    <w:p w:rsidR="007A1B6F" w:rsidRDefault="004D2280">
      <w:pPr>
        <w:pStyle w:val="Titreobjet"/>
        <w:rPr>
          <w:noProof/>
        </w:rPr>
      </w:pPr>
      <w:r>
        <w:rPr>
          <w:noProof/>
        </w:rPr>
        <w:t xml:space="preserve">с оглед да се отстрани наблюдаваното значително отклонение от плана за корекции за постигане на средносрочната бюджетна цел </w:t>
      </w:r>
      <w:r>
        <w:rPr>
          <w:noProof/>
        </w:rPr>
        <w:br/>
      </w:r>
      <w:r>
        <w:rPr>
          <w:noProof/>
        </w:rPr>
        <w:br/>
        <w:t>в Румъния</w:t>
      </w:r>
    </w:p>
    <w:p w:rsidR="007A1B6F" w:rsidRDefault="004D2280">
      <w:pPr>
        <w:pStyle w:val="Institutionquiagit"/>
        <w:rPr>
          <w:noProof/>
        </w:rPr>
      </w:pPr>
      <w:r>
        <w:rPr>
          <w:noProof/>
        </w:rPr>
        <w:t>СЪВЕТЪТ НА ЕВРОПЕЙСКИЯ СЪЮЗ,</w:t>
      </w:r>
    </w:p>
    <w:p w:rsidR="007A1B6F" w:rsidRDefault="004D2280">
      <w:pPr>
        <w:rPr>
          <w:noProof/>
        </w:rPr>
      </w:pPr>
      <w:r>
        <w:rPr>
          <w:noProof/>
        </w:rPr>
        <w:t xml:space="preserve">като взе предвид Договора за функционирането на Европейския съюз, и по-специално член 121, </w:t>
      </w:r>
      <w:r>
        <w:rPr>
          <w:noProof/>
        </w:rPr>
        <w:t>параграф 4 от него,</w:t>
      </w:r>
    </w:p>
    <w:p w:rsidR="007A1B6F" w:rsidRDefault="004D2280">
      <w:pPr>
        <w:rPr>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10, параграф 2, втора алинея от него</w:t>
      </w:r>
      <w:r>
        <w:rPr>
          <w:noProof/>
        </w:rPr>
        <w:t>,</w:t>
      </w:r>
    </w:p>
    <w:p w:rsidR="007A1B6F" w:rsidRDefault="004D2280">
      <w:pPr>
        <w:tabs>
          <w:tab w:val="num" w:pos="709"/>
        </w:tabs>
        <w:rPr>
          <w:noProof/>
        </w:rPr>
      </w:pPr>
      <w:r>
        <w:rPr>
          <w:noProof/>
        </w:rPr>
        <w:t>като взе предвид препоръката на Европейската комисия,</w:t>
      </w:r>
    </w:p>
    <w:p w:rsidR="007A1B6F" w:rsidRDefault="004D2280">
      <w:pPr>
        <w:tabs>
          <w:tab w:val="num" w:pos="709"/>
        </w:tabs>
        <w:rPr>
          <w:noProof/>
        </w:rPr>
      </w:pPr>
      <w:r>
        <w:rPr>
          <w:noProof/>
        </w:rPr>
        <w:t>като има предвид, че:</w:t>
      </w:r>
    </w:p>
    <w:p w:rsidR="007A1B6F" w:rsidRDefault="004D2280">
      <w:pPr>
        <w:pStyle w:val="ManualConsidrant"/>
        <w:rPr>
          <w:noProof/>
        </w:rPr>
      </w:pPr>
      <w:r>
        <w:t>(1)</w:t>
      </w:r>
      <w:r>
        <w:tab/>
      </w:r>
      <w:r>
        <w:rPr>
          <w:noProof/>
        </w:rPr>
        <w:t>На 16 юни 2017 г. Съветът реши, в съответствие с член 121, параграф 4 от Договора за функционирането на Европейския съюз („ДФЕС“), че през 2016 г. в Румъния се наблюдава знач</w:t>
      </w:r>
      <w:r>
        <w:rPr>
          <w:noProof/>
        </w:rPr>
        <w:t>ително отклонение от средносрочната бюджетна цел от -1% от БВП. С оглед на установено значително отклонение Съветът на 16 юни 2017 г. отправи препоръка за това Румъния да предприеме необходимите мерки, за да гарантира, че номиналният темп на растеж на нетн</w:t>
      </w:r>
      <w:r>
        <w:rPr>
          <w:noProof/>
        </w:rPr>
        <w:t>ите първични държавни разходи не надвишава 3,3 % през 2017 г., което съответства на годишна корекция на структурното салдо в размер на 0,5 % от БВП. На 5 декември 2017 г. Съветът констатира, че Румъния не е предприела ефективни действия в отговор на препор</w:t>
      </w:r>
      <w:r>
        <w:rPr>
          <w:noProof/>
        </w:rPr>
        <w:t>ъката от 16 юни 2017 г. и издаде нова препоръка. В новата препоръка Съветът поиска от Румъния да предприеме необходимите мерки, за да гарантира, че темпът на номинален растеж на нетните първични държавни разходи не превишава 3,3 % през 2018 г., което съотв</w:t>
      </w:r>
      <w:r>
        <w:rPr>
          <w:noProof/>
        </w:rPr>
        <w:t>етства на годишна структурна корекция в размер на 0,8 % от БВП. На 22 юни 2018 г. Съветът констатира, че Румъния не е предприела ефективни действия в отговор на преработената препоръка от 5 декември 2017 г.</w:t>
      </w:r>
    </w:p>
    <w:p w:rsidR="007A1B6F" w:rsidRDefault="004D2280">
      <w:pPr>
        <w:pStyle w:val="ManualConsidrant"/>
        <w:rPr>
          <w:noProof/>
        </w:rPr>
      </w:pPr>
      <w:r>
        <w:t>(2)</w:t>
      </w:r>
      <w:r>
        <w:tab/>
      </w:r>
      <w:r>
        <w:rPr>
          <w:noProof/>
        </w:rPr>
        <w:t>На 22 юни 2018 г. Съветът реши, в съответстви</w:t>
      </w:r>
      <w:r>
        <w:rPr>
          <w:noProof/>
        </w:rPr>
        <w:t>е с член 121, параграф 4 от ДФЕС, че значително отклонение от плана за корекции за постигане на средносрочната бюджетна цел в Румъния е настъпило и през 2017 г. С оглед на установено значително отклонение на 22 юни 2018 г. Съветът отправи препоръка</w:t>
      </w:r>
      <w:r>
        <w:rPr>
          <w:rStyle w:val="FootnoteReference"/>
          <w:noProof/>
        </w:rPr>
        <w:footnoteReference w:id="2"/>
      </w:r>
      <w:r>
        <w:rPr>
          <w:noProof/>
        </w:rPr>
        <w:t xml:space="preserve"> за тов</w:t>
      </w:r>
      <w:r>
        <w:rPr>
          <w:noProof/>
        </w:rPr>
        <w:t xml:space="preserve">а Румъния да предприеме необходимите мерки, за да гарантира, че номиналният темп на растеж на нетните първични държавни </w:t>
      </w:r>
      <w:r>
        <w:rPr>
          <w:noProof/>
        </w:rPr>
        <w:lastRenderedPageBreak/>
        <w:t>разходи</w:t>
      </w:r>
      <w:r>
        <w:rPr>
          <w:rStyle w:val="FootnoteReference"/>
          <w:noProof/>
        </w:rPr>
        <w:footnoteReference w:id="3"/>
      </w:r>
      <w:r>
        <w:rPr>
          <w:noProof/>
        </w:rPr>
        <w:t xml:space="preserve"> не надвишава 3,3 % през 2018 г. и 5,1 % през 2019 г., което съответства на годишна корекция на структурното салдо в размер на 0</w:t>
      </w:r>
      <w:r>
        <w:rPr>
          <w:noProof/>
        </w:rPr>
        <w:t>,8 % от БВП за всяка година. Той също препоръча на Румъния да използва всички извънредни приходи за намаляване на дефицита, докато мерките за бюджетна консолидация следва да гарантират трайно подобрение на структурното салдо по консолидирания държавен бюдж</w:t>
      </w:r>
      <w:r>
        <w:rPr>
          <w:noProof/>
        </w:rPr>
        <w:t>ет по начин, който благоприятства икономическия растеж. Съветът определи краен срок до 15 октомври 2018 г., в който Румъния да докладва относно действията, предприети в отговор на тази препоръка.</w:t>
      </w:r>
    </w:p>
    <w:p w:rsidR="007A1B6F" w:rsidRDefault="004D2280">
      <w:pPr>
        <w:pStyle w:val="ManualConsidrant"/>
        <w:rPr>
          <w:noProof/>
        </w:rPr>
      </w:pPr>
      <w:r>
        <w:t>(3)</w:t>
      </w:r>
      <w:r>
        <w:tab/>
      </w:r>
      <w:r>
        <w:rPr>
          <w:noProof/>
        </w:rPr>
        <w:t>На 13 юли 2018 г. Съветът препоръча на Румъния през 2018</w:t>
      </w:r>
      <w:r>
        <w:rPr>
          <w:noProof/>
        </w:rPr>
        <w:t xml:space="preserve"> г. и през 2019 г. да гарантира, че спазва препоръката на Съвета от 22 юни 2018 г., с оглед да се отстрани наблюдаваното значително отклонение от плана за корекции за постигане на средносрочната бюджетна цел</w:t>
      </w:r>
      <w:r>
        <w:rPr>
          <w:rStyle w:val="FootnoteReference"/>
          <w:noProof/>
        </w:rPr>
        <w:footnoteReference w:id="4"/>
      </w:r>
      <w:r>
        <w:rPr>
          <w:noProof/>
        </w:rPr>
        <w:t xml:space="preserve">. </w:t>
      </w:r>
    </w:p>
    <w:p w:rsidR="007A1B6F" w:rsidRDefault="004D2280">
      <w:pPr>
        <w:pStyle w:val="ManualConsidrant"/>
        <w:rPr>
          <w:noProof/>
        </w:rPr>
      </w:pPr>
      <w:r>
        <w:t>(4)</w:t>
      </w:r>
      <w:r>
        <w:tab/>
      </w:r>
      <w:r>
        <w:rPr>
          <w:noProof/>
        </w:rPr>
        <w:t>На 27 и 28 септември 2018 г. Комисията пр</w:t>
      </w:r>
      <w:r>
        <w:rPr>
          <w:noProof/>
        </w:rPr>
        <w:t>оведе мисия за засилено наблюдение в Румъния с цел да извърши мониторинг на място съгласно член 11, параграф 2 от Регламент (ЕО) № 1466/97. След като изпрати предварителните си заключения на румънските органи за коментар, Комисията докладва констатациите с</w:t>
      </w:r>
      <w:r>
        <w:rPr>
          <w:noProof/>
        </w:rPr>
        <w:t>и на Съвета на 21 ноември 2018 г. Впоследствие тези заключения бяха оповестени публично.</w:t>
      </w:r>
    </w:p>
    <w:p w:rsidR="007A1B6F" w:rsidRDefault="004D2280">
      <w:pPr>
        <w:pStyle w:val="ManualConsidrant"/>
        <w:rPr>
          <w:noProof/>
        </w:rPr>
      </w:pPr>
      <w:r>
        <w:t>(5)</w:t>
      </w:r>
      <w:r>
        <w:tab/>
      </w:r>
      <w:r>
        <w:rPr>
          <w:noProof/>
        </w:rPr>
        <w:t>На 16 октомври 2018 г. румънските органи предоставиха доклада за ефективни действия в отговор на препоръката на Съвета от 22 юни 2018 г</w:t>
      </w:r>
      <w:r>
        <w:rPr>
          <w:rStyle w:val="FootnoteReference"/>
          <w:noProof/>
        </w:rPr>
        <w:footnoteReference w:id="5"/>
      </w:r>
      <w:r>
        <w:rPr>
          <w:noProof/>
        </w:rPr>
        <w:t>. Като се има предвид инфор</w:t>
      </w:r>
      <w:r>
        <w:rPr>
          <w:noProof/>
        </w:rPr>
        <w:t xml:space="preserve">мацията, предоставена от органите в доклада им, и цялостната оценка въз основа на прогнозата на Комисията от есента на 2018 г., Съветът на 21 ноември 2018 г. стигна до заключението, че Румъния не е предприела ефективни действия в отговор на препоръката на </w:t>
      </w:r>
      <w:r>
        <w:rPr>
          <w:noProof/>
        </w:rPr>
        <w:t xml:space="preserve">Съвета от 22 юни 2018 г. </w:t>
      </w:r>
    </w:p>
    <w:p w:rsidR="007A1B6F" w:rsidRDefault="004D2280">
      <w:pPr>
        <w:pStyle w:val="ManualConsidrant"/>
        <w:rPr>
          <w:noProof/>
        </w:rPr>
      </w:pPr>
      <w:r>
        <w:t>(6)</w:t>
      </w:r>
      <w:r>
        <w:tab/>
      </w:r>
      <w:r>
        <w:rPr>
          <w:noProof/>
        </w:rPr>
        <w:t>С оглед на липсата на ефективни действия от страна на Румъния и натрупаното голямо отклонение от подходящия път за корекции за постигане на средносрочната бюджетна цел, целесъобразно е да се отправи към държавата членка прераз</w:t>
      </w:r>
      <w:r>
        <w:rPr>
          <w:noProof/>
        </w:rPr>
        <w:t>гледана препоръка относно подходящите мерки, които да бъдат предприети по член 121, параграф 4 от ДФЕС.</w:t>
      </w:r>
    </w:p>
    <w:p w:rsidR="007A1B6F" w:rsidRDefault="004D2280">
      <w:pPr>
        <w:pStyle w:val="ManualConsidrant"/>
        <w:rPr>
          <w:noProof/>
        </w:rPr>
      </w:pPr>
      <w:r>
        <w:t>(7)</w:t>
      </w:r>
      <w:r>
        <w:tab/>
      </w:r>
      <w:r>
        <w:rPr>
          <w:noProof/>
        </w:rPr>
        <w:t>Структурният дефицит на Румъния нарасна с 2,1 % от БВП през 2016 г. и с 1,2 % от БВП през 2017 г. Той достигна 3,4 % от БВП през 2017 г. и според пр</w:t>
      </w:r>
      <w:r>
        <w:rPr>
          <w:noProof/>
        </w:rPr>
        <w:t>огнозите на Комисията от есента на 2018 г. в общи линии ще се стабилизира от 2018 г. нататък. С цел да се коригира общото отклонение и Румъния да застане отново на подходящ път на корекции след миналите отклонения, допълнително подобрение следва да допълни</w:t>
      </w:r>
      <w:r>
        <w:rPr>
          <w:noProof/>
        </w:rPr>
        <w:t xml:space="preserve"> структурното подобрение от 0,8 % от БВП, препоръчано от Съвета на 22 юни 2018 г. г. Допълнително подобрение от 0,2 % от БВП изглежда целесъобразно предвид мащаба на наблюдаваното значително отклонение от препоръчания път за корекции за постигане на средно</w:t>
      </w:r>
      <w:r>
        <w:rPr>
          <w:noProof/>
        </w:rPr>
        <w:t xml:space="preserve">срочната бюджетна цел. То ще ускори корекцията в посока към средносрочната бюджетна цел, без да се излага на риск икономическият растеж. </w:t>
      </w:r>
    </w:p>
    <w:p w:rsidR="007A1B6F" w:rsidRDefault="004D2280">
      <w:pPr>
        <w:pStyle w:val="ManualConsidrant"/>
        <w:rPr>
          <w:noProof/>
        </w:rPr>
      </w:pPr>
      <w:r>
        <w:t>(8)</w:t>
      </w:r>
      <w:r>
        <w:tab/>
      </w:r>
      <w:r>
        <w:rPr>
          <w:noProof/>
        </w:rPr>
        <w:t>Изискваното подобрение на структурното салдо с 1,0 % от БВП през 2019 г. съответства на номинален темп на растеж н</w:t>
      </w:r>
      <w:r>
        <w:rPr>
          <w:noProof/>
        </w:rPr>
        <w:t>а нетните първични държавни разходи, ненадвишаващ 4,5 % през 2019 г.</w:t>
      </w:r>
    </w:p>
    <w:p w:rsidR="007A1B6F" w:rsidRDefault="004D2280">
      <w:pPr>
        <w:pStyle w:val="ManualConsidrant"/>
        <w:rPr>
          <w:noProof/>
        </w:rPr>
      </w:pPr>
      <w:r>
        <w:t>(9)</w:t>
      </w:r>
      <w:r>
        <w:tab/>
      </w:r>
      <w:r>
        <w:rPr>
          <w:noProof/>
        </w:rPr>
        <w:t>Според прогнозата на Комисията от есента на 2018 г. се очаква влошаване на структурното салдо с 0,1 % от БВП през 2019 г. Поради това структурно подобрение от 1,0 % от БВП съответства</w:t>
      </w:r>
      <w:r>
        <w:rPr>
          <w:noProof/>
        </w:rPr>
        <w:t xml:space="preserve"> на необходимост да се предприемат мерки с общ структурен резултат от 1,1 % от БВП през 2019 г. в сравнение с настоящия основен сценарий съгласно прогнозата на Комисията от есента на 2018 г.</w:t>
      </w:r>
    </w:p>
    <w:p w:rsidR="007A1B6F" w:rsidRDefault="004D2280">
      <w:pPr>
        <w:pStyle w:val="ManualConsidrant"/>
        <w:rPr>
          <w:noProof/>
        </w:rPr>
      </w:pPr>
      <w:r>
        <w:t>(10)</w:t>
      </w:r>
      <w:r>
        <w:tab/>
      </w:r>
      <w:r>
        <w:rPr>
          <w:noProof/>
        </w:rPr>
        <w:t xml:space="preserve">Съгласно прогнозата на Комисията от есента на 2018 г. </w:t>
      </w:r>
      <w:r>
        <w:rPr>
          <w:noProof/>
        </w:rPr>
        <w:t xml:space="preserve">бюджетният дефицит ще възлиза на 3,4 % през 2019 г., което е над референтната стойност от 3 % от БВП по Договора. Изискваната корекция на структурното салдо също изглежда подходяща, за да се гарантира, че Румъния спазва референтната стойност от 3 % от БВП </w:t>
      </w:r>
      <w:r>
        <w:rPr>
          <w:noProof/>
        </w:rPr>
        <w:t>съгласно Договора през 2019 г. заедно с марж.</w:t>
      </w:r>
    </w:p>
    <w:p w:rsidR="007A1B6F" w:rsidRDefault="004D2280">
      <w:pPr>
        <w:pStyle w:val="ManualConsidrant"/>
        <w:rPr>
          <w:noProof/>
        </w:rPr>
      </w:pPr>
      <w:r>
        <w:t>(11)</w:t>
      </w:r>
      <w:r>
        <w:tab/>
      </w:r>
      <w:r>
        <w:rPr>
          <w:noProof/>
        </w:rPr>
        <w:t>Непредприемането на действия, свързани с предишните препоръки за коригиране на наблюдаваното значително отклонение, и рискът от превишаване на референтната стойност съгласно Договора налагат спешни действи</w:t>
      </w:r>
      <w:r>
        <w:rPr>
          <w:noProof/>
        </w:rPr>
        <w:t xml:space="preserve">я за връщането на фискалната политика на Румъния към предпазлив подход. </w:t>
      </w:r>
    </w:p>
    <w:p w:rsidR="007A1B6F" w:rsidRDefault="004D2280">
      <w:pPr>
        <w:pStyle w:val="ManualConsidrant"/>
        <w:rPr>
          <w:noProof/>
        </w:rPr>
      </w:pPr>
      <w:r>
        <w:t>(12)</w:t>
      </w:r>
      <w:r>
        <w:tab/>
      </w:r>
      <w:r>
        <w:rPr>
          <w:noProof/>
        </w:rPr>
        <w:t>С оглед на постигането на препоръчаните бюджетни цели, е от решаващо значение Румъния да приеме и строго да прилага необходимите мерки, както и да следи отблизо промените в текущ</w:t>
      </w:r>
      <w:r>
        <w:rPr>
          <w:noProof/>
        </w:rPr>
        <w:t>ите разходи.</w:t>
      </w:r>
    </w:p>
    <w:p w:rsidR="007A1B6F" w:rsidRDefault="004D2280">
      <w:pPr>
        <w:pStyle w:val="ManualConsidrant"/>
        <w:rPr>
          <w:noProof/>
        </w:rPr>
      </w:pPr>
      <w:r>
        <w:t>(13)</w:t>
      </w:r>
      <w:r>
        <w:tab/>
      </w:r>
      <w:r>
        <w:rPr>
          <w:noProof/>
        </w:rPr>
        <w:t>Изискванията, заложени в настоящата препоръка, отменят съответните елементи, определени във фискалната препоръката, съдържаща се в препоръката на Съвета към Румъния от 13 юли 2018 г.</w:t>
      </w:r>
    </w:p>
    <w:p w:rsidR="007A1B6F" w:rsidRDefault="004D2280">
      <w:pPr>
        <w:pStyle w:val="ManualConsidrant"/>
        <w:rPr>
          <w:noProof/>
        </w:rPr>
      </w:pPr>
      <w:r>
        <w:t>(14)</w:t>
      </w:r>
      <w:r>
        <w:tab/>
      </w:r>
      <w:r>
        <w:rPr>
          <w:noProof/>
        </w:rPr>
        <w:t>Румъния следва да докладва на Съвета относно мерки</w:t>
      </w:r>
      <w:r>
        <w:rPr>
          <w:noProof/>
        </w:rPr>
        <w:t>те, предприети в отговор на настоящата препоръка, в срок до 15 април 2019 г., евентуално като част от своята програма за конвергенция, подадена съгласно член 7 от Регламент (ЕО) № 1466/97.</w:t>
      </w:r>
    </w:p>
    <w:p w:rsidR="007A1B6F" w:rsidRDefault="004D2280">
      <w:pPr>
        <w:pStyle w:val="ManualConsidrant"/>
        <w:rPr>
          <w:noProof/>
        </w:rPr>
      </w:pPr>
      <w:r>
        <w:t>(15)</w:t>
      </w:r>
      <w:r>
        <w:tab/>
      </w:r>
      <w:r>
        <w:rPr>
          <w:noProof/>
        </w:rPr>
        <w:t>Целесъобразно е тази препоръка да се оповести публично,</w:t>
      </w:r>
    </w:p>
    <w:p w:rsidR="007A1B6F" w:rsidRDefault="004D2280">
      <w:pPr>
        <w:pStyle w:val="Formuledadoption"/>
        <w:rPr>
          <w:noProof/>
        </w:rPr>
      </w:pPr>
      <w:r>
        <w:rPr>
          <w:noProof/>
        </w:rPr>
        <w:t>ПРЕПОР</w:t>
      </w:r>
      <w:r>
        <w:rPr>
          <w:noProof/>
        </w:rPr>
        <w:t>ЪЧВА НА РУМЪНИЯ:</w:t>
      </w:r>
    </w:p>
    <w:p w:rsidR="007A1B6F" w:rsidRDefault="004D2280">
      <w:pPr>
        <w:pStyle w:val="Point0number"/>
        <w:numPr>
          <w:ilvl w:val="0"/>
          <w:numId w:val="1"/>
        </w:numPr>
        <w:rPr>
          <w:noProof/>
        </w:rPr>
      </w:pPr>
      <w:r>
        <w:rPr>
          <w:noProof/>
        </w:rPr>
        <w:t>Да предприеме необходимите мерки, за да гарантира, че номиналният темп на растеж на нетните първични държавни разходи не надвишава 4,5 % през 2019 г., което съответства на годишна корекция на структурното салдо от 1,0 % от БВП, като по тоз</w:t>
      </w:r>
      <w:r>
        <w:rPr>
          <w:noProof/>
        </w:rPr>
        <w:t xml:space="preserve">и начин държавата членка застава на подходящ път на корекции за постигане на средносрочната бюджетна цел. </w:t>
      </w:r>
    </w:p>
    <w:p w:rsidR="007A1B6F" w:rsidRDefault="004D2280">
      <w:pPr>
        <w:pStyle w:val="Point0number"/>
        <w:rPr>
          <w:noProof/>
        </w:rPr>
      </w:pPr>
      <w:r>
        <w:rPr>
          <w:noProof/>
        </w:rPr>
        <w:t>Да използва всички извънредни приходи за намаляване на дефицита, докато мерките за бюджетна консолидация следва да гарантират трайно подобрение на ст</w:t>
      </w:r>
      <w:r>
        <w:rPr>
          <w:noProof/>
        </w:rPr>
        <w:t>руктурното салдо по консолидирания държавен бюджет по начин, който благоприятства икономическия растеж.</w:t>
      </w:r>
    </w:p>
    <w:p w:rsidR="007A1B6F" w:rsidRDefault="004D2280">
      <w:pPr>
        <w:pStyle w:val="Point0number"/>
        <w:rPr>
          <w:noProof/>
        </w:rPr>
      </w:pPr>
      <w:r>
        <w:rPr>
          <w:noProof/>
        </w:rPr>
        <w:t>Да докладва на Съвета до 15 април 2019 г. за предприетите действия в отговор на горепосочената препоръка; докладът следва да представи достатъчно конкре</w:t>
      </w:r>
      <w:r>
        <w:rPr>
          <w:noProof/>
        </w:rPr>
        <w:t>тизирани и обявени по правдоподобен начин мерки, включително бюджетното въздействие на всяка от тях, както и актуализираните и подробни бюджетни прогнози за 2019 г.</w:t>
      </w:r>
    </w:p>
    <w:p w:rsidR="007A1B6F" w:rsidRDefault="004D2280">
      <w:pPr>
        <w:rPr>
          <w:noProof/>
        </w:rPr>
      </w:pPr>
      <w:r>
        <w:rPr>
          <w:noProof/>
        </w:rPr>
        <w:t>Адресат на настоящата препоръка е Румъния.</w:t>
      </w:r>
    </w:p>
    <w:p w:rsidR="007A1B6F" w:rsidRDefault="004D2280">
      <w:pPr>
        <w:pStyle w:val="Fait"/>
        <w:rPr>
          <w:noProof/>
        </w:rPr>
      </w:pPr>
      <w:r>
        <w:t xml:space="preserve">Съставено в Брюксел на </w:t>
      </w:r>
      <w:r>
        <w:rPr>
          <w:rStyle w:val="Marker"/>
        </w:rPr>
        <w:t>[…]</w:t>
      </w:r>
      <w:r>
        <w:t xml:space="preserve"> година.</w:t>
      </w:r>
    </w:p>
    <w:p w:rsidR="007A1B6F" w:rsidRDefault="004D2280">
      <w:pPr>
        <w:pStyle w:val="Institutionquisigne"/>
        <w:rPr>
          <w:noProof/>
        </w:rPr>
      </w:pPr>
      <w:r>
        <w:rPr>
          <w:noProof/>
        </w:rPr>
        <w:tab/>
        <w:t>За Съвета</w:t>
      </w:r>
    </w:p>
    <w:p w:rsidR="007A1B6F" w:rsidRDefault="004D2280">
      <w:pPr>
        <w:pStyle w:val="Personnequisigne"/>
        <w:rPr>
          <w:noProof/>
        </w:rPr>
      </w:pPr>
      <w:r>
        <w:rPr>
          <w:noProof/>
        </w:rPr>
        <w:tab/>
      </w:r>
      <w:r>
        <w:rPr>
          <w:noProof/>
        </w:rPr>
        <w:t>Председател</w:t>
      </w:r>
    </w:p>
    <w:sectPr w:rsidR="007A1B6F">
      <w:footerReference w:type="default" r:id="rId15"/>
      <w:footerReference w:type="first" r:id="rId16"/>
      <w:pgSz w:w="11907" w:h="1683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B6F" w:rsidRDefault="004D2280">
      <w:pPr>
        <w:spacing w:before="0" w:after="0"/>
      </w:pPr>
      <w:r>
        <w:separator/>
      </w:r>
    </w:p>
  </w:endnote>
  <w:endnote w:type="continuationSeparator" w:id="0">
    <w:p w:rsidR="007A1B6F" w:rsidRDefault="004D22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B6F" w:rsidRDefault="007A1B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B6F" w:rsidRDefault="004D2280">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B6F" w:rsidRDefault="007A1B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B6F" w:rsidRDefault="004D2280">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BG</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B6F" w:rsidRDefault="007A1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B6F" w:rsidRDefault="004D2280">
      <w:pPr>
        <w:spacing w:before="0" w:after="0"/>
      </w:pPr>
      <w:r>
        <w:separator/>
      </w:r>
    </w:p>
  </w:footnote>
  <w:footnote w:type="continuationSeparator" w:id="0">
    <w:p w:rsidR="007A1B6F" w:rsidRDefault="004D2280">
      <w:pPr>
        <w:spacing w:before="0" w:after="0"/>
      </w:pPr>
      <w:r>
        <w:continuationSeparator/>
      </w:r>
    </w:p>
  </w:footnote>
  <w:footnote w:id="1">
    <w:p w:rsidR="007A1B6F" w:rsidRDefault="004D2280">
      <w:pPr>
        <w:pStyle w:val="FootnoteText"/>
      </w:pPr>
      <w:r>
        <w:rPr>
          <w:rStyle w:val="FootnoteReference"/>
        </w:rPr>
        <w:footnoteRef/>
      </w:r>
      <w:r>
        <w:tab/>
        <w:t>ОВ L 209, 2.8.1997 г., стр. 1.</w:t>
      </w:r>
    </w:p>
  </w:footnote>
  <w:footnote w:id="2">
    <w:p w:rsidR="007A1B6F" w:rsidRDefault="004D2280">
      <w:pPr>
        <w:pStyle w:val="FootnoteText"/>
      </w:pPr>
      <w:r>
        <w:rPr>
          <w:rStyle w:val="FootnoteReference"/>
        </w:rPr>
        <w:footnoteRef/>
      </w:r>
      <w:r>
        <w:tab/>
        <w:t>ОВ C 223, 27.6.2018 г., стр. 3.</w:t>
      </w:r>
    </w:p>
  </w:footnote>
  <w:footnote w:id="3">
    <w:p w:rsidR="007A1B6F" w:rsidRDefault="004D2280">
      <w:pPr>
        <w:pStyle w:val="FootnoteText"/>
      </w:pPr>
      <w:r>
        <w:rPr>
          <w:rStyle w:val="FootnoteReference"/>
        </w:rPr>
        <w:footnoteRef/>
      </w:r>
      <w:r>
        <w:tab/>
        <w:t xml:space="preserve">Нетните първични държавни разходи включват общите държавни разходи без разходите за лихви, разходите по програми на Съюза, които изцяло </w:t>
      </w:r>
      <w:r>
        <w:t>се покриват от приходи от средства на Съюза, и недискреционни промени в разходите за обезщетения при безработица. Бруто образуването на основен капитал, финансирано от държавата, се изглажда за 4-годишен период. Дискреционните мерки по отношение на приходи</w:t>
      </w:r>
      <w:r>
        <w:t>те и предвиденото по закон увеличаване на приходите са взети предвид. Еднократните мерки по отношение както на приходите, така и на разходите, са нетирани.</w:t>
      </w:r>
    </w:p>
  </w:footnote>
  <w:footnote w:id="4">
    <w:p w:rsidR="007A1B6F" w:rsidRDefault="004D2280">
      <w:pPr>
        <w:pStyle w:val="FootnoteText"/>
      </w:pPr>
      <w:r>
        <w:rPr>
          <w:rStyle w:val="FootnoteReference"/>
        </w:rPr>
        <w:footnoteRef/>
      </w:r>
      <w:r>
        <w:tab/>
        <w:t xml:space="preserve">Препоръка на Съвета от 13 юли 2018 г. относно националната програма за реформи на Румъния за 2018 </w:t>
      </w:r>
      <w:r>
        <w:t>г. и съдържаща становище на Съвета относно програмата за конвергенция на Румъния за 2018 г. (OВ C 320, 10.9.2018 г., стр. 98).</w:t>
      </w:r>
    </w:p>
  </w:footnote>
  <w:footnote w:id="5">
    <w:p w:rsidR="007A1B6F" w:rsidRDefault="004D2280">
      <w:pPr>
        <w:pStyle w:val="FootnoteText"/>
      </w:pPr>
      <w:r>
        <w:rPr>
          <w:rStyle w:val="FootnoteReference"/>
        </w:rPr>
        <w:footnoteRef/>
      </w:r>
      <w:r>
        <w:tab/>
        <w:t>На разположение на адрес: http://data.consilium.europa.eu/doc/document/ST-13279-2018-INIT/en/pdf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B6F" w:rsidRDefault="007A1B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B6F" w:rsidRDefault="007A1B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B6F" w:rsidRDefault="007A1B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786C32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E3C805D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8D7097B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784C9A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96CE92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1C2BD2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2CCE8C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7BFE1C1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23 08:29:0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56168187-5FC4-47CF-9D01-4873B6A1BCC8"/>
    <w:docVar w:name="LW_COVERPAGE_TYPE" w:val="1"/>
    <w:docVar w:name="LW_CROSSREFERENCE" w:val="{SWD(2018) 503 final}"/>
    <w:docVar w:name="LW_DocType" w:val="COM"/>
    <w:docVar w:name="LW_EMISSION" w:val="21.11.2018"/>
    <w:docVar w:name="LW_EMISSION_ISODATE" w:val="2018-11-21"/>
    <w:docVar w:name="LW_EMISSION_LOCATION" w:val="BRX"/>
    <w:docVar w:name="LW_EMISSION_PREFIX" w:val="Брюксел, "/>
    <w:docVar w:name="LW_EMISSION_SUFFIX" w:val=" \u1075?."/>
    <w:docVar w:name="LW_ID_DOCMODEL" w:val="SG-002"/>
    <w:docVar w:name="LW_ID_DOCSIGNATURE" w:val="SG-002"/>
    <w:docVar w:name="LW_ID_DOCSTRUCTURE" w:val="COM/PL/ORG"/>
    <w:docVar w:name="LW_ID_DOCTYPE" w:val="SG-002"/>
    <w:docVar w:name="LW_ID_STATUT" w:val="SG-002"/>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80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87?\u1086?\u1088?\u1098?\u1082?\u1072? \u1079?\u1072?"/>
    <w:docVar w:name="LW_SUPERTITRE" w:val="&lt;UNUSED&gt;"/>
    <w:docVar w:name="LW_TITRE.OBJ.CP" w:val="\u1089? \u1086?\u1075?\u1083?\u1077?\u1076? \u1076?\u1072? \u1089?\u1077? \u1086?\u1090?\u1089?\u1090?\u1088?\u1072?\u1085?\u1080? \u1085?\u1072?\u1073?\u1083?\u1102?\u1076?\u1072?\u1074?\u1072?\u1085?\u1086?\u1090?\u1086? \u1079?\u1085?\u1072?\u1095?\u1080?\u1090?\u1077?\u1083?\u1085?\u1086? \u1086?\u1090?\u1082?\u1083?\u1086?\u1085?\u1077?\u1085?\u1080?\u1077? \u1086?\u1090? \u1087?\u1083?\u1072?\u1085?\u1072? \u1079?\u1072? \u1082?\u1086?\u1088?\u1077?\u1082?\u1094?\u1080?\u1080? \u1079?\u1072? \u1087?\u1086?\u1089?\u1090?\u1080?\u1075?\u1072?\u1085?\u1077? \u1085?\u1072? \u1089?\u1088?\u1077?\u1076?\u1085?\u1086?\u1089?\u1088?\u1086?\u1095?\u1085?\u1072?\u1090?\u1072? \u1073?\u1102?\u1076?\u1078?\u1077?\u1090?\u1085?\u1072? \u1094?\u1077?\u1083? _x000b__x000b_\u1074? \u1056?\u1091?\u1084?\u1098?\u1085?\u1080?\u1103?"/>
    <w:docVar w:name="LW_TYPE.DOC.CP" w:val="\u1055?\u1056?\u1045?\u1055?\u1054?\u1056?\u1066?\u1050?\u1040? \u1053?\u1040? \u1057?\u1066?\u1042?\u1045?\u1058?\u1040?"/>
  </w:docVars>
  <w:rsids>
    <w:rsidRoot w:val="007A1B6F"/>
    <w:rsid w:val="004D2280"/>
    <w:rsid w:val="007A1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5:docId w15:val="{ABCA4802-FFA7-4973-8025-FD585132B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E82F1-858D-4B6C-8DDA-11913AAD1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Pages>
  <Words>1282</Words>
  <Characters>6697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21</cp:revision>
  <cp:lastPrinted>2018-11-07T15:24:00Z</cp:lastPrinted>
  <dcterms:created xsi:type="dcterms:W3CDTF">2018-11-19T14:52:00Z</dcterms:created>
  <dcterms:modified xsi:type="dcterms:W3CDTF">2018-11-23T07:30:00Z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6.0.1, Build 20180503</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SG-002</vt:lpwstr>
  </property>
  <property fmtid="{D5CDD505-2E9C-101B-9397-08002B2CF9AE}" pid="9" name="Level of sensitivity">
    <vt:lpwstr>Standard treatment</vt:lpwstr>
  </property>
  <property fmtid="{D5CDD505-2E9C-101B-9397-08002B2CF9AE}" pid="10" name="DQCStatus">
    <vt:lpwstr>Yellow (DQC version 03)</vt:lpwstr>
  </property>
</Properties>
</file>