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453545-760D-43F8-BC5B-1DFB129D70CF"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Споразумението за асоцииране</w:t>
      </w:r>
      <w:r>
        <w:rPr>
          <w:rStyle w:val="FootnoteReference"/>
          <w:noProof/>
        </w:rPr>
        <w:footnoteReference w:id="2"/>
      </w:r>
      <w:r>
        <w:rPr>
          <w:noProof/>
        </w:rPr>
        <w:t xml:space="preserve"> (Споразумението), включващо задълбочена и всеобхватна зона за свободна търговия между Европейския съюз (ЕС) и неговите държави членки, от една страна, и Украйна, от друга страна, се прилагаше на временна основа от 1 януари 2016 г. и влезе изцяло в сила на 1 септември 2017 г. Със Споразумението, наред с другото, се определят преференциални условия за двустранната търговия със стоки.</w:t>
      </w:r>
    </w:p>
    <w:p>
      <w:pPr>
        <w:pBdr>
          <w:top w:val="nil"/>
          <w:left w:val="nil"/>
          <w:bottom w:val="nil"/>
          <w:right w:val="nil"/>
          <w:between w:val="nil"/>
          <w:bar w:val="nil"/>
        </w:pBdr>
        <w:spacing w:before="0" w:after="240"/>
        <w:rPr>
          <w:noProof/>
        </w:rPr>
      </w:pPr>
      <w:r>
        <w:rPr>
          <w:noProof/>
        </w:rPr>
        <w:t>От средата на 2016 г., при използване на предвидените в Споразумението преференции, започна да се извършва внос от Украйна в ЕС на нов вид разфасовка от домашни птици, който е във все по-големи количества</w:t>
      </w:r>
      <w:r>
        <w:rPr>
          <w:rStyle w:val="FootnoteReference"/>
          <w:noProof/>
        </w:rPr>
        <w:footnoteReference w:id="3"/>
      </w:r>
      <w:r>
        <w:rPr>
          <w:noProof/>
        </w:rPr>
        <w:t xml:space="preserve">. Тази нова разфасовка се състои от традиционни гърди с прикачени към тях раменни кости на крилцата, като последните съставляват много малка част от общото тегло на разфасовката. След минимална трансформация, тази разфасовка може да се предлага на пазара в ЕС като гърди от домашни птици. Разфасовката се внася предимно по тарифна линия КН 0207 13 70 („други разфасовки, пресни“), като известни незначителни количества са въведени в ЕС и по тарифна линия КН 0207 14 70 („други разфасовки, замразени“). Съгласно Споразумението вносът по тези две тарифни линии може да се осъществява на пазара на ЕС при нулева ставка на митото и без никакви количествени ограничения. </w:t>
      </w:r>
    </w:p>
    <w:p>
      <w:pPr>
        <w:pBdr>
          <w:top w:val="nil"/>
          <w:left w:val="nil"/>
          <w:bottom w:val="nil"/>
          <w:right w:val="nil"/>
          <w:between w:val="nil"/>
          <w:bar w:val="nil"/>
        </w:pBdr>
        <w:spacing w:before="0" w:after="240"/>
        <w:rPr>
          <w:noProof/>
        </w:rPr>
      </w:pPr>
      <w:r>
        <w:rPr>
          <w:noProof/>
        </w:rPr>
        <w:t>Следва да се подчертае, че спрямо традиционните разфасовки от гърди от домашни птици (КН 0207 13 50 или КН 0207 14 50) е приложима тарифна квота (ТК) при нулева ставка на митото (като количеството е ограничено понастоящем до 17 600 тона и до 2021 г. ще нарасне до 20 000 тона)</w:t>
      </w:r>
      <w:r>
        <w:rPr>
          <w:rStyle w:val="FootnoteReference"/>
          <w:noProof/>
        </w:rPr>
        <w:footnoteReference w:id="4"/>
      </w:r>
      <w:r>
        <w:rPr>
          <w:noProof/>
        </w:rPr>
        <w:t xml:space="preserve">, след надвишаването на която са приложими митата за най-облагодетелствана нация. </w:t>
      </w:r>
    </w:p>
    <w:p>
      <w:pPr>
        <w:pBdr>
          <w:top w:val="nil"/>
          <w:left w:val="nil"/>
          <w:bottom w:val="nil"/>
          <w:right w:val="nil"/>
          <w:between w:val="nil"/>
          <w:bar w:val="nil"/>
        </w:pBdr>
        <w:spacing w:before="0" w:after="240"/>
        <w:rPr>
          <w:noProof/>
        </w:rPr>
      </w:pPr>
      <w:r>
        <w:rPr>
          <w:noProof/>
        </w:rPr>
        <w:t xml:space="preserve">Бързото нарастване на безмитния внос на тази особена разфасовка от домашни птици, какъвто не съществуваше, нито можеше да се предвиди по време на преговорите по Споразумението, влече след себе си отслабване на предвидената в Споразумението защита по отношение на вноса на гърди от домашни птици и потенциално може да наруши деликатното равновесие на пазара на месо от домашни птици в ЕС. </w:t>
      </w:r>
    </w:p>
    <w:p>
      <w:pPr>
        <w:pBdr>
          <w:top w:val="nil"/>
          <w:left w:val="nil"/>
          <w:bottom w:val="nil"/>
          <w:right w:val="nil"/>
          <w:between w:val="nil"/>
          <w:bar w:val="nil"/>
        </w:pBdr>
        <w:spacing w:before="0" w:after="240"/>
        <w:rPr>
          <w:noProof/>
        </w:rPr>
      </w:pPr>
      <w:r>
        <w:rPr>
          <w:noProof/>
        </w:rPr>
        <w:t>Целта на предложението е да се разреши започването на преговори за изменение на Споразумението, за да се подобри правната рамка за вноса в ЕС на месо от домашни птици от Украйна, като същевременно се гарантира постигането на целта за защита на производителите от ЕС.</w:t>
      </w:r>
    </w:p>
    <w:p>
      <w:pPr>
        <w:pBdr>
          <w:top w:val="nil"/>
          <w:left w:val="nil"/>
          <w:bottom w:val="nil"/>
          <w:right w:val="nil"/>
          <w:between w:val="nil"/>
          <w:bar w:val="nil"/>
        </w:pBdr>
        <w:spacing w:before="0" w:after="240"/>
        <w:rPr>
          <w:noProof/>
        </w:rPr>
      </w:pPr>
      <w:r>
        <w:rPr>
          <w:noProof/>
        </w:rPr>
        <w:t xml:space="preserve">С предвиденото за тази цел изменение се предлага двете тарифни линии КН 0207 13 70 и КН 0207 14 70 да станат неразделна част от съществуващата тарифна квота от 17 600 тона със заложено увеличение до 20 000 тона през 2021 г. (пореден номер 09.4273), а размерът на квотата да бъде преразгледан. Съответно спрямо вноса по тарифни линии КН 0207 13 70 и КН 0207 14 70, който надвишава квотата, ще са приложими митническите ставки за най-облагодетелствана нация. </w:t>
      </w:r>
    </w:p>
    <w:p>
      <w:pPr>
        <w:pBdr>
          <w:top w:val="nil"/>
          <w:left w:val="nil"/>
          <w:bottom w:val="nil"/>
          <w:right w:val="nil"/>
          <w:between w:val="nil"/>
          <w:bar w:val="nil"/>
        </w:pBdr>
        <w:spacing w:before="0" w:after="240"/>
        <w:rPr>
          <w:noProof/>
        </w:rPr>
      </w:pPr>
      <w:r>
        <w:rPr>
          <w:noProof/>
        </w:rPr>
        <w:t>При определянето на новия размер на квотата или квотите е целесъобразно да се вземе предвид обемът на вноса от Украйна в ЕС на продукти от домашни птици по двете тарифни линии КН 0207 13 70 и КН 0207 14 70 в периода юли 2017 г. — юни 2018 г., като се държи сметка за възможното увеличение на търговията с тези продукти.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конкретната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Целта е да се създаде стабилна и предвидима среда за търговията с месо от домашни птици съгласно Споразумението, както и да се осигури разумно и премерено засилване на търговията с Украйна. Това е в съответствие с целта за свободна и справедлива търговия, залегнала в член 3, параграф 5 от Договора за Европейския съюз, както и с целта за хармонично развитие на световната търговия, залегнала в член 206 от Договора за функционирането на Европейския съюз (ДФЕС).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Описаните по-горе цели са съвместими с Общата селскостопанска политика, и по</w:t>
      </w:r>
      <w:r>
        <w:rPr>
          <w:noProof/>
        </w:rPr>
        <w:noBreakHyphen/>
        <w:t>специално с целите ѝ по член 39 от ДФЕС, които включват стабилизирането на пазарите.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207 във връзка с член 218, параграф 4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Съгласно член 5, параграф 3 от ДЕС принципът на субсидиарност не се прилага в областите, които попадат в изключителната компетентност на ЕС. Общата търговска политика е сред областите, изброени в член 3 от ДФЕС, в които Съюзът разполага с изключителна компетентност. Тази политика включва договарянето на търговски споразумения по реда на, </w:t>
      </w:r>
      <w:r>
        <w:rPr>
          <w:i/>
          <w:noProof/>
        </w:rPr>
        <w:t>inter alia</w:t>
      </w:r>
      <w:r>
        <w:rPr>
          <w:noProof/>
        </w:rPr>
        <w:t>, член 207 от ДФЕС.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пропорционалност. Изменението на предвидените в Споразумението митнически ставки и тарифни отстъпки по отношение на квотата за месо от домашни птици и заготовки от месо от домашни птици действително е единственият начин за намиране на решение на описания по-горе проблем и за постигане по този начин на целта на настоящото предложение.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Решение на Съвета на Европейския съюз.</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Комисията бе информирана от различни заинтересовани страни, и по-специално от европейския сектор на месото от домашни птици, за тяхната загриженост във връзка с вноса в Съюза на тази нова разфасовка от домашни птици, състояща се главно от гърди от домашни птици от Украйна. Комисията следи отблизо вноса на месо от домашни птици от Украйна и внимателно анализира твърденията на заинтересованите страни конкретно по този въпрос.</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Комисията влезе във връзка с различни заинтересовани страни, които споделиха становището си по изразените конкретни опасения, отнасящи се до достъпа до пазара, във връзка с безмитния внос на месо от домашни птици от Украйна.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Предложението не е подкрепено от оценка на въздействието. </w:t>
      </w:r>
    </w:p>
    <w:p>
      <w:pPr>
        <w:rPr>
          <w:noProof/>
        </w:rPr>
      </w:pPr>
      <w:r>
        <w:rPr>
          <w:noProof/>
        </w:rPr>
        <w:t>Както е обяснено в раздел „Основания и цели на предложението“, вносът на необлаганите с мита нови разфасовки нараства с бързи темпове. Тъй като вносът на тези продукти към настоящия момент не подлежи на количествени ограничения, ако приложимият за тях търговски режим остане непроменен, те потенциално могат да доведат до отслабване на предвидената по силата на Споразумението под формата на тарифни квоти защита по отношение на вноса на гърди от домашни птици, което от своя страна може да доведе до нарушаване на деликатното равновесие на пазара на месо от домашни птици в ЕС. Поради това е наложително да се намери спешно решение в създалата се ситуация. В Комисията постъпиха многобройни писмени запитвания от членове на Европейския парламент и от европейския сектор на месото от домашни птици, в които се призовава да бъде предприето действие с оглед намирането на решение.</w:t>
      </w:r>
    </w:p>
    <w:p>
      <w:pPr>
        <w:rPr>
          <w:noProof/>
        </w:rPr>
      </w:pPr>
      <w:r>
        <w:rPr>
          <w:noProof/>
        </w:rPr>
        <w:t xml:space="preserve">Стойността на вноса в ЕС по двете тарифни линии КН 0207 13 70 и КН 0207 14 70 през последните пълни календарни години — 2016 и 2017, достигна обща стойност на вноса от 43,9 милиона евро. Това представлява 23,9 % от общия внос в ЕС на месо от домашни птици от Украйна през 2016 и 2017 г. и 1,1 % от съвкупния внос в ЕС на месо от домашни птици от всички трети държави през тези две календарни години. </w:t>
      </w:r>
    </w:p>
    <w:p>
      <w:pPr>
        <w:pBdr>
          <w:top w:val="nil"/>
          <w:left w:val="nil"/>
          <w:bottom w:val="nil"/>
          <w:right w:val="nil"/>
          <w:between w:val="nil"/>
          <w:bar w:val="nil"/>
        </w:pBdr>
        <w:spacing w:before="0" w:after="240"/>
        <w:rPr>
          <w:noProof/>
        </w:rPr>
      </w:pPr>
      <w:r>
        <w:rPr>
          <w:noProof/>
        </w:rPr>
        <w:t>С предложената мярка ще се консолидира осъществяваният понастоящем безмитен внос по тарифни линии КН 0207 13 70 и КН 0207 14 70 „други разфасовки, пресни или замразени“ в съществуващата тарифна квота за внос на месо от домашни птици от Украйна. Това означава, че предложената мярка би довела до стабилизиране на съществуващия внос в ЕС на месо от домашни птици от Украйна и че не се очакват допълнителни последици от тази мярка за двустранната търговия.</w:t>
      </w:r>
    </w:p>
    <w:p>
      <w:pPr>
        <w:pBdr>
          <w:top w:val="nil"/>
          <w:left w:val="nil"/>
          <w:bottom w:val="nil"/>
          <w:right w:val="nil"/>
          <w:between w:val="nil"/>
          <w:bar w:val="nil"/>
        </w:pBdr>
        <w:spacing w:before="0" w:after="240"/>
        <w:rPr>
          <w:noProof/>
        </w:rPr>
      </w:pPr>
      <w:r>
        <w:rPr>
          <w:noProof/>
        </w:rPr>
        <w:t>Периодът от време, през който нарасна съответният внос от Украйна, съвпадна с намалелия, главно поради съображения, свързани с безопасността на храните, внос от Бразилия, която е една от основните трети държави — доставчици на месо от домашни птици. Въпросната строго специфична конюнктура налага да се запази необходимото равновесие на пазара на ЕС.</w:t>
      </w:r>
    </w:p>
    <w:p>
      <w:pPr>
        <w:pBdr>
          <w:top w:val="nil"/>
          <w:left w:val="nil"/>
          <w:bottom w:val="nil"/>
          <w:right w:val="nil"/>
          <w:between w:val="nil"/>
          <w:bar w:val="nil"/>
        </w:pBdr>
        <w:spacing w:before="0" w:after="240"/>
        <w:rPr>
          <w:noProof/>
        </w:rPr>
      </w:pPr>
      <w:r>
        <w:rPr>
          <w:noProof/>
        </w:rPr>
        <w:t>Съществуващият значителен и все по-голям капацитет за производство на домашни птици в Украйна обаче вероятно ще доведе до по-нататъшно значително увеличение на вноса в ЕС, в случай че се запази предвиденият в Споразумението безмитен достъп за тарифните линии „други разфасовки, пресни или замразени“. Без обратното въвеждане на мито за тези тарифни линии птицевъдният сектор на Украйна ще продължи да се радва на неограничен достъп до пазара на ЕС на гърди от домашни птици. Това води до риск от дестабилизиране на цените и нарушаване на равновесието по отношение на производството/вноса на пазара на месо от домашни птици в ЕС.</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Пригодност и опростяване на законодателството</w:t>
      </w:r>
    </w:p>
    <w:p>
      <w:pPr>
        <w:pStyle w:val="ManualHeading2"/>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да има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Предложената мярка не би трябвало да окаже въздействие върху бюджета на ЕС под формата на пропуснати мита в резултат на въвеждането на увеличена тарифна квота за месо от домашни птици. Размерът на увеличението на квотата действително би трябвало да съответства до голяма степен на годишния внос на месо от домашни птици, който понастоящем се извършва безмитно в Съюза.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Комисията следи отблизо вноса на месо от домашни птици от трети държави. В резултат на това наблюдение Комисията откри навреме безмитния внос на тази нова разфасовка месо от домашни птици. Комисията ще продължи да следи отблизо вноса на месо от домашни птици.</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разрешението, което да бъде дадено от Съвета на Комисията да договори от името на ЕС изменение на Споразумението.</w:t>
      </w:r>
    </w:p>
    <w:p>
      <w:pPr>
        <w:pBdr>
          <w:top w:val="nil"/>
          <w:left w:val="nil"/>
          <w:bottom w:val="nil"/>
          <w:right w:val="nil"/>
          <w:between w:val="nil"/>
          <w:bar w:val="nil"/>
        </w:pBdr>
        <w:spacing w:before="0" w:after="240"/>
        <w:rPr>
          <w:noProof/>
        </w:rPr>
      </w:pPr>
      <w:r>
        <w:rPr>
          <w:noProof/>
        </w:rPr>
        <w:t xml:space="preserve">В съответствие с член 207 от ДФЕС се предлага Съветът на Европейския съюз да определи комитета „Търговска политика“ като комитета, с който да се провеждат задължителни консултации в хода на преговорите. </w:t>
      </w:r>
    </w:p>
    <w:p>
      <w:pPr>
        <w:pBdr>
          <w:top w:val="nil"/>
          <w:left w:val="nil"/>
          <w:bottom w:val="nil"/>
          <w:right w:val="nil"/>
          <w:between w:val="nil"/>
          <w:bar w:val="nil"/>
        </w:pBdr>
        <w:spacing w:before="0" w:after="240"/>
        <w:rPr>
          <w:noProof/>
        </w:rPr>
      </w:pPr>
      <w:r>
        <w:rPr>
          <w:noProof/>
        </w:rPr>
        <w:t>Европейският парламент ще бъде информиран на всички етапи от процедурата в съответствие с член 218, параграф 10 от ДФЕС.</w:t>
      </w:r>
    </w:p>
    <w:p>
      <w:pPr>
        <w:pBdr>
          <w:top w:val="nil"/>
          <w:left w:val="nil"/>
          <w:bottom w:val="nil"/>
          <w:right w:val="nil"/>
          <w:between w:val="nil"/>
          <w:bar w:val="nil"/>
        </w:pBdr>
        <w:spacing w:before="0" w:after="240"/>
        <w:rPr>
          <w:noProof/>
        </w:rPr>
      </w:pPr>
      <w:r>
        <w:rPr>
          <w:noProof/>
        </w:rPr>
        <w:t>Комисията препоръчва указанията за водене на преговорите да бъдат публично оповестени непосредствено след тяхното приемане.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по споразумение за изменение на съществуващата тарифна квота за месо от домашни птици и заготовки от месо от домашни птици и за изменение на съществуващия тарифен режим за други разфасовки от домашни птици, посочени в приложение I-A към глава 1 от Споразумението за асоцииране между Европейския съюз и неговите държави членки, от една страна, и Украйна,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4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ManualConsidrant"/>
        <w:rPr>
          <w:noProof/>
        </w:rPr>
      </w:pPr>
      <w:r>
        <w:t>(1)</w:t>
      </w:r>
      <w:r>
        <w:tab/>
      </w:r>
      <w:r>
        <w:rPr>
          <w:noProof/>
        </w:rPr>
        <w:t>Споразумението за асоцииране</w:t>
      </w:r>
      <w:r>
        <w:rPr>
          <w:rStyle w:val="FootnoteReference"/>
          <w:noProof/>
        </w:rPr>
        <w:footnoteReference w:id="5"/>
      </w:r>
      <w:r>
        <w:rPr>
          <w:noProof/>
        </w:rPr>
        <w:t xml:space="preserve"> между Европейския съюз и Европейската общност за атомна енергия и техните държави членки, от една страна, и Украйна, от друга страна („Споразумението“) се прилага на временна основа от 1 януари 2016 г. и влезе в сила на 1 септември 2017 г.</w:t>
      </w:r>
    </w:p>
    <w:p>
      <w:pPr>
        <w:pStyle w:val="ManualConsidrant"/>
        <w:rPr>
          <w:noProof/>
        </w:rPr>
      </w:pPr>
      <w:r>
        <w:t>(2)</w:t>
      </w:r>
      <w:r>
        <w:tab/>
      </w:r>
      <w:r>
        <w:rPr>
          <w:noProof/>
        </w:rPr>
        <w:t>От средата на 2016 г. започна вносът от Украйна в ЕС на нов вид разфасовка от домашни птици по тарифни линии КН 0207 13 70 („други разфасовки, пресни“) и КН 0207 14 70 („други разфасовки, замразени“). Този внос нарасна рязко, достигайки 25 000 тона през първите шест месеца на 2018 г. Съгласно Споразумението този внос може да навлиза на пазара на ЕС при нулева ставка на митото без никакви количествени ограничения.</w:t>
      </w:r>
    </w:p>
    <w:p>
      <w:pPr>
        <w:pStyle w:val="ManualConsidrant"/>
        <w:rPr>
          <w:noProof/>
        </w:rPr>
      </w:pPr>
      <w:r>
        <w:t>(3)</w:t>
      </w:r>
      <w:r>
        <w:tab/>
      </w:r>
      <w:r>
        <w:rPr>
          <w:noProof/>
        </w:rPr>
        <w:t xml:space="preserve">Новият вид разфасовка от домашни птици се състои от традиционни гърди с прикачени към тях раменни кости на крилцата и след минимална трансформация в Съюза може да бъде предлагана на пазара на Съюза като гърди от домашни птици. По тази причина съществува риск неограниченият внос на тези разфасовки да подкопае условията, при които традиционните разфасовки от гърди от домашни птици могат да бъдат внасяни в Съюза съгласно Споразумението, и по-специално количествените ограничения под формата на тарифна квота. </w:t>
      </w:r>
    </w:p>
    <w:p>
      <w:pPr>
        <w:pStyle w:val="ManualConsidrant"/>
        <w:rPr>
          <w:noProof/>
        </w:rPr>
      </w:pPr>
      <w:r>
        <w:t>(4)</w:t>
      </w:r>
      <w:r>
        <w:tab/>
      </w:r>
      <w:r>
        <w:rPr>
          <w:noProof/>
        </w:rPr>
        <w:t>Поради това следва да започнат преговори с цел сключване на споразумение за изменение на Споразумението за асоцииране с Украйна по отношение на тарифния режим и тарифната квота за месо от домашни птици и заготовки от месо от домашни птици,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Комисията се упълномощава да договори от името на Съюза изменение на митническата тарифа на ЕС по отношение на двете тарифни линии КН 0207 13 70 и КН 0207 14 70 „други разфасовки, пресни или замразени“ от приложение I-A към глава 1 и тарифната квота за месо от домашни птици и заготовки от месо от домашни птици от допълнението към приложение I-A към Споразумението за асоцииране.</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w:t>
      </w:r>
    </w:p>
    <w:p>
      <w:pPr>
        <w:pStyle w:val="Titrearticle"/>
        <w:rPr>
          <w:noProof/>
        </w:rPr>
      </w:pPr>
      <w:r>
        <w:rPr>
          <w:noProof/>
        </w:rPr>
        <w:t>Член 3</w:t>
      </w:r>
    </w:p>
    <w:p>
      <w:pPr>
        <w:rPr>
          <w:noProof/>
        </w:rPr>
      </w:pPr>
      <w:r>
        <w:rPr>
          <w:noProof/>
        </w:rPr>
        <w:t>Преговорите се водят при консултиране с [….].</w:t>
      </w:r>
    </w:p>
    <w:p>
      <w:pPr>
        <w:pStyle w:val="Titrearticle"/>
        <w:rPr>
          <w:noProof/>
        </w:rPr>
      </w:pPr>
      <w:r>
        <w:rPr>
          <w:noProof/>
        </w:rPr>
        <w:t>Член 4</w:t>
      </w:r>
    </w:p>
    <w:p>
      <w:pPr>
        <w:rPr>
          <w:noProof/>
        </w:rPr>
      </w:pPr>
      <w:r>
        <w:rPr>
          <w:noProof/>
        </w:rPr>
        <w:t xml:space="preserve">Настоящото решение и приложението към него ще бъдат публично оповестени непосредствено след тяхното приемане. </w:t>
      </w:r>
    </w:p>
    <w:p>
      <w:pPr>
        <w:pStyle w:val="Titrearticle"/>
        <w:rPr>
          <w:noProof/>
        </w:rPr>
      </w:pPr>
      <w:r>
        <w:rPr>
          <w:noProof/>
        </w:rPr>
        <w:t>Член 5</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161, 29.5.2014 г., стр. 3.</w:t>
      </w:r>
    </w:p>
  </w:footnote>
  <w:footnote w:id="3">
    <w:p>
      <w:pPr>
        <w:pStyle w:val="FootnoteText"/>
      </w:pPr>
      <w:r>
        <w:rPr>
          <w:rStyle w:val="FootnoteReference"/>
        </w:rPr>
        <w:footnoteRef/>
      </w:r>
      <w:r>
        <w:tab/>
        <w:t>През първите шест месеца на 2018 г. обемът на вноса на въпросната разфасовка достигна, по неокончателни данни, 25 000 тона.</w:t>
      </w:r>
    </w:p>
  </w:footnote>
  <w:footnote w:id="4">
    <w:p>
      <w:pPr>
        <w:pStyle w:val="FootnoteText"/>
      </w:pPr>
      <w:r>
        <w:rPr>
          <w:rStyle w:val="FootnoteReference"/>
        </w:rPr>
        <w:footnoteRef/>
      </w:r>
      <w:r>
        <w:tab/>
        <w:t>Вж. Регламент за изпълнение (ЕС) 2015/2078 на Комисията от 18 ноември 2015 г. (OB L 302, 19.11.2015 г., стр. 63).</w:t>
      </w:r>
    </w:p>
  </w:footnote>
  <w:footnote w:id="5">
    <w:p>
      <w:pPr>
        <w:pStyle w:val="FootnoteText"/>
        <w:rPr>
          <w:lang w:val="da-DK"/>
        </w:rPr>
      </w:pPr>
      <w:r>
        <w:rPr>
          <w:rStyle w:val="FootnoteReference"/>
        </w:rPr>
        <w:footnoteRef/>
      </w:r>
      <w:r>
        <w:tab/>
        <w:t>ОВ L 161, 29.5.2014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A89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72EB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F2CE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6AB4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54D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74DD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44E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FCE4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MUSSEN Christian Frigaard (TRADE)">
    <w15:presenceInfo w15:providerId="None" w15:userId="RASMUSSEN Christian Frigaard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16:27: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453545-760D-43F8-BC5B-1DFB129D70CF"/>
    <w:docVar w:name="LW_COVERPAGE_TYPE" w:val="1"/>
    <w:docVar w:name="LW_CROSSREFERENCE" w:val="&lt;UNUSED&gt;"/>
    <w:docVar w:name="LW_DocType" w:val="COM"/>
    <w:docVar w:name="LW_EMISSION" w:val="27.11.2018"/>
    <w:docVar w:name="LW_EMISSION_ISODATE" w:val="2018-11-27"/>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87?\u1086? \u1089?\u1087?\u1086?\u1088?\u1072?\u1079?\u1091?\u1084?\u1077?\u1085?\u1080?\u1077? \u1079?\u1072? \u1080?\u1079?\u1084?\u1077?\u1085?\u1077?\u1085?\u1080?\u1077? \u1085?\u1072? \u1089?\u1098?\u1097?\u1077?\u1089?\u1090?\u1074?\u1091?\u1074?\u1072?\u1097?\u1072?\u1090?\u1072? \u1090?\u1072?\u1088?\u1080?\u1092?\u1085?\u1072? \u1082?\u1074?\u1086?\u1090?\u1072? \u1079?\u1072? \u1084?\u1077?\u1089?\u1086? \u1086?\u1090? \u1076?\u1086?\u1084?\u1072?\u1096?\u1085?\u1080? \u1087?\u1090?\u1080?\u1094?\u1080? \u1080? \u1079?\u1072?\u1075?\u1086?\u1090?\u1086?\u1074?\u1082?\u1080? \u1086?\u1090? \u1084?\u1077?\u1089?\u1086? \u1086?\u1090? \u1076?\u1086?\u1084?\u1072?\u1096?\u1085?\u1080? \u1087?\u1090?\u1080?\u1094?\u1080? \u1080? \u1079?\u1072? \u1080?\u1079?\u1084?\u1077?\u1085?\u1077?\u1085?\u1080?\u1077? \u1085?\u1072? \u1089?\u1098?\u1097?\u1077?\u1089?\u1090?\u1074?\u1091?\u1074?\u1072?\u1097?\u1080?\u1103? \u1090?\u1072?\u1088?\u1080?\u1092?\u1077?\u1085? \u1088?\u1077?\u1078?\u1080?\u1084? \u1079?\u1072? \u1076?\u1088?\u1091?\u1075?\u1080? \u1088?\u1072?\u1079?\u1092?\u1072?\u1089?\u1086?\u1074?\u1082?\u1080? \u1086?\u1090? \u1076?\u1086?\u1084?\u1072?\u1096?\u1085?\u1080? \u1087?\u1090?\u1080?\u1094?\u1080?, \u1087?\u1086?\u1089?\u1086?\u1095?\u1077?\u1085?\u1080? \u1074? \u1087?\u1088?\u1080?\u1083?\u1086?\u1078?\u1077?\u1085?\u1080?\u1077? I-A \u1082?\u1098?\u1084? \u1075?\u1083?\u1072?\u1074?\u1072? 1 \u1086?\u1090?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4795DB-E3CC-4AA7-BBE7-0F20624F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2074</Words>
  <Characters>11160</Characters>
  <Application>Microsoft Office Word</Application>
  <DocSecurity>0</DocSecurity>
  <Lines>214</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2018-08-07T09:48:00Z</cp:lastPrinted>
  <dcterms:created xsi:type="dcterms:W3CDTF">2018-11-15T14:35:00Z</dcterms:created>
  <dcterms:modified xsi:type="dcterms:W3CDTF">2018-11-26T15:27:00Z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