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05B23E-5953-4826-A523-DCE73BB2F371"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u w:color="000000"/>
          <w:bdr w:val="nil"/>
        </w:rPr>
      </w:pPr>
      <w:r>
        <w:rPr>
          <w:noProof/>
        </w:rPr>
        <w:t>La présente proposition concerne une décision relative à la position à prendre au nom de l’Union au sein du conseil de partenariat institué par l’accord de partenariat global et renforcé (ci-après l’«accord de partenariat» ou l’«accord») entre l’UE et l’Arménie, dans la perspective de l’adoption des règlements intérieurs du conseil de partenariat et du comité de partenariat et de la création de sous-comités et d’autres organes.</w:t>
      </w:r>
    </w:p>
    <w:p>
      <w:pPr>
        <w:pStyle w:val="ManualHeading1"/>
        <w:rPr>
          <w:noProof/>
        </w:rPr>
      </w:pPr>
      <w:r>
        <w:rPr>
          <w:noProof/>
        </w:rPr>
        <w:t>2.</w:t>
      </w:r>
      <w:r>
        <w:rPr>
          <w:noProof/>
        </w:rPr>
        <w:tab/>
        <w:t>CONTEXTE DE LA PROPOSITION</w:t>
      </w:r>
    </w:p>
    <w:p>
      <w:pPr>
        <w:pStyle w:val="ManualHeading2"/>
        <w:rPr>
          <w:rFonts w:eastAsia="Arial Unicode MS"/>
          <w:noProof/>
          <w:u w:color="000000"/>
          <w:bdr w:val="nil"/>
        </w:rPr>
      </w:pPr>
      <w:r>
        <w:rPr>
          <w:noProof/>
        </w:rPr>
        <w:t xml:space="preserve">2.1. </w:t>
      </w:r>
      <w:r>
        <w:rPr>
          <w:noProof/>
        </w:rPr>
        <w:tab/>
        <w:t>L’accord de partenariat global et renforcé entre l’UE et l’Arménie</w:t>
      </w:r>
    </w:p>
    <w:p>
      <w:pPr>
        <w:rPr>
          <w:noProof/>
          <w:u w:color="000000"/>
          <w:bdr w:val="nil"/>
        </w:rPr>
      </w:pPr>
      <w:r>
        <w:rPr>
          <w:noProof/>
        </w:rPr>
        <w:t>L’accord de partenariat vise à renforcer le partenariat politique et économique global et la coopération entre l’UE et l’Arménie, sur la base de valeurs communes et de liens étroits, notamment en accroissant la participation de la République d’Arménie aux politiques, aux programmes et aux agences de l’Union européenne. Il crée un cadre propice à l’établissement d’un dialogue politique renforcé dans tous les domaines d’intérêt commun, en favorisant le développement de relations politiques étroites.</w:t>
      </w:r>
    </w:p>
    <w:p>
      <w:pPr>
        <w:rPr>
          <w:noProof/>
          <w:u w:color="000000"/>
          <w:bdr w:val="nil"/>
        </w:rPr>
      </w:pPr>
      <w:r>
        <w:rPr>
          <w:noProof/>
        </w:rPr>
        <w:t>Il arrête des principes et des objectifs généraux pour les relations entre l’UE et l’Arménie et crée une structure institutionnelle pour sa mise en œuvre.</w:t>
      </w:r>
    </w:p>
    <w:p>
      <w:pPr>
        <w:rPr>
          <w:noProof/>
          <w:u w:color="000000"/>
          <w:bdr w:val="nil"/>
        </w:rPr>
      </w:pPr>
      <w:r>
        <w:rPr>
          <w:noProof/>
        </w:rPr>
        <w:t>Il est appliqué à titre provisoire depuis le [1</w:t>
      </w:r>
      <w:r>
        <w:rPr>
          <w:noProof/>
          <w:vertAlign w:val="superscript"/>
        </w:rPr>
        <w:t>er</w:t>
      </w:r>
      <w:r>
        <w:rPr>
          <w:noProof/>
        </w:rPr>
        <w:t> juin 2018].</w:t>
      </w:r>
    </w:p>
    <w:p>
      <w:pPr>
        <w:pStyle w:val="ManualHeading2"/>
        <w:rPr>
          <w:noProof/>
          <w:u w:color="000000"/>
          <w:bdr w:val="nil"/>
        </w:rPr>
      </w:pPr>
      <w:r>
        <w:rPr>
          <w:noProof/>
        </w:rPr>
        <w:t xml:space="preserve">2.2. </w:t>
      </w:r>
      <w:r>
        <w:rPr>
          <w:noProof/>
        </w:rPr>
        <w:tab/>
        <w:t>Le conseil de partenariat</w:t>
      </w:r>
    </w:p>
    <w:p>
      <w:pPr>
        <w:rPr>
          <w:noProof/>
          <w:u w:color="000000"/>
          <w:bdr w:val="nil"/>
        </w:rPr>
      </w:pPr>
      <w:r>
        <w:rPr>
          <w:noProof/>
        </w:rPr>
        <w:t xml:space="preserve">Un conseil de partenariat est institué par l’article 362 de l’accord. Il supervise et contrôle régulièrement la mise en œuvre dudit accord. </w:t>
      </w:r>
    </w:p>
    <w:p>
      <w:pPr>
        <w:rPr>
          <w:noProof/>
          <w:u w:color="000000"/>
          <w:bdr w:val="nil"/>
        </w:rPr>
      </w:pPr>
      <w:r>
        <w:rPr>
          <w:noProof/>
        </w:rPr>
        <w:t>Le conseil de partenariat se compose de représentants des parties au niveau ministériel, qui se réunissent à intervalles réguliers, au moins une fois par an, ainsi que lorsque les circonstances l’exigent. Il peut se réunir dans toutes les configurations, par accord mutuel. Il arrête son règlement intérieur.</w:t>
      </w:r>
    </w:p>
    <w:p>
      <w:pPr>
        <w:rPr>
          <w:noProof/>
          <w:u w:color="000000"/>
          <w:bdr w:val="nil"/>
        </w:rPr>
      </w:pPr>
      <w:r>
        <w:rPr>
          <w:noProof/>
        </w:rPr>
        <w:t xml:space="preserve">Il dispose d’un pouvoir de décision dans le cadre de l’accord et dans les cas prévus par celui-ci. Les décisions lient les parties, qui prennent les mesures appropriées pour leur mise en œuvre. Le conseil de partenariat peut également formuler des recommandations. Il rend ses décisions et recommandations d’un commun accord entre les parties, sous réserve de l’accomplissement de leurs procédures internes respectives. </w:t>
      </w:r>
    </w:p>
    <w:p>
      <w:pPr>
        <w:pStyle w:val="ManualHeading2"/>
        <w:rPr>
          <w:noProof/>
          <w:u w:color="000000"/>
          <w:bdr w:val="nil"/>
        </w:rPr>
      </w:pPr>
      <w:r>
        <w:rPr>
          <w:noProof/>
        </w:rPr>
        <w:t xml:space="preserve">2.3. </w:t>
      </w:r>
      <w:r>
        <w:rPr>
          <w:noProof/>
        </w:rPr>
        <w:tab/>
        <w:t>Le comité de partenariat</w:t>
      </w:r>
    </w:p>
    <w:p>
      <w:pPr>
        <w:rPr>
          <w:noProof/>
        </w:rPr>
      </w:pPr>
      <w:r>
        <w:rPr>
          <w:noProof/>
        </w:rPr>
        <w:t xml:space="preserve">Un comité de partenariat est institué par l’article 363 de l’accord. Il assiste le conseil de partenariat dans l’accomplissement de ses tâches et l’exercice de ses fonctions. L’une de ses attributions consiste à préparer les réunions du conseil de partenariat.  </w:t>
      </w:r>
    </w:p>
    <w:p>
      <w:pPr>
        <w:rPr>
          <w:noProof/>
        </w:rPr>
      </w:pPr>
      <w:r>
        <w:rPr>
          <w:noProof/>
        </w:rPr>
        <w:t xml:space="preserve">Le comité de partenariat est habilité à prendre des décisions dans les domaines dans lesquels le conseil de partenariat lui a délégué des pouvoirs et dans les cas prévus dans l’accord. Ces décisions lient les parties, qui prennent les mesures appropriées pour leur mise en œuvre. Le comité de partenariat arrête ses décisions d’un commun accord entre les parties, sous réserve de l’accomplissement de leurs procédures internes respectives. </w:t>
      </w:r>
    </w:p>
    <w:p>
      <w:pPr>
        <w:rPr>
          <w:noProof/>
        </w:rPr>
      </w:pPr>
      <w:r>
        <w:rPr>
          <w:noProof/>
        </w:rPr>
        <w:t xml:space="preserve">Il est composé de représentants des parties, en principe au niveau des hauts fonctionnaires. Il est présidé à tour de rôle par un représentant de l’UE et un représentant de la République </w:t>
      </w:r>
      <w:r>
        <w:rPr>
          <w:noProof/>
        </w:rPr>
        <w:lastRenderedPageBreak/>
        <w:t>d’Arménie. Il se réunit normalement au moins une fois par an. Son règlement intérieur est adopté par le conseil de partenariat.</w:t>
      </w:r>
    </w:p>
    <w:p>
      <w:pPr>
        <w:pStyle w:val="ManualHeading2"/>
        <w:rPr>
          <w:noProof/>
          <w:u w:color="000000"/>
          <w:bdr w:val="nil"/>
        </w:rPr>
      </w:pPr>
      <w:r>
        <w:rPr>
          <w:noProof/>
        </w:rPr>
        <w:t xml:space="preserve">2.4. </w:t>
      </w:r>
      <w:r>
        <w:rPr>
          <w:noProof/>
        </w:rPr>
        <w:tab/>
        <w:t>L’acte envisagé par le conseil de partenariat</w:t>
      </w:r>
    </w:p>
    <w:p>
      <w:pPr>
        <w:rPr>
          <w:noProof/>
        </w:rPr>
      </w:pPr>
      <w:r>
        <w:rPr>
          <w:noProof/>
        </w:rPr>
        <w:t>Le conseil de partenariat est tenu d’adopter une décision sur son règlement intérieur et sur celui du comité de partenariat, ainsi que sur la création de sous-comités et d’autres organes.</w:t>
      </w:r>
    </w:p>
    <w:p>
      <w:pPr>
        <w:rPr>
          <w:noProof/>
        </w:rPr>
      </w:pPr>
      <w:r>
        <w:rPr>
          <w:noProof/>
        </w:rPr>
        <w:t>L’acte envisagé a pour objet d’adopter, conformément à l’article 362, paragraphe 4, et à l’article 363, paragraphe 4, de l’accord, les règlements intérieurs régissant le fonctionnement du conseil de partenariat et du comité de partenariat, ainsi que de créer des sous-comités et d’autres organes afin de permettre la mise en œuvre de l’accord de partenariat.</w:t>
      </w:r>
    </w:p>
    <w:p>
      <w:pPr>
        <w:pStyle w:val="ManualHeading1"/>
        <w:rPr>
          <w:noProof/>
        </w:rPr>
      </w:pPr>
      <w:r>
        <w:rPr>
          <w:noProof/>
        </w:rPr>
        <w:t>3.</w:t>
      </w:r>
      <w:r>
        <w:rPr>
          <w:noProof/>
        </w:rPr>
        <w:tab/>
        <w:t>POSITION À PRENDRE AU NOM DE L’UNION</w:t>
      </w:r>
    </w:p>
    <w:p>
      <w:pPr>
        <w:rPr>
          <w:noProof/>
        </w:rPr>
      </w:pPr>
      <w:r>
        <w:rPr>
          <w:noProof/>
        </w:rPr>
        <w:t>La position à prendre au nom de l’Union devrait permettre l’adoption des règlements intérieurs du conseil de partenariat et du comité de partenariat.</w:t>
      </w:r>
    </w:p>
    <w:p>
      <w:pPr>
        <w:pStyle w:val="ManualHeading1"/>
        <w:rPr>
          <w:noProof/>
        </w:rPr>
      </w:pPr>
      <w:r>
        <w:rPr>
          <w:noProof/>
        </w:rPr>
        <w:t>4.</w:t>
      </w:r>
      <w:r>
        <w:rPr>
          <w:noProof/>
        </w:rPr>
        <w:tab/>
        <w:t>BASE JURIDIQUE</w:t>
      </w:r>
    </w:p>
    <w:p>
      <w:pPr>
        <w:pStyle w:val="ManualHeading2"/>
        <w:rPr>
          <w:rFonts w:eastAsia="Arial Unicode MS"/>
          <w:noProof/>
          <w:u w:color="000000"/>
          <w:bdr w:val="nil"/>
        </w:rPr>
      </w:pPr>
      <w:r>
        <w:rPr>
          <w:noProof/>
        </w:rPr>
        <w:t xml:space="preserve">4.1. </w:t>
      </w:r>
      <w:r>
        <w:rPr>
          <w:noProof/>
        </w:rPr>
        <w:tab/>
        <w:t>Base juridique procédurale</w:t>
      </w:r>
    </w:p>
    <w:p>
      <w:pPr>
        <w:pStyle w:val="ManualHeading3"/>
        <w:rPr>
          <w:noProof/>
        </w:rPr>
      </w:pPr>
      <w:r>
        <w:rPr>
          <w:noProof/>
        </w:rPr>
        <w:t xml:space="preserve"> 4.1.1 </w:t>
      </w:r>
      <w:r>
        <w:rPr>
          <w:noProof/>
        </w:rPr>
        <w:tab/>
        <w:t>Principes</w:t>
      </w:r>
    </w:p>
    <w:p>
      <w:pPr>
        <w:rPr>
          <w:rFonts w:eastAsia="Times New Roman"/>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rFonts w:eastAsia="Times New Roman"/>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w:t>
      </w:r>
      <w:r>
        <w:rPr>
          <w:rStyle w:val="FootnoteReference"/>
          <w:noProof/>
        </w:rPr>
        <w:footnoteReference w:id="1"/>
      </w:r>
      <w:r>
        <w:rPr>
          <w:noProof/>
        </w:rPr>
        <w:t>.</w:t>
      </w:r>
    </w:p>
    <w:p>
      <w:pPr>
        <w:pStyle w:val="ManualHeading3"/>
        <w:rPr>
          <w:noProof/>
        </w:rPr>
      </w:pPr>
      <w:r>
        <w:rPr>
          <w:noProof/>
        </w:rPr>
        <w:t>4.1.2</w:t>
      </w:r>
      <w:r>
        <w:rPr>
          <w:noProof/>
        </w:rPr>
        <w:tab/>
        <w:t>Application en l’espèce</w:t>
      </w:r>
    </w:p>
    <w:p>
      <w:pPr>
        <w:rPr>
          <w:rFonts w:eastAsia="Times New Roman"/>
          <w:noProof/>
        </w:rPr>
      </w:pPr>
      <w:r>
        <w:rPr>
          <w:noProof/>
        </w:rPr>
        <w:t>Le conseil de partenariat et le comité de partenariat sont des instances créées par l’accord de partenariat.</w:t>
      </w:r>
    </w:p>
    <w:p>
      <w:pPr>
        <w:rPr>
          <w:rFonts w:eastAsia="Times New Roman"/>
          <w:noProof/>
        </w:rPr>
      </w:pPr>
      <w:r>
        <w:rPr>
          <w:noProof/>
        </w:rPr>
        <w:t>Les actes figurant en annexe de la présente décision sont des actes ayant des effets juridiques, l’article 362, paragraphe 6, de l’accord habilitant le conseil de partenariat à adopter des décisions liant les parties.  Les actes ne complètent ni ne modifient le cadre institutionnel de l’accord.</w:t>
      </w:r>
    </w:p>
    <w:p>
      <w:pPr>
        <w:rPr>
          <w:rFonts w:eastAsia="Times New Roman"/>
          <w:noProof/>
        </w:rPr>
      </w:pPr>
      <w:r>
        <w:rPr>
          <w:noProof/>
        </w:rPr>
        <w:t>En conséquence, la base juridique procédurale pour la décision proposée est l’article 218, paragraphe 9, du TFUE.</w:t>
      </w:r>
    </w:p>
    <w:p>
      <w:pPr>
        <w:pStyle w:val="ManualHeading2"/>
        <w:rPr>
          <w:noProof/>
        </w:rPr>
      </w:pPr>
      <w:r>
        <w:rPr>
          <w:rStyle w:val="num4"/>
          <w:i/>
          <w:noProof/>
          <w:color w:val="000000"/>
        </w:rPr>
        <w:t>4.2.</w:t>
      </w:r>
      <w:r>
        <w:rPr>
          <w:noProof/>
        </w:rPr>
        <w:tab/>
        <w:t xml:space="preserve"> Base juridique matérielle </w:t>
      </w:r>
    </w:p>
    <w:p>
      <w:pPr>
        <w:pStyle w:val="ManualHeading3"/>
        <w:rPr>
          <w:noProof/>
        </w:rPr>
      </w:pPr>
      <w:r>
        <w:rPr>
          <w:noProof/>
        </w:rPr>
        <w:t xml:space="preserve">Principes </w:t>
      </w:r>
    </w:p>
    <w:p>
      <w:pPr>
        <w:rPr>
          <w:noProof/>
        </w:rPr>
      </w:pPr>
      <w:r>
        <w:rPr>
          <w:noProof/>
        </w:rPr>
        <w:t xml:space="preserve">La base juridique matérielle d’une décision relevant de l’article 218, paragraphe 9, du TFUE dépend en premier lieu de l’objectif et du contenu de l’acte envisagé pour lequel une position est prise au nom de l’Union. Si l’acte envisagé poursuit deux fins ou a deux composantes, et si l’une de ces fins ou composantes est identifiable comme principale, tandis que l’autre n’est </w:t>
      </w:r>
      <w:r>
        <w:rPr>
          <w:noProof/>
        </w:rPr>
        <w:lastRenderedPageBreak/>
        <w:t xml:space="preserve">qu’accessoire, la décision au titre de l’article 218, paragraphe 9, du TFUE doit être fondée sur une seule base juridique matérielle, à savoir celle exigée par la fin ou la composante principale ou prédominante. </w:t>
      </w:r>
    </w:p>
    <w:p>
      <w:pPr>
        <w:rPr>
          <w:noProof/>
        </w:rPr>
      </w:pPr>
      <w:r>
        <w:rPr>
          <w:noProof/>
        </w:rPr>
        <w:t xml:space="preserve">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 </w:t>
      </w:r>
    </w:p>
    <w:p>
      <w:pPr>
        <w:pStyle w:val="ManualHeading1"/>
        <w:rPr>
          <w:noProof/>
        </w:rPr>
      </w:pPr>
      <w:r>
        <w:rPr>
          <w:noProof/>
        </w:rPr>
        <w:t>5.</w:t>
      </w:r>
      <w:r>
        <w:rPr>
          <w:noProof/>
        </w:rPr>
        <w:tab/>
        <w:t>CONCLUSION</w:t>
      </w:r>
    </w:p>
    <w:p>
      <w:pPr>
        <w:spacing w:line="276" w:lineRule="auto"/>
        <w:rPr>
          <w:noProof/>
        </w:rPr>
      </w:pPr>
      <w:r>
        <w:rPr>
          <w:noProof/>
        </w:rPr>
        <w:t>Eu égard à ce qui précède, la base juridique de la décision proposée devrait être l’article 37 du traité sur l’Union européenne (TUE) et l’article 91, l’article 100, paragraphe 2, et les articles 207 et 209 du TFUE, lus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2018/0395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sur la position à prendre au nom de l’Union européenne au sein du conseil de partenariat institué par l’accord de partenariat global et renforcé entre l’Union européenne et la Communauté européenne de l’énergie atomique et leurs États membres, d’une part, et la République d’Arménie, d’autre part, concernant l’adoption de décisions relatives aux règlements intérieurs du conseil de partenariat, du comité de partenariat, des sous-comités ou de tout autre organe spécialisé</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91, son article 100, paragraphe 2, et ses articles 207 et 209, lus en liaison avec l’article 218, paragraphe 9,</w:t>
      </w:r>
    </w:p>
    <w:p>
      <w:pPr>
        <w:rPr>
          <w:noProof/>
        </w:rPr>
      </w:pPr>
      <w:r>
        <w:rPr>
          <w:noProof/>
        </w:rPr>
        <w:t>vu la proposition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t>(1)</w:t>
      </w:r>
      <w:r>
        <w:tab/>
      </w:r>
      <w:r>
        <w:rPr>
          <w:noProof/>
        </w:rPr>
        <w:t>L’accord de partenariat global et renforcé entre l’Union européenne et ses États membres, d’une part, et la République d’Arménie, d’autre part (ci-après l’«accord»)</w:t>
      </w:r>
      <w:r>
        <w:rPr>
          <w:rStyle w:val="FootnoteReference"/>
          <w:noProof/>
        </w:rPr>
        <w:footnoteReference w:id="2"/>
      </w:r>
      <w:r>
        <w:rPr>
          <w:noProof/>
        </w:rPr>
        <w:t>, a été signé à Bruxelles le 24 novembre 2017 et est appliqué à titre provisoire depuis le 1</w:t>
      </w:r>
      <w:r>
        <w:rPr>
          <w:noProof/>
          <w:vertAlign w:val="superscript"/>
        </w:rPr>
        <w:t>er</w:t>
      </w:r>
      <w:r>
        <w:rPr>
          <w:noProof/>
        </w:rPr>
        <w:t> juin 2018.</w:t>
      </w:r>
    </w:p>
    <w:p>
      <w:pPr>
        <w:pStyle w:val="ManualConsidrant"/>
        <w:rPr>
          <w:noProof/>
        </w:rPr>
      </w:pPr>
      <w:r>
        <w:t>(2)</w:t>
      </w:r>
      <w:r>
        <w:tab/>
      </w:r>
      <w:r>
        <w:rPr>
          <w:noProof/>
        </w:rPr>
        <w:t>Les articles 362 et 363 de l’accord instituent un conseil de partenariat et un comité de partenariat visant à faciliter la mise en œuvre de l’accord.</w:t>
      </w:r>
    </w:p>
    <w:p>
      <w:pPr>
        <w:pStyle w:val="ManualConsidrant"/>
        <w:rPr>
          <w:noProof/>
        </w:rPr>
      </w:pPr>
      <w:r>
        <w:t>(3)</w:t>
      </w:r>
      <w:r>
        <w:tab/>
      </w:r>
      <w:r>
        <w:rPr>
          <w:noProof/>
        </w:rPr>
        <w:t xml:space="preserve">Conformément à l’article 362, paragraphe 4, de l’accord, le conseil de partenariat arrête son propre règlement intérieur, et conformément à l’article 363, paragraphe 4, de l’accord, le conseil de partenariat définit, dans son règlement intérieur, la mission et le fonctionnement du comité de partenariat.  </w:t>
      </w:r>
    </w:p>
    <w:p>
      <w:pPr>
        <w:pStyle w:val="ManualConsidrant"/>
        <w:rPr>
          <w:noProof/>
        </w:rPr>
      </w:pPr>
      <w:r>
        <w:t>(4)</w:t>
      </w:r>
      <w:r>
        <w:tab/>
      </w:r>
      <w:r>
        <w:rPr>
          <w:noProof/>
        </w:rPr>
        <w:t>Afin de garantir la mise en œuvre effective de l’accord, il convient d’adopter les règlements intérieurs du conseil de partenariat et du comité de partenariat.</w:t>
      </w:r>
    </w:p>
    <w:p>
      <w:pPr>
        <w:pStyle w:val="ManualConsidrant"/>
        <w:rPr>
          <w:noProof/>
        </w:rPr>
      </w:pPr>
      <w:r>
        <w:t>(5)</w:t>
      </w:r>
      <w:r>
        <w:tab/>
      </w:r>
      <w:r>
        <w:rPr>
          <w:noProof/>
        </w:rPr>
        <w:t>Conformément à l’article 364, paragraphe 2, de l’accord de partenariat, le conseil de partenariat peut décider de constituer des sous-comités ou d'autres organes spécialisés dans des domaines particuliers propres à l’assister dans l’accomplissement de ses tâches. Toujours selon cet article, le conseil de partenariat en détermine la composition, la mission et le fonctionnement dans son règlement intérieur.</w:t>
      </w:r>
    </w:p>
    <w:p>
      <w:pPr>
        <w:pStyle w:val="ManualConsidrant"/>
        <w:rPr>
          <w:noProof/>
        </w:rPr>
      </w:pPr>
      <w:r>
        <w:t>(6)</w:t>
      </w:r>
      <w:r>
        <w:tab/>
      </w:r>
      <w:r>
        <w:rPr>
          <w:noProof/>
        </w:rPr>
        <w:t>Le conseil de partenariat adoptera, lors de sa [...] session/réunion du [date], les règlements intérieurs du conseil de partenariat, du comité de partenariat et des sous-comités ou tout autre organe spécialisé.</w:t>
      </w:r>
    </w:p>
    <w:p>
      <w:pPr>
        <w:pStyle w:val="ManualConsidrant"/>
        <w:rPr>
          <w:noProof/>
        </w:rPr>
      </w:pPr>
      <w:r>
        <w:lastRenderedPageBreak/>
        <w:t>(7)</w:t>
      </w:r>
      <w:r>
        <w:tab/>
      </w:r>
      <w:r>
        <w:rPr>
          <w:noProof/>
        </w:rPr>
        <w:t>Il convient d’établir la position à prendre au nom de l’Union au sein du conseil de partenariat, étant donné que ses décisions concernant les règlements intérieurs du conseil de partenariat, du comité de partenariat et des sous-comités ou de tout autre organe spécialisé, ainsi que la création des sous-comités, auront un effet contraignant pour l’Union.</w:t>
      </w:r>
    </w:p>
    <w:p>
      <w:pPr>
        <w:pStyle w:val="ManualConsidrant"/>
        <w:rPr>
          <w:noProof/>
        </w:rPr>
      </w:pPr>
      <w:r>
        <w:t>(8)</w:t>
      </w:r>
      <w:r>
        <w:tab/>
      </w:r>
      <w:r>
        <w:rPr>
          <w:noProof/>
        </w:rPr>
        <w:t>Il convient, par conséquent, que la position de l’Union au sein du conseil de partenariat soit fondée sur les textes des projets de règlement intérieur du conseil de partenariat et du comité de partenariat joints en annexe,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de partenariat UE-Arménie en ce qui concerne les règlements intérieurs du conseil de partenariat, du comité de partenariat et des sous-comités (y compris le sous-comité concernant les indications géographiques</w:t>
      </w:r>
      <w:r>
        <w:rPr>
          <w:rStyle w:val="FootnoteReference"/>
          <w:noProof/>
        </w:rPr>
        <w:footnoteReference w:id="3"/>
      </w:r>
      <w:r>
        <w:rPr>
          <w:noProof/>
        </w:rPr>
        <w:t>) ou de tout autre organe spécialisé, ainsi qu’en ce qui concerne la création des sous-comités, est fondée sur les projets d’actes du conseil de partenariat joints à la présente décision.</w:t>
      </w:r>
      <w:r>
        <w:rPr>
          <w:i/>
          <w:noProof/>
          <w:color w:val="1F497D"/>
        </w:rPr>
        <w:t xml:space="preserve"> </w:t>
      </w:r>
      <w:r>
        <w:rPr>
          <w:noProof/>
          <w:color w:val="000000" w:themeColor="text1"/>
        </w:rPr>
        <w:t>Des modifications mineures au projet de décision peuvent être acceptées sans autre décision du Conseil.</w:t>
      </w:r>
    </w:p>
    <w:p>
      <w:pPr>
        <w:pStyle w:val="Titrearticle"/>
        <w:rPr>
          <w:noProof/>
        </w:rPr>
      </w:pPr>
      <w:r>
        <w:rPr>
          <w:noProof/>
        </w:rPr>
        <w:t>Article 2</w:t>
      </w:r>
    </w:p>
    <w:p>
      <w:pPr>
        <w:keepNext/>
        <w:spacing w:before="360"/>
        <w:rPr>
          <w:rFonts w:eastAsia="Times New Roman"/>
          <w:noProof/>
        </w:rPr>
      </w:pPr>
      <w:r>
        <w:rPr>
          <w:noProof/>
        </w:rPr>
        <w:t>La Commission et la haute représentante de l’Union pour les affaires étrangères et la politique de sécurité sont destinataires de la présente décision.</w:t>
      </w:r>
    </w:p>
    <w:p>
      <w:pPr>
        <w:pStyle w:val="Titrearticle"/>
        <w:rPr>
          <w:noProof/>
        </w:rPr>
      </w:pPr>
      <w:r>
        <w:rPr>
          <w:noProof/>
        </w:rPr>
        <w:t>Article 3</w:t>
      </w:r>
    </w:p>
    <w:p>
      <w:pPr>
        <w:keepNext/>
        <w:spacing w:before="360"/>
        <w:rPr>
          <w:rFonts w:eastAsia="Times New Roman"/>
          <w:noProof/>
        </w:rPr>
      </w:pPr>
      <w:r>
        <w:rPr>
          <w:noProof/>
        </w:rPr>
        <w:t>La présente décision entre en vigueur le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Affaire C-399/12, </w:t>
      </w:r>
      <w:r>
        <w:rPr>
          <w:i/>
          <w:lang w:val="fr-BE"/>
        </w:rPr>
        <w:t>Allemagne/Conseil</w:t>
      </w:r>
      <w:r>
        <w:rPr>
          <w:lang w:val="fr-BE"/>
        </w:rPr>
        <w:t xml:space="preserve"> (OIV), ECLI:EU:C:2014:2258, points 61 à 64.</w:t>
      </w:r>
    </w:p>
  </w:footnote>
  <w:footnote w:id="2">
    <w:p>
      <w:pPr>
        <w:pStyle w:val="FootnoteText"/>
        <w:rPr>
          <w:lang w:val="fr-BE"/>
        </w:rPr>
      </w:pPr>
      <w:r>
        <w:rPr>
          <w:rStyle w:val="FootnoteReference"/>
        </w:rPr>
        <w:footnoteRef/>
      </w:r>
      <w:r>
        <w:rPr>
          <w:lang w:val="fr-BE"/>
        </w:rPr>
        <w:tab/>
      </w:r>
      <w:hyperlink r:id="rId1">
        <w:r>
          <w:rPr>
            <w:rStyle w:val="Hyperlink"/>
            <w:lang w:val="fr-BE"/>
          </w:rPr>
          <w:t>https://eur-lex.europa.eu/legal-content/FR/TXT/?qid=1532441113638&amp;uri=CELEX:22018A0126(01)</w:t>
        </w:r>
      </w:hyperlink>
    </w:p>
    <w:p>
      <w:pPr>
        <w:pStyle w:val="FootnoteText"/>
        <w:ind w:left="0" w:firstLine="0"/>
        <w:rPr>
          <w:lang w:val="fr-BE"/>
        </w:rPr>
      </w:pPr>
    </w:p>
  </w:footnote>
  <w:footnote w:id="3">
    <w:p>
      <w:pPr>
        <w:pStyle w:val="FootnoteText"/>
        <w:rPr>
          <w:lang w:val="fr-BE"/>
        </w:rPr>
      </w:pPr>
      <w:r>
        <w:rPr>
          <w:rStyle w:val="FootnoteReference"/>
        </w:rPr>
        <w:footnoteRef/>
      </w:r>
      <w:r>
        <w:rPr>
          <w:lang w:val="fr-BE"/>
        </w:rPr>
        <w:tab/>
        <w:t>Le sous-comité concernant les indications géographiques institué par l’article 240 de l’accord est chargé d’arrêter son propre règlement intérieur.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4C74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9435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56A5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B68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207E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AE7E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BD4BB0C"/>
    <w:lvl w:ilvl="0">
      <w:start w:val="1"/>
      <w:numFmt w:val="decimal"/>
      <w:pStyle w:val="ListNumber"/>
      <w:lvlText w:val="%1."/>
      <w:lvlJc w:val="left"/>
      <w:pPr>
        <w:tabs>
          <w:tab w:val="num" w:pos="360"/>
        </w:tabs>
        <w:ind w:left="360" w:hanging="360"/>
      </w:pPr>
    </w:lvl>
  </w:abstractNum>
  <w:abstractNum w:abstractNumId="7">
    <w:nsid w:val="FFFFFF89"/>
    <w:multiLevelType w:val="singleLevel"/>
    <w:tmpl w:val="3BC8D8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1"/>
    <w:lvlOverride w:ilvl="0">
      <w:startOverride w:val="1"/>
    </w:lvlOverride>
  </w:num>
  <w:num w:numId="3">
    <w:abstractNumId w:val="7"/>
  </w:num>
  <w:num w:numId="4">
    <w:abstractNumId w:val="5"/>
  </w:num>
  <w:num w:numId="5">
    <w:abstractNumId w:val="4"/>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4:23: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05B23E-5953-4826-A523-DCE73BB2F371"/>
    <w:docVar w:name="LW_COVERPAGE_TYPE" w:val="1"/>
    <w:docVar w:name="LW_CROSSREFERENCE" w:val="&lt;UNUSED&gt;"/>
    <w:docVar w:name="LW_DocType" w:val="COM"/>
    <w:docVar w:name="LW_EMISSION" w:val="29.11.2018"/>
    <w:docVar w:name="LW_EMISSION_ISODATE" w:val="2018-11-29"/>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395"/>
    <w:docVar w:name="LW_REF.II.NEW.CP_YEAR" w:val="2018"/>
    <w:docVar w:name="LW_REF.INST.NEW" w:val="JOIN"/>
    <w:docVar w:name="LW_REF.INST.NEW_ADOPTED" w:val="final"/>
    <w:docVar w:name="LW_REF.INST.NEW_TEXT" w:val="(2018)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sur la position à prendre au nom de l\u8217?Union européenne au sein du conseil de partenariat institué par l\u8217?accord de partenariat global et renforcé entre l\u8217?Union européenne et la Communauté européenne de l\u8217?énergie atomique et leurs États membres, d\u8217?une part, et la République d\u8217?Arménie, d\u8217?autre part, concernant l\u8217?adoption de décisions relatives aux règlements intérieurs du conseil de partenariat, du comité de partenariat, des sous-comités ou de tout autre organe spécialis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
    <w:name w:val="li"/>
    <w:basedOn w:val="Normal"/>
    <w:pPr>
      <w:spacing w:before="0" w:after="0"/>
      <w:ind w:left="468"/>
    </w:pPr>
    <w:rPr>
      <w:rFonts w:eastAsia="Times New Roman"/>
      <w:szCs w:val="24"/>
    </w:rPr>
  </w:style>
  <w:style w:type="character" w:customStyle="1" w:styleId="num4">
    <w:name w:val="num4"/>
    <w:basedOn w:val="DefaultParagraphFont"/>
  </w:style>
  <w:style w:type="paragraph" w:customStyle="1" w:styleId="Normal1">
    <w:name w:val="Normal1"/>
    <w:basedOn w:val="Normal"/>
    <w:pPr>
      <w:spacing w:before="0" w:after="0"/>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
    <w:name w:val="li"/>
    <w:basedOn w:val="Normal"/>
    <w:pPr>
      <w:spacing w:before="0" w:after="0"/>
      <w:ind w:left="468"/>
    </w:pPr>
    <w:rPr>
      <w:rFonts w:eastAsia="Times New Roman"/>
      <w:szCs w:val="24"/>
    </w:rPr>
  </w:style>
  <w:style w:type="character" w:customStyle="1" w:styleId="num4">
    <w:name w:val="num4"/>
    <w:basedOn w:val="DefaultParagraphFont"/>
  </w:style>
  <w:style w:type="paragraph" w:customStyle="1" w:styleId="Normal1">
    <w:name w:val="Normal1"/>
    <w:basedOn w:val="Normal"/>
    <w:pPr>
      <w:spacing w:before="0" w:after="0"/>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5557">
      <w:bodyDiv w:val="1"/>
      <w:marLeft w:val="390"/>
      <w:marRight w:val="390"/>
      <w:marTop w:val="0"/>
      <w:marBottom w:val="0"/>
      <w:divBdr>
        <w:top w:val="none" w:sz="0" w:space="0" w:color="auto"/>
        <w:left w:val="none" w:sz="0" w:space="0" w:color="auto"/>
        <w:bottom w:val="none" w:sz="0" w:space="0" w:color="auto"/>
        <w:right w:val="none" w:sz="0" w:space="0" w:color="auto"/>
      </w:divBdr>
      <w:divsChild>
        <w:div w:id="2086143214">
          <w:marLeft w:val="0"/>
          <w:marRight w:val="0"/>
          <w:marTop w:val="0"/>
          <w:marBottom w:val="0"/>
          <w:divBdr>
            <w:top w:val="none" w:sz="0" w:space="0" w:color="auto"/>
            <w:left w:val="none" w:sz="0" w:space="0" w:color="auto"/>
            <w:bottom w:val="none" w:sz="0" w:space="0" w:color="auto"/>
            <w:right w:val="none" w:sz="0" w:space="0" w:color="auto"/>
          </w:divBdr>
          <w:divsChild>
            <w:div w:id="3851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10277">
      <w:bodyDiv w:val="1"/>
      <w:marLeft w:val="0"/>
      <w:marRight w:val="0"/>
      <w:marTop w:val="0"/>
      <w:marBottom w:val="0"/>
      <w:divBdr>
        <w:top w:val="none" w:sz="0" w:space="0" w:color="auto"/>
        <w:left w:val="none" w:sz="0" w:space="0" w:color="auto"/>
        <w:bottom w:val="none" w:sz="0" w:space="0" w:color="auto"/>
        <w:right w:val="none" w:sz="0" w:space="0" w:color="auto"/>
      </w:divBdr>
      <w:divsChild>
        <w:div w:id="261761305">
          <w:marLeft w:val="0"/>
          <w:marRight w:val="0"/>
          <w:marTop w:val="0"/>
          <w:marBottom w:val="0"/>
          <w:divBdr>
            <w:top w:val="none" w:sz="0" w:space="0" w:color="auto"/>
            <w:left w:val="none" w:sz="0" w:space="0" w:color="auto"/>
            <w:bottom w:val="none" w:sz="0" w:space="0" w:color="auto"/>
            <w:right w:val="none" w:sz="0" w:space="0" w:color="auto"/>
          </w:divBdr>
        </w:div>
        <w:div w:id="1025446726">
          <w:marLeft w:val="0"/>
          <w:marRight w:val="0"/>
          <w:marTop w:val="0"/>
          <w:marBottom w:val="0"/>
          <w:divBdr>
            <w:top w:val="none" w:sz="0" w:space="0" w:color="auto"/>
            <w:left w:val="none" w:sz="0" w:space="0" w:color="auto"/>
            <w:bottom w:val="none" w:sz="0" w:space="0" w:color="auto"/>
            <w:right w:val="none" w:sz="0" w:space="0" w:color="auto"/>
          </w:divBdr>
        </w:div>
        <w:div w:id="1809004933">
          <w:marLeft w:val="0"/>
          <w:marRight w:val="0"/>
          <w:marTop w:val="0"/>
          <w:marBottom w:val="0"/>
          <w:divBdr>
            <w:top w:val="none" w:sz="0" w:space="0" w:color="auto"/>
            <w:left w:val="none" w:sz="0" w:space="0" w:color="auto"/>
            <w:bottom w:val="none" w:sz="0" w:space="0" w:color="auto"/>
            <w:right w:val="none" w:sz="0" w:space="0" w:color="auto"/>
          </w:divBdr>
        </w:div>
      </w:divsChild>
    </w:div>
    <w:div w:id="1118062285">
      <w:bodyDiv w:val="1"/>
      <w:marLeft w:val="0"/>
      <w:marRight w:val="0"/>
      <w:marTop w:val="0"/>
      <w:marBottom w:val="0"/>
      <w:divBdr>
        <w:top w:val="none" w:sz="0" w:space="0" w:color="auto"/>
        <w:left w:val="none" w:sz="0" w:space="0" w:color="auto"/>
        <w:bottom w:val="none" w:sz="0" w:space="0" w:color="auto"/>
        <w:right w:val="none" w:sz="0" w:space="0" w:color="auto"/>
      </w:divBdr>
      <w:divsChild>
        <w:div w:id="1038356092">
          <w:marLeft w:val="0"/>
          <w:marRight w:val="0"/>
          <w:marTop w:val="0"/>
          <w:marBottom w:val="0"/>
          <w:divBdr>
            <w:top w:val="none" w:sz="0" w:space="0" w:color="auto"/>
            <w:left w:val="none" w:sz="0" w:space="0" w:color="auto"/>
            <w:bottom w:val="none" w:sz="0" w:space="0" w:color="auto"/>
            <w:right w:val="none" w:sz="0" w:space="0" w:color="auto"/>
          </w:divBdr>
        </w:div>
        <w:div w:id="730890088">
          <w:marLeft w:val="0"/>
          <w:marRight w:val="0"/>
          <w:marTop w:val="0"/>
          <w:marBottom w:val="0"/>
          <w:divBdr>
            <w:top w:val="none" w:sz="0" w:space="0" w:color="auto"/>
            <w:left w:val="none" w:sz="0" w:space="0" w:color="auto"/>
            <w:bottom w:val="none" w:sz="0" w:space="0" w:color="auto"/>
            <w:right w:val="none" w:sz="0" w:space="0" w:color="auto"/>
          </w:divBdr>
        </w:div>
        <w:div w:id="1546411273">
          <w:marLeft w:val="0"/>
          <w:marRight w:val="0"/>
          <w:marTop w:val="0"/>
          <w:marBottom w:val="0"/>
          <w:divBdr>
            <w:top w:val="none" w:sz="0" w:space="0" w:color="auto"/>
            <w:left w:val="none" w:sz="0" w:space="0" w:color="auto"/>
            <w:bottom w:val="none" w:sz="0" w:space="0" w:color="auto"/>
            <w:right w:val="none" w:sz="0" w:space="0" w:color="auto"/>
          </w:divBdr>
        </w:div>
        <w:div w:id="1478186226">
          <w:marLeft w:val="0"/>
          <w:marRight w:val="0"/>
          <w:marTop w:val="0"/>
          <w:marBottom w:val="0"/>
          <w:divBdr>
            <w:top w:val="none" w:sz="0" w:space="0" w:color="auto"/>
            <w:left w:val="none" w:sz="0" w:space="0" w:color="auto"/>
            <w:bottom w:val="none" w:sz="0" w:space="0" w:color="auto"/>
            <w:right w:val="none" w:sz="0" w:space="0" w:color="auto"/>
          </w:divBdr>
        </w:div>
        <w:div w:id="2081555423">
          <w:marLeft w:val="0"/>
          <w:marRight w:val="0"/>
          <w:marTop w:val="0"/>
          <w:marBottom w:val="0"/>
          <w:divBdr>
            <w:top w:val="none" w:sz="0" w:space="0" w:color="auto"/>
            <w:left w:val="none" w:sz="0" w:space="0" w:color="auto"/>
            <w:bottom w:val="none" w:sz="0" w:space="0" w:color="auto"/>
            <w:right w:val="none" w:sz="0" w:space="0" w:color="auto"/>
          </w:divBdr>
        </w:div>
        <w:div w:id="2064672827">
          <w:marLeft w:val="0"/>
          <w:marRight w:val="0"/>
          <w:marTop w:val="0"/>
          <w:marBottom w:val="0"/>
          <w:divBdr>
            <w:top w:val="none" w:sz="0" w:space="0" w:color="auto"/>
            <w:left w:val="none" w:sz="0" w:space="0" w:color="auto"/>
            <w:bottom w:val="none" w:sz="0" w:space="0" w:color="auto"/>
            <w:right w:val="none" w:sz="0" w:space="0" w:color="auto"/>
          </w:divBdr>
        </w:div>
        <w:div w:id="1071346050">
          <w:marLeft w:val="0"/>
          <w:marRight w:val="0"/>
          <w:marTop w:val="0"/>
          <w:marBottom w:val="0"/>
          <w:divBdr>
            <w:top w:val="none" w:sz="0" w:space="0" w:color="auto"/>
            <w:left w:val="none" w:sz="0" w:space="0" w:color="auto"/>
            <w:bottom w:val="none" w:sz="0" w:space="0" w:color="auto"/>
            <w:right w:val="none" w:sz="0" w:space="0" w:color="auto"/>
          </w:divBdr>
        </w:div>
        <w:div w:id="974214902">
          <w:marLeft w:val="0"/>
          <w:marRight w:val="0"/>
          <w:marTop w:val="0"/>
          <w:marBottom w:val="0"/>
          <w:divBdr>
            <w:top w:val="none" w:sz="0" w:space="0" w:color="auto"/>
            <w:left w:val="none" w:sz="0" w:space="0" w:color="auto"/>
            <w:bottom w:val="none" w:sz="0" w:space="0" w:color="auto"/>
            <w:right w:val="none" w:sz="0" w:space="0" w:color="auto"/>
          </w:divBdr>
        </w:div>
      </w:divsChild>
    </w:div>
    <w:div w:id="1775979708">
      <w:bodyDiv w:val="1"/>
      <w:marLeft w:val="0"/>
      <w:marRight w:val="0"/>
      <w:marTop w:val="0"/>
      <w:marBottom w:val="0"/>
      <w:divBdr>
        <w:top w:val="none" w:sz="0" w:space="0" w:color="auto"/>
        <w:left w:val="none" w:sz="0" w:space="0" w:color="auto"/>
        <w:bottom w:val="none" w:sz="0" w:space="0" w:color="auto"/>
        <w:right w:val="none" w:sz="0" w:space="0" w:color="auto"/>
      </w:divBdr>
      <w:divsChild>
        <w:div w:id="969743807">
          <w:marLeft w:val="0"/>
          <w:marRight w:val="0"/>
          <w:marTop w:val="0"/>
          <w:marBottom w:val="0"/>
          <w:divBdr>
            <w:top w:val="none" w:sz="0" w:space="0" w:color="auto"/>
            <w:left w:val="none" w:sz="0" w:space="0" w:color="auto"/>
            <w:bottom w:val="none" w:sz="0" w:space="0" w:color="auto"/>
            <w:right w:val="none" w:sz="0" w:space="0" w:color="auto"/>
          </w:divBdr>
        </w:div>
        <w:div w:id="810974525">
          <w:marLeft w:val="0"/>
          <w:marRight w:val="0"/>
          <w:marTop w:val="0"/>
          <w:marBottom w:val="0"/>
          <w:divBdr>
            <w:top w:val="none" w:sz="0" w:space="0" w:color="auto"/>
            <w:left w:val="none" w:sz="0" w:space="0" w:color="auto"/>
            <w:bottom w:val="none" w:sz="0" w:space="0" w:color="auto"/>
            <w:right w:val="none" w:sz="0" w:space="0" w:color="auto"/>
          </w:divBdr>
        </w:div>
        <w:div w:id="1274676349">
          <w:marLeft w:val="0"/>
          <w:marRight w:val="0"/>
          <w:marTop w:val="0"/>
          <w:marBottom w:val="0"/>
          <w:divBdr>
            <w:top w:val="none" w:sz="0" w:space="0" w:color="auto"/>
            <w:left w:val="none" w:sz="0" w:space="0" w:color="auto"/>
            <w:bottom w:val="none" w:sz="0" w:space="0" w:color="auto"/>
            <w:right w:val="none" w:sz="0" w:space="0" w:color="auto"/>
          </w:divBdr>
        </w:div>
        <w:div w:id="1057775728">
          <w:marLeft w:val="0"/>
          <w:marRight w:val="0"/>
          <w:marTop w:val="0"/>
          <w:marBottom w:val="0"/>
          <w:divBdr>
            <w:top w:val="none" w:sz="0" w:space="0" w:color="auto"/>
            <w:left w:val="none" w:sz="0" w:space="0" w:color="auto"/>
            <w:bottom w:val="none" w:sz="0" w:space="0" w:color="auto"/>
            <w:right w:val="none" w:sz="0" w:space="0" w:color="auto"/>
          </w:divBdr>
        </w:div>
        <w:div w:id="1364945143">
          <w:marLeft w:val="0"/>
          <w:marRight w:val="0"/>
          <w:marTop w:val="0"/>
          <w:marBottom w:val="0"/>
          <w:divBdr>
            <w:top w:val="none" w:sz="0" w:space="0" w:color="auto"/>
            <w:left w:val="none" w:sz="0" w:space="0" w:color="auto"/>
            <w:bottom w:val="none" w:sz="0" w:space="0" w:color="auto"/>
            <w:right w:val="none" w:sz="0" w:space="0" w:color="auto"/>
          </w:divBdr>
        </w:div>
        <w:div w:id="1811363605">
          <w:marLeft w:val="0"/>
          <w:marRight w:val="0"/>
          <w:marTop w:val="0"/>
          <w:marBottom w:val="0"/>
          <w:divBdr>
            <w:top w:val="none" w:sz="0" w:space="0" w:color="auto"/>
            <w:left w:val="none" w:sz="0" w:space="0" w:color="auto"/>
            <w:bottom w:val="none" w:sz="0" w:space="0" w:color="auto"/>
            <w:right w:val="none" w:sz="0" w:space="0" w:color="auto"/>
          </w:divBdr>
        </w:div>
        <w:div w:id="688529251">
          <w:marLeft w:val="0"/>
          <w:marRight w:val="0"/>
          <w:marTop w:val="0"/>
          <w:marBottom w:val="0"/>
          <w:divBdr>
            <w:top w:val="none" w:sz="0" w:space="0" w:color="auto"/>
            <w:left w:val="none" w:sz="0" w:space="0" w:color="auto"/>
            <w:bottom w:val="none" w:sz="0" w:space="0" w:color="auto"/>
            <w:right w:val="none" w:sz="0" w:space="0" w:color="auto"/>
          </w:divBdr>
        </w:div>
        <w:div w:id="960233645">
          <w:marLeft w:val="0"/>
          <w:marRight w:val="0"/>
          <w:marTop w:val="0"/>
          <w:marBottom w:val="0"/>
          <w:divBdr>
            <w:top w:val="none" w:sz="0" w:space="0" w:color="auto"/>
            <w:left w:val="none" w:sz="0" w:space="0" w:color="auto"/>
            <w:bottom w:val="none" w:sz="0" w:space="0" w:color="auto"/>
            <w:right w:val="none" w:sz="0" w:space="0" w:color="auto"/>
          </w:divBdr>
        </w:div>
        <w:div w:id="2052340501">
          <w:marLeft w:val="0"/>
          <w:marRight w:val="0"/>
          <w:marTop w:val="0"/>
          <w:marBottom w:val="0"/>
          <w:divBdr>
            <w:top w:val="none" w:sz="0" w:space="0" w:color="auto"/>
            <w:left w:val="none" w:sz="0" w:space="0" w:color="auto"/>
            <w:bottom w:val="none" w:sz="0" w:space="0" w:color="auto"/>
            <w:right w:val="none" w:sz="0" w:space="0" w:color="auto"/>
          </w:divBdr>
        </w:div>
        <w:div w:id="943344771">
          <w:marLeft w:val="0"/>
          <w:marRight w:val="0"/>
          <w:marTop w:val="0"/>
          <w:marBottom w:val="0"/>
          <w:divBdr>
            <w:top w:val="none" w:sz="0" w:space="0" w:color="auto"/>
            <w:left w:val="none" w:sz="0" w:space="0" w:color="auto"/>
            <w:bottom w:val="none" w:sz="0" w:space="0" w:color="auto"/>
            <w:right w:val="none" w:sz="0" w:space="0" w:color="auto"/>
          </w:divBdr>
        </w:div>
        <w:div w:id="136991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qid=1532441113638&amp;uri=CELEX:22018A012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8C3D9-F138-4475-995F-52CD5EF9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1663</Words>
  <Characters>9066</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2018-11-14T09:40:00Z</dcterms:created>
  <dcterms:modified xsi:type="dcterms:W3CDTF">2018-11-20T13:23:00Z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