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2CF4EBA-71D2-4D5B-B7CC-0C137743C954" style="width:450.5pt;height:420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>
      <w:pPr>
        <w:rPr>
          <w:noProof/>
          <w:u w:color="000000"/>
          <w:bdr w:val="nil"/>
        </w:rPr>
      </w:pPr>
      <w:r>
        <w:rPr>
          <w:noProof/>
        </w:rPr>
        <w:t>Настоящото предложение се отнася до решение относно позицията, която трябва да се заеме от името на Съюза в рамките на Съвета за партньорство, създаден със Споразумението за всеобхватно и засилено партньорство между Европейския съюз и Армения („Споразумението“) във връзка с приемането на процедурните правилници на Съвета за партньорство и на Комитета за партньорство и създаването на подкомитети и други органи.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2.1. </w:t>
      </w:r>
      <w:r>
        <w:rPr>
          <w:noProof/>
        </w:rPr>
        <w:tab/>
        <w:t>Споразумение за всеобхватно и засилено партньорство между Европейския съюз и Армения</w:t>
      </w:r>
    </w:p>
    <w:p>
      <w:pPr>
        <w:rPr>
          <w:noProof/>
          <w:u w:color="000000"/>
          <w:bdr w:val="nil"/>
        </w:rPr>
      </w:pPr>
      <w:r>
        <w:rPr>
          <w:noProof/>
        </w:rPr>
        <w:t>Със Споразумението се цели засилване на всеобхватното политическо и икономическо партньорство и сътрудничество между ЕС и Армения въз основа на общите ценности и тесните връзки, включително чрез увеличаване на участието на Република Армения в политиките, програмите и агенциите на Европейския съюз. С него се създава стабилна рамка за засилен политически диалог във всички области от взаимен интерес, като се насърчава изграждането на близки политически отношения.</w:t>
      </w:r>
    </w:p>
    <w:p>
      <w:pPr>
        <w:rPr>
          <w:noProof/>
          <w:u w:color="000000"/>
          <w:bdr w:val="nil"/>
        </w:rPr>
      </w:pPr>
      <w:r>
        <w:rPr>
          <w:noProof/>
        </w:rPr>
        <w:t>Със Споразумението се определят общи принципи и цели в отношенията между ЕС и Армения и се създава институционална структура за управление на Споразумението.</w:t>
      </w:r>
    </w:p>
    <w:p>
      <w:pPr>
        <w:rPr>
          <w:noProof/>
          <w:u w:color="000000"/>
          <w:bdr w:val="nil"/>
        </w:rPr>
      </w:pPr>
      <w:r>
        <w:rPr>
          <w:noProof/>
        </w:rPr>
        <w:t>То се прилага временно от [1 юни 2018 г.].</w:t>
      </w:r>
    </w:p>
    <w:p>
      <w:pPr>
        <w:pStyle w:val="ManualHeading2"/>
        <w:rPr>
          <w:noProof/>
          <w:u w:color="000000"/>
          <w:bdr w:val="nil"/>
        </w:rPr>
      </w:pPr>
      <w:r>
        <w:rPr>
          <w:noProof/>
        </w:rPr>
        <w:t xml:space="preserve">2.2. </w:t>
      </w:r>
      <w:r>
        <w:rPr>
          <w:noProof/>
        </w:rPr>
        <w:tab/>
        <w:t>Съвет за партньорство</w:t>
      </w:r>
    </w:p>
    <w:p>
      <w:pPr>
        <w:rPr>
          <w:noProof/>
          <w:u w:color="000000"/>
          <w:bdr w:val="nil"/>
        </w:rPr>
      </w:pPr>
      <w:r>
        <w:rPr>
          <w:noProof/>
        </w:rPr>
        <w:t xml:space="preserve">Съветът за партньорство е създаден с член 362 от Споразумението. Той упражнява надзор над прилагането на Споразумението и редовно прави преглед на това прилагане. </w:t>
      </w:r>
    </w:p>
    <w:p>
      <w:pPr>
        <w:rPr>
          <w:noProof/>
          <w:u w:color="000000"/>
          <w:bdr w:val="nil"/>
        </w:rPr>
      </w:pPr>
      <w:r>
        <w:rPr>
          <w:noProof/>
        </w:rPr>
        <w:t>Съветът за партньорство е съставен от представители на страните на министерско равнище и заседава на редовни интервали от време, най-малко веднъж годишно и всеки път, когато обстоятелствата налагат това. Съветът за партньорство може да заседава във всеки от съставите си по взаимно съгласие. Той приема свой собствен процедурен правилник.</w:t>
      </w:r>
    </w:p>
    <w:p>
      <w:pPr>
        <w:rPr>
          <w:noProof/>
          <w:u w:color="000000"/>
          <w:bdr w:val="nil"/>
        </w:rPr>
      </w:pPr>
      <w:r>
        <w:rPr>
          <w:noProof/>
        </w:rPr>
        <w:t xml:space="preserve">Съветът за партньорство взема решения в рамките на обхвата на Споразумението в случаите, предвидени в него. Решенията имат задължителна сила за страните, които трябва да предприемат необходимите мерки за изпълнението им. Съветът за партньорство може също така да отправя препоръки. Той приема своите решения и препоръки въз основа на съгласие между страните, след като приключат съответните вътрешни процедури на страните. </w:t>
      </w:r>
    </w:p>
    <w:p>
      <w:pPr>
        <w:pStyle w:val="ManualHeading2"/>
        <w:rPr>
          <w:noProof/>
          <w:u w:color="000000"/>
          <w:bdr w:val="nil"/>
        </w:rPr>
      </w:pPr>
      <w:r>
        <w:rPr>
          <w:noProof/>
        </w:rPr>
        <w:t xml:space="preserve">2.3. </w:t>
      </w:r>
      <w:r>
        <w:rPr>
          <w:noProof/>
        </w:rPr>
        <w:tab/>
        <w:t>Комитет за партньорство</w:t>
      </w:r>
    </w:p>
    <w:p>
      <w:pPr>
        <w:rPr>
          <w:noProof/>
        </w:rPr>
      </w:pPr>
      <w:r>
        <w:rPr>
          <w:noProof/>
        </w:rPr>
        <w:t xml:space="preserve">Съвместният комитет е създаден с член 363 от Споразумението. Той подпомага Съвета за партньорство при изпълнението на неговите задължения и функции и подготвя заседанията на Съвета за партньорство.  </w:t>
      </w:r>
    </w:p>
    <w:p>
      <w:pPr>
        <w:rPr>
          <w:noProof/>
        </w:rPr>
      </w:pPr>
      <w:r>
        <w:rPr>
          <w:noProof/>
        </w:rPr>
        <w:t xml:space="preserve">Комитетът за партньорство има правомощието да приема решения в областите, в които Съветът за партньорство му е делегирал правомощия, и в случаите, предвидени в Споразумението. Тези решения имат задължителна сила за страните, които трябва да предприемат необходимите мерки за изпълнението им. Комитетът за партньорство </w:t>
      </w:r>
      <w:r>
        <w:rPr>
          <w:noProof/>
        </w:rPr>
        <w:lastRenderedPageBreak/>
        <w:t xml:space="preserve">приема своите решения въз основа на съгласие между страните, като се изчаква приключването на съответните вътрешни процедури на страните. </w:t>
      </w:r>
    </w:p>
    <w:p>
      <w:pPr>
        <w:rPr>
          <w:noProof/>
        </w:rPr>
      </w:pPr>
      <w:r>
        <w:rPr>
          <w:noProof/>
        </w:rPr>
        <w:t>Той е съставен от представители на страните, обикновено на равнище висши служители. Той се председателства на ротационен принцип от представител на ЕС или на Република Армения. Комитетът обикновено заседава най-малко веднъж годишно. Неговият процедурен правилник се приема от Съвета за партньорство.</w:t>
      </w:r>
    </w:p>
    <w:p>
      <w:pPr>
        <w:pStyle w:val="ManualHeading2"/>
        <w:rPr>
          <w:noProof/>
          <w:u w:color="000000"/>
          <w:bdr w:val="nil"/>
        </w:rPr>
      </w:pPr>
      <w:r>
        <w:rPr>
          <w:noProof/>
        </w:rPr>
        <w:t xml:space="preserve">2.4. </w:t>
      </w:r>
      <w:r>
        <w:rPr>
          <w:noProof/>
        </w:rPr>
        <w:tab/>
        <w:t>Предвиден акт на Съвета за партньорство</w:t>
      </w:r>
    </w:p>
    <w:p>
      <w:pPr>
        <w:rPr>
          <w:noProof/>
        </w:rPr>
      </w:pPr>
      <w:r>
        <w:rPr>
          <w:noProof/>
        </w:rPr>
        <w:t>Съветът за партньорство следва да приеме решение относно своя процедурен правилник и процедурния правилник на Комитета за партньорство, както и относно създаването на подкомитети и други органи.</w:t>
      </w:r>
    </w:p>
    <w:p>
      <w:pPr>
        <w:rPr>
          <w:noProof/>
        </w:rPr>
      </w:pPr>
      <w:r>
        <w:rPr>
          <w:noProof/>
        </w:rPr>
        <w:t>Целта на предвидения акт е да се приемат в съответствие с член 362, параграф 4 и член 363, параграф 4 от Споразумението процедурни правилници, уреждащи функционирането на Съвета за партньорство и Комитета за партньорство, и да се създадат подкомитети и други органи, което да позволи изпълнението на Споразумението.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Съюза, следва да позволи приемането на процедурните правилници на Съвета за партньорство и Комитета за партньорство.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4.1. </w:t>
      </w:r>
      <w:r>
        <w:rPr>
          <w:noProof/>
        </w:rPr>
        <w:tab/>
        <w:t>Процесуалноправно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 xml:space="preserve"> 4.1.1. </w:t>
      </w:r>
      <w:r>
        <w:rPr>
          <w:noProof/>
        </w:rPr>
        <w:tab/>
        <w:t>Принципи</w:t>
      </w:r>
    </w:p>
    <w:p>
      <w:pPr>
        <w:rPr>
          <w:rFonts w:eastAsia="Times New Roman"/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rFonts w:eastAsia="Times New Roman"/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регламентиращи дейността на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rPr>
          <w:noProof/>
        </w:rPr>
        <w:t>4.1.2.</w:t>
      </w:r>
      <w:r>
        <w:rPr>
          <w:noProof/>
        </w:rPr>
        <w:tab/>
        <w:t>Приложение в конкретния случай</w:t>
      </w:r>
    </w:p>
    <w:p>
      <w:pPr>
        <w:rPr>
          <w:rFonts w:eastAsia="Times New Roman"/>
          <w:noProof/>
        </w:rPr>
      </w:pPr>
      <w:r>
        <w:rPr>
          <w:noProof/>
        </w:rPr>
        <w:t>Съветът за партньорство и Комитетът за партньорство са органи, създадени със Споразумението.</w:t>
      </w:r>
    </w:p>
    <w:p>
      <w:pPr>
        <w:rPr>
          <w:rFonts w:eastAsia="Times New Roman"/>
          <w:noProof/>
        </w:rPr>
      </w:pPr>
      <w:r>
        <w:rPr>
          <w:noProof/>
        </w:rPr>
        <w:t>Актовете, посочени в приложението към настоящото решение, представляват актове с правно действие, тъй като съгласно член 362, параграф 6 от Споразумението Съветът за партньорство се оправомощава да приема решения, които са задължителни за страните. Предвидените актове не допълват и не изменят институционалната рамка на Споразумението.</w:t>
      </w:r>
    </w:p>
    <w:p>
      <w:pPr>
        <w:rPr>
          <w:rFonts w:eastAsia="Times New Roman"/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rPr>
          <w:rStyle w:val="num4"/>
          <w:i/>
          <w:noProof/>
          <w:color w:val="000000"/>
        </w:rPr>
        <w:t>4.2.</w:t>
      </w:r>
      <w:r>
        <w:rPr>
          <w:noProof/>
        </w:rPr>
        <w:tab/>
        <w:t xml:space="preserve"> Материалноправно основание </w:t>
      </w:r>
    </w:p>
    <w:p>
      <w:pPr>
        <w:pStyle w:val="ManualHeading3"/>
        <w:rPr>
          <w:noProof/>
        </w:rPr>
      </w:pPr>
      <w:r>
        <w:rPr>
          <w:noProof/>
        </w:rPr>
        <w:t xml:space="preserve">Принципи 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 </w:t>
      </w:r>
    </w:p>
    <w:p>
      <w:pPr>
        <w:rPr>
          <w:noProof/>
        </w:rPr>
      </w:pPr>
      <w:r>
        <w:rPr>
          <w:noProof/>
        </w:rPr>
        <w:t xml:space="preserve"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за решение съгласно член 218, параграф 9 от ДФЕС ще трябва, по изключение, да включва съответните различни правни основания.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ЗАКЛЮЧЕНИЕ</w:t>
      </w:r>
    </w:p>
    <w:p>
      <w:pPr>
        <w:spacing w:line="276" w:lineRule="auto"/>
        <w:rPr>
          <w:noProof/>
        </w:rPr>
      </w:pPr>
      <w:r>
        <w:rPr>
          <w:noProof/>
        </w:rPr>
        <w:t>В светлината на горепосоченото правното основание за предложеното решение следва да бъде член 37 от ДЕС и член 91, член 100, параграф 2, членове 207 и 209 от ДФЕС във връзка с член 218, параграф 9 от ДФЕС.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2018/0395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Съвета за партньорство, създаден със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страна, във връзка с приемането на решенията относно процедурните правилници на Съвета за партньорство, Комитета за партньорство и специализираните подкомитети или други органи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 37 от него,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91, член 100, параграф 2, членове 207 и 209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 и на върховния представител на Съюза по въпросите на външните работи и политиката на сигурност,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(„Споразумението“)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беше подписано в Брюксел на 24 ноември 2017 г. и се прилага временно от 1 юни 2018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членове 362 и 363 от Споразумението се учредяват Съвет за партньорство и Комитет за партньорство с цел да се улесни изпълнението на Споразумението.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Съгласно член 362, параграф 4 от Споразумението Съветът за партньорство изготвя своя процедурен правилник, а в съответствие с член 363, параграф 4 от Споразумението Съветът за партньорство определя в своя процедурен правилник задълженията и функциите на Комитета за партньорство. 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За да се гарантира ефективното изпълнение на Споразумението, следва да бъдат приети процедурните правилници на Съвета за партньорство и на Комитета за партньорство.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съответствие с член 364, параграф 2 от Споразумението Съветът за партньорство може да реши да създаде подкомитети или други органи в конкретни области, които да го подпомагат при изпълнение на задълженията му. В този член се предвижда също така, че в процедурния си правилник Съветът за партньорство определя състава и задълженията на тези комитети и органи, както и начина, по който те функционират,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 време на своята/своето [...] сесия или заседание на [...] г. Съветът за партньорство следва да приеме процедурните правилници на Съвета за партньорство, Комитета за партньорство и специализираните подкомитети или други органи.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Целесъобразно е да се определи позицията, която следва да бъде заета от името на Съюза в рамките на Съвета за партньорство, тъй като неговите решения относно процедурните правилници на Съвета за партньорство, Комитета за партньорство и специализираните подкомитети или други органи и относно създаването на подкомитети ще бъдат обвързващи за Съюза.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С оглед на това позицията на Съюза в рамките на Съвета за партньорство следва да се основава на приложения проект на текстовете на процедурните правилници на Съвета за партньорство и на Комитета за партньорство,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следва да бъде заета от името на Съюза в рамките на Съвета за партньорство ЕС—Армения относно процедурните правилници на Съвета за партньорство, Комитета за партньорство и специализираните подкомитети, включително и Подкомитета за географските означения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или всеки друг орган, както и относно създаването на подкомитети, се основава на проектите на актове на Съвета за партньорство, приложени към настоящото решение.</w:t>
      </w:r>
      <w:r>
        <w:rPr>
          <w:i/>
          <w:noProof/>
          <w:color w:val="1F497D"/>
        </w:rPr>
        <w:t xml:space="preserve"> </w:t>
      </w:r>
      <w:r>
        <w:rPr>
          <w:noProof/>
          <w:color w:val="000000" w:themeColor="text1"/>
        </w:rPr>
        <w:t>Могат да се приемат незначителни изменения на проекторешението, без да е необходимо друго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spacing w:before="360"/>
        <w:rPr>
          <w:rFonts w:eastAsia="Times New Roman"/>
          <w:noProof/>
        </w:rPr>
      </w:pPr>
      <w:r>
        <w:rPr>
          <w:noProof/>
        </w:rPr>
        <w:t>Адресати на настоящото решение са Комисията и върховният представител на Съюза по въпросите на външните работи и политиката на сигурност.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spacing w:before="360"/>
        <w:rPr>
          <w:rFonts w:eastAsia="Times New Roman"/>
          <w:noProof/>
        </w:rPr>
      </w:pPr>
      <w:r>
        <w:rPr>
          <w:noProof/>
        </w:rPr>
        <w:t>Настоящото решение влиза в сила на […] година.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Дело C-399/12 Германия срещу Съвет (OIV), ECLI:EU:C:2014:2258, т. 61—64.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https://eur-lex.europa.eu/legal-content/EN/TXT/?qid=1532441113638&amp;uri=CELEX:22018A0126(01)</w:t>
        </w:r>
      </w:hyperlink>
    </w:p>
    <w:p>
      <w:pPr>
        <w:pStyle w:val="FootnoteText"/>
        <w:ind w:left="0" w:firstLine="0"/>
      </w:pP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Подкомитетът за географските означения, създаден с член 240 от Споразумението, приема своя процедурен правилник.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24C7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79435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56A5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8B68D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7207E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7AE7E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BD4B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BC8D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1-20 14:27:3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2CF4EBA-71D2-4D5B-B7CC-0C137743C954"/>
    <w:docVar w:name="LW_COVERPAGE_TYPE" w:val="1"/>
    <w:docVar w:name="LW_CROSSREFERENCE" w:val="&lt;UNUSED&gt;"/>
    <w:docVar w:name="LW_DocType" w:val="COM"/>
    <w:docVar w:name="LW_EMISSION" w:val="29.11.2018"/>
    <w:docVar w:name="LW_EMISSION_ISODATE" w:val="2018-11-29"/>
    <w:docVar w:name="LW_EMISSION_LOCATION" w:val="BRX"/>
    <w:docVar w:name="LW_EMISSION_PREFIX" w:val="Брюксел, "/>
    <w:docVar w:name="LW_EMISSION_SUFFIX" w:val="&lt;EMPTY&gt;"/>
    <w:docVar w:name="LW_ID_DOCMODEL" w:val="SG-064"/>
    <w:docVar w:name="LW_ID_DOCSIGNATURE" w:val="SJ-019"/>
    <w:docVar w:name="LW_ID_DOCSTRUCTURE" w:val="COM/PL/ORG"/>
    <w:docVar w:name="LW_ID_DOCTYPE" w:val="SG-064"/>
    <w:docVar w:name="LW_ID_EXP.MOTIFS.NEW" w:val="EM_PL_"/>
    <w:docVar w:name="LW_ID_STATUT" w:val="SG-064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395"/>
    <w:docVar w:name="LW_REF.II.NEW.CP_YEAR" w:val="2018"/>
    <w:docVar w:name="LW_REF.INST.NEW" w:val="JOIN"/>
    <w:docVar w:name="LW_REF.INST.NEW_ADOPTED" w:val="final"/>
    <w:docVar w:name="LW_REF.INST.NEW_TEXT" w:val="(2018) 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87?\u1072?\u1088?\u1090?\u1085?\u1100?\u1086?\u1088?\u1089?\u1090?\u1074?\u1086?, \u1089?\u1098?\u1079?\u1076?\u1072?\u1076?\u1077?\u1085? \u1089?\u1098?\u1089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103?\u1090?\u1072? \u1086?\u1090?\u1085?\u1086?\u1089?\u1085?\u1086? \u1087?\u1088?\u1086?\u1094?\u1077?\u1076?\u1091?\u1088?\u1085?\u1080?\u1090?\u1077? \u1087?\u1088?\u1072?\u1074?\u1080?\u1083?\u1085?\u1080?\u1094?\u1080? \u1085?\u1072? \u1057?\u1098?\u1074?\u1077?\u1090?\u1072? \u1079?\u1072? \u1087?\u1072?\u1088?\u1090?\u1085?\u1100?\u1086?\u1088?\u1089?\u1090?\u1074?\u1086?, \u1050?\u1086?\u1084?\u1080?\u1090?\u1077?\u1090?\u1072? \u1079?\u1072? \u1087?\u1072?\u1088?\u1090?\u1085?\u1100?\u1086?\u1088?\u1089?\u1090?\u1074?\u1086? \u1080? \u1089?\u1087?\u1077?\u1094?\u1080?\u1072?\u1083?\u1080?\u1079?\u1080?\u1088?\u1072?\u1085?\u1080?\u1090?\u1077? \u1087?\u1086?\u1076?\u1082?\u1086?\u1084?\u1080?\u1090?\u1077?\u1090?\u1080? \u1080?\u1083?\u1080? \u1076?\u1088?\u1091?\u1075?\u1080? \u1086?\u1088?\u1075?\u1072?\u1085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">
    <w:name w:val="li"/>
    <w:basedOn w:val="Normal"/>
    <w:pPr>
      <w:spacing w:before="0" w:after="0"/>
      <w:ind w:left="468"/>
    </w:pPr>
    <w:rPr>
      <w:rFonts w:eastAsia="Times New Roman"/>
      <w:szCs w:val="24"/>
    </w:rPr>
  </w:style>
  <w:style w:type="character" w:customStyle="1" w:styleId="num4">
    <w:name w:val="num4"/>
    <w:basedOn w:val="DefaultParagraphFont"/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">
    <w:name w:val="li"/>
    <w:basedOn w:val="Normal"/>
    <w:pPr>
      <w:spacing w:before="0" w:after="0"/>
      <w:ind w:left="468"/>
    </w:pPr>
    <w:rPr>
      <w:rFonts w:eastAsia="Times New Roman"/>
      <w:szCs w:val="24"/>
    </w:rPr>
  </w:style>
  <w:style w:type="character" w:customStyle="1" w:styleId="num4">
    <w:name w:val="num4"/>
    <w:basedOn w:val="DefaultParagraphFont"/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qid=1532441113638&amp;uri=CELEX:22018A0126(01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E8C1-4CBB-43F7-8351-2DB42C9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6</TotalTime>
  <Pages>6</Pages>
  <Words>1553</Words>
  <Characters>8963</Characters>
  <Application>Microsoft Office Word</Application>
  <DocSecurity>0</DocSecurity>
  <Lines>172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2018-11-14T11:24:00Z</dcterms:created>
  <dcterms:modified xsi:type="dcterms:W3CDTF">2018-11-20T13:27:00Z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