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7A9BC2-D7E6-4B8F-8249-FC529FD739F4"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r>
      <w:r>
        <w:rPr>
          <w:bCs/>
          <w:noProof/>
        </w:rPr>
        <w:t>SUBJECT MATTER OF THE PROPOSAL</w:t>
      </w:r>
    </w:p>
    <w:p>
      <w:pPr>
        <w:rPr>
          <w:noProof/>
          <w:u w:color="000000"/>
          <w:bdr w:val="nil"/>
          <w:lang w:eastAsia="en-GB"/>
        </w:rPr>
      </w:pPr>
      <w:r>
        <w:rPr>
          <w:noProof/>
          <w:u w:color="000000"/>
          <w:bdr w:val="nil"/>
          <w:lang w:eastAsia="en-GB"/>
        </w:rPr>
        <w:t>This proposal concerns a decision on the position to be adopted on the Union’s behalf in the Partnership Council established by the EU- Armenia Comprehensive and Enhanced Partnership Agreement ('CEPA' or 'the Agreement'), in connection with the adoption of the rules of procedure of the Partnership Council and of the Partnership Committee and the establishment of sub-committees and other bodies.</w:t>
      </w:r>
    </w:p>
    <w:p>
      <w:pPr>
        <w:pStyle w:val="ManualHeading1"/>
        <w:rPr>
          <w:noProof/>
        </w:rPr>
      </w:pPr>
      <w:r>
        <w:rPr>
          <w:noProof/>
        </w:rPr>
        <w:t>2.</w:t>
      </w:r>
      <w:r>
        <w:rPr>
          <w:noProof/>
        </w:rPr>
        <w:tab/>
      </w:r>
      <w:r>
        <w:rPr>
          <w:bCs/>
          <w:noProof/>
        </w:rPr>
        <w:t>CONTEXT OF THE PROPOSAL</w:t>
      </w:r>
    </w:p>
    <w:p>
      <w:pPr>
        <w:pStyle w:val="ManualHeading2"/>
        <w:rPr>
          <w:rFonts w:eastAsia="Arial Unicode MS"/>
          <w:noProof/>
          <w:u w:color="000000"/>
          <w:bdr w:val="nil"/>
          <w:lang w:eastAsia="en-GB"/>
        </w:rPr>
      </w:pPr>
      <w:r>
        <w:rPr>
          <w:rFonts w:eastAsia="Arial Unicode MS"/>
          <w:noProof/>
          <w:u w:color="000000"/>
          <w:bdr w:val="nil"/>
          <w:lang w:eastAsia="en-GB"/>
        </w:rPr>
        <w:t xml:space="preserve">2.1. </w:t>
      </w:r>
      <w:r>
        <w:rPr>
          <w:rFonts w:eastAsia="Arial Unicode MS"/>
          <w:noProof/>
          <w:u w:color="000000"/>
          <w:bdr w:val="nil"/>
          <w:lang w:eastAsia="en-GB"/>
        </w:rPr>
        <w:tab/>
        <w:t>The EU</w:t>
      </w:r>
      <w:r>
        <w:rPr>
          <w:rFonts w:eastAsia="Arial Unicode MS"/>
          <w:noProof/>
          <w:u w:color="000000"/>
          <w:bdr w:val="nil"/>
          <w:lang w:eastAsia="en-GB"/>
        </w:rPr>
        <w:noBreakHyphen/>
        <w:t>Armenia Comprehensive and Enhanced Partnership Agreement</w:t>
      </w:r>
    </w:p>
    <w:p>
      <w:pPr>
        <w:rPr>
          <w:noProof/>
          <w:u w:color="000000"/>
          <w:bdr w:val="nil"/>
          <w:lang w:eastAsia="en-GB"/>
        </w:rPr>
      </w:pPr>
      <w:r>
        <w:rPr>
          <w:noProof/>
          <w:u w:color="000000"/>
          <w:bdr w:val="nil"/>
          <w:lang w:eastAsia="en-GB"/>
        </w:rPr>
        <w:t>The CEPA aims to enhance the comprehensive political and economic partnership and cooperation between the EU and Armenia, based on common values and close links, including by increasing the participation of the Republic of Armenia in policies, programmes and agencies of the European Union. It creates a strong enabling framework for enhanced political dialogue on all areas of mutual interest, promoting the development of close political relations.</w:t>
      </w:r>
    </w:p>
    <w:p>
      <w:pPr>
        <w:rPr>
          <w:noProof/>
          <w:u w:color="000000"/>
          <w:bdr w:val="nil"/>
          <w:lang w:eastAsia="en-GB"/>
        </w:rPr>
      </w:pPr>
      <w:r>
        <w:rPr>
          <w:noProof/>
          <w:u w:color="000000"/>
          <w:bdr w:val="nil"/>
          <w:lang w:eastAsia="en-GB"/>
        </w:rPr>
        <w:t>The CEPA sets out general principles and objectives for EU</w:t>
      </w:r>
      <w:r>
        <w:rPr>
          <w:noProof/>
          <w:u w:color="000000"/>
          <w:bdr w:val="nil"/>
          <w:lang w:eastAsia="en-GB"/>
        </w:rPr>
        <w:noBreakHyphen/>
        <w:t>Armenia relations and creates an institutional structure for the implementation of the Agreement.</w:t>
      </w:r>
    </w:p>
    <w:p>
      <w:pPr>
        <w:rPr>
          <w:noProof/>
          <w:u w:color="000000"/>
          <w:bdr w:val="nil"/>
          <w:lang w:eastAsia="en-GB"/>
        </w:rPr>
      </w:pPr>
      <w:r>
        <w:rPr>
          <w:noProof/>
          <w:u w:color="000000"/>
          <w:bdr w:val="nil"/>
          <w:lang w:eastAsia="en-GB"/>
        </w:rPr>
        <w:t>It was applied provisionally from [1 June 2018].</w:t>
      </w:r>
    </w:p>
    <w:p>
      <w:pPr>
        <w:pStyle w:val="ManualHeading2"/>
        <w:rPr>
          <w:noProof/>
          <w:u w:color="000000"/>
          <w:bdr w:val="nil"/>
          <w:lang w:eastAsia="en-GB"/>
        </w:rPr>
      </w:pPr>
      <w:r>
        <w:rPr>
          <w:noProof/>
          <w:u w:color="000000"/>
          <w:bdr w:val="nil"/>
          <w:lang w:eastAsia="en-GB"/>
        </w:rPr>
        <w:t xml:space="preserve">2.2. </w:t>
      </w:r>
      <w:r>
        <w:rPr>
          <w:noProof/>
          <w:u w:color="000000"/>
          <w:bdr w:val="nil"/>
          <w:lang w:eastAsia="en-GB"/>
        </w:rPr>
        <w:tab/>
        <w:t>The Partnership Council</w:t>
      </w:r>
    </w:p>
    <w:p>
      <w:pPr>
        <w:rPr>
          <w:noProof/>
          <w:u w:color="000000"/>
          <w:bdr w:val="nil"/>
          <w:lang w:eastAsia="en-GB"/>
        </w:rPr>
      </w:pPr>
      <w:r>
        <w:rPr>
          <w:noProof/>
          <w:u w:color="000000"/>
          <w:bdr w:val="nil"/>
          <w:lang w:eastAsia="en-GB"/>
        </w:rPr>
        <w:t xml:space="preserve">The Partnership Council is established by Article 362 of the Agreement. It supervises and regularly reviews the implementation of the Agreement. </w:t>
      </w:r>
    </w:p>
    <w:p>
      <w:pPr>
        <w:rPr>
          <w:noProof/>
          <w:u w:color="000000"/>
          <w:bdr w:val="nil"/>
          <w:lang w:eastAsia="en-GB"/>
        </w:rPr>
      </w:pPr>
      <w:r>
        <w:rPr>
          <w:noProof/>
          <w:u w:color="000000"/>
          <w:bdr w:val="nil"/>
          <w:lang w:eastAsia="en-GB"/>
        </w:rPr>
        <w:t>The Partnership Council consists of representatives of the Parties at ministerial level and meets at regular intervals, at least once a year, and when circumstances require. The Partnership Council may meet in any configuration, by mutual agreement. It adopts its own rules of procedure.</w:t>
      </w:r>
    </w:p>
    <w:p>
      <w:pPr>
        <w:rPr>
          <w:noProof/>
          <w:u w:color="000000"/>
          <w:bdr w:val="nil"/>
          <w:lang w:eastAsia="en-GB"/>
        </w:rPr>
      </w:pPr>
      <w:r>
        <w:rPr>
          <w:noProof/>
          <w:u w:color="000000"/>
          <w:bdr w:val="nil"/>
          <w:lang w:eastAsia="en-GB"/>
        </w:rPr>
        <w:t xml:space="preserve">The Partnership Council takes decisions within the scope of the Agreement in cases provided for therein. The decisions are binding upon the Parties, which are to take appropriate measures to implement them. The Partnership Council may also make recommendations. It adopts its decisions and recommendations by agreement between the Parties, subject to the completion of the Parties' respective internal procedures. </w:t>
      </w:r>
    </w:p>
    <w:p>
      <w:pPr>
        <w:pStyle w:val="ManualHeading2"/>
        <w:rPr>
          <w:noProof/>
          <w:u w:color="000000"/>
          <w:bdr w:val="nil"/>
          <w:lang w:eastAsia="en-GB"/>
        </w:rPr>
      </w:pPr>
      <w:r>
        <w:rPr>
          <w:noProof/>
          <w:u w:color="000000"/>
          <w:bdr w:val="nil"/>
          <w:lang w:eastAsia="en-GB"/>
        </w:rPr>
        <w:t xml:space="preserve">2.3. </w:t>
      </w:r>
      <w:r>
        <w:rPr>
          <w:noProof/>
          <w:u w:color="000000"/>
          <w:bdr w:val="nil"/>
          <w:lang w:eastAsia="en-GB"/>
        </w:rPr>
        <w:tab/>
        <w:t>The Partnership Committee</w:t>
      </w:r>
    </w:p>
    <w:p>
      <w:pPr>
        <w:rPr>
          <w:noProof/>
        </w:rPr>
      </w:pPr>
      <w:r>
        <w:rPr>
          <w:noProof/>
        </w:rPr>
        <w:t xml:space="preserve">The Partnership Committee is established by Article 363 of the Agreement. It assists the Partnership Council in the performance of its duties and functions, and prepares the meetings of the Partnership Council.  </w:t>
      </w:r>
    </w:p>
    <w:p>
      <w:pPr>
        <w:rPr>
          <w:noProof/>
        </w:rPr>
      </w:pPr>
      <w:r>
        <w:rPr>
          <w:noProof/>
        </w:rPr>
        <w:t xml:space="preserve">The Partnership Committee has the power to adopt decisions in areas in which the Partnership Council has delegated powers to it in the cases provided for in the Agreement. Those decisions are binding upon the Parties, which are to take appropriate measures to implement them. The Partnership Committee adopts its decisions by agreement between the Parties, subject to the completion of the Parties' respective internal procedures. </w:t>
      </w:r>
    </w:p>
    <w:p>
      <w:pPr>
        <w:rPr>
          <w:noProof/>
        </w:rPr>
      </w:pPr>
      <w:r>
        <w:rPr>
          <w:noProof/>
        </w:rPr>
        <w:t>It is composed of representatives of the Parties, in principle at senior official level. It is chaired alternately by a representative of the EU or of the Republic of Armenia. It normally meets at least once a year. Its rules of procedure are adopted by the Partnership Council.</w:t>
      </w:r>
    </w:p>
    <w:p>
      <w:pPr>
        <w:pStyle w:val="ManualHeading2"/>
        <w:rPr>
          <w:noProof/>
          <w:u w:color="000000"/>
          <w:bdr w:val="nil"/>
          <w:lang w:eastAsia="en-GB"/>
        </w:rPr>
      </w:pPr>
      <w:r>
        <w:rPr>
          <w:noProof/>
          <w:u w:color="000000"/>
          <w:bdr w:val="nil"/>
          <w:lang w:eastAsia="en-GB"/>
        </w:rPr>
        <w:t xml:space="preserve">2.4. </w:t>
      </w:r>
      <w:r>
        <w:rPr>
          <w:noProof/>
          <w:u w:color="000000"/>
          <w:bdr w:val="nil"/>
          <w:lang w:eastAsia="en-GB"/>
        </w:rPr>
        <w:tab/>
        <w:t>Envisaged act of the Partnership Council</w:t>
      </w:r>
    </w:p>
    <w:p>
      <w:pPr>
        <w:rPr>
          <w:noProof/>
        </w:rPr>
      </w:pPr>
      <w:r>
        <w:rPr>
          <w:noProof/>
        </w:rPr>
        <w:t>The Partnership Council is to adopt a decision on its own rules of procedure and those of the Partnership Committee, as well as on the establishment of sub-committees and other bodies.</w:t>
      </w:r>
    </w:p>
    <w:p>
      <w:pPr>
        <w:rPr>
          <w:noProof/>
        </w:rPr>
      </w:pPr>
      <w:r>
        <w:rPr>
          <w:noProof/>
        </w:rPr>
        <w:t>The purpose of the envisaged act is to adopt, in accordance with Articles 362(4) and 363(4) of the Agreement, rules of procedure governing the functioning of the Partnership Council and of the Partnership Committee, and to establish sub-committees and other bodies to allow for implementation of the CEPA.</w:t>
      </w:r>
    </w:p>
    <w:p>
      <w:pPr>
        <w:pStyle w:val="ManualHeading1"/>
        <w:rPr>
          <w:noProof/>
        </w:rPr>
      </w:pPr>
      <w:r>
        <w:rPr>
          <w:noProof/>
        </w:rPr>
        <w:t>3.</w:t>
      </w:r>
      <w:r>
        <w:rPr>
          <w:noProof/>
        </w:rPr>
        <w:tab/>
        <w:t>POSITION</w:t>
      </w:r>
      <w:r>
        <w:rPr>
          <w:bCs/>
          <w:noProof/>
        </w:rPr>
        <w:t xml:space="preserve"> TO BE ADOPTED ON BEHALF OF THE UNION</w:t>
      </w:r>
    </w:p>
    <w:p>
      <w:pPr>
        <w:rPr>
          <w:noProof/>
        </w:rPr>
      </w:pPr>
      <w:r>
        <w:rPr>
          <w:noProof/>
        </w:rPr>
        <w:t>The position to be adopted on behalf of the Union should enable the adoption of the rules of procedure of the Partnership Council and of the Partnership Committee.</w:t>
      </w:r>
    </w:p>
    <w:p>
      <w:pPr>
        <w:pStyle w:val="ManualHeading1"/>
        <w:rPr>
          <w:noProof/>
        </w:rPr>
      </w:pPr>
      <w:r>
        <w:rPr>
          <w:noProof/>
        </w:rPr>
        <w:t>4.</w:t>
      </w:r>
      <w:r>
        <w:rPr>
          <w:noProof/>
        </w:rPr>
        <w:tab/>
        <w:t>LEGAL BASIS</w:t>
      </w:r>
    </w:p>
    <w:p>
      <w:pPr>
        <w:pStyle w:val="ManualHeading2"/>
        <w:rPr>
          <w:rFonts w:eastAsia="Arial Unicode MS"/>
          <w:noProof/>
          <w:u w:color="000000"/>
          <w:bdr w:val="nil"/>
          <w:lang w:eastAsia="en-GB"/>
        </w:rPr>
      </w:pPr>
      <w:r>
        <w:rPr>
          <w:noProof/>
          <w:lang w:eastAsia="en-GB"/>
        </w:rPr>
        <w:t xml:space="preserve">4.1. </w:t>
      </w:r>
      <w:r>
        <w:rPr>
          <w:noProof/>
          <w:lang w:eastAsia="en-GB"/>
        </w:rPr>
        <w:tab/>
        <w:t>Procedural legal basis</w:t>
      </w:r>
    </w:p>
    <w:p>
      <w:pPr>
        <w:pStyle w:val="ManualHeading3"/>
        <w:rPr>
          <w:noProof/>
          <w:lang w:eastAsia="en-GB"/>
        </w:rPr>
      </w:pPr>
      <w:r>
        <w:rPr>
          <w:rFonts w:eastAsia="Arial Unicode MS"/>
          <w:noProof/>
        </w:rPr>
        <w:t xml:space="preserve"> </w:t>
      </w:r>
      <w:r>
        <w:rPr>
          <w:noProof/>
          <w:lang w:eastAsia="en-GB"/>
        </w:rPr>
        <w:t xml:space="preserve">4.1.1. </w:t>
      </w:r>
      <w:r>
        <w:rPr>
          <w:noProof/>
          <w:lang w:eastAsia="en-GB"/>
        </w:rPr>
        <w:tab/>
        <w:t>Principles</w:t>
      </w:r>
    </w:p>
    <w:p>
      <w:pPr>
        <w:rPr>
          <w:rFonts w:eastAsia="Times New Roman"/>
          <w:noProof/>
          <w:lang w:eastAsia="en-GB"/>
        </w:rPr>
      </w:pPr>
      <w:r>
        <w:rPr>
          <w:rFonts w:eastAsia="Times New Roman"/>
          <w:noProof/>
          <w:lang w:eastAsia="en-GB"/>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rFonts w:eastAsia="Times New Roman"/>
          <w:noProof/>
          <w:lang w:eastAsia="en-GB"/>
        </w:rPr>
      </w:pPr>
      <w:r>
        <w:rPr>
          <w:rFonts w:eastAsia="Times New Roman"/>
          <w:noProof/>
          <w:lang w:eastAsia="en-GB"/>
        </w:rPr>
        <w:t>The notion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rFonts w:eastAsia="Times New Roman"/>
          <w:noProof/>
          <w:lang w:eastAsia="en-GB"/>
        </w:rPr>
        <w:t>.</w:t>
      </w:r>
    </w:p>
    <w:p>
      <w:pPr>
        <w:pStyle w:val="ManualHeading3"/>
        <w:rPr>
          <w:noProof/>
          <w:lang w:eastAsia="en-GB"/>
        </w:rPr>
      </w:pPr>
      <w:r>
        <w:rPr>
          <w:noProof/>
          <w:lang w:eastAsia="en-GB"/>
        </w:rPr>
        <w:t>4.1.2.</w:t>
      </w:r>
      <w:r>
        <w:rPr>
          <w:noProof/>
          <w:lang w:eastAsia="en-GB"/>
        </w:rPr>
        <w:tab/>
        <w:t>Application to the present case</w:t>
      </w:r>
    </w:p>
    <w:p>
      <w:pPr>
        <w:rPr>
          <w:rFonts w:eastAsia="Times New Roman"/>
          <w:noProof/>
          <w:lang w:eastAsia="en-GB"/>
        </w:rPr>
      </w:pPr>
      <w:r>
        <w:rPr>
          <w:rFonts w:eastAsia="Times New Roman"/>
          <w:noProof/>
          <w:lang w:eastAsia="en-GB"/>
        </w:rPr>
        <w:t xml:space="preserve">The Partnership Council and the Partnership Committee are bodies established by the </w:t>
      </w:r>
      <w:r>
        <w:rPr>
          <w:rFonts w:eastAsia="Arial Unicode MS"/>
          <w:noProof/>
          <w:lang w:eastAsia="en-GB"/>
        </w:rPr>
        <w:t>CEPA</w:t>
      </w:r>
      <w:r>
        <w:rPr>
          <w:rFonts w:eastAsia="Times New Roman"/>
          <w:noProof/>
          <w:lang w:eastAsia="en-GB"/>
        </w:rPr>
        <w:t>.</w:t>
      </w:r>
    </w:p>
    <w:p>
      <w:pPr>
        <w:rPr>
          <w:rFonts w:eastAsia="Times New Roman"/>
          <w:noProof/>
          <w:lang w:eastAsia="en-GB"/>
        </w:rPr>
      </w:pPr>
      <w:r>
        <w:rPr>
          <w:noProof/>
        </w:rPr>
        <w:t xml:space="preserve">The acts set out </w:t>
      </w:r>
      <w:r>
        <w:rPr>
          <w:rFonts w:eastAsia="Times New Roman"/>
          <w:noProof/>
          <w:lang w:eastAsia="en-GB"/>
        </w:rPr>
        <w:t xml:space="preserve">in the annex to this Decision </w:t>
      </w:r>
      <w:r>
        <w:rPr>
          <w:noProof/>
        </w:rPr>
        <w:t xml:space="preserve">constitute acts having legal effects, because Article 362(6) of the Agreement empowers the Partnership Council to adopt decisions that are binding on the parties. </w:t>
      </w:r>
      <w:r>
        <w:rPr>
          <w:rFonts w:eastAsia="Times New Roman"/>
          <w:noProof/>
          <w:lang w:eastAsia="en-GB"/>
        </w:rPr>
        <w:t>The acts do not supplement or amend the institutional framework of the Agreement.</w:t>
      </w:r>
    </w:p>
    <w:p>
      <w:pPr>
        <w:rPr>
          <w:rFonts w:eastAsia="Times New Roman"/>
          <w:noProof/>
          <w:lang w:eastAsia="en-GB"/>
        </w:rPr>
      </w:pPr>
      <w:r>
        <w:rPr>
          <w:rFonts w:eastAsia="Times New Roman"/>
          <w:noProof/>
          <w:lang w:eastAsia="en-GB"/>
        </w:rPr>
        <w:t>Therefore, the procedural legal basis for the proposed Decision is Article 218(9) TFEU.</w:t>
      </w:r>
    </w:p>
    <w:p>
      <w:pPr>
        <w:pStyle w:val="ManualHeading2"/>
        <w:rPr>
          <w:noProof/>
        </w:rPr>
      </w:pPr>
      <w:r>
        <w:rPr>
          <w:rStyle w:val="num4"/>
          <w:i/>
          <w:noProof/>
          <w:color w:val="000000"/>
        </w:rPr>
        <w:t>4.2.</w:t>
      </w:r>
      <w:r>
        <w:rPr>
          <w:rStyle w:val="num4"/>
          <w:i/>
          <w:noProof/>
          <w:color w:val="000000"/>
        </w:rPr>
        <w:tab/>
      </w:r>
      <w:r>
        <w:rPr>
          <w:noProof/>
        </w:rPr>
        <w:t xml:space="preserve"> Substantive legal basis </w:t>
      </w:r>
    </w:p>
    <w:p>
      <w:pPr>
        <w:pStyle w:val="ManualHeading3"/>
        <w:rPr>
          <w:noProof/>
        </w:rPr>
      </w:pPr>
      <w:r>
        <w:rPr>
          <w:noProof/>
        </w:rPr>
        <w:t xml:space="preserve">Principles </w:t>
      </w:r>
    </w:p>
    <w:p>
      <w:pPr>
        <w:rPr>
          <w:noProof/>
        </w:rPr>
      </w:pPr>
      <w:r>
        <w:rPr>
          <w:noProof/>
        </w:rPr>
        <w:t xml:space="preserve">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 </w:t>
      </w:r>
    </w:p>
    <w:p>
      <w:pPr>
        <w:rPr>
          <w:noProof/>
        </w:rPr>
      </w:pPr>
      <w:r>
        <w:rPr>
          <w:noProof/>
        </w:rPr>
        <w:t xml:space="preserve">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basis. </w:t>
      </w:r>
    </w:p>
    <w:p>
      <w:pPr>
        <w:pStyle w:val="ManualHeading1"/>
        <w:rPr>
          <w:noProof/>
        </w:rPr>
      </w:pPr>
      <w:r>
        <w:rPr>
          <w:noProof/>
        </w:rPr>
        <w:t>5.</w:t>
      </w:r>
      <w:r>
        <w:rPr>
          <w:noProof/>
        </w:rPr>
        <w:tab/>
        <w:t>CONCLUSION</w:t>
      </w:r>
    </w:p>
    <w:p>
      <w:pPr>
        <w:spacing w:line="276" w:lineRule="auto"/>
        <w:rPr>
          <w:noProof/>
        </w:rPr>
      </w:pPr>
      <w:r>
        <w:rPr>
          <w:rFonts w:eastAsia="Times New Roman"/>
          <w:noProof/>
          <w:lang w:eastAsia="en-GB"/>
        </w:rPr>
        <w:t>In the light of the above, the legal basis of the proposed Decision should be Article</w:t>
      </w:r>
      <w:r>
        <w:rPr>
          <w:rFonts w:eastAsia="Times New Roman"/>
          <w:b/>
          <w:noProof/>
          <w:lang w:eastAsia="en-GB"/>
        </w:rPr>
        <w:t> </w:t>
      </w:r>
      <w:r>
        <w:rPr>
          <w:rFonts w:eastAsia="Times New Roman"/>
          <w:noProof/>
          <w:lang w:eastAsia="en-GB"/>
        </w:rPr>
        <w:t>37 TEU and Articles 91, 100(2), 207 and 209 TFEU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2018/0395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position to be adopted on behalf of the European Union in the Partnership Council established by the Comprehensive and Enhanced Partnership Agreement between the European Union and the European Atomic Energy Community and their Member States, of the one part, and the Republic of Armenia, of the other part, as regards the adoption of decisions on the rules of procedure of the Partnership Council, the Partnership Committee and those of specialised subcommittees or any other body</w:t>
      </w:r>
    </w:p>
    <w:p>
      <w:pPr>
        <w:pStyle w:val="Institutionquiagit"/>
        <w:rPr>
          <w:noProof/>
        </w:rPr>
      </w:pPr>
      <w:r>
        <w:rPr>
          <w:noProof/>
        </w:rPr>
        <w:t>THE COUNCIL OF THE EUROPEAN UNION,</w:t>
      </w:r>
    </w:p>
    <w:p>
      <w:pPr>
        <w:rPr>
          <w:noProof/>
        </w:rPr>
      </w:pPr>
      <w:r>
        <w:rPr>
          <w:noProof/>
        </w:rPr>
        <w:t>Having regard to the Treaty on European Union, and in particular Article 37 thereof,</w:t>
      </w:r>
    </w:p>
    <w:p>
      <w:pPr>
        <w:rPr>
          <w:noProof/>
        </w:rPr>
      </w:pPr>
      <w:r>
        <w:rPr>
          <w:noProof/>
        </w:rPr>
        <w:t>Having regard to the Treaty on the Functioning of the European Union, and in particular Articles 91, 100(2), 207 and 209 in conjunction with Article 218(9) thereof,</w:t>
      </w:r>
    </w:p>
    <w:p>
      <w:pPr>
        <w:rPr>
          <w:noProof/>
        </w:rPr>
      </w:pPr>
      <w:r>
        <w:rPr>
          <w:noProof/>
        </w:rPr>
        <w:t>Having regard to the proposal from the European Commission and the High Representative of the Union for Foreign Affairs and Security Policy,</w:t>
      </w:r>
    </w:p>
    <w:p>
      <w:pPr>
        <w:rPr>
          <w:noProof/>
        </w:rPr>
      </w:pPr>
      <w:r>
        <w:rPr>
          <w:noProof/>
        </w:rPr>
        <w:t>Whereas:</w:t>
      </w:r>
    </w:p>
    <w:p>
      <w:pPr>
        <w:pStyle w:val="ManualConsidrant"/>
        <w:rPr>
          <w:noProof/>
          <w:lang w:eastAsia="en-GB"/>
        </w:rPr>
      </w:pPr>
      <w:r>
        <w:t>(1)</w:t>
      </w:r>
      <w:r>
        <w:tab/>
      </w:r>
      <w:r>
        <w:rPr>
          <w:noProof/>
          <w:lang w:eastAsia="en-GB"/>
        </w:rPr>
        <w:t>The Comprehensive and Enhanced Partnership Agreement between the European Union and its Member States, of the one part, and the Republic of Armenia, of the other part (‘the Agreement’)</w:t>
      </w:r>
      <w:r>
        <w:rPr>
          <w:rStyle w:val="FootnoteReference"/>
          <w:noProof/>
          <w:lang w:eastAsia="en-GB"/>
        </w:rPr>
        <w:footnoteReference w:id="2"/>
      </w:r>
      <w:r>
        <w:rPr>
          <w:noProof/>
          <w:lang w:eastAsia="en-GB"/>
        </w:rPr>
        <w:t>, was signed in Brussels on 24 November 2017 and applied provisionally from 1 June 2018.</w:t>
      </w:r>
    </w:p>
    <w:p>
      <w:pPr>
        <w:pStyle w:val="ManualConsidrant"/>
        <w:rPr>
          <w:noProof/>
          <w:lang w:eastAsia="en-GB"/>
        </w:rPr>
      </w:pPr>
      <w:r>
        <w:t>(2)</w:t>
      </w:r>
      <w:r>
        <w:tab/>
      </w:r>
      <w:r>
        <w:rPr>
          <w:noProof/>
          <w:lang w:eastAsia="en-GB"/>
        </w:rPr>
        <w:t>Articles 362 and 363 of the Agreement establish a Partnership Council and a Partnership Committee to facilitate the implementation of the Agreement.</w:t>
      </w:r>
    </w:p>
    <w:p>
      <w:pPr>
        <w:pStyle w:val="ManualConsidrant"/>
        <w:rPr>
          <w:noProof/>
          <w:lang w:eastAsia="en-GB"/>
        </w:rPr>
      </w:pPr>
      <w:r>
        <w:t>(3)</w:t>
      </w:r>
      <w:r>
        <w:tab/>
      </w:r>
      <w:r>
        <w:rPr>
          <w:noProof/>
          <w:lang w:eastAsia="en-GB"/>
        </w:rPr>
        <w:t xml:space="preserve">Pursuant to Article 362(4) of the Agreement, the Partnership Council is to establish its own rules of procedure and pursuant to Article 363(4) of the Agreement, the Partnership Council determines in its rules of procedure the duties and functioning of the Partnership Committee.  </w:t>
      </w:r>
    </w:p>
    <w:p>
      <w:pPr>
        <w:pStyle w:val="ManualConsidrant"/>
        <w:rPr>
          <w:noProof/>
          <w:lang w:eastAsia="en-GB"/>
        </w:rPr>
      </w:pPr>
      <w:r>
        <w:t>(4)</w:t>
      </w:r>
      <w:r>
        <w:tab/>
      </w:r>
      <w:r>
        <w:rPr>
          <w:noProof/>
          <w:lang w:eastAsia="en-GB"/>
        </w:rPr>
        <w:t>In order to ensure the effective implementation of the Agreement, the rules of procedure of the Partnership Council and of the Partnership Committee should be adopted.</w:t>
      </w:r>
    </w:p>
    <w:p>
      <w:pPr>
        <w:pStyle w:val="ManualConsidrant"/>
        <w:rPr>
          <w:noProof/>
        </w:rPr>
      </w:pPr>
      <w:r>
        <w:t>(5)</w:t>
      </w:r>
      <w:r>
        <w:tab/>
      </w:r>
      <w:r>
        <w:rPr>
          <w:noProof/>
          <w:lang w:eastAsia="de-DE"/>
        </w:rPr>
        <w:t>Article 364 (2) of the CEPA provides that the Partnership Council may decide to set up any  subcommittees and other bodies in specific areas that can assist it in carrying out its duties. It further provides that the Partnership Council shall, in its rules of procedure, determine the composition and the duties of such committees and bodies and how they shall function,</w:t>
      </w:r>
    </w:p>
    <w:p>
      <w:pPr>
        <w:pStyle w:val="ManualConsidrant"/>
        <w:rPr>
          <w:noProof/>
          <w:lang w:eastAsia="en-GB"/>
        </w:rPr>
      </w:pPr>
      <w:r>
        <w:t>(6)</w:t>
      </w:r>
      <w:r>
        <w:tab/>
      </w:r>
      <w:r>
        <w:rPr>
          <w:noProof/>
          <w:lang w:eastAsia="en-GB"/>
        </w:rPr>
        <w:t xml:space="preserve">The Partnership Council, during  its [...] session/meeting  on [date],  is  to  adopt the </w:t>
      </w:r>
      <w:r>
        <w:rPr>
          <w:noProof/>
        </w:rPr>
        <w:t>rules of procedure of the Partnership Council, the Partnership Committee</w:t>
      </w:r>
      <w:r>
        <w:rPr>
          <w:noProof/>
          <w:lang w:eastAsia="en-GB"/>
        </w:rPr>
        <w:t xml:space="preserve"> and those of specialised subcommittees or any other body..</w:t>
      </w:r>
    </w:p>
    <w:p>
      <w:pPr>
        <w:pStyle w:val="ManualConsidrant"/>
        <w:rPr>
          <w:noProof/>
          <w:lang w:eastAsia="en-GB"/>
        </w:rPr>
      </w:pPr>
      <w:r>
        <w:t>(7)</w:t>
      </w:r>
      <w:r>
        <w:tab/>
      </w:r>
      <w:r>
        <w:rPr>
          <w:noProof/>
          <w:lang w:eastAsia="en-GB"/>
        </w:rPr>
        <w:t xml:space="preserve">It is appropriate to establish the position to be taken on the Union's behalf in the Partnership Council, as its decisions on the </w:t>
      </w:r>
      <w:r>
        <w:rPr>
          <w:noProof/>
        </w:rPr>
        <w:t>rules of procedure of the Partnership Council, the Partnership Committee</w:t>
      </w:r>
      <w:r>
        <w:rPr>
          <w:noProof/>
          <w:lang w:eastAsia="en-GB"/>
        </w:rPr>
        <w:t xml:space="preserve"> and those of specialised subcommittees or any other body, and on the establishment of subcommittees will be binding on the Union.</w:t>
      </w:r>
    </w:p>
    <w:p>
      <w:pPr>
        <w:pStyle w:val="ManualConsidrant"/>
        <w:rPr>
          <w:noProof/>
          <w:lang w:eastAsia="en-GB"/>
        </w:rPr>
      </w:pPr>
      <w:r>
        <w:t>(8)</w:t>
      </w:r>
      <w:r>
        <w:tab/>
      </w:r>
      <w:r>
        <w:rPr>
          <w:noProof/>
          <w:lang w:eastAsia="en-GB"/>
        </w:rPr>
        <w:t>The Union’s position in the Partnership Council should therefore be based on the attached draft texts of the rules of procedure of the Partnership Council and of the Partnership Committee  its annex.</w:t>
      </w:r>
    </w:p>
    <w:p>
      <w:pPr>
        <w:pStyle w:val="Formuledadoption"/>
        <w:rPr>
          <w:noProof/>
        </w:rPr>
      </w:pPr>
      <w:r>
        <w:rPr>
          <w:noProof/>
        </w:rPr>
        <w:t>HAS ADOPTED THIS DECISION:</w:t>
      </w:r>
    </w:p>
    <w:p>
      <w:pPr>
        <w:pStyle w:val="Titrearticle"/>
        <w:rPr>
          <w:noProof/>
        </w:rPr>
      </w:pPr>
      <w:r>
        <w:rPr>
          <w:noProof/>
        </w:rPr>
        <w:t>Article 1</w:t>
      </w:r>
    </w:p>
    <w:p>
      <w:pPr>
        <w:rPr>
          <w:noProof/>
          <w:lang w:eastAsia="en-GB"/>
        </w:rPr>
      </w:pPr>
      <w:r>
        <w:rPr>
          <w:noProof/>
          <w:lang w:eastAsia="en-GB"/>
        </w:rPr>
        <w:t>The position to be adopted on the Union’s behalf in the EU</w:t>
      </w:r>
      <w:r>
        <w:rPr>
          <w:noProof/>
          <w:lang w:eastAsia="en-GB"/>
        </w:rPr>
        <w:noBreakHyphen/>
        <w:t xml:space="preserve">Armenia Partnership Council as regards the rules of procedure of the Partnership Council, the Partnership Committee and those of specialised subcommittees, </w:t>
      </w:r>
      <w:r>
        <w:rPr>
          <w:rFonts w:eastAsia="Calibri"/>
          <w:noProof/>
          <w:szCs w:val="24"/>
        </w:rPr>
        <w:t>including for the subcommittee on Geographical Indication</w:t>
      </w:r>
      <w:r>
        <w:rPr>
          <w:rStyle w:val="FootnoteReference"/>
          <w:rFonts w:eastAsia="Calibri"/>
          <w:noProof/>
          <w:szCs w:val="24"/>
        </w:rPr>
        <w:footnoteReference w:id="3"/>
      </w:r>
      <w:r>
        <w:rPr>
          <w:noProof/>
          <w:lang w:eastAsia="en-GB"/>
        </w:rPr>
        <w:t>or any other body, and as regards the establishment of subcommittees shall be based on the draft acts of the Partnership Council attached to this Decision.</w:t>
      </w:r>
      <w:r>
        <w:rPr>
          <w:i/>
          <w:iCs/>
          <w:noProof/>
          <w:color w:val="1F497D"/>
          <w:szCs w:val="24"/>
          <w:lang w:eastAsia="en-GB"/>
        </w:rPr>
        <w:t xml:space="preserve"> </w:t>
      </w:r>
      <w:r>
        <w:rPr>
          <w:iCs/>
          <w:noProof/>
          <w:color w:val="000000" w:themeColor="text1"/>
          <w:szCs w:val="24"/>
          <w:lang w:eastAsia="en-GB"/>
        </w:rPr>
        <w:t>Minor amendments to the draft Decision may be accepted without further decision by the Council.</w:t>
      </w:r>
    </w:p>
    <w:p>
      <w:pPr>
        <w:pStyle w:val="Titrearticle"/>
        <w:rPr>
          <w:noProof/>
        </w:rPr>
      </w:pPr>
      <w:r>
        <w:rPr>
          <w:noProof/>
        </w:rPr>
        <w:t>Article 2</w:t>
      </w:r>
    </w:p>
    <w:p>
      <w:pPr>
        <w:keepNext/>
        <w:spacing w:before="360"/>
        <w:rPr>
          <w:rFonts w:eastAsia="Times New Roman"/>
          <w:noProof/>
          <w:lang w:eastAsia="en-GB"/>
        </w:rPr>
      </w:pPr>
      <w:r>
        <w:rPr>
          <w:rFonts w:eastAsia="Times New Roman"/>
          <w:noProof/>
          <w:lang w:eastAsia="en-GB"/>
        </w:rPr>
        <w:t>This Decision is addressed to the Commission and the High Representative of the Union for Foreign Affairs and Security Policy.</w:t>
      </w:r>
    </w:p>
    <w:p>
      <w:pPr>
        <w:pStyle w:val="Titrearticle"/>
        <w:rPr>
          <w:noProof/>
        </w:rPr>
      </w:pPr>
      <w:r>
        <w:rPr>
          <w:noProof/>
        </w:rPr>
        <w:t>Article 3</w:t>
      </w:r>
    </w:p>
    <w:p>
      <w:pPr>
        <w:keepNext/>
        <w:spacing w:before="360"/>
        <w:rPr>
          <w:rFonts w:eastAsia="Times New Roman"/>
          <w:noProof/>
          <w:lang w:eastAsia="en-GB"/>
        </w:rPr>
      </w:pPr>
      <w:r>
        <w:rPr>
          <w:rFonts w:eastAsia="Times New Roman"/>
          <w:noProof/>
          <w:lang w:eastAsia="en-GB"/>
        </w:rPr>
        <w:t>This Decision shall enter into force 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C-399/12 </w:t>
      </w:r>
      <w:r>
        <w:rPr>
          <w:i/>
        </w:rPr>
        <w:t>Germany</w:t>
      </w:r>
      <w:r>
        <w:t xml:space="preserve"> v </w:t>
      </w:r>
      <w:r>
        <w:rPr>
          <w:i/>
        </w:rPr>
        <w:t>Council</w:t>
      </w:r>
      <w:r>
        <w:t xml:space="preserve"> (OIV), ECLI: EU: C: 2014:2258, paragraphs 61-64.</w:t>
      </w:r>
    </w:p>
  </w:footnote>
  <w:footnote w:id="2">
    <w:p>
      <w:pPr>
        <w:pStyle w:val="FootnoteText"/>
      </w:pPr>
      <w:r>
        <w:rPr>
          <w:rStyle w:val="FootnoteReference"/>
        </w:rPr>
        <w:footnoteRef/>
      </w:r>
      <w:r>
        <w:tab/>
      </w:r>
      <w:hyperlink r:id="rId1" w:history="1">
        <w:r>
          <w:rPr>
            <w:rStyle w:val="Hyperlink"/>
          </w:rPr>
          <w:t>https://eur-lex.europa.eu/legal-content/EN/TXT/?qid=1532441113638&amp;uri=CELEX:22018A0126(01)</w:t>
        </w:r>
      </w:hyperlink>
    </w:p>
    <w:p>
      <w:pPr>
        <w:pStyle w:val="FootnoteText"/>
        <w:ind w:left="0" w:firstLine="0"/>
      </w:pPr>
    </w:p>
  </w:footnote>
  <w:footnote w:id="3">
    <w:p>
      <w:pPr>
        <w:pStyle w:val="FootnoteText"/>
      </w:pPr>
      <w:r>
        <w:rPr>
          <w:rStyle w:val="FootnoteReference"/>
        </w:rPr>
        <w:footnoteRef/>
      </w:r>
      <w:r>
        <w:tab/>
        <w:t>The Geographical Indications Sub-Committee created by Article 240 of the agreement is responsible for adopting its own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4C74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9435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56A5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B68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207E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AE7E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BD4BB0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C8D8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1"/>
    <w:lvlOverride w:ilvl="0">
      <w:startOverride w:val="1"/>
    </w:lvlOverride>
  </w:num>
  <w:num w:numId="3">
    <w:abstractNumId w:val="7"/>
  </w:num>
  <w:num w:numId="4">
    <w:abstractNumId w:val="5"/>
  </w:num>
  <w:num w:numId="5">
    <w:abstractNumId w:val="4"/>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0 14:25: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77A9BC2-D7E6-4B8F-8249-FC529FD739F4"/>
    <w:docVar w:name="LW_COVERPAGE_TYPE" w:val="1"/>
    <w:docVar w:name="LW_CROSSREFERENCE" w:val="&lt;UNUSED&gt;"/>
    <w:docVar w:name="LW_DocType" w:val="COM"/>
    <w:docVar w:name="LW_EMISSION" w:val="29.11.2018"/>
    <w:docVar w:name="LW_EMISSION_ISODATE" w:val="2018-11-29"/>
    <w:docVar w:name="LW_EMISSION_LOCATION" w:val="BRX"/>
    <w:docVar w:name="LW_EMISSION_PREFIX" w:val="Brussel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395"/>
    <w:docVar w:name="LW_REF.II.NEW.CP_YEAR" w:val="2018"/>
    <w:docVar w:name="LW_REF.INST.NEW" w:val="JOIN"/>
    <w:docVar w:name="LW_REF.INST.NEW_ADOPTED" w:val="final"/>
    <w:docVar w:name="LW_REF.INST.NEW_TEXT" w:val="(2018)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oint Proposal for a"/>
    <w:docVar w:name="LW_SUPERTITRE" w:val="&lt;UNUSED&gt;"/>
    <w:docVar w:name="LW_TITRE.OBJ.CP" w:val="on the position to be adopted on behalf of the European Union in the Partnership Council established by the Comprehensive and Enhanced Partnership Agreement between the European Union and the European Atomic Energy Community and their Member States, of the one part, and the Republic of Armenia, of the other part, as regards the adoption of decisions on the rules of procedure of the Partnership Council, the Partnership Committee and those of specialised subcommittees or any other bod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
    <w:name w:val="li"/>
    <w:basedOn w:val="Normal"/>
    <w:pPr>
      <w:spacing w:before="0" w:after="0"/>
      <w:ind w:left="468"/>
    </w:pPr>
    <w:rPr>
      <w:rFonts w:eastAsia="Times New Roman"/>
      <w:szCs w:val="24"/>
      <w:lang w:eastAsia="en-GB"/>
    </w:rPr>
  </w:style>
  <w:style w:type="character" w:customStyle="1" w:styleId="num4">
    <w:name w:val="num4"/>
    <w:basedOn w:val="DefaultParagraphFont"/>
  </w:style>
  <w:style w:type="paragraph" w:customStyle="1" w:styleId="Normal1">
    <w:name w:val="Normal1"/>
    <w:basedOn w:val="Normal"/>
    <w:pPr>
      <w:spacing w:before="0" w:after="0"/>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
    <w:name w:val="li"/>
    <w:basedOn w:val="Normal"/>
    <w:pPr>
      <w:spacing w:before="0" w:after="0"/>
      <w:ind w:left="468"/>
    </w:pPr>
    <w:rPr>
      <w:rFonts w:eastAsia="Times New Roman"/>
      <w:szCs w:val="24"/>
      <w:lang w:eastAsia="en-GB"/>
    </w:rPr>
  </w:style>
  <w:style w:type="character" w:customStyle="1" w:styleId="num4">
    <w:name w:val="num4"/>
    <w:basedOn w:val="DefaultParagraphFont"/>
  </w:style>
  <w:style w:type="paragraph" w:customStyle="1" w:styleId="Normal1">
    <w:name w:val="Normal1"/>
    <w:basedOn w:val="Normal"/>
    <w:pPr>
      <w:spacing w:before="0" w:after="0"/>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5557">
      <w:bodyDiv w:val="1"/>
      <w:marLeft w:val="390"/>
      <w:marRight w:val="390"/>
      <w:marTop w:val="0"/>
      <w:marBottom w:val="0"/>
      <w:divBdr>
        <w:top w:val="none" w:sz="0" w:space="0" w:color="auto"/>
        <w:left w:val="none" w:sz="0" w:space="0" w:color="auto"/>
        <w:bottom w:val="none" w:sz="0" w:space="0" w:color="auto"/>
        <w:right w:val="none" w:sz="0" w:space="0" w:color="auto"/>
      </w:divBdr>
      <w:divsChild>
        <w:div w:id="2086143214">
          <w:marLeft w:val="0"/>
          <w:marRight w:val="0"/>
          <w:marTop w:val="0"/>
          <w:marBottom w:val="0"/>
          <w:divBdr>
            <w:top w:val="none" w:sz="0" w:space="0" w:color="auto"/>
            <w:left w:val="none" w:sz="0" w:space="0" w:color="auto"/>
            <w:bottom w:val="none" w:sz="0" w:space="0" w:color="auto"/>
            <w:right w:val="none" w:sz="0" w:space="0" w:color="auto"/>
          </w:divBdr>
          <w:divsChild>
            <w:div w:id="3851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10277">
      <w:bodyDiv w:val="1"/>
      <w:marLeft w:val="0"/>
      <w:marRight w:val="0"/>
      <w:marTop w:val="0"/>
      <w:marBottom w:val="0"/>
      <w:divBdr>
        <w:top w:val="none" w:sz="0" w:space="0" w:color="auto"/>
        <w:left w:val="none" w:sz="0" w:space="0" w:color="auto"/>
        <w:bottom w:val="none" w:sz="0" w:space="0" w:color="auto"/>
        <w:right w:val="none" w:sz="0" w:space="0" w:color="auto"/>
      </w:divBdr>
      <w:divsChild>
        <w:div w:id="261761305">
          <w:marLeft w:val="0"/>
          <w:marRight w:val="0"/>
          <w:marTop w:val="0"/>
          <w:marBottom w:val="0"/>
          <w:divBdr>
            <w:top w:val="none" w:sz="0" w:space="0" w:color="auto"/>
            <w:left w:val="none" w:sz="0" w:space="0" w:color="auto"/>
            <w:bottom w:val="none" w:sz="0" w:space="0" w:color="auto"/>
            <w:right w:val="none" w:sz="0" w:space="0" w:color="auto"/>
          </w:divBdr>
        </w:div>
        <w:div w:id="1025446726">
          <w:marLeft w:val="0"/>
          <w:marRight w:val="0"/>
          <w:marTop w:val="0"/>
          <w:marBottom w:val="0"/>
          <w:divBdr>
            <w:top w:val="none" w:sz="0" w:space="0" w:color="auto"/>
            <w:left w:val="none" w:sz="0" w:space="0" w:color="auto"/>
            <w:bottom w:val="none" w:sz="0" w:space="0" w:color="auto"/>
            <w:right w:val="none" w:sz="0" w:space="0" w:color="auto"/>
          </w:divBdr>
        </w:div>
        <w:div w:id="1809004933">
          <w:marLeft w:val="0"/>
          <w:marRight w:val="0"/>
          <w:marTop w:val="0"/>
          <w:marBottom w:val="0"/>
          <w:divBdr>
            <w:top w:val="none" w:sz="0" w:space="0" w:color="auto"/>
            <w:left w:val="none" w:sz="0" w:space="0" w:color="auto"/>
            <w:bottom w:val="none" w:sz="0" w:space="0" w:color="auto"/>
            <w:right w:val="none" w:sz="0" w:space="0" w:color="auto"/>
          </w:divBdr>
        </w:div>
      </w:divsChild>
    </w:div>
    <w:div w:id="1118062285">
      <w:bodyDiv w:val="1"/>
      <w:marLeft w:val="0"/>
      <w:marRight w:val="0"/>
      <w:marTop w:val="0"/>
      <w:marBottom w:val="0"/>
      <w:divBdr>
        <w:top w:val="none" w:sz="0" w:space="0" w:color="auto"/>
        <w:left w:val="none" w:sz="0" w:space="0" w:color="auto"/>
        <w:bottom w:val="none" w:sz="0" w:space="0" w:color="auto"/>
        <w:right w:val="none" w:sz="0" w:space="0" w:color="auto"/>
      </w:divBdr>
      <w:divsChild>
        <w:div w:id="1038356092">
          <w:marLeft w:val="0"/>
          <w:marRight w:val="0"/>
          <w:marTop w:val="0"/>
          <w:marBottom w:val="0"/>
          <w:divBdr>
            <w:top w:val="none" w:sz="0" w:space="0" w:color="auto"/>
            <w:left w:val="none" w:sz="0" w:space="0" w:color="auto"/>
            <w:bottom w:val="none" w:sz="0" w:space="0" w:color="auto"/>
            <w:right w:val="none" w:sz="0" w:space="0" w:color="auto"/>
          </w:divBdr>
        </w:div>
        <w:div w:id="730890088">
          <w:marLeft w:val="0"/>
          <w:marRight w:val="0"/>
          <w:marTop w:val="0"/>
          <w:marBottom w:val="0"/>
          <w:divBdr>
            <w:top w:val="none" w:sz="0" w:space="0" w:color="auto"/>
            <w:left w:val="none" w:sz="0" w:space="0" w:color="auto"/>
            <w:bottom w:val="none" w:sz="0" w:space="0" w:color="auto"/>
            <w:right w:val="none" w:sz="0" w:space="0" w:color="auto"/>
          </w:divBdr>
        </w:div>
        <w:div w:id="1546411273">
          <w:marLeft w:val="0"/>
          <w:marRight w:val="0"/>
          <w:marTop w:val="0"/>
          <w:marBottom w:val="0"/>
          <w:divBdr>
            <w:top w:val="none" w:sz="0" w:space="0" w:color="auto"/>
            <w:left w:val="none" w:sz="0" w:space="0" w:color="auto"/>
            <w:bottom w:val="none" w:sz="0" w:space="0" w:color="auto"/>
            <w:right w:val="none" w:sz="0" w:space="0" w:color="auto"/>
          </w:divBdr>
        </w:div>
        <w:div w:id="1478186226">
          <w:marLeft w:val="0"/>
          <w:marRight w:val="0"/>
          <w:marTop w:val="0"/>
          <w:marBottom w:val="0"/>
          <w:divBdr>
            <w:top w:val="none" w:sz="0" w:space="0" w:color="auto"/>
            <w:left w:val="none" w:sz="0" w:space="0" w:color="auto"/>
            <w:bottom w:val="none" w:sz="0" w:space="0" w:color="auto"/>
            <w:right w:val="none" w:sz="0" w:space="0" w:color="auto"/>
          </w:divBdr>
        </w:div>
        <w:div w:id="2081555423">
          <w:marLeft w:val="0"/>
          <w:marRight w:val="0"/>
          <w:marTop w:val="0"/>
          <w:marBottom w:val="0"/>
          <w:divBdr>
            <w:top w:val="none" w:sz="0" w:space="0" w:color="auto"/>
            <w:left w:val="none" w:sz="0" w:space="0" w:color="auto"/>
            <w:bottom w:val="none" w:sz="0" w:space="0" w:color="auto"/>
            <w:right w:val="none" w:sz="0" w:space="0" w:color="auto"/>
          </w:divBdr>
        </w:div>
        <w:div w:id="2064672827">
          <w:marLeft w:val="0"/>
          <w:marRight w:val="0"/>
          <w:marTop w:val="0"/>
          <w:marBottom w:val="0"/>
          <w:divBdr>
            <w:top w:val="none" w:sz="0" w:space="0" w:color="auto"/>
            <w:left w:val="none" w:sz="0" w:space="0" w:color="auto"/>
            <w:bottom w:val="none" w:sz="0" w:space="0" w:color="auto"/>
            <w:right w:val="none" w:sz="0" w:space="0" w:color="auto"/>
          </w:divBdr>
        </w:div>
        <w:div w:id="1071346050">
          <w:marLeft w:val="0"/>
          <w:marRight w:val="0"/>
          <w:marTop w:val="0"/>
          <w:marBottom w:val="0"/>
          <w:divBdr>
            <w:top w:val="none" w:sz="0" w:space="0" w:color="auto"/>
            <w:left w:val="none" w:sz="0" w:space="0" w:color="auto"/>
            <w:bottom w:val="none" w:sz="0" w:space="0" w:color="auto"/>
            <w:right w:val="none" w:sz="0" w:space="0" w:color="auto"/>
          </w:divBdr>
        </w:div>
        <w:div w:id="974214902">
          <w:marLeft w:val="0"/>
          <w:marRight w:val="0"/>
          <w:marTop w:val="0"/>
          <w:marBottom w:val="0"/>
          <w:divBdr>
            <w:top w:val="none" w:sz="0" w:space="0" w:color="auto"/>
            <w:left w:val="none" w:sz="0" w:space="0" w:color="auto"/>
            <w:bottom w:val="none" w:sz="0" w:space="0" w:color="auto"/>
            <w:right w:val="none" w:sz="0" w:space="0" w:color="auto"/>
          </w:divBdr>
        </w:div>
      </w:divsChild>
    </w:div>
    <w:div w:id="1775979708">
      <w:bodyDiv w:val="1"/>
      <w:marLeft w:val="0"/>
      <w:marRight w:val="0"/>
      <w:marTop w:val="0"/>
      <w:marBottom w:val="0"/>
      <w:divBdr>
        <w:top w:val="none" w:sz="0" w:space="0" w:color="auto"/>
        <w:left w:val="none" w:sz="0" w:space="0" w:color="auto"/>
        <w:bottom w:val="none" w:sz="0" w:space="0" w:color="auto"/>
        <w:right w:val="none" w:sz="0" w:space="0" w:color="auto"/>
      </w:divBdr>
      <w:divsChild>
        <w:div w:id="969743807">
          <w:marLeft w:val="0"/>
          <w:marRight w:val="0"/>
          <w:marTop w:val="0"/>
          <w:marBottom w:val="0"/>
          <w:divBdr>
            <w:top w:val="none" w:sz="0" w:space="0" w:color="auto"/>
            <w:left w:val="none" w:sz="0" w:space="0" w:color="auto"/>
            <w:bottom w:val="none" w:sz="0" w:space="0" w:color="auto"/>
            <w:right w:val="none" w:sz="0" w:space="0" w:color="auto"/>
          </w:divBdr>
        </w:div>
        <w:div w:id="810974525">
          <w:marLeft w:val="0"/>
          <w:marRight w:val="0"/>
          <w:marTop w:val="0"/>
          <w:marBottom w:val="0"/>
          <w:divBdr>
            <w:top w:val="none" w:sz="0" w:space="0" w:color="auto"/>
            <w:left w:val="none" w:sz="0" w:space="0" w:color="auto"/>
            <w:bottom w:val="none" w:sz="0" w:space="0" w:color="auto"/>
            <w:right w:val="none" w:sz="0" w:space="0" w:color="auto"/>
          </w:divBdr>
        </w:div>
        <w:div w:id="1274676349">
          <w:marLeft w:val="0"/>
          <w:marRight w:val="0"/>
          <w:marTop w:val="0"/>
          <w:marBottom w:val="0"/>
          <w:divBdr>
            <w:top w:val="none" w:sz="0" w:space="0" w:color="auto"/>
            <w:left w:val="none" w:sz="0" w:space="0" w:color="auto"/>
            <w:bottom w:val="none" w:sz="0" w:space="0" w:color="auto"/>
            <w:right w:val="none" w:sz="0" w:space="0" w:color="auto"/>
          </w:divBdr>
        </w:div>
        <w:div w:id="1057775728">
          <w:marLeft w:val="0"/>
          <w:marRight w:val="0"/>
          <w:marTop w:val="0"/>
          <w:marBottom w:val="0"/>
          <w:divBdr>
            <w:top w:val="none" w:sz="0" w:space="0" w:color="auto"/>
            <w:left w:val="none" w:sz="0" w:space="0" w:color="auto"/>
            <w:bottom w:val="none" w:sz="0" w:space="0" w:color="auto"/>
            <w:right w:val="none" w:sz="0" w:space="0" w:color="auto"/>
          </w:divBdr>
        </w:div>
        <w:div w:id="1364945143">
          <w:marLeft w:val="0"/>
          <w:marRight w:val="0"/>
          <w:marTop w:val="0"/>
          <w:marBottom w:val="0"/>
          <w:divBdr>
            <w:top w:val="none" w:sz="0" w:space="0" w:color="auto"/>
            <w:left w:val="none" w:sz="0" w:space="0" w:color="auto"/>
            <w:bottom w:val="none" w:sz="0" w:space="0" w:color="auto"/>
            <w:right w:val="none" w:sz="0" w:space="0" w:color="auto"/>
          </w:divBdr>
        </w:div>
        <w:div w:id="1811363605">
          <w:marLeft w:val="0"/>
          <w:marRight w:val="0"/>
          <w:marTop w:val="0"/>
          <w:marBottom w:val="0"/>
          <w:divBdr>
            <w:top w:val="none" w:sz="0" w:space="0" w:color="auto"/>
            <w:left w:val="none" w:sz="0" w:space="0" w:color="auto"/>
            <w:bottom w:val="none" w:sz="0" w:space="0" w:color="auto"/>
            <w:right w:val="none" w:sz="0" w:space="0" w:color="auto"/>
          </w:divBdr>
        </w:div>
        <w:div w:id="688529251">
          <w:marLeft w:val="0"/>
          <w:marRight w:val="0"/>
          <w:marTop w:val="0"/>
          <w:marBottom w:val="0"/>
          <w:divBdr>
            <w:top w:val="none" w:sz="0" w:space="0" w:color="auto"/>
            <w:left w:val="none" w:sz="0" w:space="0" w:color="auto"/>
            <w:bottom w:val="none" w:sz="0" w:space="0" w:color="auto"/>
            <w:right w:val="none" w:sz="0" w:space="0" w:color="auto"/>
          </w:divBdr>
        </w:div>
        <w:div w:id="960233645">
          <w:marLeft w:val="0"/>
          <w:marRight w:val="0"/>
          <w:marTop w:val="0"/>
          <w:marBottom w:val="0"/>
          <w:divBdr>
            <w:top w:val="none" w:sz="0" w:space="0" w:color="auto"/>
            <w:left w:val="none" w:sz="0" w:space="0" w:color="auto"/>
            <w:bottom w:val="none" w:sz="0" w:space="0" w:color="auto"/>
            <w:right w:val="none" w:sz="0" w:space="0" w:color="auto"/>
          </w:divBdr>
        </w:div>
        <w:div w:id="2052340501">
          <w:marLeft w:val="0"/>
          <w:marRight w:val="0"/>
          <w:marTop w:val="0"/>
          <w:marBottom w:val="0"/>
          <w:divBdr>
            <w:top w:val="none" w:sz="0" w:space="0" w:color="auto"/>
            <w:left w:val="none" w:sz="0" w:space="0" w:color="auto"/>
            <w:bottom w:val="none" w:sz="0" w:space="0" w:color="auto"/>
            <w:right w:val="none" w:sz="0" w:space="0" w:color="auto"/>
          </w:divBdr>
        </w:div>
        <w:div w:id="943344771">
          <w:marLeft w:val="0"/>
          <w:marRight w:val="0"/>
          <w:marTop w:val="0"/>
          <w:marBottom w:val="0"/>
          <w:divBdr>
            <w:top w:val="none" w:sz="0" w:space="0" w:color="auto"/>
            <w:left w:val="none" w:sz="0" w:space="0" w:color="auto"/>
            <w:bottom w:val="none" w:sz="0" w:space="0" w:color="auto"/>
            <w:right w:val="none" w:sz="0" w:space="0" w:color="auto"/>
          </w:divBdr>
        </w:div>
        <w:div w:id="136991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qid=1532441113638&amp;uri=CELEX:22018A012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92F1-78AB-4E69-8FA0-8C9FE80A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1580</Words>
  <Characters>8426</Characters>
  <Application>Microsoft Office Word</Application>
  <DocSecurity>0</DocSecurity>
  <Lines>150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2018-11-13T15:08:00Z</dcterms:created>
  <dcterms:modified xsi:type="dcterms:W3CDTF">2018-11-20T13:25:00Z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