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1B" w:rsidRDefault="00872C0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467D4D6-9234-4DE9-8A60-094695EFA138" style="width:450.25pt;height:420.2pt">
            <v:imagedata r:id="rId6" o:title=""/>
          </v:shape>
        </w:pict>
      </w:r>
    </w:p>
    <w:bookmarkEnd w:id="0"/>
    <w:p w:rsidR="00BD5E1B" w:rsidRDefault="00BD5E1B">
      <w:pPr>
        <w:rPr>
          <w:noProof/>
        </w:rPr>
        <w:sectPr w:rsidR="00BD5E1B">
          <w:headerReference w:type="even" r:id="rId7"/>
          <w:headerReference w:type="default" r:id="rId8"/>
          <w:footerReference w:type="even" r:id="rId9"/>
          <w:footerReference w:type="default" r:id="rId10"/>
          <w:headerReference w:type="first" r:id="rId11"/>
          <w:footerReference w:type="first" r:id="rId12"/>
          <w:pgSz w:w="11906" w:h="16838"/>
          <w:pgMar w:top="1134" w:right="1417" w:bottom="1134" w:left="1417" w:header="709" w:footer="709" w:gutter="0"/>
          <w:pgNumType w:start="0"/>
          <w:cols w:space="720"/>
          <w:docGrid w:linePitch="360"/>
        </w:sectPr>
      </w:pPr>
    </w:p>
    <w:tbl>
      <w:tblPr>
        <w:tblStyle w:val="MediumList2"/>
        <w:tblW w:w="9322" w:type="dxa"/>
        <w:tblLayout w:type="fixed"/>
        <w:tblLook w:val="04A0" w:firstRow="1" w:lastRow="0" w:firstColumn="1" w:lastColumn="0" w:noHBand="0" w:noVBand="1"/>
      </w:tblPr>
      <w:tblGrid>
        <w:gridCol w:w="441"/>
        <w:gridCol w:w="1227"/>
        <w:gridCol w:w="2551"/>
        <w:gridCol w:w="765"/>
        <w:gridCol w:w="86"/>
        <w:gridCol w:w="1559"/>
        <w:gridCol w:w="1417"/>
        <w:gridCol w:w="142"/>
        <w:gridCol w:w="981"/>
        <w:gridCol w:w="153"/>
      </w:tblGrid>
      <w:tr w:rsidR="00BD5E1B" w:rsidTr="00BD5E1B">
        <w:trPr>
          <w:gridAfter w:val="1"/>
          <w:cnfStyle w:val="100000000000" w:firstRow="1" w:lastRow="0" w:firstColumn="0" w:lastColumn="0" w:oddVBand="0" w:evenVBand="0" w:oddHBand="0" w:evenHBand="0" w:firstRowFirstColumn="0" w:firstRowLastColumn="0" w:lastRowFirstColumn="0" w:lastRowLastColumn="0"/>
          <w:wAfter w:w="153" w:type="dxa"/>
        </w:trPr>
        <w:tc>
          <w:tcPr>
            <w:cnfStyle w:val="001000000100" w:firstRow="0" w:lastRow="0" w:firstColumn="1" w:lastColumn="0" w:oddVBand="0" w:evenVBand="0" w:oddHBand="0" w:evenHBand="0" w:firstRowFirstColumn="1" w:firstRowLastColumn="0" w:lastRowFirstColumn="0" w:lastRowLastColumn="0"/>
            <w:tcW w:w="441" w:type="dxa"/>
          </w:tcPr>
          <w:p w:rsidR="00BD5E1B" w:rsidRDefault="00BD5E1B">
            <w:pPr>
              <w:autoSpaceDE w:val="0"/>
              <w:autoSpaceDN w:val="0"/>
              <w:adjustRightInd w:val="0"/>
              <w:rPr>
                <w:rFonts w:ascii="Times New Roman" w:eastAsia="Times New Roman" w:hAnsi="Times New Roman" w:cs="Times New Roman"/>
                <w:b/>
                <w:noProof/>
              </w:rPr>
            </w:pPr>
          </w:p>
        </w:tc>
        <w:tc>
          <w:tcPr>
            <w:tcW w:w="1227" w:type="dxa"/>
          </w:tcPr>
          <w:p w:rsidR="00BD5E1B" w:rsidRDefault="00BD5E1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Pr>
          <w:p w:rsidR="00BD5E1B" w:rsidRDefault="00872C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2"/>
              </w:rPr>
            </w:pPr>
            <w:r>
              <w:rPr>
                <w:rFonts w:ascii="Times New Roman" w:eastAsia="Times New Roman" w:hAnsi="Times New Roman" w:cs="Times New Roman"/>
                <w:b/>
                <w:noProof/>
                <w:sz w:val="22"/>
              </w:rPr>
              <w:t xml:space="preserve">Legislative proposals </w:t>
            </w:r>
          </w:p>
        </w:tc>
        <w:tc>
          <w:tcPr>
            <w:tcW w:w="765" w:type="dxa"/>
          </w:tcPr>
          <w:p w:rsidR="00BD5E1B" w:rsidRDefault="00872C0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2"/>
              </w:rPr>
            </w:pPr>
            <w:r>
              <w:rPr>
                <w:rFonts w:ascii="Times New Roman" w:eastAsia="Times New Roman" w:hAnsi="Times New Roman" w:cs="Times New Roman"/>
                <w:b/>
                <w:noProof/>
                <w:sz w:val="22"/>
              </w:rPr>
              <w:t>Date</w:t>
            </w:r>
          </w:p>
          <w:p w:rsidR="00BD5E1B" w:rsidRDefault="00BD5E1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2"/>
              </w:rPr>
            </w:pPr>
          </w:p>
        </w:tc>
        <w:tc>
          <w:tcPr>
            <w:tcW w:w="1645" w:type="dxa"/>
            <w:gridSpan w:val="2"/>
          </w:tcPr>
          <w:p w:rsidR="00BD5E1B" w:rsidRDefault="00872C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European Parliament</w:t>
            </w:r>
          </w:p>
        </w:tc>
        <w:tc>
          <w:tcPr>
            <w:tcW w:w="1417" w:type="dxa"/>
          </w:tcPr>
          <w:p w:rsidR="00BD5E1B" w:rsidRDefault="00872C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Council of the European Union</w:t>
            </w:r>
          </w:p>
        </w:tc>
        <w:tc>
          <w:tcPr>
            <w:tcW w:w="1123" w:type="dxa"/>
            <w:gridSpan w:val="2"/>
          </w:tcPr>
          <w:p w:rsidR="00BD5E1B" w:rsidRDefault="00872C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Trilogues</w:t>
            </w: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BD5E1B">
            <w:pPr>
              <w:autoSpaceDE w:val="0"/>
              <w:autoSpaceDN w:val="0"/>
              <w:adjustRightInd w:val="0"/>
              <w:rPr>
                <w:rFonts w:ascii="Times New Roman" w:eastAsia="Times New Roman" w:hAnsi="Times New Roman" w:cs="Times New Roman"/>
                <w:b/>
                <w:noProof/>
              </w:rPr>
            </w:pPr>
          </w:p>
        </w:tc>
        <w:tc>
          <w:tcPr>
            <w:tcW w:w="1227" w:type="dxa"/>
          </w:tcPr>
          <w:p w:rsidR="00BD5E1B" w:rsidRDefault="00872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eastAsia="Times New Roman" w:hAnsi="Times New Roman" w:cs="Times New Roman"/>
                <w:b/>
                <w:noProof/>
              </w:rPr>
              <w:t>Adopted</w:t>
            </w:r>
          </w:p>
        </w:tc>
        <w:tc>
          <w:tcPr>
            <w:tcW w:w="2551" w:type="dxa"/>
          </w:tcPr>
          <w:p w:rsidR="00BD5E1B" w:rsidRDefault="00BD5E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765" w:type="dxa"/>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645" w:type="dxa"/>
            <w:gridSpan w:val="2"/>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559" w:type="dxa"/>
            <w:gridSpan w:val="2"/>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34" w:type="dxa"/>
            <w:gridSpan w:val="2"/>
            <w:tcBorders>
              <w:top w:val="single" w:sz="24" w:space="0" w:color="auto"/>
            </w:tcBorders>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BD5E1B" w:rsidTr="00BD5E1B">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autoSpaceDE w:val="0"/>
              <w:autoSpaceDN w:val="0"/>
              <w:adjustRightInd w:val="0"/>
              <w:rPr>
                <w:rFonts w:ascii="Times New Roman" w:eastAsia="Times New Roman" w:hAnsi="Times New Roman" w:cs="Times New Roman"/>
                <w:b/>
                <w:noProof/>
              </w:rPr>
            </w:pPr>
            <w:r>
              <w:rPr>
                <w:rFonts w:ascii="Times New Roman" w:eastAsia="Times New Roman" w:hAnsi="Times New Roman" w:cs="Times New Roman"/>
                <w:b/>
                <w:noProof/>
              </w:rPr>
              <w:t>1</w:t>
            </w:r>
          </w:p>
        </w:tc>
        <w:tc>
          <w:tcPr>
            <w:tcW w:w="1227" w:type="dxa"/>
          </w:tcPr>
          <w:p w:rsidR="00BD5E1B" w:rsidRDefault="00BD5E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 xml:space="preserve">Regulation (EU) 2017/1129 of the </w:t>
            </w:r>
            <w:r>
              <w:rPr>
                <w:rFonts w:ascii="Times New Roman" w:eastAsia="Times New Roman" w:hAnsi="Times New Roman" w:cs="Times New Roman"/>
                <w:noProof/>
              </w:rPr>
              <w:t>European Parliament and of the Council of 14 June 2017 on the prospectus to be published when securities are offered to the public or admitted to trading on a regulated market</w:t>
            </w:r>
          </w:p>
        </w:tc>
        <w:tc>
          <w:tcPr>
            <w:tcW w:w="765"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Jun 2017</w:t>
            </w:r>
          </w:p>
        </w:tc>
        <w:tc>
          <w:tcPr>
            <w:tcW w:w="1645" w:type="dxa"/>
            <w:gridSpan w:val="2"/>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559" w:type="dxa"/>
            <w:gridSpan w:val="2"/>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134" w:type="dxa"/>
            <w:gridSpan w:val="2"/>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autoSpaceDE w:val="0"/>
              <w:autoSpaceDN w:val="0"/>
              <w:adjustRightInd w:val="0"/>
              <w:rPr>
                <w:rFonts w:ascii="Times New Roman" w:eastAsia="Times New Roman" w:hAnsi="Times New Roman" w:cs="Times New Roman"/>
                <w:b/>
                <w:noProof/>
              </w:rPr>
            </w:pPr>
            <w:r>
              <w:rPr>
                <w:rFonts w:ascii="Times New Roman" w:eastAsia="Times New Roman" w:hAnsi="Times New Roman" w:cs="Times New Roman"/>
                <w:b/>
                <w:noProof/>
              </w:rPr>
              <w:t>2</w:t>
            </w:r>
          </w:p>
        </w:tc>
        <w:tc>
          <w:tcPr>
            <w:tcW w:w="1227" w:type="dxa"/>
          </w:tcPr>
          <w:p w:rsidR="00BD5E1B" w:rsidRDefault="00BD5E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 xml:space="preserve">Regulation (EU) 2017/1991 of the European Parliament and of the </w:t>
            </w:r>
            <w:r>
              <w:rPr>
                <w:rFonts w:ascii="Times New Roman" w:eastAsia="Times New Roman" w:hAnsi="Times New Roman" w:cs="Times New Roman"/>
                <w:noProof/>
              </w:rPr>
              <w:t>Council of 25 October 2017 on European venture capital funds and European social entrepreneurship funds</w:t>
            </w:r>
          </w:p>
        </w:tc>
        <w:tc>
          <w:tcPr>
            <w:tcW w:w="765"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Oct 2017</w:t>
            </w:r>
          </w:p>
        </w:tc>
        <w:tc>
          <w:tcPr>
            <w:tcW w:w="1645" w:type="dxa"/>
            <w:gridSpan w:val="2"/>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1559" w:type="dxa"/>
            <w:gridSpan w:val="2"/>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1134" w:type="dxa"/>
            <w:gridSpan w:val="2"/>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r>
      <w:tr w:rsidR="00BD5E1B" w:rsidTr="00BD5E1B">
        <w:tc>
          <w:tcPr>
            <w:cnfStyle w:val="001000000000" w:firstRow="0" w:lastRow="0" w:firstColumn="1" w:lastColumn="0" w:oddVBand="0" w:evenVBand="0" w:oddHBand="0" w:evenHBand="0" w:firstRowFirstColumn="0" w:firstRowLastColumn="0" w:lastRowFirstColumn="0" w:lastRowLastColumn="0"/>
            <w:tcW w:w="441" w:type="dxa"/>
            <w:tcBorders>
              <w:top w:val="nil"/>
              <w:bottom w:val="single" w:sz="4" w:space="0" w:color="auto"/>
            </w:tcBorders>
          </w:tcPr>
          <w:p w:rsidR="00BD5E1B" w:rsidRDefault="00872C02">
            <w:pPr>
              <w:jc w:val="both"/>
              <w:rPr>
                <w:rFonts w:ascii="Times New Roman" w:eastAsia="Times New Roman" w:hAnsi="Times New Roman" w:cs="Times New Roman"/>
                <w:b/>
                <w:noProof/>
              </w:rPr>
            </w:pPr>
            <w:r>
              <w:rPr>
                <w:rFonts w:ascii="Times New Roman" w:eastAsia="Times New Roman" w:hAnsi="Times New Roman" w:cs="Times New Roman"/>
                <w:b/>
                <w:noProof/>
              </w:rPr>
              <w:t>3</w:t>
            </w:r>
          </w:p>
        </w:tc>
        <w:tc>
          <w:tcPr>
            <w:tcW w:w="1227" w:type="dxa"/>
            <w:tcBorders>
              <w:top w:val="nil"/>
              <w:bottom w:val="single" w:sz="4" w:space="0" w:color="auto"/>
            </w:tcBorders>
          </w:tcPr>
          <w:p w:rsidR="00BD5E1B" w:rsidRDefault="00BD5E1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Borders>
              <w:top w:val="nil"/>
              <w:bottom w:val="single" w:sz="4" w:space="0" w:color="auto"/>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 xml:space="preserve">Regulation (EU) 2017/2402 of the European Parliament and of the Council of 12 December 2017 laying down a general framework for </w:t>
            </w:r>
            <w:r>
              <w:rPr>
                <w:rFonts w:ascii="Times New Roman" w:eastAsia="Times New Roman" w:hAnsi="Times New Roman" w:cs="Times New Roman"/>
                <w:noProof/>
              </w:rPr>
              <w:t>securitisation and creating a specific framework for simple, transparent and standardised securitisation</w:t>
            </w:r>
          </w:p>
        </w:tc>
        <w:tc>
          <w:tcPr>
            <w:tcW w:w="765" w:type="dxa"/>
            <w:tcBorders>
              <w:top w:val="nil"/>
              <w:bottom w:val="single" w:sz="4" w:space="0" w:color="auto"/>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Dec 2017</w:t>
            </w:r>
          </w:p>
        </w:tc>
        <w:tc>
          <w:tcPr>
            <w:tcW w:w="1645" w:type="dxa"/>
            <w:gridSpan w:val="2"/>
            <w:tcBorders>
              <w:top w:val="nil"/>
              <w:bottom w:val="single" w:sz="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559" w:type="dxa"/>
            <w:gridSpan w:val="2"/>
            <w:tcBorders>
              <w:top w:val="nil"/>
              <w:bottom w:val="single" w:sz="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134" w:type="dxa"/>
            <w:gridSpan w:val="2"/>
            <w:tcBorders>
              <w:top w:val="nil"/>
              <w:bottom w:val="single" w:sz="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top w:val="single" w:sz="4" w:space="0" w:color="auto"/>
            </w:tcBorders>
          </w:tcPr>
          <w:p w:rsidR="00BD5E1B" w:rsidRDefault="00BD5E1B">
            <w:pPr>
              <w:jc w:val="both"/>
              <w:rPr>
                <w:rFonts w:ascii="Times New Roman" w:eastAsia="Times New Roman" w:hAnsi="Times New Roman" w:cs="Times New Roman"/>
                <w:b/>
                <w:noProof/>
              </w:rPr>
            </w:pPr>
          </w:p>
        </w:tc>
        <w:tc>
          <w:tcPr>
            <w:tcW w:w="1227" w:type="dxa"/>
            <w:tcBorders>
              <w:top w:val="single" w:sz="4" w:space="0" w:color="auto"/>
            </w:tcBorders>
          </w:tcPr>
          <w:p w:rsidR="00BD5E1B" w:rsidRDefault="00872C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eastAsia="Times New Roman" w:hAnsi="Times New Roman" w:cs="Times New Roman"/>
                <w:b/>
                <w:noProof/>
              </w:rPr>
              <w:t>Proposed</w:t>
            </w:r>
          </w:p>
        </w:tc>
        <w:tc>
          <w:tcPr>
            <w:tcW w:w="2551" w:type="dxa"/>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765" w:type="dxa"/>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1645" w:type="dxa"/>
            <w:gridSpan w:val="2"/>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p>
        </w:tc>
        <w:tc>
          <w:tcPr>
            <w:tcW w:w="1559" w:type="dxa"/>
            <w:gridSpan w:val="2"/>
          </w:tcPr>
          <w:p w:rsidR="00BD5E1B" w:rsidRDefault="00BD5E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p>
        </w:tc>
        <w:tc>
          <w:tcPr>
            <w:tcW w:w="1134" w:type="dxa"/>
            <w:gridSpan w:val="2"/>
          </w:tcPr>
          <w:p w:rsidR="00BD5E1B" w:rsidRDefault="00BD5E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p>
        </w:tc>
      </w:tr>
      <w:tr w:rsidR="00BD5E1B" w:rsidTr="00BD5E1B">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jc w:val="both"/>
              <w:rPr>
                <w:rFonts w:ascii="Times New Roman" w:eastAsia="Times New Roman" w:hAnsi="Times New Roman" w:cs="Times New Roman"/>
                <w:b/>
                <w:noProof/>
              </w:rPr>
            </w:pPr>
            <w:r>
              <w:rPr>
                <w:rFonts w:ascii="Times New Roman" w:eastAsia="Times New Roman" w:hAnsi="Times New Roman" w:cs="Times New Roman"/>
                <w:b/>
                <w:noProof/>
              </w:rPr>
              <w:t>4</w:t>
            </w:r>
          </w:p>
        </w:tc>
        <w:tc>
          <w:tcPr>
            <w:tcW w:w="1227" w:type="dxa"/>
          </w:tcPr>
          <w:p w:rsidR="00BD5E1B" w:rsidRDefault="00BD5E1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2551"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 xml:space="preserve">Proposal for a Directive of the European Parliament and of the Council on preventive restructuring frameworks, second </w:t>
            </w:r>
            <w:r>
              <w:rPr>
                <w:rFonts w:ascii="Times New Roman" w:eastAsia="Times New Roman" w:hAnsi="Times New Roman" w:cs="Times New Roman"/>
                <w:noProof/>
              </w:rPr>
              <w:t>chance and measures to increase the efficiency of restructuring, insolvency and discharge procedures</w:t>
            </w:r>
          </w:p>
        </w:tc>
        <w:tc>
          <w:tcPr>
            <w:tcW w:w="765"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Nov 2016</w:t>
            </w:r>
          </w:p>
        </w:tc>
        <w:tc>
          <w:tcPr>
            <w:tcW w:w="1645" w:type="dxa"/>
            <w:gridSpan w:val="2"/>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Negotiating mandate obtained in September 2018</w:t>
            </w:r>
          </w:p>
        </w:tc>
        <w:tc>
          <w:tcPr>
            <w:tcW w:w="1559" w:type="dxa"/>
            <w:gridSpan w:val="2"/>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Negotiating mandate obtained in October 2018</w:t>
            </w:r>
          </w:p>
        </w:tc>
        <w:tc>
          <w:tcPr>
            <w:tcW w:w="1134" w:type="dxa"/>
            <w:gridSpan w:val="2"/>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Trilogues ongoing since October 2018</w:t>
            </w: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jc w:val="both"/>
              <w:rPr>
                <w:rFonts w:ascii="Times New Roman" w:eastAsia="Times New Roman" w:hAnsi="Times New Roman" w:cs="Times New Roman"/>
                <w:b/>
                <w:noProof/>
              </w:rPr>
            </w:pPr>
            <w:r>
              <w:rPr>
                <w:rFonts w:ascii="Times New Roman" w:eastAsia="Times New Roman" w:hAnsi="Times New Roman" w:cs="Times New Roman"/>
                <w:b/>
                <w:noProof/>
              </w:rPr>
              <w:t>5</w:t>
            </w:r>
          </w:p>
        </w:tc>
        <w:tc>
          <w:tcPr>
            <w:tcW w:w="1227" w:type="dxa"/>
          </w:tcPr>
          <w:p w:rsidR="00BD5E1B" w:rsidRDefault="00BD5E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2551"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 xml:space="preserve">Proposal for </w:t>
            </w:r>
            <w:r>
              <w:rPr>
                <w:rFonts w:ascii="Times New Roman" w:eastAsia="Times New Roman" w:hAnsi="Times New Roman" w:cs="Times New Roman"/>
                <w:noProof/>
              </w:rPr>
              <w:t>a Regulation of the European Parliament and of the Council on a Pan-European Personal Pension Product (PEPP)</w:t>
            </w:r>
          </w:p>
        </w:tc>
        <w:tc>
          <w:tcPr>
            <w:tcW w:w="765"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Jun 2017</w:t>
            </w:r>
          </w:p>
        </w:tc>
        <w:tc>
          <w:tcPr>
            <w:tcW w:w="1645"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Negotiating mandate obtained in September 2018</w:t>
            </w:r>
          </w:p>
        </w:tc>
        <w:tc>
          <w:tcPr>
            <w:tcW w:w="1559"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Negotiating mandate obtained in June 2018</w:t>
            </w:r>
          </w:p>
        </w:tc>
        <w:tc>
          <w:tcPr>
            <w:tcW w:w="1134"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Trilogues ongoing since October 2018</w:t>
            </w:r>
          </w:p>
        </w:tc>
      </w:tr>
      <w:tr w:rsidR="00BD5E1B" w:rsidTr="00BD5E1B">
        <w:trPr>
          <w:cantSplit/>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jc w:val="both"/>
              <w:rPr>
                <w:rFonts w:ascii="Times New Roman" w:eastAsia="Times New Roman" w:hAnsi="Times New Roman" w:cs="Times New Roman"/>
                <w:b/>
                <w:noProof/>
              </w:rPr>
            </w:pPr>
            <w:r>
              <w:rPr>
                <w:rFonts w:ascii="Times New Roman" w:eastAsia="Times New Roman" w:hAnsi="Times New Roman" w:cs="Times New Roman"/>
                <w:b/>
                <w:noProof/>
              </w:rPr>
              <w:lastRenderedPageBreak/>
              <w:t>6</w:t>
            </w:r>
          </w:p>
        </w:tc>
        <w:tc>
          <w:tcPr>
            <w:tcW w:w="1227" w:type="dxa"/>
          </w:tcPr>
          <w:p w:rsidR="00BD5E1B" w:rsidRDefault="00BD5E1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2551"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cs="Times New Roman"/>
                <w:bCs/>
                <w:noProof/>
              </w:rPr>
              <w:t>Proposal</w:t>
            </w:r>
            <w:r>
              <w:rPr>
                <w:rFonts w:ascii="Times New Roman" w:hAnsi="Times New Roman" w:cs="Times New Roman"/>
                <w:bCs/>
                <w:noProof/>
              </w:rPr>
              <w:t xml:space="preserve"> for a Regulation of the European Parliament and of the Council on amendments to the Regulations establishing the European Securities and Markets Authority (ESMA) and the other European Supervisory Authorities, including reinforced anti-money laundering ru</w:t>
            </w:r>
            <w:r>
              <w:rPr>
                <w:rFonts w:ascii="Times New Roman" w:hAnsi="Times New Roman" w:cs="Times New Roman"/>
                <w:bCs/>
                <w:noProof/>
              </w:rPr>
              <w:t>les proposed in Sep 2018, and associated acts</w:t>
            </w:r>
          </w:p>
        </w:tc>
        <w:tc>
          <w:tcPr>
            <w:tcW w:w="765"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 xml:space="preserve">Sep 2017 </w:t>
            </w:r>
          </w:p>
        </w:tc>
        <w:tc>
          <w:tcPr>
            <w:tcW w:w="1645" w:type="dxa"/>
            <w:gridSpan w:val="2"/>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agreed yet</w:t>
            </w:r>
          </w:p>
        </w:tc>
        <w:tc>
          <w:tcPr>
            <w:tcW w:w="1559" w:type="dxa"/>
            <w:gridSpan w:val="2"/>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agreed yet</w:t>
            </w:r>
          </w:p>
        </w:tc>
        <w:tc>
          <w:tcPr>
            <w:tcW w:w="1134" w:type="dxa"/>
            <w:gridSpan w:val="2"/>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started</w:t>
            </w: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jc w:val="both"/>
              <w:rPr>
                <w:rFonts w:ascii="Times New Roman" w:eastAsia="Times New Roman" w:hAnsi="Times New Roman" w:cs="Times New Roman"/>
                <w:b/>
                <w:noProof/>
              </w:rPr>
            </w:pPr>
            <w:r>
              <w:rPr>
                <w:rFonts w:ascii="Times New Roman" w:eastAsia="Times New Roman" w:hAnsi="Times New Roman" w:cs="Times New Roman"/>
                <w:b/>
                <w:noProof/>
              </w:rPr>
              <w:t>7</w:t>
            </w:r>
          </w:p>
        </w:tc>
        <w:tc>
          <w:tcPr>
            <w:tcW w:w="1227" w:type="dxa"/>
          </w:tcPr>
          <w:p w:rsidR="00BD5E1B" w:rsidRDefault="00BD5E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2551" w:type="dxa"/>
          </w:tcPr>
          <w:p w:rsidR="00BD5E1B" w:rsidRDefault="00872C02">
            <w:pPr>
              <w:pStyle w:val="Default"/>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2"/>
                <w:szCs w:val="22"/>
              </w:rPr>
            </w:pPr>
            <w:r>
              <w:rPr>
                <w:noProof/>
                <w:color w:val="000000" w:themeColor="text1"/>
                <w:sz w:val="22"/>
                <w:szCs w:val="22"/>
              </w:rPr>
              <w:t xml:space="preserve">Proposal for a Regulation  of the European Parliament and of the Council on the prudential requirements for investment firms and Proposal for a Directive </w:t>
            </w:r>
            <w:r>
              <w:rPr>
                <w:noProof/>
                <w:color w:val="000000" w:themeColor="text1"/>
                <w:sz w:val="22"/>
                <w:szCs w:val="22"/>
              </w:rPr>
              <w:t>of the European Parliament and of the Council on the prudential supervision of investment firms</w:t>
            </w:r>
          </w:p>
        </w:tc>
        <w:tc>
          <w:tcPr>
            <w:tcW w:w="765"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Dec 2017</w:t>
            </w:r>
          </w:p>
        </w:tc>
        <w:tc>
          <w:tcPr>
            <w:tcW w:w="1645"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Negotiating mandate obtained in September 2018</w:t>
            </w:r>
          </w:p>
        </w:tc>
        <w:tc>
          <w:tcPr>
            <w:tcW w:w="1559"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agreed yet</w:t>
            </w:r>
          </w:p>
        </w:tc>
        <w:tc>
          <w:tcPr>
            <w:tcW w:w="1134"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started</w:t>
            </w:r>
          </w:p>
        </w:tc>
      </w:tr>
      <w:tr w:rsidR="00BD5E1B" w:rsidTr="00BD5E1B">
        <w:trPr>
          <w:trHeight w:val="231"/>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jc w:val="both"/>
              <w:rPr>
                <w:rFonts w:ascii="Times New Roman" w:hAnsi="Times New Roman" w:cs="Times New Roman"/>
                <w:b/>
                <w:bCs/>
                <w:noProof/>
              </w:rPr>
            </w:pPr>
            <w:r>
              <w:rPr>
                <w:rFonts w:ascii="Times New Roman" w:hAnsi="Times New Roman" w:cs="Times New Roman"/>
                <w:b/>
                <w:bCs/>
                <w:noProof/>
              </w:rPr>
              <w:t>8</w:t>
            </w:r>
          </w:p>
        </w:tc>
        <w:tc>
          <w:tcPr>
            <w:tcW w:w="1227" w:type="dxa"/>
          </w:tcPr>
          <w:p w:rsidR="00BD5E1B" w:rsidRDefault="00BD5E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rPr>
            </w:pPr>
          </w:p>
        </w:tc>
        <w:tc>
          <w:tcPr>
            <w:tcW w:w="2551"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rPr>
            </w:pPr>
            <w:r>
              <w:rPr>
                <w:rFonts w:ascii="Times New Roman" w:eastAsia="Times New Roman" w:hAnsi="Times New Roman" w:cs="Times New Roman"/>
                <w:noProof/>
              </w:rPr>
              <w:t xml:space="preserve">Proposal for a Regulation of the European Parliament and of the Council </w:t>
            </w:r>
            <w:r>
              <w:rPr>
                <w:rFonts w:ascii="Times New Roman" w:eastAsia="Times New Roman" w:hAnsi="Times New Roman" w:cs="Times New Roman"/>
                <w:noProof/>
              </w:rPr>
              <w:t>on European crowdfunding service providers (ECSP) for business</w:t>
            </w:r>
          </w:p>
        </w:tc>
        <w:tc>
          <w:tcPr>
            <w:tcW w:w="765"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yellow"/>
              </w:rPr>
            </w:pPr>
            <w:r>
              <w:rPr>
                <w:rFonts w:ascii="Times New Roman" w:eastAsia="Times New Roman" w:hAnsi="Times New Roman" w:cs="Times New Roman"/>
                <w:noProof/>
              </w:rPr>
              <w:t>Mar 2018</w:t>
            </w:r>
          </w:p>
        </w:tc>
        <w:tc>
          <w:tcPr>
            <w:tcW w:w="1645" w:type="dxa"/>
            <w:gridSpan w:val="2"/>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Negotiating mandate obtained in November 2018</w:t>
            </w:r>
          </w:p>
        </w:tc>
        <w:tc>
          <w:tcPr>
            <w:tcW w:w="1559" w:type="dxa"/>
            <w:gridSpan w:val="2"/>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agreed yet</w:t>
            </w:r>
          </w:p>
        </w:tc>
        <w:tc>
          <w:tcPr>
            <w:tcW w:w="1134" w:type="dxa"/>
            <w:gridSpan w:val="2"/>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started</w:t>
            </w: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pStyle w:val="Default"/>
              <w:jc w:val="both"/>
              <w:rPr>
                <w:b/>
                <w:noProof/>
                <w:sz w:val="22"/>
                <w:szCs w:val="22"/>
              </w:rPr>
            </w:pPr>
            <w:r>
              <w:rPr>
                <w:b/>
                <w:noProof/>
                <w:sz w:val="22"/>
                <w:szCs w:val="22"/>
              </w:rPr>
              <w:t>9</w:t>
            </w:r>
          </w:p>
        </w:tc>
        <w:tc>
          <w:tcPr>
            <w:tcW w:w="1227" w:type="dxa"/>
          </w:tcPr>
          <w:p w:rsidR="00BD5E1B" w:rsidRDefault="00BD5E1B">
            <w:pPr>
              <w:pStyle w:val="Default"/>
              <w:jc w:val="both"/>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p>
        </w:tc>
        <w:tc>
          <w:tcPr>
            <w:tcW w:w="2551" w:type="dxa"/>
          </w:tcPr>
          <w:p w:rsidR="00BD5E1B" w:rsidRDefault="00872C02">
            <w:pPr>
              <w:pStyle w:val="Default"/>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r>
              <w:rPr>
                <w:noProof/>
                <w:color w:val="000000" w:themeColor="text1"/>
                <w:sz w:val="22"/>
                <w:szCs w:val="22"/>
              </w:rPr>
              <w:t xml:space="preserve">Proposal for a Directive of the European Parliament and of the Council on the issue of covered bonds and </w:t>
            </w:r>
            <w:r>
              <w:rPr>
                <w:noProof/>
                <w:color w:val="000000" w:themeColor="text1"/>
                <w:sz w:val="22"/>
                <w:szCs w:val="22"/>
              </w:rPr>
              <w:t>covered bond public supervision and Proposal for a Regulation of the European Parliament and of the Council as regards exposures in the form of covered bonds</w:t>
            </w:r>
          </w:p>
        </w:tc>
        <w:tc>
          <w:tcPr>
            <w:tcW w:w="765"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eastAsia="Times New Roman" w:hAnsi="Times New Roman" w:cs="Times New Roman"/>
                <w:noProof/>
              </w:rPr>
              <w:t>Mar 2018</w:t>
            </w:r>
          </w:p>
        </w:tc>
        <w:tc>
          <w:tcPr>
            <w:tcW w:w="1645"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Negotiating mandate obtained in November 2018</w:t>
            </w:r>
          </w:p>
        </w:tc>
        <w:tc>
          <w:tcPr>
            <w:tcW w:w="1559"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Negotiating mandate expected soon</w:t>
            </w:r>
          </w:p>
        </w:tc>
        <w:tc>
          <w:tcPr>
            <w:tcW w:w="1134"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start</w:t>
            </w:r>
            <w:r>
              <w:rPr>
                <w:rFonts w:ascii="Times New Roman" w:hAnsi="Times New Roman" w:cs="Times New Roman"/>
                <w:noProof/>
                <w:sz w:val="22"/>
                <w:szCs w:val="22"/>
              </w:rPr>
              <w:t>ed</w:t>
            </w:r>
          </w:p>
        </w:tc>
      </w:tr>
      <w:tr w:rsidR="00BD5E1B" w:rsidTr="00BD5E1B">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pStyle w:val="Default"/>
              <w:jc w:val="both"/>
              <w:rPr>
                <w:b/>
                <w:noProof/>
                <w:sz w:val="22"/>
                <w:szCs w:val="22"/>
              </w:rPr>
            </w:pPr>
            <w:r>
              <w:rPr>
                <w:b/>
                <w:noProof/>
                <w:sz w:val="22"/>
                <w:szCs w:val="22"/>
              </w:rPr>
              <w:t>10</w:t>
            </w:r>
          </w:p>
        </w:tc>
        <w:tc>
          <w:tcPr>
            <w:tcW w:w="1227" w:type="dxa"/>
            <w:tcBorders>
              <w:top w:val="nil"/>
              <w:bottom w:val="nil"/>
            </w:tcBorders>
          </w:tcPr>
          <w:p w:rsidR="00BD5E1B" w:rsidRDefault="00BD5E1B">
            <w:pPr>
              <w:pStyle w:val="Default"/>
              <w:jc w:val="both"/>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2551" w:type="dxa"/>
            <w:tcBorders>
              <w:top w:val="nil"/>
              <w:bottom w:val="nil"/>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eastAsia="Times New Roman" w:hAnsi="Times New Roman" w:cs="Times New Roman"/>
                <w:noProof/>
              </w:rPr>
              <w:t xml:space="preserve">Proposal for a Directive of the European Parliament and of the Council with regard to cross-border distribution of collective investment funds and Proposal for a Regulation of the European Parliament and of the Council on facilitating cross-border </w:t>
            </w:r>
            <w:r>
              <w:rPr>
                <w:rFonts w:ascii="Times New Roman" w:eastAsia="Times New Roman" w:hAnsi="Times New Roman" w:cs="Times New Roman"/>
                <w:noProof/>
              </w:rPr>
              <w:t>distribution of collective investment funds</w:t>
            </w:r>
          </w:p>
        </w:tc>
        <w:tc>
          <w:tcPr>
            <w:tcW w:w="765" w:type="dxa"/>
            <w:tcBorders>
              <w:top w:val="nil"/>
              <w:bottom w:val="nil"/>
            </w:tcBorders>
          </w:tcPr>
          <w:p w:rsidR="00872C02"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eastAsia="Times New Roman" w:hAnsi="Times New Roman" w:cs="Times New Roman"/>
                <w:noProof/>
              </w:rPr>
              <w:t>Mar 2018</w:t>
            </w:r>
          </w:p>
          <w:p w:rsidR="00872C02" w:rsidRPr="00872C02" w:rsidRDefault="00872C02" w:rsidP="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lightGray"/>
              </w:rPr>
            </w:pPr>
          </w:p>
          <w:p w:rsidR="00872C02" w:rsidRPr="00872C02" w:rsidRDefault="00872C02" w:rsidP="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lightGray"/>
              </w:rPr>
            </w:pPr>
          </w:p>
          <w:p w:rsidR="00872C02" w:rsidRPr="00872C02" w:rsidRDefault="00872C02" w:rsidP="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lightGray"/>
              </w:rPr>
            </w:pPr>
          </w:p>
          <w:p w:rsidR="00872C02" w:rsidRDefault="00872C02" w:rsidP="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lightGray"/>
              </w:rPr>
            </w:pPr>
          </w:p>
          <w:p w:rsidR="00872C02" w:rsidRPr="00872C02" w:rsidRDefault="00872C02" w:rsidP="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lightGray"/>
              </w:rPr>
            </w:pPr>
          </w:p>
          <w:p w:rsidR="00872C02" w:rsidRDefault="00872C02" w:rsidP="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lightGray"/>
              </w:rPr>
            </w:pPr>
          </w:p>
          <w:p w:rsidR="00872C02" w:rsidRDefault="00872C02" w:rsidP="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lightGray"/>
              </w:rPr>
            </w:pPr>
          </w:p>
          <w:p w:rsidR="00BD5E1B" w:rsidRPr="00872C02" w:rsidRDefault="00BD5E1B" w:rsidP="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lightGray"/>
              </w:rPr>
            </w:pPr>
          </w:p>
        </w:tc>
        <w:tc>
          <w:tcPr>
            <w:tcW w:w="1645" w:type="dxa"/>
            <w:gridSpan w:val="2"/>
            <w:tcBorders>
              <w:top w:val="nil"/>
              <w:bottom w:val="nil"/>
            </w:tcBorders>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Negotiating mandate expected soon</w:t>
            </w:r>
          </w:p>
        </w:tc>
        <w:tc>
          <w:tcPr>
            <w:tcW w:w="1559" w:type="dxa"/>
            <w:gridSpan w:val="2"/>
            <w:tcBorders>
              <w:top w:val="nil"/>
              <w:bottom w:val="nil"/>
            </w:tcBorders>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Negotiating mandate obtained in June 2018</w:t>
            </w:r>
          </w:p>
        </w:tc>
        <w:tc>
          <w:tcPr>
            <w:tcW w:w="1134" w:type="dxa"/>
            <w:gridSpan w:val="2"/>
            <w:tcBorders>
              <w:top w:val="nil"/>
              <w:bottom w:val="nil"/>
            </w:tcBorders>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started</w:t>
            </w:r>
          </w:p>
        </w:tc>
      </w:tr>
      <w:tr w:rsidR="00BD5E1B" w:rsidTr="00BD5E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jc w:val="both"/>
              <w:rPr>
                <w:rFonts w:ascii="Times New Roman" w:eastAsia="Times New Roman" w:hAnsi="Times New Roman" w:cs="Times New Roman"/>
                <w:b/>
                <w:noProof/>
              </w:rPr>
            </w:pPr>
            <w:r>
              <w:rPr>
                <w:rFonts w:ascii="Times New Roman" w:eastAsia="Times New Roman" w:hAnsi="Times New Roman" w:cs="Times New Roman"/>
                <w:b/>
                <w:noProof/>
              </w:rPr>
              <w:t>11</w:t>
            </w:r>
          </w:p>
        </w:tc>
        <w:tc>
          <w:tcPr>
            <w:tcW w:w="1227" w:type="dxa"/>
          </w:tcPr>
          <w:p w:rsidR="00BD5E1B" w:rsidRDefault="00BD5E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2551" w:type="dxa"/>
          </w:tcPr>
          <w:p w:rsidR="00BD5E1B" w:rsidRDefault="00872C02">
            <w:pPr>
              <w:pStyle w:val="Default"/>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r>
              <w:rPr>
                <w:noProof/>
                <w:color w:val="000000" w:themeColor="text1"/>
                <w:sz w:val="22"/>
                <w:szCs w:val="22"/>
              </w:rPr>
              <w:t xml:space="preserve">Proposal for a Regulation of the European Parliament and of the Council on the law applicable to the </w:t>
            </w:r>
            <w:r>
              <w:rPr>
                <w:noProof/>
                <w:color w:val="000000" w:themeColor="text1"/>
                <w:sz w:val="22"/>
                <w:szCs w:val="22"/>
              </w:rPr>
              <w:t>third-party effects of assignments of claims</w:t>
            </w:r>
          </w:p>
        </w:tc>
        <w:tc>
          <w:tcPr>
            <w:tcW w:w="765" w:type="dxa"/>
          </w:tcPr>
          <w:p w:rsidR="00BD5E1B" w:rsidRDefault="00872C02">
            <w:pPr>
              <w:pStyle w:val="Default"/>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r>
              <w:rPr>
                <w:noProof/>
                <w:color w:val="000000" w:themeColor="text1"/>
                <w:sz w:val="22"/>
                <w:szCs w:val="22"/>
              </w:rPr>
              <w:t>Mar 2018</w:t>
            </w:r>
          </w:p>
        </w:tc>
        <w:tc>
          <w:tcPr>
            <w:tcW w:w="1645"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agreed yet</w:t>
            </w:r>
          </w:p>
        </w:tc>
        <w:tc>
          <w:tcPr>
            <w:tcW w:w="1559"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 xml:space="preserve">Not agreed yet </w:t>
            </w:r>
          </w:p>
        </w:tc>
        <w:tc>
          <w:tcPr>
            <w:tcW w:w="1134" w:type="dxa"/>
            <w:gridSpan w:val="2"/>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started</w:t>
            </w:r>
          </w:p>
        </w:tc>
      </w:tr>
      <w:tr w:rsidR="00BD5E1B" w:rsidTr="00BD5E1B">
        <w:trPr>
          <w:cantSplit/>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pStyle w:val="Default"/>
              <w:jc w:val="both"/>
              <w:rPr>
                <w:b/>
                <w:noProof/>
                <w:color w:val="auto"/>
                <w:sz w:val="22"/>
                <w:szCs w:val="22"/>
              </w:rPr>
            </w:pPr>
            <w:r>
              <w:rPr>
                <w:b/>
                <w:noProof/>
                <w:color w:val="auto"/>
                <w:sz w:val="22"/>
                <w:szCs w:val="22"/>
              </w:rPr>
              <w:t>12</w:t>
            </w:r>
          </w:p>
        </w:tc>
        <w:tc>
          <w:tcPr>
            <w:tcW w:w="1227" w:type="dxa"/>
            <w:tcBorders>
              <w:bottom w:val="nil"/>
            </w:tcBorders>
          </w:tcPr>
          <w:p w:rsidR="00BD5E1B" w:rsidRDefault="00BD5E1B">
            <w:pPr>
              <w:pStyle w:val="Default"/>
              <w:jc w:val="both"/>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2551" w:type="dxa"/>
            <w:tcBorders>
              <w:bottom w:val="nil"/>
            </w:tcBorders>
          </w:tcPr>
          <w:p w:rsidR="00BD5E1B" w:rsidRDefault="00872C02">
            <w:pPr>
              <w:pStyle w:val="Default"/>
              <w:tabs>
                <w:tab w:val="left" w:pos="2565"/>
              </w:tabs>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szCs w:val="22"/>
              </w:rPr>
              <w:t>Proposal for a Regulation of the European Parliament and of the Council on the promotion of the use of SME growth markets</w:t>
            </w:r>
          </w:p>
        </w:tc>
        <w:tc>
          <w:tcPr>
            <w:tcW w:w="765" w:type="dxa"/>
            <w:tcBorders>
              <w:bottom w:val="nil"/>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May 2018</w:t>
            </w:r>
          </w:p>
        </w:tc>
        <w:tc>
          <w:tcPr>
            <w:tcW w:w="1645" w:type="dxa"/>
            <w:gridSpan w:val="2"/>
            <w:tcBorders>
              <w:bottom w:val="nil"/>
            </w:tcBorders>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agreed yet</w:t>
            </w:r>
          </w:p>
        </w:tc>
        <w:tc>
          <w:tcPr>
            <w:tcW w:w="1559" w:type="dxa"/>
            <w:gridSpan w:val="2"/>
            <w:tcBorders>
              <w:bottom w:val="nil"/>
            </w:tcBorders>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 xml:space="preserve">Not </w:t>
            </w:r>
            <w:r>
              <w:rPr>
                <w:rFonts w:ascii="Times New Roman" w:hAnsi="Times New Roman" w:cs="Times New Roman"/>
                <w:noProof/>
                <w:sz w:val="22"/>
                <w:szCs w:val="22"/>
              </w:rPr>
              <w:t>agreed yet</w:t>
            </w:r>
          </w:p>
        </w:tc>
        <w:tc>
          <w:tcPr>
            <w:tcW w:w="1134" w:type="dxa"/>
            <w:gridSpan w:val="2"/>
            <w:tcBorders>
              <w:bottom w:val="nil"/>
            </w:tcBorders>
          </w:tcPr>
          <w:p w:rsidR="00BD5E1B" w:rsidRDefault="00872C02">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started</w:t>
            </w:r>
          </w:p>
        </w:tc>
      </w:tr>
      <w:tr w:rsidR="00BD5E1B" w:rsidTr="00BD5E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1" w:type="dxa"/>
          </w:tcPr>
          <w:p w:rsidR="00BD5E1B" w:rsidRDefault="00872C02">
            <w:pPr>
              <w:pStyle w:val="Default"/>
              <w:jc w:val="both"/>
              <w:rPr>
                <w:b/>
                <w:noProof/>
                <w:color w:val="auto"/>
                <w:sz w:val="22"/>
                <w:szCs w:val="22"/>
              </w:rPr>
            </w:pPr>
            <w:r>
              <w:rPr>
                <w:b/>
                <w:noProof/>
                <w:color w:val="auto"/>
                <w:sz w:val="22"/>
                <w:szCs w:val="22"/>
              </w:rPr>
              <w:t>13</w:t>
            </w:r>
          </w:p>
        </w:tc>
        <w:tc>
          <w:tcPr>
            <w:tcW w:w="1227" w:type="dxa"/>
          </w:tcPr>
          <w:p w:rsidR="00BD5E1B" w:rsidRDefault="00BD5E1B">
            <w:pPr>
              <w:pStyle w:val="Default"/>
              <w:jc w:val="both"/>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p>
        </w:tc>
        <w:tc>
          <w:tcPr>
            <w:tcW w:w="2551"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Cs w:val="24"/>
              </w:rPr>
            </w:pPr>
            <w:r>
              <w:rPr>
                <w:rFonts w:ascii="Times New Roman" w:eastAsia="Times New Roman" w:hAnsi="Times New Roman" w:cs="Times New Roman"/>
                <w:noProof/>
                <w:szCs w:val="24"/>
              </w:rPr>
              <w:t>Proposal for a Regulation amending EMIR as regards the procedures and authorities involved for the authorisation of CCPs and requirements for the recognition of third-country CCPs</w:t>
            </w:r>
          </w:p>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Cs w:val="24"/>
              </w:rPr>
            </w:pPr>
            <w:r>
              <w:rPr>
                <w:rFonts w:ascii="Times New Roman" w:eastAsia="Times New Roman" w:hAnsi="Times New Roman" w:cs="Times New Roman"/>
                <w:noProof/>
                <w:szCs w:val="24"/>
              </w:rPr>
              <w:t>(EMIR CCP Supervision)</w:t>
            </w:r>
          </w:p>
        </w:tc>
        <w:tc>
          <w:tcPr>
            <w:tcW w:w="765"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Cs w:val="24"/>
              </w:rPr>
            </w:pPr>
            <w:r>
              <w:rPr>
                <w:rFonts w:ascii="Times New Roman" w:eastAsia="Times New Roman" w:hAnsi="Times New Roman" w:cs="Times New Roman"/>
                <w:noProof/>
                <w:szCs w:val="24"/>
              </w:rPr>
              <w:t>June 2017</w:t>
            </w:r>
          </w:p>
        </w:tc>
        <w:tc>
          <w:tcPr>
            <w:tcW w:w="1645" w:type="dxa"/>
            <w:gridSpan w:val="2"/>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 xml:space="preserve">Negotiating </w:t>
            </w:r>
            <w:r>
              <w:rPr>
                <w:rFonts w:ascii="Times New Roman" w:hAnsi="Times New Roman" w:cs="Times New Roman"/>
                <w:noProof/>
                <w:szCs w:val="24"/>
              </w:rPr>
              <w:t>mandate obtained in May 2018</w:t>
            </w:r>
          </w:p>
        </w:tc>
        <w:tc>
          <w:tcPr>
            <w:tcW w:w="1559" w:type="dxa"/>
            <w:gridSpan w:val="2"/>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Not agreed yet</w:t>
            </w:r>
          </w:p>
        </w:tc>
        <w:tc>
          <w:tcPr>
            <w:tcW w:w="1134" w:type="dxa"/>
            <w:gridSpan w:val="2"/>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Not started</w:t>
            </w:r>
          </w:p>
        </w:tc>
      </w:tr>
      <w:tr w:rsidR="00BD5E1B" w:rsidTr="00BD5E1B">
        <w:tc>
          <w:tcPr>
            <w:cnfStyle w:val="001000000000" w:firstRow="0" w:lastRow="0" w:firstColumn="1" w:lastColumn="0" w:oddVBand="0" w:evenVBand="0" w:oddHBand="0" w:evenHBand="0" w:firstRowFirstColumn="0" w:firstRowLastColumn="0" w:lastRowFirstColumn="0" w:lastRowLastColumn="0"/>
            <w:tcW w:w="441" w:type="dxa"/>
            <w:tcBorders>
              <w:top w:val="single" w:sz="24" w:space="0" w:color="auto"/>
              <w:right w:val="single" w:sz="4" w:space="0" w:color="auto"/>
            </w:tcBorders>
          </w:tcPr>
          <w:p w:rsidR="00BD5E1B" w:rsidRDefault="00BD5E1B">
            <w:pPr>
              <w:jc w:val="both"/>
              <w:rPr>
                <w:rFonts w:ascii="Times New Roman" w:eastAsia="Times New Roman" w:hAnsi="Times New Roman" w:cs="Times New Roman"/>
                <w:b/>
                <w:noProof/>
              </w:rPr>
            </w:pPr>
          </w:p>
        </w:tc>
        <w:tc>
          <w:tcPr>
            <w:tcW w:w="3778" w:type="dxa"/>
            <w:gridSpan w:val="2"/>
            <w:tcBorders>
              <w:top w:val="single" w:sz="24" w:space="0" w:color="auto"/>
              <w:left w:val="single" w:sz="4" w:space="0" w:color="auto"/>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b/>
                <w:noProof/>
              </w:rPr>
              <w:t>Sustainable finance</w:t>
            </w:r>
          </w:p>
        </w:tc>
        <w:tc>
          <w:tcPr>
            <w:tcW w:w="851" w:type="dxa"/>
            <w:gridSpan w:val="2"/>
            <w:tcBorders>
              <w:top w:val="single" w:sz="2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559" w:type="dxa"/>
            <w:tcBorders>
              <w:top w:val="single" w:sz="2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559" w:type="dxa"/>
            <w:gridSpan w:val="2"/>
            <w:tcBorders>
              <w:top w:val="single" w:sz="2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134" w:type="dxa"/>
            <w:gridSpan w:val="2"/>
            <w:tcBorders>
              <w:top w:val="single" w:sz="24" w:space="0" w:color="auto"/>
              <w:right w:val="single" w:sz="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rsidR="00BD5E1B" w:rsidRDefault="00872C02">
            <w:pPr>
              <w:jc w:val="both"/>
              <w:rPr>
                <w:rFonts w:ascii="Times New Roman" w:eastAsia="Times New Roman" w:hAnsi="Times New Roman" w:cs="Times New Roman"/>
                <w:b/>
                <w:noProof/>
              </w:rPr>
            </w:pPr>
            <w:r>
              <w:rPr>
                <w:rFonts w:ascii="Times New Roman" w:eastAsia="Times New Roman" w:hAnsi="Times New Roman" w:cs="Times New Roman"/>
                <w:b/>
                <w:noProof/>
              </w:rPr>
              <w:t>14</w:t>
            </w:r>
          </w:p>
        </w:tc>
        <w:tc>
          <w:tcPr>
            <w:tcW w:w="1227" w:type="dxa"/>
            <w:tcBorders>
              <w:left w:val="single" w:sz="4" w:space="0" w:color="auto"/>
            </w:tcBorders>
          </w:tcPr>
          <w:p w:rsidR="00BD5E1B" w:rsidRDefault="00BD5E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Proposal for a Regulation of the European Parliament and of the Council on the establishment of a framework to facilitate sustainable investment (taxonomy)</w:t>
            </w:r>
          </w:p>
        </w:tc>
        <w:tc>
          <w:tcPr>
            <w:tcW w:w="765"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May 2018</w:t>
            </w:r>
          </w:p>
        </w:tc>
        <w:tc>
          <w:tcPr>
            <w:tcW w:w="1645" w:type="dxa"/>
            <w:gridSpan w:val="2"/>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cs="Times New Roman"/>
                <w:noProof/>
              </w:rPr>
              <w:t xml:space="preserve">Not </w:t>
            </w:r>
            <w:r>
              <w:rPr>
                <w:rFonts w:ascii="Times New Roman" w:hAnsi="Times New Roman" w:cs="Times New Roman"/>
                <w:noProof/>
              </w:rPr>
              <w:t>agreed yet</w:t>
            </w:r>
          </w:p>
        </w:tc>
        <w:tc>
          <w:tcPr>
            <w:tcW w:w="1559" w:type="dxa"/>
            <w:gridSpan w:val="2"/>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cs="Times New Roman"/>
                <w:noProof/>
                <w:color w:val="auto"/>
              </w:rPr>
              <w:t>Not agreed yet</w:t>
            </w:r>
          </w:p>
        </w:tc>
        <w:tc>
          <w:tcPr>
            <w:tcW w:w="1134" w:type="dxa"/>
            <w:gridSpan w:val="2"/>
            <w:tcBorders>
              <w:right w:val="single" w:sz="4" w:space="0" w:color="auto"/>
            </w:tcBorders>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cs="Times New Roman"/>
                <w:noProof/>
                <w:color w:val="auto"/>
              </w:rPr>
              <w:t>Not started</w:t>
            </w:r>
          </w:p>
        </w:tc>
      </w:tr>
      <w:tr w:rsidR="00BD5E1B" w:rsidTr="00BD5E1B">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rsidR="00BD5E1B" w:rsidRDefault="00872C02">
            <w:pPr>
              <w:jc w:val="both"/>
              <w:rPr>
                <w:rFonts w:ascii="Times New Roman" w:eastAsia="Times New Roman" w:hAnsi="Times New Roman" w:cs="Times New Roman"/>
                <w:b/>
                <w:noProof/>
              </w:rPr>
            </w:pPr>
            <w:r>
              <w:rPr>
                <w:rFonts w:ascii="Times New Roman" w:eastAsia="Times New Roman" w:hAnsi="Times New Roman" w:cs="Times New Roman"/>
                <w:b/>
                <w:noProof/>
              </w:rPr>
              <w:t>15</w:t>
            </w:r>
          </w:p>
        </w:tc>
        <w:tc>
          <w:tcPr>
            <w:tcW w:w="1227" w:type="dxa"/>
            <w:tcBorders>
              <w:left w:val="single" w:sz="4" w:space="0" w:color="auto"/>
            </w:tcBorders>
          </w:tcPr>
          <w:p w:rsidR="00BD5E1B" w:rsidRDefault="00BD5E1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Proposal for a Regulation of the European Parliament and of the Council on disclosures relating to sustainable investments and sustainability risks</w:t>
            </w:r>
          </w:p>
        </w:tc>
        <w:tc>
          <w:tcPr>
            <w:tcW w:w="765" w:type="dxa"/>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May 2018</w:t>
            </w:r>
          </w:p>
        </w:tc>
        <w:tc>
          <w:tcPr>
            <w:tcW w:w="1645" w:type="dxa"/>
            <w:gridSpan w:val="2"/>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cs="Times New Roman"/>
                <w:noProof/>
              </w:rPr>
              <w:t>Negotiating mandate obtained in November 2018</w:t>
            </w:r>
          </w:p>
        </w:tc>
        <w:tc>
          <w:tcPr>
            <w:tcW w:w="1559" w:type="dxa"/>
            <w:gridSpan w:val="2"/>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cs="Times New Roman"/>
                <w:noProof/>
                <w:color w:val="auto"/>
              </w:rPr>
              <w:t>Not agreed</w:t>
            </w:r>
            <w:r>
              <w:rPr>
                <w:rFonts w:ascii="Times New Roman" w:hAnsi="Times New Roman" w:cs="Times New Roman"/>
                <w:noProof/>
                <w:color w:val="auto"/>
              </w:rPr>
              <w:t xml:space="preserve"> yet</w:t>
            </w:r>
          </w:p>
        </w:tc>
        <w:tc>
          <w:tcPr>
            <w:tcW w:w="1134" w:type="dxa"/>
            <w:gridSpan w:val="2"/>
            <w:tcBorders>
              <w:right w:val="single" w:sz="4" w:space="0" w:color="auto"/>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cs="Times New Roman"/>
                <w:noProof/>
                <w:color w:val="auto"/>
              </w:rPr>
              <w:t>Not started</w:t>
            </w: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rsidR="00BD5E1B" w:rsidRDefault="00872C02">
            <w:pPr>
              <w:jc w:val="both"/>
              <w:rPr>
                <w:rFonts w:ascii="Times New Roman" w:eastAsia="Times New Roman" w:hAnsi="Times New Roman" w:cs="Times New Roman"/>
                <w:b/>
                <w:noProof/>
              </w:rPr>
            </w:pPr>
            <w:r>
              <w:rPr>
                <w:rFonts w:ascii="Times New Roman" w:eastAsia="Times New Roman" w:hAnsi="Times New Roman" w:cs="Times New Roman"/>
                <w:b/>
                <w:noProof/>
              </w:rPr>
              <w:t>16</w:t>
            </w:r>
          </w:p>
        </w:tc>
        <w:tc>
          <w:tcPr>
            <w:tcW w:w="1227" w:type="dxa"/>
            <w:tcBorders>
              <w:left w:val="single" w:sz="4" w:space="0" w:color="auto"/>
            </w:tcBorders>
          </w:tcPr>
          <w:p w:rsidR="00BD5E1B" w:rsidRDefault="00BD5E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Proposal for a Regulation of the European Parliament and of the Council amending Regulation (EU) 2016/1011 on low carbon benchmarks and positive carbon impact benchmarks</w:t>
            </w:r>
          </w:p>
        </w:tc>
        <w:tc>
          <w:tcPr>
            <w:tcW w:w="765"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May 2018</w:t>
            </w:r>
          </w:p>
        </w:tc>
        <w:tc>
          <w:tcPr>
            <w:tcW w:w="1645" w:type="dxa"/>
            <w:gridSpan w:val="2"/>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cs="Times New Roman"/>
                <w:noProof/>
                <w:color w:val="auto"/>
              </w:rPr>
              <w:t>Not agreed yet</w:t>
            </w:r>
          </w:p>
        </w:tc>
        <w:tc>
          <w:tcPr>
            <w:tcW w:w="1559" w:type="dxa"/>
            <w:gridSpan w:val="2"/>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cs="Times New Roman"/>
                <w:noProof/>
                <w:color w:val="auto"/>
              </w:rPr>
              <w:t>Not agreed yet</w:t>
            </w:r>
          </w:p>
        </w:tc>
        <w:tc>
          <w:tcPr>
            <w:tcW w:w="1134" w:type="dxa"/>
            <w:gridSpan w:val="2"/>
            <w:tcBorders>
              <w:right w:val="single" w:sz="4" w:space="0" w:color="auto"/>
            </w:tcBorders>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cs="Times New Roman"/>
                <w:noProof/>
                <w:color w:val="auto"/>
              </w:rPr>
              <w:t>Not started</w:t>
            </w:r>
          </w:p>
        </w:tc>
      </w:tr>
      <w:tr w:rsidR="00BD5E1B" w:rsidTr="00BD5E1B">
        <w:tc>
          <w:tcPr>
            <w:cnfStyle w:val="001000000000" w:firstRow="0" w:lastRow="0" w:firstColumn="1" w:lastColumn="0" w:oddVBand="0" w:evenVBand="0" w:oddHBand="0" w:evenHBand="0" w:firstRowFirstColumn="0" w:firstRowLastColumn="0" w:lastRowFirstColumn="0" w:lastRowLastColumn="0"/>
            <w:tcW w:w="441" w:type="dxa"/>
            <w:tcBorders>
              <w:top w:val="single" w:sz="24" w:space="0" w:color="auto"/>
              <w:right w:val="single" w:sz="4" w:space="0" w:color="auto"/>
            </w:tcBorders>
          </w:tcPr>
          <w:p w:rsidR="00BD5E1B" w:rsidRDefault="00BD5E1B">
            <w:pPr>
              <w:jc w:val="both"/>
              <w:rPr>
                <w:rFonts w:ascii="Times New Roman" w:eastAsia="Times New Roman" w:hAnsi="Times New Roman" w:cs="Times New Roman"/>
                <w:b/>
                <w:noProof/>
              </w:rPr>
            </w:pPr>
          </w:p>
        </w:tc>
        <w:tc>
          <w:tcPr>
            <w:tcW w:w="4629" w:type="dxa"/>
            <w:gridSpan w:val="4"/>
            <w:tcBorders>
              <w:top w:val="single" w:sz="24" w:space="0" w:color="auto"/>
              <w:left w:val="single" w:sz="4" w:space="0" w:color="auto"/>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b/>
                <w:noProof/>
              </w:rPr>
              <w:t xml:space="preserve">Other </w:t>
            </w:r>
            <w:r>
              <w:rPr>
                <w:rFonts w:ascii="Times New Roman" w:eastAsia="Times New Roman" w:hAnsi="Times New Roman" w:cs="Times New Roman"/>
                <w:b/>
                <w:noProof/>
              </w:rPr>
              <w:t>important proposals related to CMU</w:t>
            </w:r>
          </w:p>
        </w:tc>
        <w:tc>
          <w:tcPr>
            <w:tcW w:w="1559" w:type="dxa"/>
            <w:tcBorders>
              <w:top w:val="single" w:sz="2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559" w:type="dxa"/>
            <w:gridSpan w:val="2"/>
            <w:tcBorders>
              <w:top w:val="single" w:sz="2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134" w:type="dxa"/>
            <w:gridSpan w:val="2"/>
            <w:tcBorders>
              <w:top w:val="single" w:sz="24" w:space="0" w:color="auto"/>
              <w:right w:val="single" w:sz="4" w:space="0" w:color="auto"/>
            </w:tcBorders>
          </w:tcPr>
          <w:p w:rsidR="00BD5E1B" w:rsidRDefault="00BD5E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rsidR="00BD5E1B" w:rsidRDefault="00BD5E1B">
            <w:pPr>
              <w:jc w:val="both"/>
              <w:rPr>
                <w:rFonts w:ascii="Times New Roman" w:eastAsia="Times New Roman" w:hAnsi="Times New Roman" w:cs="Times New Roman"/>
                <w:b/>
                <w:noProof/>
              </w:rPr>
            </w:pPr>
          </w:p>
        </w:tc>
        <w:tc>
          <w:tcPr>
            <w:tcW w:w="1227" w:type="dxa"/>
            <w:tcBorders>
              <w:left w:val="single" w:sz="4" w:space="0" w:color="auto"/>
            </w:tcBorders>
          </w:tcPr>
          <w:p w:rsidR="00BD5E1B" w:rsidRDefault="00BD5E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szCs w:val="24"/>
              </w:rPr>
              <w:t>Proposal for a Regulation amending EMIR as regards the clearing obligation, the reporting requirements, the risk-mitigation techniques for uncleared OTC derivatives contracts, the requirements for trade repositories</w:t>
            </w:r>
            <w:r>
              <w:rPr>
                <w:rFonts w:ascii="Times New Roman" w:eastAsia="Times New Roman" w:hAnsi="Times New Roman" w:cs="Times New Roman"/>
                <w:noProof/>
                <w:szCs w:val="24"/>
              </w:rPr>
              <w:t xml:space="preserve"> (EMIR REFIT)</w:t>
            </w:r>
          </w:p>
        </w:tc>
        <w:tc>
          <w:tcPr>
            <w:tcW w:w="765" w:type="dxa"/>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szCs w:val="24"/>
              </w:rPr>
              <w:t>May 2017</w:t>
            </w:r>
          </w:p>
        </w:tc>
        <w:tc>
          <w:tcPr>
            <w:tcW w:w="1645" w:type="dxa"/>
            <w:gridSpan w:val="2"/>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szCs w:val="24"/>
              </w:rPr>
              <w:t>Negotiating mandate obtained in June 2018</w:t>
            </w:r>
          </w:p>
        </w:tc>
        <w:tc>
          <w:tcPr>
            <w:tcW w:w="1559" w:type="dxa"/>
            <w:gridSpan w:val="2"/>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szCs w:val="24"/>
              </w:rPr>
              <w:t xml:space="preserve">Negotiating mandate obtained in December 2017 </w:t>
            </w:r>
          </w:p>
        </w:tc>
        <w:tc>
          <w:tcPr>
            <w:tcW w:w="1134" w:type="dxa"/>
            <w:gridSpan w:val="2"/>
            <w:tcBorders>
              <w:right w:val="single" w:sz="4" w:space="0" w:color="auto"/>
            </w:tcBorders>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szCs w:val="24"/>
              </w:rPr>
              <w:t>Trilogues ongoing since July 2018</w:t>
            </w:r>
          </w:p>
        </w:tc>
      </w:tr>
      <w:tr w:rsidR="00BD5E1B" w:rsidTr="00BD5E1B">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rsidR="00BD5E1B" w:rsidRDefault="00BD5E1B">
            <w:pPr>
              <w:jc w:val="both"/>
              <w:rPr>
                <w:rFonts w:ascii="Times New Roman" w:eastAsia="Times New Roman" w:hAnsi="Times New Roman" w:cs="Times New Roman"/>
                <w:b/>
                <w:noProof/>
              </w:rPr>
            </w:pPr>
          </w:p>
        </w:tc>
        <w:tc>
          <w:tcPr>
            <w:tcW w:w="1227" w:type="dxa"/>
            <w:tcBorders>
              <w:left w:val="single" w:sz="4" w:space="0" w:color="auto"/>
              <w:bottom w:val="nil"/>
            </w:tcBorders>
          </w:tcPr>
          <w:p w:rsidR="00BD5E1B" w:rsidRDefault="00BD5E1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Borders>
              <w:bottom w:val="nil"/>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rPr>
            </w:pPr>
            <w:r>
              <w:rPr>
                <w:rFonts w:ascii="Times New Roman" w:eastAsia="Times New Roman" w:hAnsi="Times New Roman" w:cs="Times New Roman"/>
                <w:noProof/>
                <w:szCs w:val="24"/>
              </w:rPr>
              <w:t>Proposal for a Regulation of the European Parliament and of the Council on a framework for the recovery and</w:t>
            </w:r>
            <w:r>
              <w:rPr>
                <w:rFonts w:ascii="Times New Roman" w:eastAsia="Times New Roman" w:hAnsi="Times New Roman" w:cs="Times New Roman"/>
                <w:noProof/>
                <w:szCs w:val="24"/>
              </w:rPr>
              <w:t xml:space="preserve"> resolution of central counterparties</w:t>
            </w:r>
          </w:p>
        </w:tc>
        <w:tc>
          <w:tcPr>
            <w:tcW w:w="765" w:type="dxa"/>
            <w:tcBorders>
              <w:bottom w:val="nil"/>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rPr>
            </w:pPr>
            <w:r>
              <w:rPr>
                <w:rFonts w:ascii="Times New Roman" w:eastAsia="Times New Roman" w:hAnsi="Times New Roman" w:cs="Times New Roman"/>
                <w:noProof/>
                <w:szCs w:val="24"/>
              </w:rPr>
              <w:t>Nov 2016</w:t>
            </w:r>
          </w:p>
        </w:tc>
        <w:tc>
          <w:tcPr>
            <w:tcW w:w="1645" w:type="dxa"/>
            <w:gridSpan w:val="2"/>
            <w:tcBorders>
              <w:bottom w:val="nil"/>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Negotiating mandate obtained in January 2018</w:t>
            </w:r>
          </w:p>
        </w:tc>
        <w:tc>
          <w:tcPr>
            <w:tcW w:w="1559" w:type="dxa"/>
            <w:gridSpan w:val="2"/>
            <w:tcBorders>
              <w:bottom w:val="nil"/>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eastAsia="Times New Roman" w:hAnsi="Times New Roman" w:cs="Times New Roman"/>
                <w:noProof/>
                <w:szCs w:val="24"/>
              </w:rPr>
              <w:t>Not agreed yet</w:t>
            </w:r>
          </w:p>
        </w:tc>
        <w:tc>
          <w:tcPr>
            <w:tcW w:w="1134" w:type="dxa"/>
            <w:gridSpan w:val="2"/>
            <w:tcBorders>
              <w:bottom w:val="nil"/>
              <w:right w:val="single" w:sz="4" w:space="0" w:color="auto"/>
            </w:tcBorders>
          </w:tcPr>
          <w:p w:rsidR="00BD5E1B" w:rsidRDefault="00872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eastAsia="Times New Roman" w:hAnsi="Times New Roman" w:cs="Times New Roman"/>
                <w:noProof/>
                <w:szCs w:val="24"/>
              </w:rPr>
              <w:t>Not started</w:t>
            </w:r>
          </w:p>
        </w:tc>
      </w:tr>
      <w:tr w:rsidR="00BD5E1B" w:rsidTr="00BD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rsidR="00BD5E1B" w:rsidRDefault="00BD5E1B">
            <w:pPr>
              <w:jc w:val="both"/>
              <w:rPr>
                <w:rFonts w:ascii="Times New Roman" w:eastAsia="Times New Roman" w:hAnsi="Times New Roman" w:cs="Times New Roman"/>
                <w:b/>
                <w:noProof/>
              </w:rPr>
            </w:pPr>
          </w:p>
        </w:tc>
        <w:tc>
          <w:tcPr>
            <w:tcW w:w="1227" w:type="dxa"/>
            <w:tcBorders>
              <w:left w:val="single" w:sz="4" w:space="0" w:color="auto"/>
              <w:bottom w:val="single" w:sz="4" w:space="0" w:color="auto"/>
            </w:tcBorders>
          </w:tcPr>
          <w:p w:rsidR="00BD5E1B" w:rsidRDefault="00BD5E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Borders>
              <w:bottom w:val="single" w:sz="4" w:space="0" w:color="auto"/>
            </w:tcBorders>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Proposal for a Council Directive on a Common Consolidated Corporate Tax Base (CCCTB)</w:t>
            </w:r>
          </w:p>
        </w:tc>
        <w:tc>
          <w:tcPr>
            <w:tcW w:w="765" w:type="dxa"/>
            <w:tcBorders>
              <w:bottom w:val="single" w:sz="4" w:space="0" w:color="auto"/>
            </w:tcBorders>
          </w:tcPr>
          <w:p w:rsidR="00BD5E1B" w:rsidRDefault="00872C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Oct 2016</w:t>
            </w:r>
          </w:p>
        </w:tc>
        <w:tc>
          <w:tcPr>
            <w:tcW w:w="1645" w:type="dxa"/>
            <w:gridSpan w:val="2"/>
            <w:tcBorders>
              <w:bottom w:val="single" w:sz="4" w:space="0" w:color="auto"/>
            </w:tcBorders>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Approved as amended in March 2018</w:t>
            </w:r>
          </w:p>
        </w:tc>
        <w:tc>
          <w:tcPr>
            <w:tcW w:w="1559" w:type="dxa"/>
            <w:gridSpan w:val="2"/>
            <w:tcBorders>
              <w:bottom w:val="single" w:sz="4" w:space="0" w:color="auto"/>
            </w:tcBorders>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 xml:space="preserve">Not </w:t>
            </w:r>
            <w:r>
              <w:rPr>
                <w:rFonts w:ascii="Times New Roman" w:hAnsi="Times New Roman" w:cs="Times New Roman"/>
                <w:noProof/>
                <w:sz w:val="22"/>
                <w:szCs w:val="22"/>
              </w:rPr>
              <w:t>agreed yet</w:t>
            </w:r>
          </w:p>
        </w:tc>
        <w:tc>
          <w:tcPr>
            <w:tcW w:w="1134" w:type="dxa"/>
            <w:gridSpan w:val="2"/>
            <w:tcBorders>
              <w:bottom w:val="single" w:sz="4" w:space="0" w:color="auto"/>
              <w:right w:val="single" w:sz="4" w:space="0" w:color="auto"/>
            </w:tcBorders>
          </w:tcPr>
          <w:p w:rsidR="00BD5E1B" w:rsidRDefault="00872C02">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cs="Times New Roman"/>
                <w:noProof/>
                <w:sz w:val="22"/>
                <w:szCs w:val="22"/>
              </w:rPr>
              <w:t>Not applicable</w:t>
            </w:r>
          </w:p>
        </w:tc>
      </w:tr>
    </w:tbl>
    <w:p w:rsidR="00BD5E1B" w:rsidRDefault="00BD5E1B">
      <w:pPr>
        <w:rPr>
          <w:noProof/>
        </w:rPr>
      </w:pPr>
    </w:p>
    <w:sectPr w:rsidR="00BD5E1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1B" w:rsidRDefault="00872C02">
      <w:pPr>
        <w:spacing w:after="0" w:line="240" w:lineRule="auto"/>
      </w:pPr>
      <w:r>
        <w:separator/>
      </w:r>
    </w:p>
  </w:endnote>
  <w:endnote w:type="continuationSeparator" w:id="0">
    <w:p w:rsidR="00BD5E1B" w:rsidRDefault="0087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872C0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005913"/>
      <w:docPartObj>
        <w:docPartGallery w:val="Page Numbers (Bottom of Page)"/>
        <w:docPartUnique/>
      </w:docPartObj>
    </w:sdtPr>
    <w:sdtEndPr>
      <w:rPr>
        <w:rFonts w:ascii="Times New Roman" w:hAnsi="Times New Roman" w:cs="Times New Roman"/>
        <w:noProof/>
        <w:sz w:val="16"/>
        <w:szCs w:val="16"/>
      </w:rPr>
    </w:sdtEndPr>
    <w:sdtContent>
      <w:p w:rsidR="00BD5E1B" w:rsidRDefault="00872C02">
        <w:pPr>
          <w:pStyle w:val="Footer"/>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1</w:t>
        </w:r>
        <w:r>
          <w:rPr>
            <w:rFonts w:ascii="Times New Roman" w:hAnsi="Times New Roman" w:cs="Times New Roman"/>
            <w:noProof/>
            <w:sz w:val="16"/>
            <w:szCs w:val="16"/>
          </w:rPr>
          <w:fldChar w:fldCharType="end"/>
        </w:r>
      </w:p>
    </w:sdtContent>
  </w:sdt>
  <w:p w:rsidR="00BD5E1B" w:rsidRDefault="00BD5E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1B" w:rsidRDefault="00872C02">
      <w:pPr>
        <w:spacing w:after="0" w:line="240" w:lineRule="auto"/>
      </w:pPr>
      <w:r>
        <w:separator/>
      </w:r>
    </w:p>
  </w:footnote>
  <w:footnote w:type="continuationSeparator" w:id="0">
    <w:p w:rsidR="00BD5E1B" w:rsidRDefault="00872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1B" w:rsidRDefault="00BD5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F467D4D6-9234-4DE9-8A60-094695EFA138"/>
    <w:docVar w:name="LW_COVERPAGE_TYPE" w:val="1"/>
    <w:docVar w:name="LW_CROSSREFERENCE" w:val="&lt;UNUSED&gt;"/>
    <w:docVar w:name="LW_DocType" w:val="NORMAL"/>
    <w:docVar w:name="LW_EMISSION" w:val="28.11.2018"/>
    <w:docVar w:name="LW_EMISSION_ISODATE" w:val="2018-11-28"/>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Capital Markets Union: time for renewed efforts to deliver for investment, growth and a stronger role of the euro"/>
    <w:docVar w:name="LW_PART_NBR" w:val="1"/>
    <w:docVar w:name="LW_PART_NBR_TOTAL" w:val="1"/>
    <w:docVar w:name="LW_REF.INST.NEW" w:val="COM"/>
    <w:docVar w:name="LW_REF.INST.NEW_ADOPTED" w:val="final"/>
    <w:docVar w:name="LW_REF.INST.NEW_TEXT" w:val="(2018)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EUROPEAN COUNCIL, THE COUNCIL, THE EUROPEAN CENTRAL BANK, THE EUROPEAN ECONOMIC AND SOCIAL COMMITTEE AND THE COMMITTEE OF THE REGIONS"/>
  </w:docVars>
  <w:rsids>
    <w:rsidRoot w:val="00BD5E1B"/>
    <w:rsid w:val="00872C02"/>
    <w:rsid w:val="00BD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Pa5">
    <w:name w:val="Pa5"/>
    <w:basedOn w:val="Normal"/>
    <w:next w:val="Normal"/>
    <w:uiPriority w:val="99"/>
    <w:pPr>
      <w:autoSpaceDE w:val="0"/>
      <w:autoSpaceDN w:val="0"/>
      <w:adjustRightInd w:val="0"/>
      <w:spacing w:after="0" w:line="241" w:lineRule="atLeast"/>
    </w:pPr>
    <w:rPr>
      <w:rFonts w:ascii="EC Square Sans Pro Medium" w:hAnsi="EC Square Sans Pro Medium"/>
      <w:sz w:val="24"/>
      <w:szCs w:val="24"/>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775</Words>
  <Characters>4493</Characters>
  <Application>Microsoft Office Word</Application>
  <DocSecurity>0</DocSecurity>
  <Lines>81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2018-11-27T08:52:00Z</dcterms:created>
  <dcterms:modified xsi:type="dcterms:W3CDTF">2018-11-28T09:32:00Z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ies>
</file>