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79" w:rsidRDefault="004B0BF3">
      <w:pPr>
        <w:pStyle w:val="Pagedecouverture"/>
        <w:rPr>
          <w:noProof/>
        </w:rPr>
      </w:pPr>
      <w:bookmarkStart w:id="0" w:name="LW_BM_COVERPAGE"/>
      <w:r>
        <w:rPr>
          <w:noProof/>
        </w:rPr>
        <w:pict>
          <v:shape id="_x0000_i1026" type="#_x0000_t75" alt="27EFC452-9E64-403A-85E8-F459291568DD" style="width:450.25pt;height:376.25pt">
            <v:imagedata r:id="rId11" o:title=""/>
          </v:shape>
        </w:pict>
      </w:r>
    </w:p>
    <w:bookmarkEnd w:id="0"/>
    <w:p w:rsidR="00346779" w:rsidRDefault="00346779">
      <w:pPr>
        <w:rPr>
          <w:noProof/>
        </w:rPr>
        <w:sectPr w:rsidR="0034677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46779" w:rsidRDefault="004B0BF3">
      <w:pPr>
        <w:pStyle w:val="Heading1"/>
        <w:rPr>
          <w:noProof/>
        </w:rPr>
      </w:pPr>
      <w:bookmarkStart w:id="1" w:name="_Toc528147008"/>
      <w:r>
        <w:rPr>
          <w:noProof/>
        </w:rPr>
        <w:lastRenderedPageBreak/>
        <w:t>Introduction</w:t>
      </w:r>
      <w:bookmarkEnd w:id="1"/>
    </w:p>
    <w:p w:rsidR="00346779" w:rsidRDefault="004B0BF3">
      <w:pPr>
        <w:pStyle w:val="BodyText"/>
        <w:rPr>
          <w:noProof/>
        </w:rPr>
      </w:pPr>
      <w:r>
        <w:rPr>
          <w:noProof/>
        </w:rPr>
        <w:t>In his 2018 State of the Union address, President Juncker stressed that “[r]</w:t>
      </w:r>
      <w:r>
        <w:rPr>
          <w:i/>
          <w:noProof/>
        </w:rPr>
        <w:t xml:space="preserve">ecent events have </w:t>
      </w:r>
      <w:r>
        <w:rPr>
          <w:i/>
          <w:noProof/>
        </w:rPr>
        <w:t>brought into sharp focus the need to deepen our Economic and Monetary Union and build deep and liquid capital markets. The Commission has made a series of proposals to do just that – most of which now await adoption by Parliament and Council.</w:t>
      </w:r>
      <w:r>
        <w:rPr>
          <w:noProof/>
        </w:rPr>
        <w:t xml:space="preserve">” </w:t>
      </w:r>
    </w:p>
    <w:p w:rsidR="00346779" w:rsidRDefault="004B0BF3">
      <w:pPr>
        <w:pStyle w:val="BodyText"/>
        <w:rPr>
          <w:noProof/>
        </w:rPr>
      </w:pPr>
      <w:r>
        <w:rPr>
          <w:b/>
          <w:noProof/>
        </w:rPr>
        <w:t>Capital Mar</w:t>
      </w:r>
      <w:r>
        <w:rPr>
          <w:b/>
          <w:noProof/>
        </w:rPr>
        <w:t>kets Union</w:t>
      </w:r>
      <w:r>
        <w:rPr>
          <w:rStyle w:val="FootnoteReference"/>
          <w:noProof/>
        </w:rPr>
        <w:footnoteReference w:id="1"/>
      </w:r>
      <w:r>
        <w:rPr>
          <w:b/>
          <w:noProof/>
        </w:rPr>
        <w:t xml:space="preserve"> is a key priority for the European Union.</w:t>
      </w:r>
      <w:r>
        <w:rPr>
          <w:noProof/>
        </w:rPr>
        <w:t xml:space="preserve"> In light of the upcoming December European Council and the Euro Summit in inclusive format, full commitment and action by all parties to complete the Capital Markets Union is now becoming urgent.</w:t>
      </w:r>
    </w:p>
    <w:p w:rsidR="00346779" w:rsidRDefault="004B0BF3">
      <w:pPr>
        <w:pStyle w:val="BodyText"/>
        <w:rPr>
          <w:noProof/>
        </w:rPr>
      </w:pPr>
      <w:r>
        <w:rPr>
          <w:noProof/>
        </w:rPr>
        <w:t>The Un</w:t>
      </w:r>
      <w:r>
        <w:rPr>
          <w:noProof/>
        </w:rPr>
        <w:t>ion needs</w:t>
      </w:r>
      <w:r>
        <w:rPr>
          <w:b/>
          <w:noProof/>
        </w:rPr>
        <w:t xml:space="preserve"> </w:t>
      </w:r>
      <w:r>
        <w:rPr>
          <w:noProof/>
        </w:rPr>
        <w:t>well developed and integrated capital markets to</w:t>
      </w:r>
      <w:r>
        <w:rPr>
          <w:b/>
          <w:noProof/>
        </w:rPr>
        <w:t xml:space="preserve"> strengthen and support the Economic and Monetary Union and the international role of the euro. </w:t>
      </w:r>
      <w:r>
        <w:rPr>
          <w:noProof/>
        </w:rPr>
        <w:t>Efficient capital mobility makes the Union economy stronger by supporting economic convergence. It all</w:t>
      </w:r>
      <w:r>
        <w:rPr>
          <w:noProof/>
        </w:rPr>
        <w:t>ows Member States to benefit from additional sources of funding for investment in jobs and growth. A fully-fledged Capital Markets Union enhances private risk sharing and helps mitigate economic shocks in the euro area and beyond, by enabling investors and</w:t>
      </w:r>
      <w:r>
        <w:rPr>
          <w:noProof/>
        </w:rPr>
        <w:t xml:space="preserve"> companies from a country experiencing a downturn to access investment and funding opportunities in unaffected countries.</w:t>
      </w:r>
      <w:bookmarkStart w:id="2" w:name="_GoBack"/>
      <w:bookmarkEnd w:id="2"/>
    </w:p>
    <w:p w:rsidR="00346779" w:rsidRDefault="004B0BF3">
      <w:pPr>
        <w:pStyle w:val="BodyText"/>
        <w:rPr>
          <w:noProof/>
        </w:rPr>
      </w:pPr>
      <w:r>
        <w:rPr>
          <w:noProof/>
        </w:rPr>
        <w:t>Moreover, market-based finance can fill the gap left by a temporary reduction in bank lending. For example, during the crisis, loans t</w:t>
      </w:r>
      <w:r>
        <w:rPr>
          <w:noProof/>
        </w:rPr>
        <w:t xml:space="preserve">o companies plummeted, while funding through shares and bonds remained stable. A successful Capital Markets Union, with effective and consistent supervision, complements the Banking Union, and </w:t>
      </w:r>
      <w:r>
        <w:rPr>
          <w:b/>
          <w:noProof/>
        </w:rPr>
        <w:t>contributes towards a stable financial system</w:t>
      </w:r>
      <w:r>
        <w:rPr>
          <w:noProof/>
        </w:rPr>
        <w:t>. This Communicati</w:t>
      </w:r>
      <w:r>
        <w:rPr>
          <w:noProof/>
        </w:rPr>
        <w:t>on is complementary to the Third Progress Report on the reduction of non-performing loans and further risk reduction in the Banking Union, also adopted today.</w:t>
      </w:r>
    </w:p>
    <w:p w:rsidR="00346779" w:rsidRDefault="004B0BF3">
      <w:pPr>
        <w:pStyle w:val="BodyText"/>
        <w:rPr>
          <w:noProof/>
        </w:rPr>
      </w:pPr>
      <w:r>
        <w:rPr>
          <w:noProof/>
        </w:rPr>
        <w:t xml:space="preserve">A successful Capital Markets Union is also needed to </w:t>
      </w:r>
      <w:r>
        <w:rPr>
          <w:b/>
          <w:noProof/>
        </w:rPr>
        <w:t>develop local capital markets and to improve</w:t>
      </w:r>
      <w:r>
        <w:rPr>
          <w:b/>
          <w:noProof/>
        </w:rPr>
        <w:t xml:space="preserve"> access to finance for businesses</w:t>
      </w:r>
      <w:r>
        <w:rPr>
          <w:noProof/>
        </w:rPr>
        <w:t>. Alternative market-based sources of financing are particularly important to finance innovation, entrepreneurship and start-ups, which are main engines of job creation. A successful Capital Markets Union will enable compan</w:t>
      </w:r>
      <w:r>
        <w:rPr>
          <w:noProof/>
        </w:rPr>
        <w:t>ies to seek more funding from across the Union, for instance by listing on a stock exchange in another Member State.</w:t>
      </w:r>
    </w:p>
    <w:p w:rsidR="00346779" w:rsidRDefault="004B0BF3">
      <w:pPr>
        <w:pStyle w:val="BodyText"/>
        <w:rPr>
          <w:noProof/>
        </w:rPr>
      </w:pPr>
      <w:r>
        <w:rPr>
          <w:noProof/>
        </w:rPr>
        <w:t xml:space="preserve">The Capital Markets Union </w:t>
      </w:r>
      <w:r>
        <w:rPr>
          <w:b/>
          <w:noProof/>
        </w:rPr>
        <w:t>provides</w:t>
      </w:r>
      <w:r>
        <w:rPr>
          <w:noProof/>
        </w:rPr>
        <w:t xml:space="preserve"> </w:t>
      </w:r>
      <w:r>
        <w:rPr>
          <w:b/>
          <w:noProof/>
        </w:rPr>
        <w:t xml:space="preserve">more investment opportunities. </w:t>
      </w:r>
      <w:r>
        <w:rPr>
          <w:noProof/>
        </w:rPr>
        <w:t>It allows</w:t>
      </w:r>
      <w:r>
        <w:rPr>
          <w:b/>
          <w:noProof/>
        </w:rPr>
        <w:t xml:space="preserve"> </w:t>
      </w:r>
      <w:r>
        <w:rPr>
          <w:noProof/>
        </w:rPr>
        <w:t>retail investors to access rewarding investment products that h</w:t>
      </w:r>
      <w:r>
        <w:rPr>
          <w:noProof/>
        </w:rPr>
        <w:t>elp them meet their medium and long term financial needs, including saving for retirement. For example, today only 27% of Union citizens have a personal pension product. The Capital Markets Union will give more opportunities to enable more citizens to prep</w:t>
      </w:r>
      <w:r>
        <w:rPr>
          <w:noProof/>
        </w:rPr>
        <w:t>are for their retirement. And just over a third of retail investment funds</w:t>
      </w:r>
      <w:r>
        <w:rPr>
          <w:rStyle w:val="FootnoteReference"/>
          <w:noProof/>
        </w:rPr>
        <w:footnoteReference w:id="2"/>
      </w:r>
      <w:r>
        <w:rPr>
          <w:noProof/>
        </w:rPr>
        <w:t xml:space="preserve"> are sold in more than three Member States due to regulatory barriers. Therefore, the Capital Markets Union will allow citizens to buy cheaper and better investment products.</w:t>
      </w:r>
    </w:p>
    <w:p w:rsidR="00346779" w:rsidRDefault="004B0BF3">
      <w:pPr>
        <w:pStyle w:val="BodyText"/>
        <w:rPr>
          <w:noProof/>
        </w:rPr>
      </w:pPr>
      <w:r>
        <w:rPr>
          <w:noProof/>
        </w:rPr>
        <w:t>Thanks</w:t>
      </w:r>
      <w:r>
        <w:rPr>
          <w:noProof/>
        </w:rPr>
        <w:t xml:space="preserve"> to strong and liquid capital markets, institutional investors can operate more easily on a Union-wide scale and finance innovation, the transition to a low-carbon, more </w:t>
      </w:r>
      <w:r>
        <w:rPr>
          <w:noProof/>
        </w:rPr>
        <w:lastRenderedPageBreak/>
        <w:t>resource-efficient circular economy and infrastructure investments, which are essentia</w:t>
      </w:r>
      <w:r>
        <w:rPr>
          <w:noProof/>
        </w:rPr>
        <w:t>l to strengthen the Union's competitiveness.</w:t>
      </w:r>
    </w:p>
    <w:p w:rsidR="00346779" w:rsidRDefault="004B0BF3">
      <w:pPr>
        <w:pStyle w:val="BodyText"/>
        <w:rPr>
          <w:noProof/>
        </w:rPr>
      </w:pPr>
      <w:r>
        <w:rPr>
          <w:noProof/>
        </w:rPr>
        <w:t>The Capital Markets Union will also enable financial services providers to scale up and offer their services to a wider range of customers in different Member States. There are already 13 484 financial instituti</w:t>
      </w:r>
      <w:r>
        <w:rPr>
          <w:noProof/>
        </w:rPr>
        <w:t>ons making use of 359 953 passports to provide financial services in the Union. Thanks to the Capital Markets Union, financial institutions would be able to offer their products and services more easily in other Member States, without compromising on inves</w:t>
      </w:r>
      <w:r>
        <w:rPr>
          <w:noProof/>
        </w:rPr>
        <w:t>tor protection.There is no single measure that delivers the Capital Markets Union as it entails a profound structural change of the financial system. The impact of the measures put forward by the Commission will cumulatively be significant but it takes tim</w:t>
      </w:r>
      <w:r>
        <w:rPr>
          <w:noProof/>
        </w:rPr>
        <w:t xml:space="preserve">e for the full benefits to materialise. </w:t>
      </w:r>
      <w:r>
        <w:rPr>
          <w:b/>
          <w:noProof/>
        </w:rPr>
        <w:t>The upward potential is there (see figure below) and now is the time to take resolute action.</w:t>
      </w:r>
    </w:p>
    <w:p w:rsidR="00346779" w:rsidRDefault="004B0BF3">
      <w:pPr>
        <w:pStyle w:val="BodyText"/>
        <w:keepNext/>
        <w:rPr>
          <w:i/>
          <w:noProof/>
        </w:rPr>
      </w:pPr>
      <w:r>
        <w:rPr>
          <w:noProof/>
        </w:rPr>
        <w:t xml:space="preserve">Figure - Size of capital markets in selected regions </w:t>
      </w:r>
      <w:r>
        <w:rPr>
          <w:i/>
          <w:noProof/>
        </w:rPr>
        <w:t>(amounts outstanding at the end of 2017 as a percentage of GDP)</w:t>
      </w:r>
    </w:p>
    <w:p w:rsidR="00346779" w:rsidRDefault="004B0BF3">
      <w:pPr>
        <w:pStyle w:val="BodyText"/>
        <w:rPr>
          <w:noProof/>
        </w:rPr>
      </w:pPr>
      <w:r>
        <w:rPr>
          <w:noProof/>
          <w:lang w:val="fr-BE" w:eastAsia="fr-BE"/>
        </w:rPr>
        <w:drawing>
          <wp:inline distT="0" distB="0" distL="0" distR="0">
            <wp:extent cx="5472430" cy="2451100"/>
            <wp:effectExtent l="0" t="0" r="1397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6779" w:rsidRDefault="004B0BF3">
      <w:pPr>
        <w:spacing w:after="0"/>
        <w:rPr>
          <w:noProof/>
          <w:sz w:val="18"/>
          <w:lang w:val="en-IE"/>
        </w:rPr>
      </w:pPr>
      <w:r>
        <w:rPr>
          <w:noProof/>
          <w:sz w:val="18"/>
          <w:lang w:val="en-IE"/>
        </w:rPr>
        <w:t xml:space="preserve">Source: </w:t>
      </w:r>
      <w:r>
        <w:rPr>
          <w:noProof/>
          <w:sz w:val="18"/>
          <w:lang w:val="en-IE"/>
        </w:rPr>
        <w:tab/>
        <w:t>European Capital Markets Institute and own calculations</w:t>
      </w:r>
    </w:p>
    <w:p w:rsidR="00346779" w:rsidRDefault="004B0BF3">
      <w:pPr>
        <w:spacing w:after="0"/>
        <w:ind w:left="720" w:hanging="720"/>
        <w:rPr>
          <w:noProof/>
          <w:sz w:val="18"/>
          <w:lang w:val="en-IE"/>
        </w:rPr>
      </w:pPr>
      <w:r>
        <w:rPr>
          <w:noProof/>
          <w:sz w:val="18"/>
          <w:lang w:val="en-IE"/>
        </w:rPr>
        <w:t>Notes:</w:t>
      </w:r>
      <w:r>
        <w:rPr>
          <w:noProof/>
          <w:sz w:val="18"/>
          <w:lang w:val="en-IE"/>
        </w:rPr>
        <w:tab/>
        <w:t>While the EU and US markets are not entirely comparable, the figure shows that capital markets in the EU-28 represent around 160% of the GDP of the Union whereas they represent 260% of</w:t>
      </w:r>
      <w:r>
        <w:rPr>
          <w:noProof/>
          <w:sz w:val="18"/>
          <w:lang w:val="en-IE"/>
        </w:rPr>
        <w:t xml:space="preserve"> the GDP in the United States;</w:t>
      </w:r>
      <w:r>
        <w:rPr>
          <w:i/>
          <w:noProof/>
          <w:sz w:val="18"/>
          <w:lang w:val="en-IE"/>
        </w:rPr>
        <w:t xml:space="preserve"> </w:t>
      </w:r>
      <w:r>
        <w:rPr>
          <w:noProof/>
          <w:sz w:val="18"/>
          <w:lang w:val="en-IE"/>
        </w:rPr>
        <w:t>stock market capitalisation and bonds issued by financial and non-financial corporations; the average of the top 5 markets in the European Union was obtained as a GDP-weighted average for Netherlands, Sweden, Denmark, Ireland</w:t>
      </w:r>
      <w:r>
        <w:rPr>
          <w:noProof/>
          <w:sz w:val="18"/>
          <w:lang w:val="en-IE"/>
        </w:rPr>
        <w:t xml:space="preserve"> and Luxembourg with weights of 40%, 26%, 16%, 16% and 5%, respectively</w:t>
      </w:r>
    </w:p>
    <w:p w:rsidR="00346779" w:rsidRDefault="00346779">
      <w:pPr>
        <w:spacing w:after="0"/>
        <w:ind w:left="720" w:hanging="720"/>
        <w:rPr>
          <w:i/>
          <w:noProof/>
          <w:sz w:val="18"/>
          <w:lang w:val="en-IE"/>
        </w:rPr>
      </w:pPr>
    </w:p>
    <w:p w:rsidR="00346779" w:rsidRDefault="004B0BF3">
      <w:pPr>
        <w:pStyle w:val="BodyText"/>
        <w:rPr>
          <w:noProof/>
        </w:rPr>
      </w:pPr>
      <w:r>
        <w:rPr>
          <w:noProof/>
        </w:rPr>
        <w:t>President Juncker recalled in the 2018 State of the Union address that “</w:t>
      </w:r>
      <w:r>
        <w:rPr>
          <w:i/>
          <w:noProof/>
        </w:rPr>
        <w:t>at the beginning of this mandate, we all collectively promised to deliver a […] Capital Markets Union</w:t>
      </w:r>
      <w:r>
        <w:rPr>
          <w:noProof/>
        </w:rPr>
        <w:t>”. With th</w:t>
      </w:r>
      <w:r>
        <w:rPr>
          <w:noProof/>
        </w:rPr>
        <w:t xml:space="preserve">e elections for the European Parliament in May 2019 approaching, the </w:t>
      </w:r>
      <w:r>
        <w:rPr>
          <w:b/>
          <w:noProof/>
        </w:rPr>
        <w:t>Commission stresses the need for the co-legislators to accelerate the work on the pending proposals and to show the necessary political ambition to make sure that all proposals are comple</w:t>
      </w:r>
      <w:r>
        <w:rPr>
          <w:b/>
          <w:noProof/>
        </w:rPr>
        <w:t>ted by the end of the mandate.</w:t>
      </w:r>
      <w:r>
        <w:rPr>
          <w:noProof/>
        </w:rPr>
        <w:t xml:space="preserve"> The need to progress is made even more urgent by the future departure of the United Kingdom. The Commission stands ready to increase its support to the co-legislators in delivering the key building blocks of the Capital Marke</w:t>
      </w:r>
      <w:r>
        <w:rPr>
          <w:noProof/>
        </w:rPr>
        <w:t>ts Union.</w:t>
      </w:r>
    </w:p>
    <w:p w:rsidR="00346779" w:rsidRDefault="004B0BF3">
      <w:pPr>
        <w:pStyle w:val="Heading1"/>
        <w:rPr>
          <w:noProof/>
        </w:rPr>
      </w:pPr>
      <w:bookmarkStart w:id="3" w:name="_Toc528147009"/>
      <w:r>
        <w:rPr>
          <w:noProof/>
        </w:rPr>
        <w:t xml:space="preserve">Achievements of the </w:t>
      </w:r>
      <w:bookmarkEnd w:id="3"/>
      <w:r>
        <w:rPr>
          <w:noProof/>
        </w:rPr>
        <w:t>capital markets union so far</w:t>
      </w:r>
    </w:p>
    <w:p w:rsidR="00346779" w:rsidRDefault="004B0BF3">
      <w:pPr>
        <w:pStyle w:val="BodyText"/>
        <w:rPr>
          <w:noProof/>
        </w:rPr>
      </w:pPr>
      <w:r>
        <w:rPr>
          <w:noProof/>
        </w:rPr>
        <w:t>The Capital Markets Union Action Plan of September 2015 and the June 2017 Mid-term review set out a comprehensive programme to put in place the building blocks for the Capital Markets Union by 2019</w:t>
      </w:r>
      <w:r>
        <w:rPr>
          <w:noProof/>
        </w:rPr>
        <w:t>.</w:t>
      </w:r>
    </w:p>
    <w:p w:rsidR="00346779" w:rsidRDefault="004B0BF3">
      <w:pPr>
        <w:pStyle w:val="BodyText"/>
        <w:rPr>
          <w:noProof/>
        </w:rPr>
      </w:pPr>
      <w:r>
        <w:rPr>
          <w:noProof/>
        </w:rPr>
        <w:t>The programme includes 13 legislative proposals tabled by the Commission to put in place the key building blocks of the Capital Markets Union. In addition, the Commission has proposed three legislative proposals to enable the financial sector of the Unio</w:t>
      </w:r>
      <w:r>
        <w:rPr>
          <w:noProof/>
        </w:rPr>
        <w:t>n to lead the way to a greener and cleaner economy.</w:t>
      </w:r>
      <w:r>
        <w:rPr>
          <w:rStyle w:val="FootnoteReference"/>
          <w:noProof/>
        </w:rPr>
        <w:footnoteReference w:id="3"/>
      </w:r>
      <w:r>
        <w:rPr>
          <w:noProof/>
        </w:rPr>
        <w:t xml:space="preserve"> However, the European Parliament and the Council have so far only agreed on three of them:</w:t>
      </w:r>
    </w:p>
    <w:p w:rsidR="00346779" w:rsidRDefault="004B0BF3">
      <w:pPr>
        <w:pStyle w:val="BodyText"/>
        <w:numPr>
          <w:ilvl w:val="0"/>
          <w:numId w:val="32"/>
        </w:numPr>
        <w:rPr>
          <w:noProof/>
          <w:szCs w:val="24"/>
        </w:rPr>
      </w:pPr>
      <w:r>
        <w:rPr>
          <w:noProof/>
        </w:rPr>
        <w:t xml:space="preserve">The </w:t>
      </w:r>
      <w:r>
        <w:rPr>
          <w:b/>
          <w:noProof/>
        </w:rPr>
        <w:t>Prospectus Regulation</w:t>
      </w:r>
      <w:r>
        <w:rPr>
          <w:rStyle w:val="FootnoteReference"/>
          <w:noProof/>
        </w:rPr>
        <w:footnoteReference w:id="4"/>
      </w:r>
      <w:r>
        <w:rPr>
          <w:noProof/>
        </w:rPr>
        <w:t>, adopted</w:t>
      </w:r>
      <w:r>
        <w:rPr>
          <w:noProof/>
          <w:szCs w:val="24"/>
        </w:rPr>
        <w:t xml:space="preserve"> </w:t>
      </w:r>
      <w:r>
        <w:rPr>
          <w:noProof/>
        </w:rPr>
        <w:t xml:space="preserve">in June 2017, </w:t>
      </w:r>
      <w:r>
        <w:rPr>
          <w:noProof/>
          <w:szCs w:val="24"/>
        </w:rPr>
        <w:t>cuts red tape for companies seeking financing opportunities by</w:t>
      </w:r>
      <w:r>
        <w:rPr>
          <w:noProof/>
          <w:szCs w:val="24"/>
        </w:rPr>
        <w:t xml:space="preserve"> making a prospectus simple to produce and clear for investors to understand. </w:t>
      </w:r>
    </w:p>
    <w:p w:rsidR="00346779" w:rsidRDefault="004B0BF3">
      <w:pPr>
        <w:pStyle w:val="BodyText"/>
        <w:numPr>
          <w:ilvl w:val="0"/>
          <w:numId w:val="32"/>
        </w:numPr>
        <w:rPr>
          <w:noProof/>
          <w:szCs w:val="24"/>
        </w:rPr>
      </w:pPr>
      <w:r>
        <w:rPr>
          <w:noProof/>
          <w:szCs w:val="24"/>
        </w:rPr>
        <w:t xml:space="preserve">The </w:t>
      </w:r>
      <w:r>
        <w:rPr>
          <w:b/>
          <w:noProof/>
        </w:rPr>
        <w:t>Regulations on European venture capital and social entrepreneurship funds</w:t>
      </w:r>
      <w:r>
        <w:rPr>
          <w:rStyle w:val="FootnoteReference"/>
          <w:noProof/>
        </w:rPr>
        <w:footnoteReference w:id="5"/>
      </w:r>
      <w:r>
        <w:rPr>
          <w:noProof/>
        </w:rPr>
        <w:t>,</w:t>
      </w:r>
      <w:r>
        <w:rPr>
          <w:b/>
          <w:noProof/>
        </w:rPr>
        <w:t xml:space="preserve"> </w:t>
      </w:r>
      <w:r>
        <w:rPr>
          <w:noProof/>
        </w:rPr>
        <w:t xml:space="preserve">adopted in October 2017, aim to </w:t>
      </w:r>
      <w:r>
        <w:rPr>
          <w:noProof/>
          <w:szCs w:val="24"/>
        </w:rPr>
        <w:t>boost investment into venture capital and social projects. They m</w:t>
      </w:r>
      <w:r>
        <w:rPr>
          <w:noProof/>
          <w:szCs w:val="24"/>
        </w:rPr>
        <w:t xml:space="preserve">ake it easier for investors to invest in innovative small and medium-sized enterprises by opening up the regulation to fund managers of all sizes and by expanding the range of companies that can be invested in. In addition to the new rules, the Commission </w:t>
      </w:r>
      <w:r>
        <w:rPr>
          <w:noProof/>
          <w:szCs w:val="24"/>
        </w:rPr>
        <w:t>has established</w:t>
      </w:r>
      <w:r>
        <w:rPr>
          <w:b/>
          <w:noProof/>
          <w:szCs w:val="24"/>
        </w:rPr>
        <w:t xml:space="preserve"> Venture Capital Fund-of-Funds</w:t>
      </w:r>
      <w:r>
        <w:rPr>
          <w:noProof/>
          <w:szCs w:val="24"/>
        </w:rPr>
        <w:t xml:space="preserve"> to support innovative investments and will continue to work on other measures to support venture capital. </w:t>
      </w:r>
    </w:p>
    <w:p w:rsidR="00346779" w:rsidRDefault="004B0BF3">
      <w:pPr>
        <w:pStyle w:val="BodyText"/>
        <w:numPr>
          <w:ilvl w:val="0"/>
          <w:numId w:val="32"/>
        </w:numPr>
        <w:rPr>
          <w:noProof/>
          <w:szCs w:val="24"/>
        </w:rPr>
      </w:pPr>
      <w:r>
        <w:rPr>
          <w:noProof/>
          <w:szCs w:val="24"/>
        </w:rPr>
        <w:t xml:space="preserve">Finally, the </w:t>
      </w:r>
      <w:r>
        <w:rPr>
          <w:b/>
          <w:noProof/>
          <w:szCs w:val="24"/>
        </w:rPr>
        <w:t>Regulation on Simple, Transparent and Standardised (STS) securitisations</w:t>
      </w:r>
      <w:r>
        <w:rPr>
          <w:rStyle w:val="FootnoteReference"/>
          <w:noProof/>
          <w:szCs w:val="24"/>
        </w:rPr>
        <w:footnoteReference w:id="6"/>
      </w:r>
      <w:r>
        <w:rPr>
          <w:noProof/>
          <w:szCs w:val="24"/>
        </w:rPr>
        <w:t>,</w:t>
      </w:r>
      <w:r>
        <w:rPr>
          <w:b/>
          <w:noProof/>
          <w:szCs w:val="24"/>
        </w:rPr>
        <w:t xml:space="preserve"> </w:t>
      </w:r>
      <w:r>
        <w:rPr>
          <w:noProof/>
          <w:szCs w:val="24"/>
        </w:rPr>
        <w:t>adopted in Dece</w:t>
      </w:r>
      <w:r>
        <w:rPr>
          <w:noProof/>
          <w:szCs w:val="24"/>
        </w:rPr>
        <w:t xml:space="preserve">mber 2017, helps to build confidence in the </w:t>
      </w:r>
      <w:r>
        <w:rPr>
          <w:noProof/>
        </w:rPr>
        <w:t xml:space="preserve">securitisation </w:t>
      </w:r>
      <w:r>
        <w:rPr>
          <w:noProof/>
          <w:szCs w:val="24"/>
        </w:rPr>
        <w:t>market and frees up the balance sheets of banks. I</w:t>
      </w:r>
      <w:r>
        <w:rPr>
          <w:noProof/>
        </w:rPr>
        <w:t>f the market would go back to pre-crisis average issuance levels, banks would be able to provide an additional €157 billion of credit to the privat</w:t>
      </w:r>
      <w:r>
        <w:rPr>
          <w:noProof/>
        </w:rPr>
        <w:t>e sector</w:t>
      </w:r>
      <w:r>
        <w:rPr>
          <w:noProof/>
          <w:szCs w:val="24"/>
        </w:rPr>
        <w:t>.</w:t>
      </w:r>
      <w:r>
        <w:rPr>
          <w:rStyle w:val="FootnoteReference"/>
          <w:noProof/>
          <w:szCs w:val="24"/>
        </w:rPr>
        <w:footnoteReference w:id="7"/>
      </w:r>
      <w:r>
        <w:rPr>
          <w:noProof/>
          <w:szCs w:val="24"/>
        </w:rPr>
        <w:t xml:space="preserve"> In addition to the Regulation on STS securitisations, the Commission amended the implementing rules of the Solvency II regulatory framework</w:t>
      </w:r>
      <w:r>
        <w:rPr>
          <w:rStyle w:val="FootnoteReference"/>
          <w:noProof/>
          <w:szCs w:val="24"/>
        </w:rPr>
        <w:footnoteReference w:id="8"/>
      </w:r>
      <w:r>
        <w:rPr>
          <w:noProof/>
          <w:szCs w:val="24"/>
        </w:rPr>
        <w:t xml:space="preserve"> to </w:t>
      </w:r>
      <w:r>
        <w:rPr>
          <w:b/>
          <w:noProof/>
          <w:szCs w:val="24"/>
        </w:rPr>
        <w:t>facilitate investments by insurers in STS securitisations and infrastructure</w:t>
      </w:r>
      <w:r>
        <w:rPr>
          <w:noProof/>
          <w:szCs w:val="24"/>
        </w:rPr>
        <w:t xml:space="preserve">. </w:t>
      </w:r>
    </w:p>
    <w:p w:rsidR="00346779" w:rsidRDefault="004B0BF3">
      <w:pPr>
        <w:pStyle w:val="BodyText"/>
        <w:rPr>
          <w:noProof/>
          <w:szCs w:val="24"/>
        </w:rPr>
      </w:pPr>
      <w:r>
        <w:rPr>
          <w:noProof/>
          <w:szCs w:val="24"/>
        </w:rPr>
        <w:t>Similar to the adjustm</w:t>
      </w:r>
      <w:r>
        <w:rPr>
          <w:noProof/>
          <w:szCs w:val="24"/>
        </w:rPr>
        <w:t>ent for STS securitisation and infrastructure, the Commission intends to propose adjustments to insurers' investment in equity and private placements of debt.</w:t>
      </w:r>
    </w:p>
    <w:p w:rsidR="00346779" w:rsidRDefault="004B0BF3">
      <w:pPr>
        <w:pStyle w:val="Heading1"/>
        <w:rPr>
          <w:noProof/>
        </w:rPr>
      </w:pPr>
      <w:r>
        <w:rPr>
          <w:noProof/>
        </w:rPr>
        <w:t>Capital Markets Union initiatives on which further swift progress is needed</w:t>
      </w:r>
    </w:p>
    <w:p w:rsidR="00346779" w:rsidRDefault="004B0BF3">
      <w:pPr>
        <w:rPr>
          <w:noProof/>
        </w:rPr>
      </w:pPr>
      <w:r>
        <w:rPr>
          <w:noProof/>
        </w:rPr>
        <w:t>The effective functio</w:t>
      </w:r>
      <w:r>
        <w:rPr>
          <w:noProof/>
        </w:rPr>
        <w:t>ning of the Capital Markets Union needs to be given a strong political impetus. To reap the full benefits of the Single Market, businesses and investors need to have new opportunities to scale up Union-wide and compete globally, clear and proportionate rul</w:t>
      </w:r>
      <w:r>
        <w:rPr>
          <w:noProof/>
        </w:rPr>
        <w:t>es, and efficient supervision. Strong and liquid capital markets also play a crucial role in strengthening the leadership of the Union in financing the necessary transition towards a low-carbon, more resource-efficient and circular economy.</w:t>
      </w:r>
    </w:p>
    <w:tbl>
      <w:tblPr>
        <w:tblStyle w:val="TableGrid"/>
        <w:tblW w:w="8630" w:type="dxa"/>
        <w:jc w:val="center"/>
        <w:tblLayout w:type="fixed"/>
        <w:tblCellMar>
          <w:top w:w="57" w:type="dxa"/>
        </w:tblCellMar>
        <w:tblLook w:val="04A0" w:firstRow="1" w:lastRow="0" w:firstColumn="1" w:lastColumn="0" w:noHBand="0" w:noVBand="1"/>
      </w:tblPr>
      <w:tblGrid>
        <w:gridCol w:w="450"/>
        <w:gridCol w:w="3547"/>
        <w:gridCol w:w="2217"/>
        <w:gridCol w:w="2217"/>
        <w:gridCol w:w="199"/>
      </w:tblGrid>
      <w:tr w:rsidR="00346779">
        <w:trPr>
          <w:gridAfter w:val="1"/>
          <w:wAfter w:w="204" w:type="dxa"/>
          <w:trHeight w:hRule="exact" w:val="1676"/>
          <w:jc w:val="center"/>
        </w:trPr>
        <w:tc>
          <w:tcPr>
            <w:tcW w:w="4094" w:type="dxa"/>
            <w:gridSpan w:val="2"/>
            <w:tcBorders>
              <w:top w:val="nil"/>
              <w:left w:val="nil"/>
              <w:bottom w:val="single" w:sz="4" w:space="0" w:color="auto"/>
            </w:tcBorders>
            <w:vAlign w:val="center"/>
          </w:tcPr>
          <w:p w:rsidR="00346779" w:rsidRDefault="004B0BF3">
            <w:pPr>
              <w:keepNext/>
              <w:keepLines/>
              <w:spacing w:after="0"/>
              <w:jc w:val="center"/>
              <w:rPr>
                <w:rFonts w:ascii="Times New Roman" w:hAnsi="Times New Roman" w:cs="Times New Roman"/>
                <w:b/>
                <w:noProof/>
                <w:color w:val="000000" w:themeColor="text1"/>
                <w:sz w:val="22"/>
              </w:rPr>
            </w:pPr>
            <w:r>
              <w:rPr>
                <w:rFonts w:ascii="Times New Roman" w:hAnsi="Times New Roman" w:cs="Times New Roman"/>
                <w:b/>
                <w:noProof/>
                <w:color w:val="000000" w:themeColor="text1"/>
                <w:sz w:val="22"/>
              </w:rPr>
              <w:t xml:space="preserve">POLICY </w:t>
            </w:r>
            <w:r>
              <w:rPr>
                <w:rFonts w:ascii="Times New Roman" w:hAnsi="Times New Roman" w:cs="Times New Roman"/>
                <w:b/>
                <w:noProof/>
                <w:color w:val="000000" w:themeColor="text1"/>
                <w:sz w:val="22"/>
              </w:rPr>
              <w:t>DESCRIPTION</w:t>
            </w:r>
          </w:p>
        </w:tc>
        <w:tc>
          <w:tcPr>
            <w:tcW w:w="2268" w:type="dxa"/>
            <w:tcBorders>
              <w:top w:val="nil"/>
            </w:tcBorders>
          </w:tcPr>
          <w:p w:rsidR="00346779" w:rsidRDefault="004B0BF3">
            <w:pPr>
              <w:keepNext/>
              <w:keepLines/>
              <w:tabs>
                <w:tab w:val="left" w:pos="720"/>
              </w:tabs>
              <w:spacing w:before="120" w:after="0"/>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object w:dxaOrig="3225" w:dyaOrig="1920">
                <v:shape id="_x0000_i1027" type="#_x0000_t75" style="width:66.95pt;height:39.55pt" o:ole="">
                  <v:imagedata r:id="rId19" o:title=""/>
                </v:shape>
                <o:OLEObject Type="Embed" ProgID="PBrush" ShapeID="_x0000_i1027" DrawAspect="Content" ObjectID="_1604906406" r:id="rId20"/>
              </w:object>
            </w:r>
          </w:p>
          <w:p w:rsidR="00346779" w:rsidRDefault="004B0BF3">
            <w:pPr>
              <w:keepNext/>
              <w:keepLines/>
              <w:tabs>
                <w:tab w:val="left" w:pos="756"/>
              </w:tabs>
              <w:spacing w:before="120" w:after="0"/>
              <w:jc w:val="center"/>
              <w:rPr>
                <w:rFonts w:ascii="Times New Roman" w:hAnsi="Times New Roman" w:cs="Times New Roman"/>
                <w:b/>
                <w:noProof/>
                <w:color w:val="000000" w:themeColor="text1"/>
                <w:sz w:val="20"/>
                <w:lang w:eastAsia="en-GB"/>
              </w:rPr>
            </w:pPr>
            <w:r>
              <w:rPr>
                <w:rFonts w:ascii="Times New Roman" w:hAnsi="Times New Roman" w:cs="Times New Roman"/>
                <w:noProof/>
                <w:sz w:val="20"/>
              </w:rPr>
              <w:t xml:space="preserve">European </w:t>
            </w:r>
            <w:r>
              <w:rPr>
                <w:rFonts w:ascii="Times New Roman" w:hAnsi="Times New Roman" w:cs="Times New Roman"/>
                <w:noProof/>
                <w:sz w:val="20"/>
              </w:rPr>
              <w:br/>
              <w:t>Parliament</w:t>
            </w:r>
          </w:p>
        </w:tc>
        <w:tc>
          <w:tcPr>
            <w:tcW w:w="2268" w:type="dxa"/>
            <w:tcBorders>
              <w:top w:val="nil"/>
            </w:tcBorders>
          </w:tcPr>
          <w:p w:rsidR="00346779" w:rsidRDefault="004B0BF3">
            <w:pPr>
              <w:keepNext/>
              <w:keepLines/>
              <w:spacing w:before="120" w:after="0"/>
              <w:jc w:val="center"/>
              <w:rPr>
                <w:rFonts w:ascii="Times New Roman" w:hAnsi="Times New Roman" w:cs="Times New Roman"/>
                <w:noProof/>
                <w:sz w:val="20"/>
              </w:rPr>
            </w:pPr>
            <w:r>
              <w:rPr>
                <w:rFonts w:ascii="Times New Roman" w:eastAsia="Times New Roman" w:hAnsi="Times New Roman" w:cs="Times New Roman"/>
                <w:noProof/>
                <w:sz w:val="20"/>
                <w:szCs w:val="20"/>
              </w:rPr>
              <w:object w:dxaOrig="2805" w:dyaOrig="2490">
                <v:shape id="_x0000_i1028" type="#_x0000_t75" style="width:42.6pt;height:38.55pt" o:ole="">
                  <v:imagedata r:id="rId21" o:title=""/>
                </v:shape>
                <o:OLEObject Type="Embed" ProgID="PBrush" ShapeID="_x0000_i1028" DrawAspect="Content" ObjectID="_1604906407" r:id="rId22"/>
              </w:object>
            </w:r>
          </w:p>
          <w:p w:rsidR="00346779" w:rsidRDefault="004B0BF3">
            <w:pPr>
              <w:keepNext/>
              <w:keepLines/>
              <w:tabs>
                <w:tab w:val="left" w:pos="720"/>
              </w:tabs>
              <w:spacing w:before="120" w:after="0"/>
              <w:jc w:val="center"/>
              <w:rPr>
                <w:rFonts w:ascii="Times New Roman" w:hAnsi="Times New Roman" w:cs="Times New Roman"/>
                <w:noProof/>
                <w:sz w:val="20"/>
              </w:rPr>
            </w:pPr>
            <w:r>
              <w:rPr>
                <w:rFonts w:ascii="Times New Roman" w:hAnsi="Times New Roman" w:cs="Times New Roman"/>
                <w:noProof/>
                <w:sz w:val="20"/>
              </w:rPr>
              <w:t xml:space="preserve">Council of the </w:t>
            </w:r>
            <w:r>
              <w:rPr>
                <w:rFonts w:ascii="Times New Roman" w:hAnsi="Times New Roman" w:cs="Times New Roman"/>
                <w:noProof/>
                <w:sz w:val="20"/>
              </w:rPr>
              <w:br/>
              <w:t>European Union</w: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Pan-European personal pension product (PEPP)</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86" name="Oval 28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71D203" id="Oval 28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3rjwIAAK8FAAAOAAAAZHJzL2Uyb0RvYy54bWysVMFu2zAMvQ/YPwi6r47dNO2COEWQLsOA&#10;oi3aDj0rshQLkEVNUuJkXz9KdtxuLTagWA4KKZJP5DPJ2eW+0WQnnFdgSpqfjCgRhkOlzKak3x9X&#10;ny4o8YGZimkwoqQH4enl/OOHWWunooAadCUcQRDjp60taR2CnWaZ57VomD8BKwwaJbiGBVTdJqsc&#10;axG90VkxGk2yFlxlHXDhPd5edUY6T/hSCh5upfQiEF1SzC2k06VzHc9sPmPTjWO2VrxPg70ji4Yp&#10;g48OUFcsMLJ16hVUo7gDDzKccGgykFJxkWrAavLRH9U81MyKVAuS4+1Ak/9/sPxmd+eIqkpaXEwo&#10;MazBj3S7Y5pEHdlprZ+i04O9c73mUYyl7qVr4j8WQfaJ0cPAqNgHwvEyL8bjCfLO0ZQX55PTs4iZ&#10;PQdb58NXAQ2JQkmF1sr6WDObst21D5330Stee9CqWimtk+I266V2BBMu6Wr1ZZWnT4oP/Oamzfsi&#10;ESeGZpGEruwkhYMWEVCbeyGRPCy0SCmnthVDQoxzYcJpZ6pZJbo8z0b463kYIhIrCTAiS6xvwM7/&#10;ht0R1PvHUJG6fgge/Tt4iEgvgwlDcKMMuLcAdMj7AmTnfySpoyaytIbqgK3loJs5b/lK4Te+Zj7c&#10;MYdDhm2BiyPc4iE1tCWFXqKkBvfzrfvoj72PVkpaHNqS+h9b5gQl+pvBqficj8dxypMyPjsvUHEv&#10;LeuXFrNtloB9k+OKsjyJ0T/ooygdNE+4XxbxVTQxw/HtkvLgjsoydMsENxQXi0Vyw8m2LFybB8sj&#10;eGQ1NvDj/ok52zd6wAm5geOAv2r2zjdGGlhsA0iVJuGZ155v3AqpcfoNFtfOSz15Pe/Z+S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KBqLeu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87" name="Oval 28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AE233D" id="Oval 28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zJjwIAAK8FAAAOAAAAZHJzL2Uyb0RvYy54bWysVE1v2zAMvQ/YfxB0Xx276ceCOkXQLsOA&#10;Yi3WDj0rshQLkERNUuJkv36U7LjdWmxAsRwUUiSfyGeSF5c7o8lW+KDA1rQ8mlAiLIdG2XVNvz8s&#10;P5xTEiKzDdNgRU33ItDL+ft3F52biQpa0I3wBEFsmHWupm2MblYUgbfCsHAETlg0SvCGRVT9umg8&#10;6xDd6KKaTE6LDnzjPHARAt5e90Y6z/hSCh5vpQwiEl1TzC3m0+dzlc5ifsFma89cq/iQBntDFoYp&#10;i4+OUNcsMrLx6gWUUdxDABmPOJgCpFRc5BqwmnLyRzX3LXMi14LkBDfSFP4fLP+6vfNENTWtzs8o&#10;sczgR7rdMk2Sjux0LszQ6d7d+UELKKZSd9Kb9I9FkF1mdD8yKnaRcLwsq+n0FHnnaCqrs9Pjk4RZ&#10;PAU7H+JnAYYkoaZCa+VCqpnN2PYmxN774JWuA2jVLJXWWfHr1ZX2BBOu6XL5aVnmT4oP/Oam7dsi&#10;ESeFFomEvuwsxb0WCVDbb0IieVholVPObSvGhBjnwsbj3tSyRvR5nkzwN/AwRmRWMmBClljfiF3+&#10;DbsnaPBPoSJ3/Rg8+XfwGJFfBhvHYKMs+NcAdCyHAmTvfyCppyaxtIJmj63loZ+54PhS4Te+YSHe&#10;MY9Dhm2BiyPe4iE1dDWFQaKkBf/ztfvkj72PVko6HNqahh8b5gUl+ovFqfhYTqdpyrMyPTmrUPHP&#10;LavnFrsxV4B9U+KKcjyLyT/qgyg9mEfcL4v0KpqY5fh2TXn0B+Uq9ssENxQXi0V2w8l2LN7Ye8cT&#10;eGI1NfDD7pF5NzR6xAn5CocBf9HsvW+KtLDYRJAqT8ITrwPfuBVy4wwbLK2d53r2etqz81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PIzbMm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b/>
                <w:noProof/>
                <w:color w:val="000000" w:themeColor="text1"/>
                <w:sz w:val="20"/>
              </w:rPr>
            </w:pPr>
            <w:r>
              <w:rPr>
                <w:rFonts w:ascii="Times New Roman" w:hAnsi="Times New Roman" w:cs="Times New Roman"/>
                <w:b/>
                <w:noProof/>
                <w:color w:val="000000" w:themeColor="text1"/>
                <w:sz w:val="20"/>
                <w:szCs w:val="20"/>
              </w:rPr>
              <w:t>Covered bonds</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7635"/>
                      <wp:effectExtent l="0" t="0" r="27940" b="24765"/>
                      <wp:docPr id="2" name="Oval 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A1352C" id="Oval 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32jAIAAKsFAAAOAAAAZHJzL2Uyb0RvYy54bWysVFFPGzEMfp+0/xDlfVzvKLBVXFEF6zQJ&#10;ARpMPKe5pBcpibMk7bX79XNy14MNtElofUjt2P5if2f7/GJnNNkKHxTYmpZHE0qE5dAou67p94fl&#10;h4+UhMhswzRYUdO9CPRi/v7deedmooIWdCM8QRAbZp2raRujmxVF4K0wLByBExaNErxhEVW/LhrP&#10;OkQ3uqgmk9OiA984D1yEgLdXvZHOM76UgsdbKYOIRNcUc4v59PlcpbOYn7PZ2jPXKj6kwd6QhWHK&#10;4qMj1BWLjGy8egFlFPcQQMYjDqYAKRUXuQasppz8Uc19y5zItSA5wY00hf8Hy2+2d56opqYVJZYZ&#10;/ES3W6ZJlZjpXJihw72784MWUExl7qQ36R8LILvM5n5kU+wi4XhZVtPpKXLO0VRWZ6fHJwmzeAp2&#10;PsQvAgxJQk2F1sqFVC+bse11iL33wStdB9CqWSqts+LXq0vtCaZb0+Xy87LMnxMf+M1N27dFIk4K&#10;LRIJfdlZinstEqC234RE4rDQKqecW1aMCTHOhY3HvalljejzPJngb+BhjMisZMCELLG+Ebv8G3ZP&#10;0OCfQkXu+DF48u/gMSK/DDaOwUZZ8K8B6FgOBcje/0BST01iaQXNHtvKQz9vwfGlwm98zUK8Yx4H&#10;DNsCl0a8xUNq6GoKg0RJC/7na/fJH/serZR0OLA1DT82zAtK9FeLE/GpnE7ThGdlenJWoeKfW1bP&#10;LXZjLgH7psT15HgWk3/UB1F6MI+4WxbpVTQxy/HtmvLoD8pl7BcJbicuFovshlPtWLy2944n8MRq&#10;auCH3SPzbmj0iBNyA4fhftHsvW+KtLDYRJAqT8ITrwPfuBFy4wzbK62c53r2etqx818A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DFVzfaMAgAAqwUAAA4AAAAAAAAAAAAAAAAALgIAAGRycy9lMm9Eb2MueG1sUEsBAi0AFAAGAAgA&#10;AAAhAFHKSrDZAAAAAwEAAA8AAAAAAAAAAAAAAAAA5gQAAGRycy9kb3ducmV2LnhtbFBLBQYAAAAA&#10;BAAEAPMAAADsBQ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7635"/>
                      <wp:effectExtent l="0" t="0" r="27940" b="24765"/>
                      <wp:docPr id="5" name="Oval 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480C511" id="Oval 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ISkAIAAKsFAAAOAAAAZHJzL2Uyb0RvYy54bWysVFFPGzEMfp+0/xDlfVyvtLBVXFEF6zQJ&#10;UTSYeE5zSS9SEmdJ2mv36+fkrgcbaJPQ+pDasf3F/s72xeXeaLITPiiwFS1PRpQIy6FWdlPR7w/L&#10;Dx8pCZHZmmmwoqIHEejl/P27i9bNxBga0LXwBEFsmLWuok2MblYUgTfCsHACTlg0SvCGRVT9pqg9&#10;axHd6GI8Gp0VLfjaeeAiBLy97ox0nvGlFDyupAwiEl1RzC3m0+dznc5ifsFmG89co3ifBntDFoYp&#10;i48OUNcsMrL16gWUUdxDABlPOJgCpFRc5BqwmnL0RzX3DXMi14LkBDfQFP4fLL/d3Xmi6opOKbHM&#10;4Cda7Zgm08RM68IMHe7dne+1gGIqcy+9Sf9YANlnNg8Dm2IfCcfLcjyZnCHnHE3l+PzsNGMWT8HO&#10;h/hFgCFJqKjQWrmQ6mUztrsJEd9E76NXug6gVb1UWmfFb9ZX2hNMt6LL5edlmT8nhvzmpu3bIhEn&#10;hRaJhK7sLMWDFglQ229CInFY6DinnFtWDAkxzoWNp52pYbXo8pyO8Je4TWmmJk8RWcuACVlifQN2&#10;+TfsDqb3T6Eid/wQPPp38BCRXwYbh2CjLPjXAHQs+wJk538kqaMmsbSG+oBt5aGbt+D4UuE3vmEh&#10;3jGPA4ZtgUsjrvCQGtqKQi9R0oD/+dp98se+RyslLQ5sRcOPLfOCEv3V4kR8KieTNOFZmUzPx6j4&#10;55b1c4vdmivAvilxPTmexeQf9VGUHswj7pZFehVNzHJ8u6I8+qNyFbtFgtuJi8Uiu+FUOxZv7L3j&#10;CTyxmhr4Yf/IvOsbPeKE3MJxuF80e+ebIi0sthGkypPwxGvPN26E3Dj99kor57mevZ527PwXAAAA&#10;//8DAFBLAwQUAAYACAAAACEAUcpKsNkAAAADAQAADwAAAGRycy9kb3ducmV2LnhtbEyPQUvDQBCF&#10;74L/YRnBi9hNixaNmRQpei5ptV6n2TEJZmfD7rZN/fVuvehl4PEe731TLEbbqwP70DlBmE4yUCy1&#10;M500CG+b19sHUCGSGOqdMMKJAyzKy4uCcuOOUvFhHRuVSiTkhNDGOORah7plS2HiBpbkfTpvKSbp&#10;G208HVO57fUsy+baUidpoaWBly3XX+u9RdjevGwbf/9Rdcat6P27Wq7uxhPi9dX4/AQq8hj/wnDG&#10;T+hQJqad24sJqkdIj8Tfe/Ye56B2CLNsCros9H/28gcAAP//AwBQSwECLQAUAAYACAAAACEAtoM4&#10;kv4AAADhAQAAEwAAAAAAAAAAAAAAAAAAAAAAW0NvbnRlbnRfVHlwZXNdLnhtbFBLAQItABQABgAI&#10;AAAAIQA4/SH/1gAAAJQBAAALAAAAAAAAAAAAAAAAAC8BAABfcmVscy8ucmVsc1BLAQItABQABgAI&#10;AAAAIQAB2AISkAIAAKsFAAAOAAAAAAAAAAAAAAAAAC4CAABkcnMvZTJvRG9jLnhtbFBLAQItABQA&#10;BgAIAAAAIQBRykqw2QAAAAMBAAAPAAAAAAAAAAAAAAAAAOoEAABkcnMvZG93bnJldi54bWxQSwUG&#10;AAAAAAQABADzAAAA8AUAAAAA&#10;" fillcolor="#ffef10" strokecolor="#ffef10"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Crowdfunding</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88" name="Oval 288"/>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94C448" id="Oval 288"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HvjwIAAK8FAAAOAAAAZHJzL2Uyb0RvYy54bWysVN9v2yAQfp+0/wHxvjp20x+L6lRRu0yT&#10;qrVaO/WZYIiRgGNA4mR//Q7suN1abVI1P2COu/u4+7i7i8ud0WQrfFBga1oeTSgRlkOj7Lqm3x+W&#10;H84pCZHZhmmwoqZ7Eejl/P27i87NRAUt6EZ4giA2zDpX0zZGNyuKwFthWDgCJywqJXjDIop+XTSe&#10;dYhudFFNJqdFB75xHrgIAU+veyWdZ3wpBY+3UgYRia4pxhbz6vO6Smsxv2CztWeuVXwIg70hCsOU&#10;xUtHqGsWGdl49QLKKO4hgIxHHEwBUioucg6YTTn5I5v7ljmRc0FyghtpCv8Pln/d3nmimppW5/hU&#10;lhl8pNst0yTJyE7nwgyN7t2dH6SA25TqTnqT/pgE2WVG9yOjYhcJx8Oymk5PkXeOqrI6Oz0+SZjF&#10;k7PzIX4WYEja1FRorVxIObMZ296E2FsfrNJxAK2apdI6C369utKeYMA1XS4/Lcv8pHjBb2bavs0T&#10;cZJrkUjo0867uNciAWr7TUgkDxOtcsi5bMUYEONc2Hjcq1rWiD7Okwl+Aw+jR2YlAyZkifmN2OXf&#10;sHuCBvvkKnLVj86TfzuPHvlmsHF0NsqCfw1Ax3JIQPb2B5J6ahJLK2j2WFoe+p4Lji8VvvENC/GO&#10;eWwyLAscHPEWF6mhqykMO0pa8D9fO0/2WPuopaTDpq1p+LFhXlCiv1jsio/ldJq6PAvTk7MKBf9c&#10;s3qusRtzBVg3JY4ox/M22Ud92EoP5hHnyyLdiipmOd5dUx79QbiK/TDBCcXFYpHNsLMdizf23vEE&#10;nlhNBfywe2TeDYUesUO+wqHBXxR7b5s8LSw2EaTKnfDE68A3ToVcOMMES2PnuZytnubs/Bc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J1x0e+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2" name="Oval 27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D3C001" id="Oval 27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eUmJ&#10;YS1+pPsd0yTqyE5n/RSdHuzKDZpHMZa6l66N/1gE2SdGDyOjYh8Ix8uinEzOkHeOpqIsLsvEePYc&#10;bJ0PXwS0JAoVFVor62PNbMp2tz7gm+h99IrXHrSql0rrpLjNeqEdwYQruswvJuUiJo0hv7lp875I&#10;xImhWSShLztJ4aBFBNTmm5BIHhZappRT24oxIca5MOFzb2pYLfo8T3P8HdOMjR4jUtIJMCJLrG/E&#10;Lv6G3Vc7+MdQkbp+DM7/HTxGpJfBhDG4VQbcWwA6FEMBsvc/ktRTE1laQ33A1nLQz5y3fKnwG98y&#10;H1bM4ZBhW+DiCPd4SA1dRWGQKGnA/XzrPvpj76OVkg6HtqL+x5Y5QYn+anAqLovJJE55Uian59hu&#10;xL20rF9azLZdAPZNgSvK8iRG/6CPonTQPuF+mcdX0cQMx7cryoM7KovQLxPcUFzM58kNJ9uycGse&#10;LI/gkdXYwI/7J+bs0OgBJ+QOjgP+qtl73xhpYL4NIFWahGdeB75xK6TGGTZYXDsv9eT1vGdnvwA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O+1/6i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Cross-border distribution of collective investment funds</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7635"/>
                      <wp:effectExtent l="0" t="0" r="27940" b="24765"/>
                      <wp:docPr id="6" name="Oval 6"/>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5AEF4E" id="Oval 6"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k1jAIAAKsFAAAOAAAAZHJzL2Uyb0RvYy54bWysVFFPGzEMfp+0/xDlfVyvlLJVXFEF6zQJ&#10;UTSYeE5zSS9SEmdJ2mv36+fkrgcbaJPQ+pDasf3F/s72xeXeaLITPiiwFS1PRpQIy6FWdlPR7w/L&#10;Dx8pCZHZmmmwoqIHEejl/P27i9bNxBga0LXwBEFsmLWuok2MblYUgTfCsHACTlg0SvCGRVT9pqg9&#10;axHd6GI8Gk2LFnztPHARAt5ed0Y6z/hSCh5XUgYRia4o5hbz6fO5Tmcxv2CzjWeuUbxPg70hC8OU&#10;xUcHqGsWGdl69QLKKO4hgIwnHEwBUioucg1YTTn6o5r7hjmRa0FyghtoCv8Plt/u7jxRdUWnlFhm&#10;8BOtdkyTaWKmdWGGDvfuzvdaQDGVuZfepH8sgOwzm4eBTbGPhONlOZ5Mpsg5R1M5Pp+eniXM4inY&#10;+RC/CDAkCRUVWisXUr1sxnY3IXbeR690HUCreqm0zorfrK+0J5huRZfLz8syf0584Dc3bd8WiTgp&#10;tEgkdGVnKR60SIDafhMSicNCxznl3LJiSIhxLmw87UwNq0WX59kIfz0PQ0RmJQMmZIn1Ddjl37A7&#10;gnr/FCpyxw/Bo38HDxH5ZbBxCDbKgn8NQMeyL0B2/keSOmoSS2uoD9hWHrp5C44vFX7jGxbiHfM4&#10;YNgWuDTiCg+poa0o9BIlDfifr90nf+x7tFLS4sBWNPzYMi8o0V8tTsSncjJJE56Vydn5GBX/3LJ+&#10;brFbcwXYNyWuJ8ezmPyjPorSg3nE3bJIr6KJWY5vV5RHf1SuYrdIcDtxsVhkN5xqx+KNvXc8gSdW&#10;UwM/7B+Zd32jR5yQWzgO94tm73xTpIXFNoJUeRKeeO35xo2QG6ffXmnlPNez19OOnf8CAAD//wMA&#10;UEsDBBQABgAIAAAAIQBRykqw2QAAAAMBAAAPAAAAZHJzL2Rvd25yZXYueG1sTI9BS8NAEIXvgv9h&#10;GcGL2E2LFo2ZFCl6Lmm1XqfZMQlmZ8Putk399W696GXg8R7vfVMsRturA/vQOUGYTjJQLLUznTQI&#10;b5vX2wdQIZIY6p0wwokDLMrLi4Jy445S8WEdG5VKJOSE0MY45FqHumVLYeIGluR9Om8pJukbbTwd&#10;U7nt9SzL5tpSJ2mhpYGXLddf671F2N68bBt//1F1xq3o/btaru7GE+L11fj8BCryGP/CcMZP6FAm&#10;pp3biwmqR0iPxN979h7noHYIs2wKuiz0f/byBwAA//8DAFBLAQItABQABgAIAAAAIQC2gziS/gAA&#10;AOEBAAATAAAAAAAAAAAAAAAAAAAAAABbQ29udGVudF9UeXBlc10ueG1sUEsBAi0AFAAGAAgAAAAh&#10;ADj9If/WAAAAlAEAAAsAAAAAAAAAAAAAAAAALwEAAF9yZWxzLy5yZWxzUEsBAi0AFAAGAAgAAAAh&#10;AGrouTWMAgAAqwUAAA4AAAAAAAAAAAAAAAAALgIAAGRycy9lMm9Eb2MueG1sUEsBAi0AFAAGAAgA&#10;AAAhAFHKSrDZAAAAAwEAAA8AAAAAAAAAAAAAAAAA5gQAAGRycy9kb3ducmV2LnhtbFBLBQYAAAAA&#10;BAAEAPMAAADsBQ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89" name="Oval 289"/>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615885" id="Oval 289"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DNjwIAAK8FAAAOAAAAZHJzL2Uyb0RvYy54bWysVE1v2zAMvQ/YfxB0Xx27ST+COkWQLsOA&#10;oinWDj0rshQLkEVNUuJkv36U7LjdWmxAsRwUUiSfyGeSV9f7RpOdcF6BKWl+MqJEGA6VMpuSfn9c&#10;frqgxAdmKqbBiJIehKfXs48frlo7FQXUoCvhCIIYP21tSesQ7DTLPK9Fw/wJWGHQKME1LKDqNlnl&#10;WIvojc6K0egsa8FV1gEX3uPtTWeks4QvpeBhJaUXgeiSYm4hnS6d63hmsys23Thma8X7NNg7smiY&#10;MvjoAHXDAiNbp15BNYo78CDDCYcmAykVF6kGrCYf/VHNQ82sSLUgOd4ONPn/B8vvdveOqKqkxcUl&#10;JYY1+JFWO6ZJ1JGd1vopOj3Ye9drHsVY6l66Jv5jEWSfGD0MjIp9IBwv82I8PkPeOZry4vzsdBIx&#10;s+dg63z4IqAhUSip0FpZH2tmU7a79aHzPnrFaw9aVUuldVLcZr3QjmDCJV0uPy/z9Enxgd/ctHlf&#10;JOLE0CyS0JWdpHDQIgJq801IJA8LLVLKqW3FkBDjXJhw2plqVokuz8kIfz0PQ0RiJQFGZIn1Ddj5&#10;37A7gnr/GCpS1w/Bo38HDxHpZTBhCG6UAfcWgA55X4Ds/I8kddREltZQHbC1HHQz5y1fKvzGt8yH&#10;e+ZwyLAtcHGEFR5SQ1tS6CVKanA/37qP/tj7aKWkxaEtqf+xZU5Qor8anIrLfDyOU56U8eS8QMW9&#10;tKxfWsy2WQD2TY4ryvIkRv+gj6J00DzhfpnHV9HEDMe3S8qDOyqL0C0T3FBczOfJDSfbsnBrHiyP&#10;4JHV2MCP+yfmbN/oASfkDo4D/qrZO98YaWC+DSBVmoRnXnu+cSukxuk3WFw7L/Xk9bxnZ78AAAD/&#10;/wMAUEsDBBQABgAIAAAAIQBRykqw2QAAAAMBAAAPAAAAZHJzL2Rvd25yZXYueG1sTI9BS8NAEIXv&#10;gv9hGcGL2E2LFo2ZFCl6Lmm1XqfZMQlmZ8Putk399W696GXg8R7vfVMsRturA/vQOUGYTjJQLLUz&#10;nTQIb5vX2wdQIZIY6p0wwokDLMrLi4Jy445S8WEdG5VKJOSE0MY45FqHumVLYeIGluR9Om8pJukb&#10;bTwdU7nt9SzL5tpSJ2mhpYGXLddf671F2N68bBt//1F1xq3o/btaru7GE+L11fj8BCryGP/CcMZP&#10;6FAmpp3biwmqR0iPxN979h7noHYIs2wKuiz0f/byBwAA//8DAFBLAQItABQABgAIAAAAIQC2gziS&#10;/gAAAOEBAAATAAAAAAAAAAAAAAAAAAAAAABbQ29udGVudF9UeXBlc10ueG1sUEsBAi0AFAAGAAgA&#10;AAAhADj9If/WAAAAlAEAAAsAAAAAAAAAAAAAAAAALwEAAF9yZWxzLy5yZWxzUEsBAi0AFAAGAAgA&#10;AAAhAM8okM2PAgAArwUAAA4AAAAAAAAAAAAAAAAALgIAAGRycy9lMm9Eb2MueG1sUEsBAi0AFAAG&#10;AAgAAAAhAFHKSrDZAAAAAwEAAA8AAAAAAAAAAAAAAAAA6QQAAGRycy9kb3ducmV2LnhtbFBLBQYA&#10;AAAABAAEAPMAAADvBQAAAAA=&#10;" fillcolor="#ffef10" strokecolor="#ffef10"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Investment firms review</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90" name="Oval 290"/>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7D0C5F" id="Oval 290"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2jjQ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c+TH&#10;MoMf6XbLNEk6stO5MEOne3fnBy2gmErdSW/SPxZBdpnR/cio2EXC8bKsptNTxOVoKquz0+OThFk8&#10;BTsf4mcBhiShpkJr5UKqmc3Y9ibE3vvgla4DaNUsldZZ8evVlfYEE67pcvlpWeak8YHf3LR9WyTi&#10;pNAikdCXnaW41yIBavtNSCQPC61yyrltxZgQ41zYeNybWtaIPs+TCf4GHsaIzEoGTMgS6xuxy79h&#10;9wQN/ilU5K4fgyf/Dh4j8stg4xhslAX/GoCO5VCA7P0PJPXUJJZW0OyxtTz0MxccXyr8xjcsxDvm&#10;cciwLXBxxFs8pIaupjBIlLTgf752n/yx99FKSYdDW9PwY8O8oER/sTgV5+V0mqY8K9OTswoV/9yy&#10;em6xG3MF2DclrijHs5j8oz6I0oN5xP2ySK+iiVmOb9eUR39QrmK/THBDcbFYZDecbMfijb13PIEn&#10;VlMDP+wemXdDo0eckK9wGPAXzd77pkgLi00EqfIkPPE68I1bITfOsMHS2nmuZ6+nPTv/BQAA//8D&#10;AFBLAwQUAAYACAAAACEAUcpKsNkAAAADAQAADwAAAGRycy9kb3ducmV2LnhtbEyPQUvDQBCF74L/&#10;YRnBi9hNixaNmRQpei5ptV6n2TEJZmfD7rZN/fVuvehl4PEe731TLEbbqwP70DlBmE4yUCy1M500&#10;CG+b19sHUCGSGOqdMMKJAyzKy4uCcuOOUvFhHRuVSiTkhNDGOORah7plS2HiBpbkfTpvKSbpG208&#10;HVO57fUsy+baUidpoaWBly3XX+u9RdjevGwbf/9Rdcat6P27Wq7uxhPi9dX4/AQq8hj/wnDGT+hQ&#10;Jqad24sJqkdIj8Tfe/Ye56B2CLNsCros9H/28gcAAP//AwBQSwECLQAUAAYACAAAACEAtoM4kv4A&#10;AADhAQAAEwAAAAAAAAAAAAAAAAAAAAAAW0NvbnRlbnRfVHlwZXNdLnhtbFBLAQItABQABgAIAAAA&#10;IQA4/SH/1gAAAJQBAAALAAAAAAAAAAAAAAAAAC8BAABfcmVscy8ucmVsc1BLAQItABQABgAIAAAA&#10;IQDNzO2jjQIAAK8FAAAOAAAAAAAAAAAAAAAAAC4CAABkcnMvZTJvRG9jLnhtbFBLAQItABQABgAI&#10;AAAAIQBRykqw2QAAAAMBAAAPAAAAAAAAAAAAAAAAAOcEAABkcnMvZG93bnJldi54bWxQSwUGAAAA&#10;AAQABADzAAAA7QU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4" name="Oval 27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517FEE9" id="Oval 27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h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YQS&#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ANieG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Preventive restructuring, second chance and efficiency of procedures</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92" name="Oval 292"/>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4F953A" id="Oval 292"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n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4oS&#10;ywx+pNst0yTpyE7nwgyd7t2dH7SAYip1J71J/1gE2WVG9yOjYhcJx8uymk5PkXeOprI6Oz0+SZjF&#10;U7DzIX4WYEgSaiq0Vi6kmtmMbW9C7L0PXuk6gFbNUmmdFb9eXWlPMOGaLpeflmX+pPjAb27avi0S&#10;cVJokUjoy85S3GuRALX9JiSSh4VWOeXctmJMiHEubDzuTS1rRJ/nyQR/Aw9jRGYlAyZkifWN2OXf&#10;sHuCBv8UKnLXj8GTfwePEfllsHEMNsqCfw1Ax3IoQPb+B5J6ahJLK2j22Foe+pkLji8VfuMbFuId&#10;8zhk2Ba4OOItHlJDV1MYJEpa8D9fu0/+2PtopaTDoa1p+LFhXlCiv1icivNyOk1TnpXpyVmFin9u&#10;WT232I25AuybEleU41lM/lEfROnBPOJ+WaRX0cQsx7dryqM/KFexXya4obhYLLIbTrZj8cbeO57A&#10;E6upgR92j8y7odEjTshXOAz4i2bvfVOkhcUmglR5Ep54HfjGrZAbZ9hgae0817PX056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aX5v54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94" name="Oval 294"/>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76A567" id="Oval 294"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gq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ykl&#10;lhn8SLdbpknSkZ3OhRk63bs7P2gBxVTqTnqT/rEIssuM7kdGxS4SjpdlNZ2eIu8cTWV1dnp8kjCL&#10;p2DnQ/wswJAk1FRorVxINbMZ296E2HsfvNJ1AK2apdI6K369utKeYMI1XS4/Lcv8SfGB39y0fVsk&#10;4qTQIpHQl52luNciAWr7TUgkDwutcsq5bcWYEONc2Hjcm1rWiD7Pkwn+Bh7GiMxKBkzIEusbscu/&#10;YfcEDf4pVOSuH4Mn/w4eI/LLYOMYbJQF/xqAjuVQgOz9DyT11CSWVtDssbU89DMXHF8q/MY3LMQ7&#10;5nHIsC1wccRbPKSGrqYwSJS04H++dp/8sffRSkmHQ1vT8GPDvKBEf7E4FefldJqmPCvTk7MKFf/c&#10;snpusRtzBdg3Ja4ox7OY/KM+iNKDecT9skivoolZjm/XlEd/UK5iv0xwQ3GxWGQ3nGzH4o29dzyB&#10;J1ZTAz/sHpl3Q6NHnJCvcBjwF83e+6ZIC4tNBKnyJDzxOvCNWyE3zrDB0tp5rmevpz07/wU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hanoKo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Promotion of SME Growth Markets</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5" name="Oval 27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21AEE0" id="Oval 27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l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FE7OUe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3" name="Oval 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A443EC" id="Oval 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hKkAIAAKs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9pcSw&#10;Fj/R/Y5pchqZ6ayfosODXblB8yjGMvfStfEfCyD7xOZhZFPsA+F4WZSTyTlyztFUlMVlmdjOnoOt&#10;8+GLgJZEoaJCa2V9rJdN2e7WB3wTvY9e8dqDVvVSaZ0Ut1kvtCOYbkWX+cWkXMSkMeQ3N23eF4k4&#10;MTSLJPRlJykctIiA2nwTEonDQsuUcmpZMSbEOBcmnPamhtWiz/Msx98xzdjkMSIlnQAjssT6Ruzi&#10;b9h9tYN/DBWp48fg/N/BY0R6GUwYg1tlwL0FoEMxFCB7/yNJPTWRpTXUB2wrB/28ecuXCr/xLfNh&#10;xRwOGLYFLo1wj4fU0FUUBomSBtzPt+6jP/Y9WinpcGAr6n9smROU6K8GJ+KymEzihCdlcvYZ2424&#10;l5b1S4vZtgvAvilwPVmexOgf9FGUDton3C3z+CqamOH4dkV5cEdlEfpFgtuJi/k8ueFUWxZuzYPl&#10;ETyyGhv4cf/EnB0aPeCE3MFxuF81e+8bIw3MtwGkSpPwzOvAN26E1DjD9oor56WevJ537OwXAA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W8OISpACAACrBQAADgAAAAAAAAAAAAAAAAAuAgAAZHJzL2Uyb0RvYy54bWxQSwECLQAU&#10;AAYACAAAACEA11qmeNoAAAADAQAADwAAAAAAAAAAAAAAAADqBAAAZHJzL2Rvd25yZXYueG1sUEsF&#10;BgAAAAAEAAQA8wAAAPEFA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 xml:space="preserve">Third-party effects on assignment of claims </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6" name="Oval 276"/>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689EC5" id="Oval 276"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o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R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KfQ+iG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4" name="Oval 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699EE5" id="Oval 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eujwIAAKs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RYlh&#10;HX6i2x3TpIrM9NbP0OHe3rlR8yjGMvfSdfEfCyD7xOZhYlPsA+F4WZRVdYacczQVZXFRJrazp2Dr&#10;fPgsoCNRqKnQWlkf62UztrvxAd9E76NXvPagVbNSWifFbdZL7QimW9NVfl6Vy5g0hvzmps3bIhEn&#10;hmaRhKHsJIWDFhFQm29CInFYaJlSTi0rpoQY58KEj4OpZY0Y8jzN8XdMMzZ5jEhJJ8CILLG+Cbv4&#10;G/ZQ7egfQ0Xq+Ck4/3fwFJFeBhOm4E4ZcK8B6FCMBcjB/0jSQE1kaQ3NAdvKwTBv3vKVwm98w3y4&#10;Yw4HDNsCl0a4xUNq6GsKo0RJC+7na/fRH/serZT0OLA19T+2zAlK9BeDE3FRVFWc8KRUp5+w3Yh7&#10;blk/t5httwTsmwLXk+VJjP5BH0XpoHvE3bKIr6KJGY5v15QHd1SWYVgkuJ24WCySG061ZeHG3Fse&#10;wSOrsYEf9o/M2bHRA07IVzgO94tmH3xjpIHFNoBUaRKeeB35xo2QGmfcXnHlPNeT19OOnf8CAAD/&#10;/wMAUEsDBBQABgAIAAAAIQDXWqZ42gAAAAMBAAAPAAAAZHJzL2Rvd25yZXYueG1sTI/NbsIwEITv&#10;lfoO1lbqrTgFKW1DHFSCKvXApfxIHJd4SQLxOooNpG+P0wu97Gg1q5lv01lvGnGhztWWFbyOIhDE&#10;hdU1lwo266+XdxDOI2tsLJOCX3Iwyx4fUky0vfIPXVa+FCGEXYIKKu/bREpXVGTQjWxLHLyD7Qz6&#10;sHal1B1eQ7hp5DiKYmmw5tBQYUt5RcVpdTYKjrvtYvum63mcb/RuHuXLb5wUSj0/9Z9TEJ56fz+G&#10;AT+gQxaY9vbM2olGQXjE/83B+4hB7Acdg8xS+Z89uwEAAP//AwBQSwECLQAUAAYACAAAACEAtoM4&#10;kv4AAADhAQAAEwAAAAAAAAAAAAAAAAAAAAAAW0NvbnRlbnRfVHlwZXNdLnhtbFBLAQItABQABgAI&#10;AAAAIQA4/SH/1gAAAJQBAAALAAAAAAAAAAAAAAAAAC8BAABfcmVscy8ucmVsc1BLAQItABQABgAI&#10;AAAAIQBrTkeujwIAAKsFAAAOAAAAAAAAAAAAAAAAAC4CAABkcnMvZTJvRG9jLnhtbFBLAQItABQA&#10;BgAIAAAAIQDXWqZ42gAAAAMBAAAPAAAAAAAAAAAAAAAAAOkEAABkcnMvZG93bnJldi54bWxQSwUG&#10;AAAAAAQABADzAAAA8AU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 xml:space="preserve">European Supervisory Authorities review, including reinforced </w:t>
            </w:r>
            <w:r>
              <w:rPr>
                <w:rFonts w:ascii="Times New Roman" w:hAnsi="Times New Roman" w:cs="Times New Roman"/>
                <w:b/>
                <w:noProof/>
                <w:color w:val="000000" w:themeColor="text1"/>
                <w:sz w:val="20"/>
                <w:szCs w:val="20"/>
              </w:rPr>
              <w:t>anti-money laundering rules</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7" name="Oval 277"/>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4F1D21" id="Oval 277"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sD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Tk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PWJuwO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8" name="Oval 278"/>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85983D" id="Oval 278"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Yl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X4q&#10;w1r8SPc7pknUkZ3O+ik6PdiVGzSPYix1L10b/7EIsk+MHkZGxT4QjpdFOZmcIe8cTUVZXJaJ8ew5&#10;2DofvghoSRQqKrRW1sea2ZTtbn3AN9H76BWvPWhVL5XWSXGb9UI7gglXdJlfTMpFTBpDfnPT5n2R&#10;iBNDs0hCX3aSwkGLCKjNNyGRPCy0TCmnthVjQoxzYcLn3tSwWvR5nub4O6YZGz1GpKQTYESWWN+I&#10;XfwNu6928I+hInX9GJz/O3iMSC+DCWNwqwy4twB0KIYCZO9/JKmnJrK0hvqAreWgnzlv+VLhN75l&#10;PqyYwyHDtsDFEe7xkBq6isIgUdKA+/nWffTH3kcrJR0ObUX9jy1zghL91eBUXBaTSZzypExOz7Hd&#10;iHtpWb+0mG27AOybAleU5UmM/kEfRemgfcL9Mo+vookZjm9XlAd3VBahXya4obiYz5MbTrZl4dY8&#10;WB7BI6uxgR/3T8zZodEDTsgdHAf8VbP3vjHSwHwbQKo0Cc+8DnzjVkiNM2ywuHZe6snrec/OfgE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JrLBi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European market infrastructure regulation (Supervision)</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95" name="Oval 295"/>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F0418D" id="Oval 295"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kIk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xNK&#10;LDP4kW63TJOkIzudCzN0und3ftACiqnUnfQm/WMRZJcZ3Y+Mil0kHC/Lajo9Rd45msrq7PQ4YxZP&#10;wc6H+FmAIUmoqdBauZBqZjO2vQkR30Tvg1e6DqBVs1RaZ8WvV1faE0y4psvlp2WZPymG/Oam7dsi&#10;ESeFFomEvuwsxb0WCVDbb0IieVholVPObSvGhBjnwsbj3tSyRvR5nkzwl7hNaaZGTxFZy4AJWWJ9&#10;I3b5N+weZvBPoSJ3/Rg8+XfwGJFfBhvHYKMs+NcAdCyHAmTvfyCppyaxtIJmj63loZ+54PhS4Te+&#10;YSHeMY9Dhm2BiyPe4iE1dDWFQaKkBf/ztfvkj72PVko6HNqahh8b5gUl+ovFqTgvp9M05VmZnpxV&#10;qPjnltVzi92YK8C+KXFFOZ7F5B/1QZQezCPul0V6FU3Mcny7pjz6g3IV+2WCG4qLxSK74WQ7Fm/s&#10;veMJPLGaGvhh98i8Gxo94oR8hcOAv2j23jdFWlhsIkiVJ+GJ14Fv3Aq5cYYNltbOcz17Pe3Z+S8A&#10;AAD//wMAUEsDBBQABgAIAAAAIQBRykqw2QAAAAMBAAAPAAAAZHJzL2Rvd25yZXYueG1sTI9BS8NA&#10;EIXvgv9hGcGL2E2LFo2ZFCl6Lmm1XqfZMQlmZ8Putk399W696GXg8R7vfVMsRturA/vQOUGYTjJQ&#10;LLUznTQIb5vX2wdQIZIY6p0wwokDLMrLi4Jy445S8WEdG5VKJOSE0MY45FqHumVLYeIGluR9Om8p&#10;JukbbTwdU7nt9SzL5tpSJ2mhpYGXLddf671F2N68bBt//1F1xq3o/btaru7GE+L11fj8BCryGP/C&#10;cMZP6FAmpp3biwmqR0iPxN979h7noHYIs2wKuiz0f/byBwAA//8DAFBLAQItABQABgAIAAAAIQC2&#10;gziS/gAAAOEBAAATAAAAAAAAAAAAAAAAAAAAAABbQ29udGVudF9UeXBlc10ueG1sUEsBAi0AFAAG&#10;AAgAAAAhADj9If/WAAAAlAEAAAsAAAAAAAAAAAAAAAAALwEAAF9yZWxzLy5yZWxzUEsBAi0AFAAG&#10;AAgAAAAhANfwqQiSAgAArwUAAA4AAAAAAAAAAAAAAAAALgIAAGRycy9lMm9Eb2MueG1sUEsBAi0A&#10;FAAGAAgAAAAhAFHKSrDZAAAAAwEAAA8AAAAAAAAAAAAAAAAA7AQAAGRycy9kb3ducmV2LnhtbFBL&#10;BQYAAAAABAAEAPMAAADyBQ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79" name="Oval 279"/>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0CCD2F" id="Oval 279"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cHkQ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SUl&#10;hrX4ke53TJOoIzud9VN0erArN2gexVjqXro2/mMRZJ8YPYyMin0gHC+LcjI5Q945moqyuCwT49lz&#10;sHU+fBHQkihUVGitrI81synb3fqAb6L30Stee9CqXiqtk+I264V2BBOu6DK/mJSLmDSG/Oamzfsi&#10;ESeGZpGEvuwkhYMWEVCbb0IieVhomVJObSvGhBjnwoTPvalhtejzPM3xd0wzNnqMSEknwIgssb4R&#10;u/gbdl/t4B9DRer6MTj/d/AYkV4GE8bgVhlwbwHoUAwFyN7/SFJPTWRpDfUBW8tBP3Pe8qXCb3zL&#10;fFgxh0OGbYGLI9zjITV0FYVBoqQB9/Ot++iPvY9WSjoc2or6H1vmBCX6q8GpuCwmkzjlSZmcnmO7&#10;EffSsn5pMdt2Adg3Ba4oy5MY/YM+itJB+4T7ZR5fRRMzHN+uKA/uqCxCv0xwQ3Exnyc3nGzLwq15&#10;sDyCR1ZjAz/un5izQ6MHnJA7OA74q2bvfWOkgfk2gFRpEp55HfjGrZAaZ9hgce281JPX856d/QI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MiSRwe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Sustainable finance: Taxonomy</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84" name="Oval 284"/>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B890EC" id="Oval 284"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O4kQIAAK8FAAAOAAAAZHJzL2Uyb0RvYy54bWysVE1v2zAMvQ/YfxB0X/0xt2uDOkWQIsOA&#10;Yi3WDj0rshQLkEVNUuJkv36U7LjdWmxAsRwUUiSfyGeSl1f7TpOdcF6BqWlxklMiDIdGmU1Nvz+s&#10;PpxT4gMzDdNgRE0PwtOr+ft3l72diRJa0I1wBEGMn/W2pm0IdpZlnreiY/4ErDBolOA6FlB1m6xx&#10;rEf0Tmdlnp9lPbjGOuDCe7y9Hox0nvClFDzcSulFILqmmFtIp0vnOp7Z/JLNNo7ZVvExDfaGLDqm&#10;DD46QV2zwMjWqRdQneIOPMhwwqHLQErFRaoBqynyP6q5b5kVqRYkx9uJJv//YPnX3Z0jqqlpeV5R&#10;YliHH+l2xzSJOrLTWz9Dp3t750bNoxhL3UvXxX8sguwTo4eJUbEPhONlUVbVGfLO0VSUxUWZGM+e&#10;gq3z4bOAjkShpkJrZX2smc3Y7sYHfBO9j17x2oNWzUppnRS3WS+1I5hwTVf5eVUuY9IY8pubNm+L&#10;RJwYmkUShrKTFA5aREBtvgmJ5GGhZUo5ta2YEmKcCxM+DqaWNWLI8zTH3zHN2OgxIiWdACOyxPom&#10;7OJv2EO1o38MFanrp+D838FTRHoZTJiCO2XAvQagQzEWIAf/I0kDNZGlNTQHbC0Hw8x5y1cKv/EN&#10;8+GOORwybAtcHOEWD6mhrymMEiUtuJ+v3Ud/7H20UtLj0NbU/9gyJyjRXwxOxUVRVXHKk1KdfsJ2&#10;I+65Zf3cYrbdErBvClxRlicx+gd9FKWD7hH3yyK+iiZmOL5dUx7cUVmGYZnghuJisUhuONmWhRtz&#10;b3kEj6zGBn7YPzJnx0YPOCFf4TjgL5p98I2RBhbbAFKlSXjideQbt0JqnHGDxbXzXE9eT3t2/gs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IijU7i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81" name="Oval 281"/>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D99768" id="Oval 281"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cTkgIAAK8FAAAOAAAAZHJzL2Uyb0RvYy54bWysVE1vGyEQvVfqf0Dcm/2okyZW1pHlyFWl&#10;KLGSVDljFrxILEMBe+3++g7sepM2UStF9QEDM/OYeftmLq/2rSY74bwCU9HiJKdEGA61MpuKfn9c&#10;fjqnxAdmaqbBiIoehKdXs48fLjs7FSU0oGvhCIIYP+1sRZsQ7DTLPG9Ey/wJWGHQKMG1LODRbbLa&#10;sQ7RW52VeX6WdeBq64AL7/H2ujfSWcKXUvBwJ6UXgeiKYm4hrS6t67hms0s23ThmG8WHNNg7smiZ&#10;MvjoCHXNAiNbp15BtYo78CDDCYc2AykVF6kGrKbI/6jmoWFWpFqQHG9Hmvz/g+W3u5Ujqq5oeV5Q&#10;YliLH+luxzSJZ2Sns36KTg925YaTx20sdS9dG/+xCLJPjB5GRsU+EI6XRTmZnCHvHE1FWVyUifHs&#10;Odg6H74KaEncVFRorayPNbMp2934gG+i99ErXnvQql4qrdPBbdYL7QgmXNFlfj4pFzFpDPnNTZv3&#10;RSJODM0iCX3ZaRcOWkRAbe6FRPKw0DKlnGQrxoQY58KEz72pYbXo8zzN8XdMMwo9RqSkE2BElljf&#10;iF38DbuvdvCPoSKpfgzO/x08RqSXwYQxuFUG3FsAOiRxID+y9z+S1FMTWVpDfUBpOeh7zlu+VPiN&#10;b5gPK+awyVAWODjCHS5SQ1dRGHaUNOB+vnUf/VH7aKWkw6atqP+xZU5Qor8Z7IqLYjKJXZ4Ok9Mv&#10;KDfiXlrWLy1m2y4AdYO6x+zSNvoHfdxKB+0Tzpd5fBVNzHB8u6I8uONhEfphghOKi/k8uWFnWxZu&#10;zIPlETyyGgX8uH9izg5CD9ght3Bs8Fdi731jpIH5NoBUqROeeR34xqmQhDNMsDh2Xp6T1/Ocnf0C&#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CSnxcT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Sustainable finance: Disclosure</w:t>
            </w:r>
          </w:p>
        </w:tc>
        <w:tc>
          <w:tcPr>
            <w:tcW w:w="2268" w:type="dxa"/>
            <w:vAlign w:val="center"/>
          </w:tcPr>
          <w:p w:rsidR="00346779" w:rsidRDefault="004B0BF3">
            <w:pPr>
              <w:keepNext/>
              <w:keepLines/>
              <w:spacing w:after="0"/>
              <w:jc w:val="center"/>
              <w:rPr>
                <w:b/>
                <w:noProof/>
                <w:color w:val="003399"/>
                <w:sz w:val="20"/>
                <w:szCs w:val="20"/>
                <w:lang w:eastAsia="fr-BE"/>
              </w:rPr>
            </w:pPr>
            <w:r>
              <w:rPr>
                <w:b/>
                <w:noProof/>
                <w:color w:val="003399"/>
                <w:sz w:val="20"/>
                <w:lang w:val="fr-BE" w:eastAsia="fr-BE"/>
              </w:rPr>
              <mc:AlternateContent>
                <mc:Choice Requires="wps">
                  <w:drawing>
                    <wp:inline distT="0" distB="0" distL="0" distR="0">
                      <wp:extent cx="124460" cy="127635"/>
                      <wp:effectExtent l="0" t="0" r="27940" b="24765"/>
                      <wp:docPr id="297" name="Oval 297"/>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6ADAF7" id="Oval 297"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tMjgIAAK8FAAAOAAAAZHJzL2Uyb0RvYy54bWysVFFPGzEMfp+0/xDlfVzvKDAqrqiCdZqE&#10;BhpMPKe5pBcpibMk7bX79XNy14MNtElofUjt2P5if2f74nJnNNkKHxTYmpZHE0qE5dAou67p94fl&#10;h4+UhMhswzRYUdO9CPRy/v7dRedmooIWdCM8QRAbZp2raRujmxVF4K0wLByBExaNErxhEVW/LhrP&#10;OkQ3uqgmk9OiA984D1yEgLfXvZHOM76UgsdbKYOIRNcUc4v59PlcpbOYX7DZ2jPXKj6kwd6QhWHK&#10;4qMj1DWLjGy8egFlFPcQQMYjDqYAKRUXuQasppz8Uc19y5zItSA5wY00hf8Hy79u7zxRTU2r8zNK&#10;LDP4kW63TJOkIzudCzN0und3ftACiqnUnfQm/WMRZJcZ3Y+Mil0kHC/Lajo9Rd45msrq7PT4JGEW&#10;T8HOh/hZgCFJqKnQWrmQamYztr0Jsfc+eKXrAFo1S6V1Vvx6daU9wYRrulx+Wpb5k+IDv7lp+7ZI&#10;xEmhRSKhLztLca9FAtT2m5BIHhZa5ZRz24oxIca5sPG4N7WsEX2eJxP8DTyMEZmVDJiQJdY3Ypd/&#10;w+4JGvxTqMhdPwZP/h08RuSXwcYx2CgL/jUAHcuhANn7H0jqqUksraDZY2t56GcuOL5U+I1vWIh3&#10;zOOQYVvg4oi3eEgNXU1hkChpwf987T75Y++jlZIOh7am4ceGeUGJ/mJxKs7L6TRNeVamJ2cVKv65&#10;ZfXcYjfmCrBvSlxRjmcx+Ud9EKUH84j7ZZFeRROzHN+uKY/+oFzFfpnghuJischuONmOxRt773gC&#10;T6ymBn7YPTLvhkaPOCFf4TDgL5q9902RFhabCFLlSXjideAbt0JunGGDpbXzXM9eT3t2/gs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c0IrTI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82" name="Oval 282"/>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BA15DC" id="Oval 282"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R1kQ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tK&#10;DGvxI93tmCZRR3Y666fo9GBXbtA8irHUvXRt/MciyD4xehgZFftAOF4W5WRyhrxzNBVlcVEmxrPn&#10;YOt8+CqgJVGoqNBaWR9rZlO2u/EB30Tvo1e89qBVvVRaJ8Vt1gvtCCZc0WV+PikXMWkM+c1Nm/dF&#10;Ik4MzSIJfdlJCgctIqA290IieVhomVJObSvGhBjnwoTPvalhtejzPM3xd0wzNnqMSEknwIgssb4R&#10;u/gbdl/t4B9DRer6MTj/d/AYkV4GE8bgVhlwbwHoUAwFyN7/SFJPTWRpDfUBW8tBP3Pe8qXCb3zD&#10;fFgxh0OGbYGLI9zhITV0FYVBoqQB9/Ot++iPvY9WSjoc2or6H1vmBCX6m8GpuCgmkzjlSZmcfsF2&#10;I+6lZf3SYrbtArBvClxRlicx+gd9FKWD9gn3yzy+iiZmOL5dUR7cUVmEfpnghuJiPk9uONmWhRvz&#10;YHkEj6zGBn7cPzFnh0YPOCG3cBzwV83e+8ZIA/NtAKnSJDzzOvCNWyE1zrDB4tp5qSev5z07+wUA&#10;AP//AwBQSwMEFAAGAAgAAAAhANdapnjaAAAAAwEAAA8AAABkcnMvZG93bnJldi54bWxMj81uwjAQ&#10;hO+V+g7WVuqtOAUpbUMcVIIq9cCl/Egcl3hJAvE6ig2kb4/TC73saDWrmW/TWW8acaHO1ZYVvI4i&#10;EMSF1TWXCjbrr5d3EM4ja2wsk4JfcjDLHh9STLS98g9dVr4UIYRdggoq79tESldUZNCNbEscvIPt&#10;DPqwdqXUHV5DuGnkOIpiabDm0FBhS3lFxWl1NgqOu+1i+6breZxv9G4e5ctvnBRKPT/1n1MQnnp/&#10;P4YBP6BDFpj29szaiUZBeMT/zcH7iEHsBx2DzFL5nz27AQAA//8DAFBLAQItABQABgAIAAAAIQC2&#10;gziS/gAAAOEBAAATAAAAAAAAAAAAAAAAAAAAAABbQ29udGVudF9UeXBlc10ueG1sUEsBAi0AFAAG&#10;AAgAAAAhADj9If/WAAAAlAEAAAsAAAAAAAAAAAAAAAAALwEAAF9yZWxzLy5yZWxzUEsBAi0AFAAG&#10;AAgAAAAhAGR01HWRAgAArwUAAA4AAAAAAAAAAAAAAAAALgIAAGRycy9lMm9Eb2MueG1sUEsBAi0A&#10;FAAGAAgAAAAhANdapnjaAAAAAwEAAA8AAAAAAAAAAAAAAAAA6wQAAGRycy9kb3ducmV2LnhtbFBL&#10;BQYAAAAABAAEAPMAAADyBQAAAAA=&#10;" fillcolor="#f0842c" strokecolor="#f0842c" strokeweight="2pt">
                      <w10:anchorlock/>
                    </v:oval>
                  </w:pict>
                </mc:Fallback>
              </mc:AlternateContent>
            </w:r>
          </w:p>
        </w:tc>
      </w:tr>
      <w:tr w:rsidR="00346779">
        <w:trPr>
          <w:gridAfter w:val="1"/>
          <w:wAfter w:w="204" w:type="dxa"/>
          <w:trHeight w:val="624"/>
          <w:jc w:val="center"/>
        </w:trPr>
        <w:tc>
          <w:tcPr>
            <w:tcW w:w="4094" w:type="dxa"/>
            <w:gridSpan w:val="2"/>
            <w:tcBorders>
              <w:left w:val="nil"/>
            </w:tcBorders>
            <w:shd w:val="clear" w:color="auto" w:fill="F2F2F2" w:themeFill="background1" w:themeFillShade="F2"/>
            <w:vAlign w:val="center"/>
          </w:tcPr>
          <w:p w:rsidR="00346779" w:rsidRDefault="004B0BF3">
            <w:pPr>
              <w:keepNext/>
              <w:keepLine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Sustainable finance: Low carbon Benchmarks</w: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85" name="Oval 285"/>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4AE5EF" id="Oval 285"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kgIAAK8FAAAOAAAAZHJzL2Uyb0RvYy54bWysVN9PGzEMfp+0/yHK+7gfKwwqrqgq6jQJ&#10;QQVMPKe5pBcpF2dJ2mv318/JXQ820Cah9SG1Y/uL/Z3ty6t9q8lOOK/AVLQ4ySkRhkOtzKai3x+X&#10;n84p8YGZmmkwoqIH4enV7OOHy85ORQkN6Fo4giDGTztb0SYEO80yzxvRMn8CVhg0SnAtC6i6TVY7&#10;1iF6q7Myz8+yDlxtHXDhPd5e90Y6S/hSCh7upPQiEF1RzC2k06VzHc9sdsmmG8dso/iQBntHFi1T&#10;Bh8doa5ZYGTr1CuoVnEHHmQ44dBmIKXiItWA1RT5H9U8NMyKVAuS4+1Ik/9/sPx2t3JE1RUtz08p&#10;MazFj3S3Y5pEHdnprJ+i04NduUHzKMZS99K18R+LIPvE6GFkVOwD4XhZlJPJGfLO0VSUxUWZGM+e&#10;g63z4auAlkShokJrZX2smU3Z7sYHfBO9j17x2oNW9VJpnRS3WS+0I5hwRZf5+aRcxKQx5Dc3bd4X&#10;iTgxNIsk9GUnKRy0iIDa3AuJ5GGhZUo5ta0YE2KcCxM+96aG1aLP8zTH3zHN2OgxIiWdACOyxPpG&#10;7OJv2H21g38MFanrx+D838FjRHoZTBiDW2XAvQWgQzEUIHv/I0k9NZGlNdQHbC0H/cx5y5cKv/EN&#10;82HFHA4ZtgUujnCHh9TQVRQGiZIG3M+37qM/9j5aKelwaCvqf2yZE5Tobwan4qKYTOKUJ2Vy+gXb&#10;jbiXlvVLi9m2C8C+KXBFWZ7E6B/0UZQO2ifcL/P4KpqY4fh2RXlwR2UR+mWCG4qL+Ty54WRbFm7M&#10;g+URPLIaG/hx/8ScHRo94ITcwn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Da+hKa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c>
          <w:tcPr>
            <w:tcW w:w="2268" w:type="dxa"/>
            <w:vAlign w:val="center"/>
          </w:tcPr>
          <w:p w:rsidR="00346779" w:rsidRDefault="004B0BF3">
            <w:pPr>
              <w:keepNext/>
              <w:keepLines/>
              <w:spacing w:after="0"/>
              <w:jc w:val="center"/>
              <w:rPr>
                <w:b/>
                <w:noProof/>
                <w:color w:val="003399"/>
                <w:sz w:val="20"/>
                <w:lang w:eastAsia="en-GB"/>
              </w:rPr>
            </w:pPr>
            <w:r>
              <w:rPr>
                <w:b/>
                <w:noProof/>
                <w:color w:val="003399"/>
                <w:sz w:val="20"/>
                <w:lang w:val="fr-BE" w:eastAsia="fr-BE"/>
              </w:rPr>
              <mc:AlternateContent>
                <mc:Choice Requires="wps">
                  <w:drawing>
                    <wp:inline distT="0" distB="0" distL="0" distR="0">
                      <wp:extent cx="124460" cy="121920"/>
                      <wp:effectExtent l="0" t="0" r="27940" b="11430"/>
                      <wp:docPr id="283" name="Oval 283"/>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9E8033" id="Oval 283"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VXkgIAAK8FAAAOAAAAZHJzL2Uyb0RvYy54bWysVN9PGzEMfp+0/yHK+7gfFAYVV1QVdZqE&#10;oBpMPKe5pBcpF2dJ2mv318/JXQ820Cah9SG1Y/uL/Z3tq+t9q8lOOK/AVLQ4ySkRhkOtzKai3x+X&#10;ny4o8YGZmmkwoqIH4en17OOHq85ORQkN6Fo4giDGTztb0SYEO80yzxvRMn8CVhg0SnAtC6i6TVY7&#10;1iF6q7Myz8+zDlxtHXDhPd7e9EY6S/hSCh7upfQiEF1RzC2k06VzHc9sdsWmG8dso/iQBntHFi1T&#10;Bh8doW5YYGTr1CuoVnEHHmQ44dBmIKXiItWA1RT5H9U8NMyKVAuS4+1Ik/9/sPxut3JE1RUtL04p&#10;MazFj3S/Y5pEHdnprJ+i04NduUHzKMZS99K18R+LIPvE6GFkVOwD4XhZlJPJOfLO0VSUxWWZGM+e&#10;g63z4YuAlkShokJrZX2smU3Z7tYHfBO9j17x2oNW9VJpnRS3WS+0I5hwRZf5xaRcxKQx5Dc3bd4X&#10;iTgxNIsk9GUnKRy0iIDafBMSycNCy5RyalsxJsQ4Fyac9qaG1aLP8yzH3zHN2OgxIiWdACOyxPpG&#10;7OJv2H21g38MFanrx+D838FjRHoZTBiDW2XAvQWgQzEUIHv/I0k9NZGlNdQHbC0H/cx5y5cKv/Et&#10;82HFHA4ZtgUujnCPh9TQVRQGiZIG3M+37qM/9j5aKelwaCvqf2yZE5Torwan4rKYTOKUJ2Vy9hnb&#10;jbiXlvVLi9m2C8C+KXBFWZ7E6B/0UZQO2ifcL/P4KpqY4fh2RXlwR2UR+mWCG4qL+Ty54WRbFm7N&#10;g+URPLIaG/hx/8ScHRo94ITcwXHAXzV77xsjDcy3AaRKk/DM68A3boXUOMMGi2vnpZ68nvfs7BcA&#10;AAD//wMAUEsDBBQABgAIAAAAIQDXWqZ42gAAAAMBAAAPAAAAZHJzL2Rvd25yZXYueG1sTI/NbsIw&#10;EITvlfoO1lbqrTgFKW1DHFSCKvXApfxIHJd4SQLxOooNpG+P0wu97Gg1q5lv01lvGnGhztWWFbyO&#10;IhDEhdU1lwo266+XdxDOI2tsLJOCX3Iwyx4fUky0vfIPXVa+FCGEXYIKKu/bREpXVGTQjWxLHLyD&#10;7Qz6sHal1B1eQ7hp5DiKYmmw5tBQYUt5RcVpdTYKjrvtYvum63mcb/RuHuXLb5wUSj0/9Z9TEJ56&#10;fz+GAT+gQxaY9vbM2olGQXjE/83B+4hB7Acdg8xS+Z89uwEAAP//AwBQSwECLQAUAAYACAAAACEA&#10;toM4kv4AAADhAQAAEwAAAAAAAAAAAAAAAAAAAAAAW0NvbnRlbnRfVHlwZXNdLnhtbFBLAQItABQA&#10;BgAIAAAAIQA4/SH/1gAAAJQBAAALAAAAAAAAAAAAAAAAAC8BAABfcmVscy8ucmVsc1BLAQItABQA&#10;BgAIAAAAIQA2LZVXkgIAAK8FAAAOAAAAAAAAAAAAAAAAAC4CAABkcnMvZTJvRG9jLnhtbFBLAQIt&#10;ABQABgAIAAAAIQDXWqZ42gAAAAMBAAAPAAAAAAAAAAAAAAAAAOwEAABkcnMvZG93bnJldi54bWxQ&#10;SwUGAAAAAAQABADzAAAA8wUAAAAA&#10;" fillcolor="#f0842c" strokecolor="#f0842c" strokeweight="2pt">
                      <w10:anchorlock/>
                    </v:oval>
                  </w:pict>
                </mc:Fallback>
              </mc:AlternateContent>
            </w:r>
          </w:p>
        </w:tc>
      </w:tr>
      <w:tr w:rsidR="003467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rsidR="00346779" w:rsidRDefault="004B0BF3">
            <w:pPr>
              <w:spacing w:after="0"/>
              <w:jc w:val="left"/>
              <w:rPr>
                <w:b/>
                <w:noProof/>
                <w:color w:val="003399"/>
                <w:sz w:val="20"/>
              </w:rPr>
            </w:pPr>
            <w:r>
              <w:rPr>
                <w:b/>
                <w:noProof/>
                <w:color w:val="003399"/>
                <w:sz w:val="20"/>
                <w:lang w:val="fr-BE" w:eastAsia="fr-BE"/>
              </w:rPr>
              <mc:AlternateContent>
                <mc:Choice Requires="wps">
                  <w:drawing>
                    <wp:inline distT="0" distB="0" distL="0" distR="0">
                      <wp:extent cx="124460" cy="127635"/>
                      <wp:effectExtent l="0" t="0" r="27940" b="24765"/>
                      <wp:docPr id="153" name="Oval 153"/>
                      <wp:cNvGraphicFramePr/>
                      <a:graphic xmlns:a="http://schemas.openxmlformats.org/drawingml/2006/main">
                        <a:graphicData uri="http://schemas.microsoft.com/office/word/2010/wordprocessingShape">
                          <wps:wsp>
                            <wps:cNvSpPr/>
                            <wps:spPr>
                              <a:xfrm>
                                <a:off x="0" y="0"/>
                                <a:ext cx="124460" cy="127635"/>
                              </a:xfrm>
                              <a:prstGeom prst="ellipse">
                                <a:avLst/>
                              </a:prstGeom>
                              <a:solidFill>
                                <a:srgbClr val="FFEF10"/>
                              </a:solidFill>
                              <a:ln>
                                <a:solidFill>
                                  <a:srgbClr val="FFEF1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FCFEF1" id="Oval 153" o:spid="_x0000_s1026" style="width:9.8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M5jgIAAK8FAAAOAAAAZHJzL2Uyb0RvYy54bWysVFFv2yAQfp+0/4B4Xx2nSbtFdaqoXaZJ&#10;VVOtnfpMMMRIwDEgcbJfvwM7brdWm1TND5jj7j7uPu7u4nJvNNkJHxTYipYnI0qE5VAru6no94fl&#10;h4+UhMhszTRYUdGDCPRy/v7dRetmYgwN6Fp4giA2zFpX0SZGNyuKwBthWDgBJywqJXjDIop+U9Se&#10;tYhudDEejc6KFnztPHARAp5ed0o6z/hSCh5XUgYRia4oxhbz6vO6Tmsxv2CzjWeuUbwPg70hCsOU&#10;xUsHqGsWGdl69QLKKO4hgIwnHEwBUioucg6YTTn6I5v7hjmRc0FyghtoCv8Plt/u7jxRNb7d9JQS&#10;yww+0mrHNEkystO6MEOje3fneyngNqW6l96kPyZB9pnRw8Co2EfC8bAcTyZnyDtHVTk+PzudJszi&#10;ydn5EL8IMCRtKiq0Vi6knNmM7W5C7KyPVuk4gFb1UmmdBb9ZX2lPMOCKLpefl2V+UrzgNzNt3+aJ&#10;OMm1SCR0aeddPGiRALX9JiSSh4mOc8i5bMUQEONc2HjaqRpWiy7O6Qi/nofBI7OSAROyxPwG7PJv&#10;2B1BvX1yFbnqB+fRv50Hj3wz2Dg4G2XBvwagY9knIDv7I0kdNYmlNdQHLC0PXc8Fx5cK3/iGhXjH&#10;PDYZlgUOjrjCRWpoKwr9jpIG/M/XzpM91j5qKWmxaSsafmyZF5Torxa74lM5maQuz8Jkej5GwT/X&#10;rJ9r7NZcAdZNiSPK8bxN9lEft9KDecT5ski3oopZjndXlEd/FK5iN0xwQnGxWGQz7GzH4o29dzyB&#10;J1ZTAT/sH5l3faFH7JBbODb4i2LvbJOnhcU2glS5E5547fnGqZALp59gaew8l7PV05yd/wIAAP//&#10;AwBQSwMEFAAGAAgAAAAhAFHKSrDZAAAAAwEAAA8AAABkcnMvZG93bnJldi54bWxMj0FLw0AQhe+C&#10;/2EZwYvYTYsWjZkUKXouabVep9kxCWZnw+62Tf31br3oZeDxHu99UyxG26sD+9A5QZhOMlAstTOd&#10;NAhvm9fbB1AhkhjqnTDCiQMsysuLgnLjjlLxYR0blUok5ITQxjjkWoe6ZUth4gaW5H06bykm6Rtt&#10;PB1Tue31LMvm2lInaaGlgZct11/rvUXY3rxsG3//UXXGrej9u1qu7sYT4vXV+PwEKvIY/8Jwxk/o&#10;UCamnduLCapHSI/E33v2HuegdgizbAq6LPR/9vIHAAD//wMAUEsBAi0AFAAGAAgAAAAhALaDOJL+&#10;AAAA4QEAABMAAAAAAAAAAAAAAAAAAAAAAFtDb250ZW50X1R5cGVzXS54bWxQSwECLQAUAAYACAAA&#10;ACEAOP0h/9YAAACUAQAACwAAAAAAAAAAAAAAAAAvAQAAX3JlbHMvLnJlbHNQSwECLQAUAAYACAAA&#10;ACEAemmDOY4CAACvBQAADgAAAAAAAAAAAAAAAAAuAgAAZHJzL2Uyb0RvYy54bWxQSwECLQAUAAYA&#10;CAAAACEAUcpKsNkAAAADAQAADwAAAAAAAAAAAAAAAADoBAAAZHJzL2Rvd25yZXYueG1sUEsFBgAA&#10;AAAEAAQA8wAAAO4FAAAAAA==&#10;" fillcolor="#ffef10" strokecolor="#ffef10" strokeweight="2pt">
                      <w10:anchorlock/>
                    </v:oval>
                  </w:pict>
                </mc:Fallback>
              </mc:AlternateContent>
            </w:r>
          </w:p>
        </w:tc>
        <w:tc>
          <w:tcPr>
            <w:tcW w:w="8378" w:type="dxa"/>
            <w:gridSpan w:val="4"/>
            <w:vAlign w:val="center"/>
          </w:tcPr>
          <w:p w:rsidR="00346779" w:rsidRDefault="004B0BF3">
            <w:pPr>
              <w:keepNext/>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 xml:space="preserve">SWIFT AGREEMENT POSSIBLE BY FOLLOWING </w:t>
            </w:r>
            <w:r>
              <w:rPr>
                <w:rFonts w:ascii="Times New Roman" w:hAnsi="Times New Roman" w:cs="Times New Roman"/>
                <w:b/>
                <w:noProof/>
                <w:color w:val="000000" w:themeColor="text1"/>
                <w:sz w:val="20"/>
                <w:szCs w:val="20"/>
              </w:rPr>
              <w:t>NORMAL PROCEDURES</w:t>
            </w:r>
          </w:p>
        </w:tc>
      </w:tr>
      <w:tr w:rsidR="0034677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tblCellMar>
        </w:tblPrEx>
        <w:trPr>
          <w:trHeight w:val="397"/>
        </w:trPr>
        <w:tc>
          <w:tcPr>
            <w:tcW w:w="456" w:type="dxa"/>
            <w:vAlign w:val="center"/>
          </w:tcPr>
          <w:p w:rsidR="00346779" w:rsidRDefault="004B0BF3">
            <w:pPr>
              <w:tabs>
                <w:tab w:val="left" w:pos="142"/>
              </w:tabs>
              <w:spacing w:after="0"/>
              <w:jc w:val="left"/>
              <w:rPr>
                <w:b/>
                <w:noProof/>
                <w:color w:val="003399"/>
                <w:sz w:val="20"/>
              </w:rPr>
            </w:pPr>
            <w:r>
              <w:rPr>
                <w:b/>
                <w:noProof/>
                <w:color w:val="003399"/>
                <w:sz w:val="20"/>
                <w:lang w:val="fr-BE" w:eastAsia="fr-BE"/>
              </w:rPr>
              <mc:AlternateContent>
                <mc:Choice Requires="wps">
                  <w:drawing>
                    <wp:inline distT="0" distB="0" distL="0" distR="0">
                      <wp:extent cx="124460" cy="121920"/>
                      <wp:effectExtent l="0" t="0" r="27940" b="11430"/>
                      <wp:docPr id="270" name="Oval 270"/>
                      <wp:cNvGraphicFramePr/>
                      <a:graphic xmlns:a="http://schemas.openxmlformats.org/drawingml/2006/main">
                        <a:graphicData uri="http://schemas.microsoft.com/office/word/2010/wordprocessingShape">
                          <wps:wsp>
                            <wps:cNvSpPr/>
                            <wps:spPr>
                              <a:xfrm>
                                <a:off x="0" y="0"/>
                                <a:ext cx="124460" cy="121920"/>
                              </a:xfrm>
                              <a:prstGeom prst="ellipse">
                                <a:avLst/>
                              </a:prstGeom>
                              <a:solidFill>
                                <a:srgbClr val="F0842C"/>
                              </a:solidFill>
                              <a:ln>
                                <a:solidFill>
                                  <a:srgbClr val="F0842C"/>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198FEF" id="Oval 270" o:spid="_x0000_s1026" style="width:9.8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skAIAAK8FAAAOAAAAZHJzL2Uyb0RvYy54bWysVNtu2zAMfR+wfxD0vvqy9BbUKYIUGQYU&#10;bbB26LMiS7EAWdQkJU729aNkx+3WYgOK5UEhRfKIPCZ5db1vNdkJ5xWYihYnOSXCcKiV2VT0++Py&#10;0wUlPjBTMw1GVPQgPL2effxw1dmpKKEBXQtHEMT4aWcr2oRgp1nmeSNa5k/ACoNGCa5lAVW3yWrH&#10;OkRvdVbm+VnWgautAy68x9ub3khnCV9KwcO9lF4EoiuKuYV0unSu45nNrth045htFB/SYO/IomXK&#10;4KMj1A0LjGydegXVKu7AgwwnHNoMpFRcpBqwmiL/o5qHhlmRakFyvB1p8v8Plt/tVo6ouqLlOfJj&#10;WIsf6X7HNIk6stNZP0WnB7tyg+ZRjKXupWvjPxZB9onRw8io2AfC8bIoJ5MzxOVoKsriskyY2XOw&#10;dT58EdCSKFRUaK2sjzWzKdvd+oBvovfRK1570KpeKq2T4jbrhXYEE67oMr+YlIuYNIb85qbN+yIR&#10;J4ZmkYS+7CSFgxYRUJtvQiJ5WGiZUk5tK8aEGOfChM+9qWG16PM8zfF3TDM2eoxISSfAiCyxvhG7&#10;+Bt2X+3gH0NF6voxOP938BiRXgYTxuBWGXBvAehQDAXI3v9IUk9NZGkN9QFby0E/c97ypcJvfMt8&#10;WDGHQ4ZtgYsj3OMhNXQVhUGipAH386376I+9j1ZKOhzaivofW+YEJfqrwam4LCaTOOVJmZyeY7sR&#10;99Kyfmkx23YB2DcFrijLkxj9gz6K0kH7hPtlHl9FEzMc364oD+6oLEK/THBDcTGfJzecbMvCrXmw&#10;PIJHVmMDP+6fmLNDoweckDs4DvirZu99Y6SB+TaAVGkSnnkd+MatkBpn2GBx7bzUk9fznp39AgAA&#10;//8DAFBLAwQUAAYACAAAACEA11qmeNoAAAADAQAADwAAAGRycy9kb3ducmV2LnhtbEyPzW7CMBCE&#10;75X6DtZW6q04BSltQxxUgir1wKX8SByXeEkC8TqKDaRvj9MLvexoNauZb9NZbxpxoc7VlhW8jiIQ&#10;xIXVNZcKNuuvl3cQziNrbCyTgl9yMMseH1JMtL3yD11WvhQhhF2CCirv20RKV1Rk0I1sSxy8g+0M&#10;+rB2pdQdXkO4aeQ4imJpsObQUGFLeUXFaXU2Co677WL7put5nG/0bh7ly2+cFEo9P/WfUxCeen8/&#10;hgE/oEMWmPb2zNqJRkF4xP/NwfuIQewHHYPMUvmfPbsBAAD//wMAUEsBAi0AFAAGAAgAAAAhALaD&#10;OJL+AAAA4QEAABMAAAAAAAAAAAAAAAAAAAAAAFtDb250ZW50X1R5cGVzXS54bWxQSwECLQAUAAYA&#10;CAAAACEAOP0h/9YAAACUAQAACwAAAAAAAAAAAAAAAAAvAQAAX3JlbHMvLnJlbHNQSwECLQAUAAYA&#10;CAAAACEASwd97JACAACvBQAADgAAAAAAAAAAAAAAAAAuAgAAZHJzL2Uyb0RvYy54bWxQSwECLQAU&#10;AAYACAAAACEA11qmeNoAAAADAQAADwAAAAAAAAAAAAAAAADqBAAAZHJzL2Rvd25yZXYueG1sUEsF&#10;BgAAAAAEAAQA8wAAAPEFAAAAAA==&#10;" fillcolor="#f0842c" strokecolor="#f0842c" strokeweight="2pt">
                      <w10:anchorlock/>
                    </v:oval>
                  </w:pict>
                </mc:Fallback>
              </mc:AlternateContent>
            </w:r>
          </w:p>
        </w:tc>
        <w:tc>
          <w:tcPr>
            <w:tcW w:w="8378" w:type="dxa"/>
            <w:gridSpan w:val="4"/>
            <w:vAlign w:val="center"/>
          </w:tcPr>
          <w:p w:rsidR="00346779" w:rsidRDefault="004B0BF3">
            <w:pPr>
              <w:tabs>
                <w:tab w:val="left" w:pos="142"/>
              </w:tabs>
              <w:spacing w:after="0"/>
              <w:jc w:val="left"/>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AGREEMENT POSSIBLE IF STRONG POLITICAL COMMITMENT FROM ALL EU INSTITUTIONS</w:t>
            </w:r>
          </w:p>
        </w:tc>
      </w:tr>
    </w:tbl>
    <w:p w:rsidR="00346779" w:rsidRDefault="00346779">
      <w:pPr>
        <w:tabs>
          <w:tab w:val="left" w:pos="142"/>
        </w:tabs>
        <w:spacing w:after="0"/>
        <w:rPr>
          <w:b/>
          <w:noProof/>
          <w:color w:val="003399"/>
          <w:sz w:val="20"/>
        </w:rPr>
      </w:pPr>
    </w:p>
    <w:p w:rsidR="00346779" w:rsidRDefault="004B0BF3">
      <w:pPr>
        <w:pStyle w:val="Heading2"/>
        <w:rPr>
          <w:noProof/>
        </w:rPr>
      </w:pPr>
      <w:r>
        <w:rPr>
          <w:noProof/>
        </w:rPr>
        <w:t>Making the most of the Single Market through new Union-wide products and services</w:t>
      </w:r>
    </w:p>
    <w:p w:rsidR="00346779" w:rsidRDefault="004B0BF3">
      <w:pPr>
        <w:pStyle w:val="BodyText"/>
        <w:keepLines/>
        <w:rPr>
          <w:i/>
          <w:noProof/>
        </w:rPr>
      </w:pPr>
      <w:r>
        <w:rPr>
          <w:b/>
          <w:noProof/>
        </w:rPr>
        <w:t>The Commission presented in June 2017 a proposal for a Pan-European Personal</w:t>
      </w:r>
      <w:r>
        <w:rPr>
          <w:b/>
          <w:noProof/>
        </w:rPr>
        <w:t xml:space="preserve"> Pension Product.</w:t>
      </w:r>
      <w:r>
        <w:rPr>
          <w:i/>
          <w:noProof/>
        </w:rPr>
        <w:t xml:space="preserve"> </w:t>
      </w:r>
      <w:r>
        <w:rPr>
          <w:noProof/>
        </w:rPr>
        <w:t>A Union-wide personal pension product would give citizens more options for their retirement savings, including in a cross-border context. It would also create economies of scale that would benefit savers by giving them access to better pr</w:t>
      </w:r>
      <w:r>
        <w:rPr>
          <w:noProof/>
        </w:rPr>
        <w:t xml:space="preserve">oducts at lower cost. Personal pensions can help addressing the demographic challenges of ageing populations by complementing state-based and occupational pensions, for citizens that wish to do so. </w:t>
      </w:r>
    </w:p>
    <w:p w:rsidR="00346779" w:rsidRDefault="004B0BF3">
      <w:pPr>
        <w:pStyle w:val="BodyText"/>
        <w:rPr>
          <w:noProof/>
        </w:rPr>
      </w:pPr>
      <w:r>
        <w:rPr>
          <w:b/>
          <w:noProof/>
        </w:rPr>
        <w:t>The Commission adopted in March 2018 a proposal for a cov</w:t>
      </w:r>
      <w:r>
        <w:rPr>
          <w:b/>
          <w:noProof/>
        </w:rPr>
        <w:t>ered bonds framework.</w:t>
      </w:r>
      <w:r>
        <w:rPr>
          <w:i/>
          <w:noProof/>
        </w:rPr>
        <w:t xml:space="preserve"> </w:t>
      </w:r>
      <w:r>
        <w:rPr>
          <w:noProof/>
        </w:rPr>
        <w:t>Covered bond markets are among the largest private debt markets in the Union and an important channel for longer term financing. They are instrumental for credit institutions to efficiently channel finance to the real estate market an</w:t>
      </w:r>
      <w:r>
        <w:rPr>
          <w:noProof/>
        </w:rPr>
        <w:t>d for publicly guaranteed instruments including some loans to small and medium-sized enterprises.</w:t>
      </w:r>
    </w:p>
    <w:p w:rsidR="00346779" w:rsidRDefault="004B0BF3">
      <w:pPr>
        <w:pStyle w:val="BodyText"/>
        <w:rPr>
          <w:noProof/>
        </w:rPr>
      </w:pPr>
      <w:r>
        <w:rPr>
          <w:b/>
          <w:bCs/>
          <w:noProof/>
        </w:rPr>
        <w:t>The Commission put forward in March 2018 a proposal for a framework on crowdfunding, as part of the FinTech Action plan.</w:t>
      </w:r>
      <w:r>
        <w:rPr>
          <w:rStyle w:val="FootnoteReference"/>
          <w:bCs/>
          <w:noProof/>
        </w:rPr>
        <w:footnoteReference w:id="9"/>
      </w:r>
      <w:r>
        <w:rPr>
          <w:noProof/>
        </w:rPr>
        <w:t xml:space="preserve"> The market for crowdfunding is under</w:t>
      </w:r>
      <w:r>
        <w:rPr>
          <w:noProof/>
        </w:rPr>
        <w:t>developed in the Union compared to other major world economies. One of the biggest hurdles faced by crowdfunding platforms seeking to offer their services across borders is the lack of common rules across the Union. The proposed rules should improve access</w:t>
      </w:r>
      <w:r>
        <w:rPr>
          <w:noProof/>
        </w:rPr>
        <w:t xml:space="preserve"> to this innovative form of finance for businesses in need of funding, particularly start-ups, while ensuring that investors benefit from strong protection and safeguards.</w:t>
      </w:r>
    </w:p>
    <w:p w:rsidR="00346779" w:rsidRDefault="004B0BF3">
      <w:pPr>
        <w:pStyle w:val="BodyText"/>
        <w:spacing w:after="240"/>
        <w:rPr>
          <w:noProof/>
        </w:rPr>
      </w:pPr>
      <w:r>
        <w:rPr>
          <w:b/>
          <w:noProof/>
        </w:rPr>
        <w:t>In March 2018, the</w:t>
      </w:r>
      <w:r>
        <w:rPr>
          <w:noProof/>
        </w:rPr>
        <w:t xml:space="preserve"> </w:t>
      </w:r>
      <w:r>
        <w:rPr>
          <w:b/>
          <w:noProof/>
        </w:rPr>
        <w:t>Commission also made a proposal facilitating cross-border distrib</w:t>
      </w:r>
      <w:r>
        <w:rPr>
          <w:b/>
          <w:noProof/>
        </w:rPr>
        <w:t>ution of collective investment funds.</w:t>
      </w:r>
      <w:r>
        <w:rPr>
          <w:noProof/>
        </w:rPr>
        <w:t xml:space="preserve"> Barriers such as national marketing requirements and regulatory fees are detrimental to cross-border distribution of funds.</w:t>
      </w:r>
      <w:r>
        <w:rPr>
          <w:i/>
          <w:noProof/>
        </w:rPr>
        <w:t xml:space="preserve"> </w:t>
      </w:r>
      <w:r>
        <w:rPr>
          <w:noProof/>
        </w:rPr>
        <w:t>The proposal</w:t>
      </w:r>
      <w:r>
        <w:rPr>
          <w:i/>
          <w:noProof/>
        </w:rPr>
        <w:t xml:space="preserve"> </w:t>
      </w:r>
      <w:r>
        <w:rPr>
          <w:noProof/>
        </w:rPr>
        <w:t>aims to make cross-border distribution of funds simpler, quicker and cheaper. Mor</w:t>
      </w:r>
      <w:r>
        <w:rPr>
          <w:noProof/>
        </w:rPr>
        <w:t>e cross-border distribution should lead to more opportunities to invest in investment funds pursuing social or environmental goals. The proposed rules should improve the transparency of national requirements, remove burdensome requirements and harmonise di</w:t>
      </w:r>
      <w:r>
        <w:rPr>
          <w:noProof/>
        </w:rPr>
        <w:t>verging national rules.</w:t>
      </w:r>
    </w:p>
    <w:p w:rsidR="00346779" w:rsidRDefault="004B0BF3">
      <w:pPr>
        <w:pStyle w:val="Heading2"/>
        <w:rPr>
          <w:noProof/>
        </w:rPr>
      </w:pPr>
      <w:r>
        <w:rPr>
          <w:noProof/>
        </w:rPr>
        <w:t xml:space="preserve">Simpler, clearer and more proportionate rules for businesses </w:t>
      </w:r>
    </w:p>
    <w:p w:rsidR="00346779" w:rsidRDefault="004B0BF3">
      <w:pPr>
        <w:pStyle w:val="BodyText"/>
        <w:rPr>
          <w:noProof/>
        </w:rPr>
      </w:pPr>
      <w:r>
        <w:rPr>
          <w:b/>
          <w:noProof/>
        </w:rPr>
        <w:t xml:space="preserve">The Commission put forward in May 2017 a proposal to simplify rules and reduce regulatory burdens for market participants in the over-the-counter derivatives market. </w:t>
      </w:r>
      <w:r>
        <w:rPr>
          <w:noProof/>
        </w:rPr>
        <w:t>Initiatives based on a global agreement in the G20 to mitigate the risks related to derivatives transactions that are traded over-the-counter have contributed significantly to improving the stability of the derivatives market. However, the current rules ap</w:t>
      </w:r>
      <w:r>
        <w:rPr>
          <w:noProof/>
        </w:rPr>
        <w:t>ply to all market participants, from large banks to small financial firms and corporates, in a way that is not always fully proportionate. Against this background,</w:t>
      </w:r>
      <w:r>
        <w:rPr>
          <w:b/>
          <w:noProof/>
        </w:rPr>
        <w:t xml:space="preserve"> </w:t>
      </w:r>
      <w:r>
        <w:rPr>
          <w:noProof/>
        </w:rPr>
        <w:t>the proposed rules aim to reduce regulatory burdens for market participants. If adopted, the</w:t>
      </w:r>
      <w:r>
        <w:rPr>
          <w:noProof/>
        </w:rPr>
        <w:t xml:space="preserve"> rules could save market participants significant costs without compromising financial stability.</w:t>
      </w:r>
    </w:p>
    <w:p w:rsidR="00346779" w:rsidRDefault="004B0BF3">
      <w:pPr>
        <w:pStyle w:val="BodyText"/>
        <w:rPr>
          <w:i/>
          <w:noProof/>
        </w:rPr>
      </w:pPr>
      <w:r>
        <w:rPr>
          <w:b/>
          <w:noProof/>
        </w:rPr>
        <w:t>The Commission presented in December 2017 a proposal on</w:t>
      </w:r>
      <w:r>
        <w:rPr>
          <w:noProof/>
        </w:rPr>
        <w:t xml:space="preserve"> </w:t>
      </w:r>
      <w:r>
        <w:rPr>
          <w:b/>
          <w:noProof/>
        </w:rPr>
        <w:t>more proportionate and effective rules for investment firms.</w:t>
      </w:r>
      <w:r>
        <w:rPr>
          <w:noProof/>
        </w:rPr>
        <w:t xml:space="preserve"> The proposal seeks to establish a more pr</w:t>
      </w:r>
      <w:r>
        <w:rPr>
          <w:noProof/>
        </w:rPr>
        <w:t>oportionate prudential and supervisory framework for investment firms, calibrated to their size and nature. The new rules would ensure a level playing field between the large and systemic financial institutions while introducing simpler prudential rules fo</w:t>
      </w:r>
      <w:r>
        <w:rPr>
          <w:noProof/>
        </w:rPr>
        <w:t>r non-systemic investment firms.</w:t>
      </w:r>
    </w:p>
    <w:p w:rsidR="00346779" w:rsidRDefault="004B0BF3">
      <w:pPr>
        <w:pStyle w:val="BodyText"/>
        <w:rPr>
          <w:noProof/>
          <w:szCs w:val="24"/>
        </w:rPr>
      </w:pPr>
      <w:r>
        <w:rPr>
          <w:b/>
          <w:noProof/>
        </w:rPr>
        <w:t xml:space="preserve">The Commission presented in May 2018 a proposal to make it easier for smaller businesses to get financing through capital markets. </w:t>
      </w:r>
      <w:r>
        <w:rPr>
          <w:noProof/>
        </w:rPr>
        <w:t>Small and medium-sized enterprises are often faced with disproportionate regulatory barriers</w:t>
      </w:r>
      <w:r>
        <w:rPr>
          <w:noProof/>
        </w:rPr>
        <w:t xml:space="preserve"> that prevent them from accessing market-based finance. The proposal aims to cut red-tape for small and medium-sized enterprises trying to access 'SME Growth Markets', a new category of trading venue dedicated to small issuers. The proposed rules aim to in</w:t>
      </w:r>
      <w:r>
        <w:rPr>
          <w:noProof/>
        </w:rPr>
        <w:t xml:space="preserve">troduce a more proportionate approach to support the listing of small and medium-sized enterprises while at the same time safeguarding investor protection and market integrity. </w:t>
      </w:r>
    </w:p>
    <w:p w:rsidR="00346779" w:rsidRDefault="004B0BF3">
      <w:pPr>
        <w:pStyle w:val="BodyText"/>
        <w:rPr>
          <w:noProof/>
        </w:rPr>
      </w:pPr>
      <w:r>
        <w:rPr>
          <w:b/>
          <w:noProof/>
        </w:rPr>
        <w:t>In November 2016, the</w:t>
      </w:r>
      <w:r>
        <w:rPr>
          <w:noProof/>
        </w:rPr>
        <w:t xml:space="preserve"> </w:t>
      </w:r>
      <w:r>
        <w:rPr>
          <w:b/>
          <w:noProof/>
        </w:rPr>
        <w:t>Commission adopted a proposal on preventive restructurin</w:t>
      </w:r>
      <w:r>
        <w:rPr>
          <w:b/>
          <w:noProof/>
        </w:rPr>
        <w:t>g frameworks, second chance and measures to increase the efficiency of restructuring, insolvency and discharge procedures.</w:t>
      </w:r>
      <w:r>
        <w:rPr>
          <w:noProof/>
        </w:rPr>
        <w:t xml:space="preserve"> Allowing honest entrepreneurs to benefit from a second chance after overcoming bankruptcy is crucial for ensuring a dynamic business </w:t>
      </w:r>
      <w:r>
        <w:rPr>
          <w:noProof/>
        </w:rPr>
        <w:t xml:space="preserve">environment and promoting innovation. For honest entrepreneurs, the proposal therefore provides for a second chance through debt discharge, in order to give them a fresh start and incentivise entrepreneurship. Moreover, the proposal aims to facilitate the </w:t>
      </w:r>
      <w:r>
        <w:rPr>
          <w:noProof/>
        </w:rPr>
        <w:t>efficient restructuring of viable companies in financial difficulties to avoid insolvency and destruction of going concern value.</w:t>
      </w:r>
    </w:p>
    <w:p w:rsidR="00346779" w:rsidRDefault="004B0BF3">
      <w:pPr>
        <w:pStyle w:val="BodyText"/>
        <w:spacing w:after="240"/>
        <w:rPr>
          <w:noProof/>
        </w:rPr>
      </w:pPr>
      <w:r>
        <w:rPr>
          <w:b/>
          <w:noProof/>
        </w:rPr>
        <w:t>The Commission presented in March 2018</w:t>
      </w:r>
      <w:r>
        <w:rPr>
          <w:b/>
          <w:bCs/>
          <w:noProof/>
        </w:rPr>
        <w:t xml:space="preserve"> a proposal on the law applicable to the third-party effects of assignments of claims</w:t>
      </w:r>
      <w:r>
        <w:rPr>
          <w:b/>
          <w:noProof/>
        </w:rPr>
        <w:t>.</w:t>
      </w:r>
      <w:r>
        <w:rPr>
          <w:noProof/>
        </w:rPr>
        <w:t xml:space="preserve"> T</w:t>
      </w:r>
      <w:r>
        <w:rPr>
          <w:noProof/>
        </w:rPr>
        <w:t>he proposal would significantly enhance legal certainty by determining which national law is applicable to the effects on third parties where a claim is assigned cross-border.</w:t>
      </w:r>
    </w:p>
    <w:p w:rsidR="00346779" w:rsidRDefault="004B0BF3">
      <w:pPr>
        <w:pStyle w:val="BodyText"/>
        <w:spacing w:after="240"/>
        <w:rPr>
          <w:noProof/>
        </w:rPr>
      </w:pPr>
      <w:r>
        <w:rPr>
          <w:b/>
          <w:noProof/>
        </w:rPr>
        <w:t>The</w:t>
      </w:r>
      <w:r>
        <w:rPr>
          <w:noProof/>
        </w:rPr>
        <w:t xml:space="preserve"> </w:t>
      </w:r>
      <w:r>
        <w:rPr>
          <w:b/>
          <w:noProof/>
        </w:rPr>
        <w:t>Commission adopted in October 2016 a proposal for Common Consolidated Corpor</w:t>
      </w:r>
      <w:r>
        <w:rPr>
          <w:b/>
          <w:noProof/>
        </w:rPr>
        <w:t>ate Tax Base (CCCTB).</w:t>
      </w:r>
      <w:r>
        <w:rPr>
          <w:noProof/>
        </w:rPr>
        <w:t xml:space="preserve"> The proposal addresses the existing debt-bias in taxation that distorts financing decisions, makes companies more vulnerable to bankruptcy and undermines the stability of the overall economy. The proposal aims to increase tax fairness</w:t>
      </w:r>
      <w:r>
        <w:rPr>
          <w:noProof/>
        </w:rPr>
        <w:t xml:space="preserve"> in the Single Market and level the playing field as well as increase investment into growth-friendly activities such as research and development.</w:t>
      </w:r>
      <w:r>
        <w:rPr>
          <w:b/>
          <w:bCs/>
          <w:noProof/>
        </w:rPr>
        <w:t xml:space="preserve"> </w:t>
      </w:r>
      <w:r>
        <w:rPr>
          <w:bCs/>
          <w:noProof/>
        </w:rPr>
        <w:t>Moreover, i</w:t>
      </w:r>
      <w:r>
        <w:rPr>
          <w:noProof/>
          <w:sz w:val="23"/>
          <w:szCs w:val="23"/>
        </w:rPr>
        <w:t xml:space="preserve">n light of the difficulties that Member States have to come to unanimous agreement in the Council </w:t>
      </w:r>
      <w:r>
        <w:rPr>
          <w:noProof/>
          <w:sz w:val="23"/>
          <w:szCs w:val="23"/>
        </w:rPr>
        <w:t>on major tax proposals, the Commission will shortly present a Communication exploring the possibility of moving to qualified majority voting for certain tax matters.</w:t>
      </w:r>
      <w:r>
        <w:rPr>
          <w:rStyle w:val="FootnoteReference"/>
          <w:noProof/>
          <w:sz w:val="23"/>
          <w:szCs w:val="23"/>
        </w:rPr>
        <w:footnoteReference w:id="10"/>
      </w:r>
    </w:p>
    <w:p w:rsidR="00346779" w:rsidRDefault="004B0BF3">
      <w:pPr>
        <w:pStyle w:val="Heading2"/>
        <w:rPr>
          <w:noProof/>
        </w:rPr>
      </w:pPr>
      <w:r>
        <w:rPr>
          <w:noProof/>
        </w:rPr>
        <w:t>A more efficient supervision of capital markets</w:t>
      </w:r>
    </w:p>
    <w:p w:rsidR="00346779" w:rsidRDefault="004B0BF3">
      <w:pPr>
        <w:rPr>
          <w:b/>
          <w:noProof/>
        </w:rPr>
      </w:pPr>
      <w:bookmarkStart w:id="4" w:name="_Toc528147013"/>
      <w:r>
        <w:rPr>
          <w:rStyle w:val="BodyTextChar"/>
          <w:b/>
          <w:bCs/>
          <w:noProof/>
        </w:rPr>
        <w:t xml:space="preserve">The Commission presented in September </w:t>
      </w:r>
      <w:r>
        <w:rPr>
          <w:rStyle w:val="BodyTextChar"/>
          <w:b/>
          <w:bCs/>
          <w:noProof/>
        </w:rPr>
        <w:t>2017 a proposal for a review of the European Supervisory Authorities.</w:t>
      </w:r>
      <w:r>
        <w:rPr>
          <w:b/>
          <w:noProof/>
        </w:rPr>
        <w:t xml:space="preserve"> The proposal was amended in September 2018 to strengthen the supervisory framework in the area of anti-money laundering and terrorist financing. </w:t>
      </w:r>
      <w:r>
        <w:rPr>
          <w:rStyle w:val="BodyTextChar"/>
          <w:noProof/>
        </w:rPr>
        <w:t xml:space="preserve">More financial integration requires more </w:t>
      </w:r>
      <w:r>
        <w:rPr>
          <w:rStyle w:val="BodyTextChar"/>
          <w:noProof/>
        </w:rPr>
        <w:t>integrated and effective supervision. The aim of the proposals is to enhance supervisory convergence and strengthen enforcement - this promotes consistent and more effective supervision. It is therefore important that a meaningful reform of the European Su</w:t>
      </w:r>
      <w:r>
        <w:rPr>
          <w:rStyle w:val="BodyTextChar"/>
          <w:noProof/>
        </w:rPr>
        <w:t>pervisory Authorities and enhanced tasks for the European Banking Authority to contribute to the fight against money laundering and terrorist financing are adopted together during the current legislature. More independent governance, strong convergence pow</w:t>
      </w:r>
      <w:r>
        <w:rPr>
          <w:rStyle w:val="BodyTextChar"/>
          <w:noProof/>
        </w:rPr>
        <w:t>ers and a sustainable funding framework, as proposed in the review of the European Supervisory Authorities, are equally key to remedy current deficiencies and enhance the efficiency of anti-money laundering supervision.</w:t>
      </w:r>
    </w:p>
    <w:p w:rsidR="00346779" w:rsidRDefault="004B0BF3">
      <w:pPr>
        <w:rPr>
          <w:i/>
          <w:noProof/>
        </w:rPr>
      </w:pPr>
      <w:r>
        <w:rPr>
          <w:rStyle w:val="BodyTextChar"/>
          <w:b/>
          <w:bCs/>
          <w:noProof/>
        </w:rPr>
        <w:t>The Commission put forward in June 2</w:t>
      </w:r>
      <w:r>
        <w:rPr>
          <w:rStyle w:val="BodyTextChar"/>
          <w:b/>
          <w:bCs/>
          <w:noProof/>
        </w:rPr>
        <w:t>017 a proposal to strengthen the supervision of central counterparties.</w:t>
      </w:r>
      <w:r>
        <w:rPr>
          <w:b/>
          <w:noProof/>
          <w:szCs w:val="24"/>
        </w:rPr>
        <w:t xml:space="preserve"> </w:t>
      </w:r>
      <w:r>
        <w:rPr>
          <w:noProof/>
          <w:szCs w:val="24"/>
        </w:rPr>
        <w:t xml:space="preserve">Central </w:t>
      </w:r>
      <w:r>
        <w:rPr>
          <w:rStyle w:val="BodyTextChar"/>
          <w:noProof/>
        </w:rPr>
        <w:t>counterparties play a crucial role in integrated capital markets, by mitigating the risks relating to the default of a counterparty to a transaction. In doing so, central count</w:t>
      </w:r>
      <w:r>
        <w:rPr>
          <w:rStyle w:val="BodyTextChar"/>
          <w:noProof/>
        </w:rPr>
        <w:t>erparties concentrate risks and can become systemically important for the financial system. The systemic importance of central counterparties will continue to grow as requirements for market participants to clear their transactions via a central counterpar</w:t>
      </w:r>
      <w:r>
        <w:rPr>
          <w:rStyle w:val="BodyTextChar"/>
          <w:noProof/>
        </w:rPr>
        <w:t>ty phase-in and voluntary clearing increases. The proposed rules would ensure that the supervisory framework of the Union is sufficiently robust to anticipate and mitigate risk from Union central counterparties and from systemic third-country central count</w:t>
      </w:r>
      <w:r>
        <w:rPr>
          <w:rStyle w:val="BodyTextChar"/>
          <w:noProof/>
        </w:rPr>
        <w:t>erparties servicing Union clients.</w:t>
      </w:r>
    </w:p>
    <w:p w:rsidR="00346779" w:rsidRDefault="004B0BF3">
      <w:pPr>
        <w:keepLines/>
        <w:rPr>
          <w:noProof/>
          <w:szCs w:val="24"/>
        </w:rPr>
      </w:pPr>
      <w:r>
        <w:rPr>
          <w:rStyle w:val="BodyTextChar"/>
          <w:b/>
          <w:bCs/>
          <w:noProof/>
        </w:rPr>
        <w:t>In November 2016, the Commission presented a proposal to complete the supervisory regime for central counterparties with a harmonised recovery and resolution framework.</w:t>
      </w:r>
      <w:r>
        <w:rPr>
          <w:noProof/>
          <w:szCs w:val="24"/>
        </w:rPr>
        <w:t xml:space="preserve"> </w:t>
      </w:r>
      <w:r>
        <w:rPr>
          <w:rStyle w:val="BodyTextChar"/>
          <w:noProof/>
        </w:rPr>
        <w:t>This proposal, if adopted, would ensure that both ce</w:t>
      </w:r>
      <w:r>
        <w:rPr>
          <w:rStyle w:val="BodyTextChar"/>
          <w:noProof/>
        </w:rPr>
        <w:t>ntral counterparties and national authorities in the Union have the necessary means to act decisively in extreme situations where central counterparties face severe disruptions. The proposed rules aim to preserve the continuity of the central counterpartie</w:t>
      </w:r>
      <w:r>
        <w:rPr>
          <w:rStyle w:val="BodyTextChar"/>
          <w:noProof/>
        </w:rPr>
        <w:t>s’ critical functions while maintaining financial stability. The proposal thus ensures the proper functioning of capital markets, provides certainty for market participants and reduces potential costs associated with the restructuring and the resolution of</w:t>
      </w:r>
      <w:r>
        <w:rPr>
          <w:rStyle w:val="BodyTextChar"/>
          <w:noProof/>
        </w:rPr>
        <w:t xml:space="preserve"> central counterparties for taxpayers.</w:t>
      </w:r>
    </w:p>
    <w:p w:rsidR="00346779" w:rsidRDefault="004B0BF3">
      <w:pPr>
        <w:pStyle w:val="Heading2"/>
        <w:rPr>
          <w:noProof/>
        </w:rPr>
      </w:pPr>
      <w:r>
        <w:rPr>
          <w:noProof/>
        </w:rPr>
        <w:t>Sustainable finance</w:t>
      </w:r>
    </w:p>
    <w:p w:rsidR="00346779" w:rsidRDefault="004B0BF3">
      <w:pPr>
        <w:pStyle w:val="BodyText"/>
        <w:rPr>
          <w:noProof/>
        </w:rPr>
      </w:pPr>
      <w:r>
        <w:rPr>
          <w:noProof/>
          <w:szCs w:val="24"/>
        </w:rPr>
        <w:t xml:space="preserve">Capital markets need to transform and innovate </w:t>
      </w:r>
      <w:r>
        <w:rPr>
          <w:noProof/>
        </w:rPr>
        <w:t xml:space="preserve">to develop convincing answers to the challenges ahead, including the fight against climate change and addressing resource depletion. </w:t>
      </w:r>
      <w:r>
        <w:rPr>
          <w:noProof/>
          <w:szCs w:val="24"/>
        </w:rPr>
        <w:t xml:space="preserve">To this end, the </w:t>
      </w:r>
      <w:r>
        <w:rPr>
          <w:noProof/>
          <w:szCs w:val="24"/>
        </w:rPr>
        <w:t xml:space="preserve">Commission adopted in March 2018 its </w:t>
      </w:r>
      <w:r>
        <w:rPr>
          <w:b/>
          <w:noProof/>
          <w:szCs w:val="24"/>
        </w:rPr>
        <w:t>Sustainable Finance Action Plan</w:t>
      </w:r>
      <w:r>
        <w:rPr>
          <w:rStyle w:val="FootnoteReference"/>
          <w:b/>
          <w:noProof/>
          <w:szCs w:val="24"/>
        </w:rPr>
        <w:footnoteReference w:id="11"/>
      </w:r>
      <w:r>
        <w:rPr>
          <w:b/>
          <w:noProof/>
          <w:szCs w:val="24"/>
        </w:rPr>
        <w:t xml:space="preserve"> and has already delivered three concrete legislative proposals</w:t>
      </w:r>
      <w:r>
        <w:rPr>
          <w:noProof/>
          <w:szCs w:val="24"/>
        </w:rPr>
        <w:t xml:space="preserve">, namely on taxonomy, disclosures relating to sustainable investments and sustainability risks and </w:t>
      </w:r>
      <w:r>
        <w:rPr>
          <w:noProof/>
        </w:rPr>
        <w:t>low carbon benchmarks. Th</w:t>
      </w:r>
      <w:r>
        <w:rPr>
          <w:noProof/>
        </w:rPr>
        <w:t>e objective is</w:t>
      </w:r>
      <w:r>
        <w:rPr>
          <w:noProof/>
          <w:szCs w:val="24"/>
        </w:rPr>
        <w:t xml:space="preserve"> </w:t>
      </w:r>
      <w:r>
        <w:rPr>
          <w:noProof/>
        </w:rPr>
        <w:t>to enable the financial sector of the Union to lead the way to a greener and cleaner economy. The proposals should help to reorient private capital flows towards more sustainable investments, such as clean transport and energy, and help fina</w:t>
      </w:r>
      <w:r>
        <w:rPr>
          <w:noProof/>
        </w:rPr>
        <w:t xml:space="preserve">nce the transition to a low-carbon, more resource-efficient and circular economy. These initiatives confirm the </w:t>
      </w:r>
      <w:r>
        <w:rPr>
          <w:b/>
          <w:noProof/>
        </w:rPr>
        <w:t>global leadership of the Union in fighting climate change and promoting sustainability</w:t>
      </w:r>
      <w:r>
        <w:rPr>
          <w:noProof/>
        </w:rPr>
        <w:t xml:space="preserve"> in line with the Paris Agreement and the 17 Sustainable D</w:t>
      </w:r>
      <w:r>
        <w:rPr>
          <w:noProof/>
        </w:rPr>
        <w:t xml:space="preserve">evelopment Goals of the United Nations. </w:t>
      </w:r>
    </w:p>
    <w:p w:rsidR="00346779" w:rsidRDefault="004B0BF3">
      <w:pPr>
        <w:pStyle w:val="Heading1"/>
        <w:rPr>
          <w:noProof/>
        </w:rPr>
      </w:pPr>
      <w:r>
        <w:rPr>
          <w:noProof/>
        </w:rPr>
        <w:t>Developing local capital markets</w:t>
      </w:r>
    </w:p>
    <w:p w:rsidR="00346779" w:rsidRDefault="004B0BF3">
      <w:pPr>
        <w:pStyle w:val="BodyText"/>
        <w:rPr>
          <w:noProof/>
          <w:szCs w:val="24"/>
        </w:rPr>
      </w:pPr>
      <w:r>
        <w:rPr>
          <w:noProof/>
          <w:szCs w:val="24"/>
        </w:rPr>
        <w:t xml:space="preserve">The Commission has also </w:t>
      </w:r>
      <w:r>
        <w:rPr>
          <w:b/>
          <w:noProof/>
          <w:szCs w:val="24"/>
        </w:rPr>
        <w:t>supported the Capital Markets Union by developing local capital markets through non-legislative measures</w:t>
      </w:r>
      <w:r>
        <w:rPr>
          <w:noProof/>
          <w:szCs w:val="24"/>
        </w:rPr>
        <w:t>. Local capital markets need to be developed and well-</w:t>
      </w:r>
      <w:r>
        <w:rPr>
          <w:noProof/>
          <w:szCs w:val="24"/>
        </w:rPr>
        <w:t>connected into financial centres to bring the benefits of the Capital Markets Union to all Member States. This requires an adequate balance of scale benefits with local presence to make the best use of domestic savings and attract international investors i</w:t>
      </w:r>
      <w:r>
        <w:rPr>
          <w:noProof/>
          <w:szCs w:val="24"/>
        </w:rPr>
        <w:t xml:space="preserve">n order to respond to the financing requirements of local entrepreneurs. The Commission is following up on the work of the </w:t>
      </w:r>
      <w:r>
        <w:rPr>
          <w:b/>
          <w:noProof/>
          <w:szCs w:val="24"/>
        </w:rPr>
        <w:t>Vienna Initiative Capital Markets Union Working Group.</w:t>
      </w:r>
      <w:r>
        <w:rPr>
          <w:rStyle w:val="FootnoteReference"/>
          <w:noProof/>
          <w:szCs w:val="24"/>
        </w:rPr>
        <w:footnoteReference w:id="12"/>
      </w:r>
      <w:r>
        <w:rPr>
          <w:b/>
          <w:noProof/>
          <w:szCs w:val="24"/>
        </w:rPr>
        <w:t xml:space="preserve"> </w:t>
      </w:r>
      <w:r>
        <w:rPr>
          <w:noProof/>
          <w:szCs w:val="24"/>
        </w:rPr>
        <w:t>Several</w:t>
      </w:r>
      <w:r>
        <w:rPr>
          <w:b/>
          <w:noProof/>
          <w:szCs w:val="24"/>
        </w:rPr>
        <w:t xml:space="preserve"> </w:t>
      </w:r>
      <w:r>
        <w:rPr>
          <w:noProof/>
        </w:rPr>
        <w:t>Member States have prepared capital market strategies, created dedica</w:t>
      </w:r>
      <w:r>
        <w:rPr>
          <w:noProof/>
        </w:rPr>
        <w:t>ted schemes to support the listings of small and medium-sized enterprises, including with public funds, and some Member States, in particular Central, Eastern and South-eastern Europe countries, have decided to strengthen their capital market supervisory c</w:t>
      </w:r>
      <w:r>
        <w:rPr>
          <w:noProof/>
        </w:rPr>
        <w:t xml:space="preserve">apacity. </w:t>
      </w:r>
      <w:r>
        <w:rPr>
          <w:b/>
          <w:noProof/>
        </w:rPr>
        <w:t xml:space="preserve">The Structural Reform Support Service of the Commission has been providing tailor-made technical and financial support to numerous initiatives related to the Capital Markets Union so far, on the request of Member States. </w:t>
      </w:r>
      <w:r>
        <w:rPr>
          <w:noProof/>
        </w:rPr>
        <w:t>This is important</w:t>
      </w:r>
      <w:r>
        <w:rPr>
          <w:b/>
          <w:noProof/>
        </w:rPr>
        <w:t xml:space="preserve"> </w:t>
      </w:r>
      <w:r>
        <w:rPr>
          <w:noProof/>
        </w:rPr>
        <w:t>to imple</w:t>
      </w:r>
      <w:r>
        <w:rPr>
          <w:noProof/>
        </w:rPr>
        <w:t>ment capital markets reforms.</w:t>
      </w:r>
    </w:p>
    <w:p w:rsidR="00346779" w:rsidRDefault="004B0BF3">
      <w:pPr>
        <w:pStyle w:val="Heading1"/>
        <w:rPr>
          <w:noProof/>
        </w:rPr>
      </w:pPr>
      <w:r>
        <w:rPr>
          <w:noProof/>
        </w:rPr>
        <w:t>Conclusion</w:t>
      </w:r>
      <w:bookmarkEnd w:id="4"/>
    </w:p>
    <w:p w:rsidR="00346779" w:rsidRDefault="004B0BF3">
      <w:pPr>
        <w:pStyle w:val="BodyText"/>
        <w:rPr>
          <w:b/>
          <w:noProof/>
        </w:rPr>
      </w:pPr>
      <w:r>
        <w:rPr>
          <w:noProof/>
        </w:rPr>
        <w:t>The Capital Markets Union is essential to make the economy of the Member States and the Economic and Monetary Union more resilient and to foster convergence, to safeguard financial stability and to strengthen the in</w:t>
      </w:r>
      <w:r>
        <w:rPr>
          <w:noProof/>
        </w:rPr>
        <w:t xml:space="preserve">ternational role of the euro. </w:t>
      </w:r>
      <w:r>
        <w:rPr>
          <w:b/>
          <w:noProof/>
        </w:rPr>
        <w:t xml:space="preserve">The Commission calls on the co-legislators to act now, before the European Parliament elections in 2019, to put in place all the necessary key building blocks for a complete Capital Markets Union. </w:t>
      </w:r>
    </w:p>
    <w:p w:rsidR="00346779" w:rsidRDefault="004B0BF3">
      <w:pPr>
        <w:pStyle w:val="BodyText"/>
        <w:rPr>
          <w:noProof/>
        </w:rPr>
      </w:pPr>
      <w:r>
        <w:rPr>
          <w:b/>
          <w:noProof/>
        </w:rPr>
        <w:t>The European Council is invi</w:t>
      </w:r>
      <w:r>
        <w:rPr>
          <w:b/>
          <w:noProof/>
        </w:rPr>
        <w:t>ted to renew its commitment to the Capital Markets Union and endorse these efforts, which are essential not only for the Economic and Monetary Union and the Banking Union, but also for the Single Market.</w:t>
      </w:r>
    </w:p>
    <w:p w:rsidR="00346779" w:rsidRDefault="004B0BF3">
      <w:pPr>
        <w:pStyle w:val="BodyText"/>
        <w:rPr>
          <w:noProof/>
        </w:rPr>
      </w:pPr>
      <w:r>
        <w:rPr>
          <w:noProof/>
        </w:rPr>
        <w:t>Alongside the legislative reform agenda, the Commiss</w:t>
      </w:r>
      <w:r>
        <w:rPr>
          <w:noProof/>
        </w:rPr>
        <w:t xml:space="preserve">ion is also committed to delivering the remaining </w:t>
      </w:r>
      <w:r>
        <w:rPr>
          <w:b/>
          <w:noProof/>
        </w:rPr>
        <w:t xml:space="preserve">non-legislative actions </w:t>
      </w:r>
      <w:r>
        <w:rPr>
          <w:noProof/>
        </w:rPr>
        <w:t>announced in the Mid-term review of the Capital Markets Union. These actions provide key contributions towards deep and liquid capital markets by addressing important areas such as t</w:t>
      </w:r>
      <w:r>
        <w:rPr>
          <w:noProof/>
        </w:rPr>
        <w:t>he distribution of retail investment products, institutional investment, corporate finance for entrepreneurs and start-ups and a better use of financial technologies.</w:t>
      </w:r>
    </w:p>
    <w:p w:rsidR="00346779" w:rsidRDefault="004B0BF3">
      <w:pPr>
        <w:pStyle w:val="BodyText"/>
        <w:rPr>
          <w:noProof/>
        </w:rPr>
      </w:pPr>
      <w:r>
        <w:rPr>
          <w:noProof/>
        </w:rPr>
        <w:t>The Commission will also continue engaging with Union citizens, social partners and busin</w:t>
      </w:r>
      <w:r>
        <w:rPr>
          <w:noProof/>
        </w:rPr>
        <w:t>esses on the importance of the Capital Markets Union through relevant communication activities.</w:t>
      </w:r>
    </w:p>
    <w:p w:rsidR="00346779" w:rsidRDefault="004B0BF3">
      <w:pPr>
        <w:pStyle w:val="BodyText"/>
        <w:rPr>
          <w:noProof/>
        </w:rPr>
      </w:pPr>
      <w:r>
        <w:rPr>
          <w:noProof/>
          <w:szCs w:val="24"/>
        </w:rPr>
        <w:t xml:space="preserve">Reforming the capital markets cannot be achieved by the Commission alone. </w:t>
      </w:r>
      <w:r>
        <w:rPr>
          <w:b/>
          <w:noProof/>
          <w:szCs w:val="24"/>
        </w:rPr>
        <w:t>All stakeholders at the national and Union level must also step up their commitment an</w:t>
      </w:r>
      <w:r>
        <w:rPr>
          <w:b/>
          <w:noProof/>
          <w:szCs w:val="24"/>
        </w:rPr>
        <w:t xml:space="preserve">d do their part. </w:t>
      </w:r>
      <w:r>
        <w:rPr>
          <w:noProof/>
          <w:szCs w:val="24"/>
        </w:rPr>
        <w:t>The Commission will continue to support these efforts.</w:t>
      </w:r>
    </w:p>
    <w:sectPr w:rsidR="00346779">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79" w:rsidRDefault="004B0BF3">
      <w:pPr>
        <w:spacing w:after="0"/>
      </w:pPr>
      <w:r>
        <w:separator/>
      </w:r>
    </w:p>
  </w:endnote>
  <w:endnote w:type="continuationSeparator" w:id="0">
    <w:p w:rsidR="00346779" w:rsidRDefault="004B0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4B0BF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4B0BF3">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79" w:rsidRDefault="004B0BF3">
      <w:pPr>
        <w:spacing w:after="0"/>
      </w:pPr>
      <w:r>
        <w:separator/>
      </w:r>
    </w:p>
  </w:footnote>
  <w:footnote w:type="continuationSeparator" w:id="0">
    <w:p w:rsidR="00346779" w:rsidRDefault="004B0BF3">
      <w:pPr>
        <w:spacing w:after="0"/>
      </w:pPr>
      <w:r>
        <w:continuationSeparator/>
      </w:r>
    </w:p>
  </w:footnote>
  <w:footnote w:id="1">
    <w:p w:rsidR="00346779" w:rsidRDefault="004B0BF3">
      <w:pPr>
        <w:pStyle w:val="FootnoteText"/>
        <w:ind w:left="284" w:hanging="284"/>
      </w:pPr>
      <w:r>
        <w:rPr>
          <w:rStyle w:val="FootnoteReference"/>
        </w:rPr>
        <w:footnoteRef/>
      </w:r>
      <w:r>
        <w:tab/>
        <w:t>Communication "Action Plan on Building a Capital Markets Union", COM(2015) 468, 30.9.2015; Communication "On the Mid-Term Review of the Capital Markets Union Action</w:t>
      </w:r>
      <w:r>
        <w:t xml:space="preserve"> Plan", COM(2017) 292, 8.6.2017.</w:t>
      </w:r>
    </w:p>
  </w:footnote>
  <w:footnote w:id="2">
    <w:p w:rsidR="00346779" w:rsidRDefault="004B0BF3">
      <w:pPr>
        <w:pStyle w:val="FootnoteText"/>
        <w:ind w:left="284" w:hanging="284"/>
      </w:pPr>
      <w:r>
        <w:rPr>
          <w:rStyle w:val="FootnoteReference"/>
        </w:rPr>
        <w:footnoteRef/>
      </w:r>
      <w:r>
        <w:t xml:space="preserve"> </w:t>
      </w:r>
      <w:r>
        <w:tab/>
        <w:t>Undertakings for collective investment in transferable securities (UCITS).</w:t>
      </w:r>
    </w:p>
  </w:footnote>
  <w:footnote w:id="3">
    <w:p w:rsidR="00346779" w:rsidRDefault="004B0BF3">
      <w:pPr>
        <w:pStyle w:val="FootnoteText"/>
      </w:pPr>
      <w:r>
        <w:rPr>
          <w:rStyle w:val="FootnoteReference"/>
        </w:rPr>
        <w:footnoteRef/>
      </w:r>
      <w:r>
        <w:t xml:space="preserve"> </w:t>
      </w:r>
      <w:r>
        <w:tab/>
      </w:r>
      <w:r>
        <w:rPr>
          <w:noProof/>
        </w:rPr>
        <w:t>The Commission has also proposed a number of non-legislative measures to strengthen capital markets of the Union and make them more resilient.</w:t>
      </w:r>
    </w:p>
  </w:footnote>
  <w:footnote w:id="4">
    <w:p w:rsidR="00346779" w:rsidRDefault="004B0BF3">
      <w:pPr>
        <w:pStyle w:val="FootnoteText"/>
        <w:ind w:left="284" w:hanging="284"/>
      </w:pPr>
      <w:r>
        <w:rPr>
          <w:rStyle w:val="FootnoteReference"/>
        </w:rPr>
        <w:footnoteRef/>
      </w:r>
      <w:r>
        <w:tab/>
        <w:t>Regulation (EU) 2017/1129 of the European Parliament and of the Council of 14 June 2017 on the prospectus to be published when securities are offered to the public or admitted to trading on a regulated market, and repealing Directive 2003/71/EC, OJ L 16</w:t>
      </w:r>
      <w:r>
        <w:t>8, 30.6.2017.</w:t>
      </w:r>
    </w:p>
  </w:footnote>
  <w:footnote w:id="5">
    <w:p w:rsidR="00346779" w:rsidRDefault="004B0BF3">
      <w:pPr>
        <w:pStyle w:val="FootnoteText"/>
        <w:ind w:left="284" w:hanging="284"/>
      </w:pPr>
      <w:r>
        <w:rPr>
          <w:rStyle w:val="FootnoteReference"/>
        </w:rPr>
        <w:footnoteRef/>
      </w:r>
      <w:r>
        <w:tab/>
        <w:t>Regulation (EU) 2017/1991 of the European Parliament and of the Council of 25 October 2017 on European venture capital funds and Regulation (EU) No 346/2013 on European social entrepreneurship funds, OJ L 293, 10.11.2017.</w:t>
      </w:r>
    </w:p>
  </w:footnote>
  <w:footnote w:id="6">
    <w:p w:rsidR="00346779" w:rsidRDefault="004B0BF3">
      <w:pPr>
        <w:pStyle w:val="FootnoteText"/>
        <w:tabs>
          <w:tab w:val="left" w:pos="284"/>
        </w:tabs>
        <w:ind w:left="284" w:hanging="284"/>
      </w:pPr>
      <w:r>
        <w:rPr>
          <w:rStyle w:val="FootnoteReference"/>
        </w:rPr>
        <w:footnoteRef/>
      </w:r>
      <w:r>
        <w:t xml:space="preserve"> </w:t>
      </w:r>
      <w:r>
        <w:tab/>
        <w:t>Regulation (EU)</w:t>
      </w:r>
      <w:r>
        <w:t xml:space="preserve"> 2017/2402 of the European Parliament and of the Council of 12 December 2017 laying down a general framework for securitisation and creating a specific framework for simple, transparent and standardised securitisation, OJ L 347, 28.12.2017.</w:t>
      </w:r>
    </w:p>
  </w:footnote>
  <w:footnote w:id="7">
    <w:p w:rsidR="00346779" w:rsidRDefault="004B0BF3">
      <w:pPr>
        <w:pStyle w:val="FootnoteText"/>
        <w:ind w:left="284" w:hanging="284"/>
      </w:pPr>
      <w:r>
        <w:rPr>
          <w:rStyle w:val="FootnoteReference"/>
        </w:rPr>
        <w:footnoteRef/>
      </w:r>
      <w:r>
        <w:t xml:space="preserve"> </w:t>
      </w:r>
      <w:r>
        <w:tab/>
        <w:t>Commission S</w:t>
      </w:r>
      <w:r>
        <w:t>taff Working Document “Impact Assessment accompanying the document Proposal for a Regulation of the European Parliament and of the Council laying down common rules on securitisation and creating a European framework for simple and transparent securitisatio</w:t>
      </w:r>
      <w:r>
        <w:t xml:space="preserve">n […]”, SWD/2015/0186 final, 2015/0226 (COD), 30.9.2015. </w:t>
      </w:r>
    </w:p>
  </w:footnote>
  <w:footnote w:id="8">
    <w:p w:rsidR="00346779" w:rsidRDefault="004B0BF3">
      <w:pPr>
        <w:pStyle w:val="FootnoteText"/>
        <w:ind w:left="284" w:hanging="284"/>
      </w:pPr>
      <w:r>
        <w:rPr>
          <w:rStyle w:val="FootnoteReference"/>
        </w:rPr>
        <w:footnoteRef/>
      </w:r>
      <w:r>
        <w:t xml:space="preserve"> </w:t>
      </w:r>
      <w:r>
        <w:tab/>
        <w:t>Commission Delegated Regulation (EU) 2015/35 of 10 October 2014 supplementing Directive 2009/138/EC of the European Parliament and of the Council on the taking-up and pursuit of the business of I</w:t>
      </w:r>
      <w:r>
        <w:t xml:space="preserve">nsurance and Reinsurance (Solvency II), OJ L 12, 17.1.2015. </w:t>
      </w:r>
    </w:p>
  </w:footnote>
  <w:footnote w:id="9">
    <w:p w:rsidR="00346779" w:rsidRDefault="004B0BF3">
      <w:pPr>
        <w:pStyle w:val="FootnoteText"/>
        <w:ind w:left="284" w:hanging="284"/>
      </w:pPr>
      <w:r>
        <w:rPr>
          <w:rStyle w:val="FootnoteReference"/>
        </w:rPr>
        <w:footnoteRef/>
      </w:r>
      <w:r>
        <w:t xml:space="preserve"> </w:t>
      </w:r>
      <w:r>
        <w:tab/>
        <w:t>Communication from the Commission to the European Parliament, the Council, the European Central Bank, the European Economic and Social Committee and the Committee of the Regions “FinTech Actio</w:t>
      </w:r>
      <w:r>
        <w:t>n plan: For a more competitive and innovative European financial sector”, COM/2018/0109 final, 8.3.2018.</w:t>
      </w:r>
    </w:p>
  </w:footnote>
  <w:footnote w:id="10">
    <w:p w:rsidR="00346779" w:rsidRDefault="004B0BF3">
      <w:pPr>
        <w:pStyle w:val="FootnoteText"/>
      </w:pPr>
      <w:r>
        <w:rPr>
          <w:rStyle w:val="FootnoteReference"/>
        </w:rPr>
        <w:footnoteRef/>
      </w:r>
      <w:r>
        <w:t xml:space="preserve"> </w:t>
      </w:r>
      <w:r>
        <w:tab/>
        <w:t>See also the Communication from the Commission to the European Parliament, the European Council, the Council, the European Economic and Social Commi</w:t>
      </w:r>
      <w:r>
        <w:t>ttee and the Committee of the Regions “The Single Market in a changing world - A unique asset in need of renewed political commitment”, COM 2018(772), 22.11.2018.</w:t>
      </w:r>
    </w:p>
  </w:footnote>
  <w:footnote w:id="11">
    <w:p w:rsidR="00346779" w:rsidRDefault="004B0BF3">
      <w:pPr>
        <w:pStyle w:val="FootnoteText"/>
        <w:ind w:left="284" w:hanging="284"/>
      </w:pPr>
      <w:r>
        <w:rPr>
          <w:rStyle w:val="FootnoteReference"/>
        </w:rPr>
        <w:footnoteRef/>
      </w:r>
      <w:r>
        <w:t xml:space="preserve"> </w:t>
      </w:r>
      <w:r>
        <w:tab/>
        <w:t>Communication from the Commission to the European Parliament, the European Council, the Co</w:t>
      </w:r>
      <w:r>
        <w:t>uncil, the European Central Bank, the European Economic and Social Committee and the Committee of the Regions “Action Plan: Financing Sustainable Growth”, COM/2018/097 final, 8.3.2018.</w:t>
      </w:r>
    </w:p>
  </w:footnote>
  <w:footnote w:id="12">
    <w:p w:rsidR="00346779" w:rsidRDefault="004B0BF3">
      <w:pPr>
        <w:pStyle w:val="FootnoteText"/>
        <w:ind w:left="284" w:hanging="284"/>
      </w:pPr>
      <w:r>
        <w:rPr>
          <w:rStyle w:val="FootnoteReference"/>
        </w:rPr>
        <w:footnoteRef/>
      </w:r>
      <w:r>
        <w:t xml:space="preserve"> </w:t>
      </w:r>
      <w:r>
        <w:tab/>
        <w:t>In March 2018 the Working Group on Capital Markets Union published i</w:t>
      </w:r>
      <w:r>
        <w:t>ts report, http://vienna-initiative.com/wp-content/uploads/2018/03/VI-CMU-Working-Group-Final-Report-March-2018.pdf.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779" w:rsidRDefault="0034677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7.25pt;visibility:visible;mso-wrap-style:square" o:bullet="t">
        <v:imagedata r:id="rId1" o:title=""/>
      </v:shape>
    </w:pict>
  </w:numPicBullet>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1BF9"/>
    <w:multiLevelType w:val="hybridMultilevel"/>
    <w:tmpl w:val="B6DA552A"/>
    <w:lvl w:ilvl="0" w:tplc="B140579E">
      <w:start w:val="1"/>
      <w:numFmt w:val="decimal"/>
      <w:lvlText w:val="%1."/>
      <w:lvlJc w:val="left"/>
      <w:pPr>
        <w:ind w:left="643" w:hanging="360"/>
      </w:pPr>
      <w:rPr>
        <w:rFonts w:ascii="Times New Roman" w:hAnsi="Times New Roman" w:cs="Times New Roman" w:hint="default"/>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BC7898"/>
    <w:multiLevelType w:val="hybridMultilevel"/>
    <w:tmpl w:val="7CDC7E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49C77A5"/>
    <w:multiLevelType w:val="hybridMultilevel"/>
    <w:tmpl w:val="8F3C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1B92838"/>
    <w:multiLevelType w:val="hybridMultilevel"/>
    <w:tmpl w:val="3500B092"/>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7" w15:restartNumberingAfterBreak="0">
    <w:nsid w:val="45C85B27"/>
    <w:multiLevelType w:val="hybridMultilevel"/>
    <w:tmpl w:val="D772CE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4D80482"/>
    <w:multiLevelType w:val="hybridMultilevel"/>
    <w:tmpl w:val="3C00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5"/>
  </w:num>
  <w:num w:numId="5">
    <w:abstractNumId w:val="8"/>
  </w:num>
  <w:num w:numId="6">
    <w:abstractNumId w:val="14"/>
  </w:num>
  <w:num w:numId="7">
    <w:abstractNumId w:val="22"/>
  </w:num>
  <w:num w:numId="8">
    <w:abstractNumId w:val="24"/>
  </w:num>
  <w:num w:numId="9">
    <w:abstractNumId w:val="11"/>
  </w:num>
  <w:num w:numId="10">
    <w:abstractNumId w:val="21"/>
  </w:num>
  <w:num w:numId="11">
    <w:abstractNumId w:val="20"/>
  </w:num>
  <w:num w:numId="12">
    <w:abstractNumId w:val="18"/>
  </w:num>
  <w:num w:numId="13">
    <w:abstractNumId w:val="19"/>
  </w:num>
  <w:num w:numId="14">
    <w:abstractNumId w:val="6"/>
  </w:num>
  <w:num w:numId="15">
    <w:abstractNumId w:val="13"/>
  </w:num>
  <w:num w:numId="16">
    <w:abstractNumId w:val="4"/>
  </w:num>
  <w:num w:numId="17">
    <w:abstractNumId w:val="9"/>
  </w:num>
  <w:num w:numId="18">
    <w:abstractNumId w:val="25"/>
  </w:num>
  <w:num w:numId="19">
    <w:abstractNumId w:val="10"/>
  </w:num>
  <w:num w:numId="20">
    <w:abstractNumId w:val="26"/>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2"/>
  </w:num>
  <w:num w:numId="29">
    <w:abstractNumId w:val="16"/>
  </w:num>
  <w:num w:numId="30">
    <w:abstractNumId w:val="7"/>
  </w:num>
  <w:num w:numId="31">
    <w:abstractNumId w:val="17"/>
  </w:num>
  <w:num w:numId="32">
    <w:abstractNumId w:val="23"/>
  </w:num>
  <w:num w:numId="3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7EFC452-9E64-403A-85E8-F459291568DD"/>
    <w:docVar w:name="LW_COVERPAGE_TYPE" w:val="1"/>
    <w:docVar w:name="LW_CROSSREFERENCE" w:val="&lt;UNUSED&gt;"/>
    <w:docVar w:name="LW_DocType" w:val="EUROLOOK"/>
    <w:docVar w:name="LW_EMISSION" w:val="28.11.2018"/>
    <w:docVar w:name="LW_EMISSION_ISODATE" w:val="2018-11-28"/>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apital Markets Union: time for renewed efforts to deliver for investment, growth and a stronger role of the euro_x000d__x000d__x000d__x000d__x000d__x000d__x000d__x000d__x000d__x000d__x000b__x000d__x000d__x000d__x000d__x000d__x000d__x000d__x000d__x000d__x000d__x000d__x000d__x000d__x000b_"/>
    <w:docVar w:name="LW_TYPE.DOC.CP" w:val="COMMUNICATION FROM THE COMMISSION"/>
    <w:docVar w:name="LW_TYPE.DOC.CP.USERTEXT" w:val="TO THE EUROPEAN PARLIAMENT, THE  EUROPEAN COUNCIL, THE COUNCIL, THE EUROPEAN CENTRAL BANK, THE EUROPEAN ECONOMIC AND SOCIAL COMMITTEE AND THE COMMITTEE OF THE REGIONS"/>
  </w:docVars>
  <w:rsids>
    <w:rsidRoot w:val="00346779"/>
    <w:rsid w:val="00346779"/>
    <w:rsid w:val="004B0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FootnoteTextChar">
    <w:name w:val="Footnote Text Char"/>
    <w:basedOn w:val="DefaultParagraphFont"/>
    <w:link w:val="FootnoteText"/>
    <w:uiPriority w:val="99"/>
    <w:semiHidden/>
    <w:rPr>
      <w:lang w:eastAsia="en-US"/>
    </w:rPr>
  </w:style>
  <w:style w:type="character" w:customStyle="1" w:styleId="CommentTextChar">
    <w:name w:val="Comment Text Char"/>
    <w:basedOn w:val="DefaultParagraphFont"/>
    <w:link w:val="CommentText"/>
    <w:uiPriority w:val="99"/>
    <w:rPr>
      <w:lang w:eastAsia="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Nota,Ref,styl,o"/>
    <w:basedOn w:val="DefaultParagraphFont"/>
    <w:uiPriority w:val="99"/>
    <w:unhideWhenUsed/>
    <w:qFormat/>
    <w:rPr>
      <w:vertAlign w:val="superscript"/>
    </w:rPr>
  </w:style>
  <w:style w:type="paragraph" w:customStyle="1" w:styleId="Text10">
    <w:name w:val="Text1"/>
    <w:basedOn w:val="Text2"/>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BodyPlaceholderText">
    <w:name w:val="BodyPlaceholderText"/>
    <w:basedOn w:val="PlaceholderText"/>
    <w:uiPriority w:val="1"/>
    <w:semiHidden/>
    <w:rPr>
      <w:vanish w:val="0"/>
      <w:color w:val="3366CC"/>
    </w:rPr>
  </w:style>
  <w:style w:type="character" w:styleId="PlaceholderText">
    <w:name w:val="Placeholder Text"/>
    <w:basedOn w:val="DefaultParagraphFont"/>
    <w:uiPriority w:val="99"/>
    <w:semiHidden/>
    <w:rPr>
      <w:vanish w:val="0"/>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table" w:styleId="MediumList2">
    <w:name w:val="Medium List 2"/>
    <w:basedOn w:val="TableNormal"/>
    <w:uiPriority w:val="6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Char">
    <w:name w:val="Body Text Char"/>
    <w:basedOn w:val="DefaultParagraphFont"/>
    <w:link w:val="BodyText"/>
    <w:rPr>
      <w:sz w:val="24"/>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Pa5">
    <w:name w:val="Pa5"/>
    <w:basedOn w:val="Normal"/>
    <w:next w:val="Normal"/>
    <w:uiPriority w:val="99"/>
    <w:pPr>
      <w:autoSpaceDE w:val="0"/>
      <w:autoSpaceDN w:val="0"/>
      <w:adjustRightInd w:val="0"/>
      <w:spacing w:after="0" w:line="241" w:lineRule="atLeast"/>
      <w:jc w:val="left"/>
    </w:pPr>
    <w:rPr>
      <w:rFonts w:ascii="EC Square Sans Pro Medium" w:eastAsiaTheme="minorHAnsi" w:hAnsi="EC Square Sans Pro Medium" w:cstheme="minorBidi"/>
      <w:szCs w:val="24"/>
    </w:rPr>
  </w:style>
  <w:style w:type="paragraph" w:customStyle="1" w:styleId="Default">
    <w:name w:val="Defaul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88">
      <w:bodyDiv w:val="1"/>
      <w:marLeft w:val="0"/>
      <w:marRight w:val="0"/>
      <w:marTop w:val="0"/>
      <w:marBottom w:val="0"/>
      <w:divBdr>
        <w:top w:val="none" w:sz="0" w:space="0" w:color="auto"/>
        <w:left w:val="none" w:sz="0" w:space="0" w:color="auto"/>
        <w:bottom w:val="none" w:sz="0" w:space="0" w:color="auto"/>
        <w:right w:val="none" w:sz="0" w:space="0" w:color="auto"/>
      </w:divBdr>
    </w:div>
    <w:div w:id="112865528">
      <w:bodyDiv w:val="1"/>
      <w:marLeft w:val="0"/>
      <w:marRight w:val="0"/>
      <w:marTop w:val="0"/>
      <w:marBottom w:val="0"/>
      <w:divBdr>
        <w:top w:val="none" w:sz="0" w:space="0" w:color="auto"/>
        <w:left w:val="none" w:sz="0" w:space="0" w:color="auto"/>
        <w:bottom w:val="none" w:sz="0" w:space="0" w:color="auto"/>
        <w:right w:val="none" w:sz="0" w:space="0" w:color="auto"/>
      </w:divBdr>
    </w:div>
    <w:div w:id="131291853">
      <w:bodyDiv w:val="1"/>
      <w:marLeft w:val="0"/>
      <w:marRight w:val="0"/>
      <w:marTop w:val="0"/>
      <w:marBottom w:val="0"/>
      <w:divBdr>
        <w:top w:val="none" w:sz="0" w:space="0" w:color="auto"/>
        <w:left w:val="none" w:sz="0" w:space="0" w:color="auto"/>
        <w:bottom w:val="none" w:sz="0" w:space="0" w:color="auto"/>
        <w:right w:val="none" w:sz="0" w:space="0" w:color="auto"/>
      </w:divBdr>
    </w:div>
    <w:div w:id="147408584">
      <w:bodyDiv w:val="1"/>
      <w:marLeft w:val="0"/>
      <w:marRight w:val="0"/>
      <w:marTop w:val="0"/>
      <w:marBottom w:val="0"/>
      <w:divBdr>
        <w:top w:val="none" w:sz="0" w:space="0" w:color="auto"/>
        <w:left w:val="none" w:sz="0" w:space="0" w:color="auto"/>
        <w:bottom w:val="none" w:sz="0" w:space="0" w:color="auto"/>
        <w:right w:val="none" w:sz="0" w:space="0" w:color="auto"/>
      </w:divBdr>
    </w:div>
    <w:div w:id="210270521">
      <w:bodyDiv w:val="1"/>
      <w:marLeft w:val="0"/>
      <w:marRight w:val="0"/>
      <w:marTop w:val="0"/>
      <w:marBottom w:val="0"/>
      <w:divBdr>
        <w:top w:val="none" w:sz="0" w:space="0" w:color="auto"/>
        <w:left w:val="none" w:sz="0" w:space="0" w:color="auto"/>
        <w:bottom w:val="none" w:sz="0" w:space="0" w:color="auto"/>
        <w:right w:val="none" w:sz="0" w:space="0" w:color="auto"/>
      </w:divBdr>
    </w:div>
    <w:div w:id="270282399">
      <w:bodyDiv w:val="1"/>
      <w:marLeft w:val="0"/>
      <w:marRight w:val="0"/>
      <w:marTop w:val="0"/>
      <w:marBottom w:val="0"/>
      <w:divBdr>
        <w:top w:val="none" w:sz="0" w:space="0" w:color="auto"/>
        <w:left w:val="none" w:sz="0" w:space="0" w:color="auto"/>
        <w:bottom w:val="none" w:sz="0" w:space="0" w:color="auto"/>
        <w:right w:val="none" w:sz="0" w:space="0" w:color="auto"/>
      </w:divBdr>
    </w:div>
    <w:div w:id="435751345">
      <w:bodyDiv w:val="1"/>
      <w:marLeft w:val="0"/>
      <w:marRight w:val="0"/>
      <w:marTop w:val="0"/>
      <w:marBottom w:val="0"/>
      <w:divBdr>
        <w:top w:val="none" w:sz="0" w:space="0" w:color="auto"/>
        <w:left w:val="none" w:sz="0" w:space="0" w:color="auto"/>
        <w:bottom w:val="none" w:sz="0" w:space="0" w:color="auto"/>
        <w:right w:val="none" w:sz="0" w:space="0" w:color="auto"/>
      </w:divBdr>
    </w:div>
    <w:div w:id="507906645">
      <w:bodyDiv w:val="1"/>
      <w:marLeft w:val="0"/>
      <w:marRight w:val="0"/>
      <w:marTop w:val="0"/>
      <w:marBottom w:val="0"/>
      <w:divBdr>
        <w:top w:val="none" w:sz="0" w:space="0" w:color="auto"/>
        <w:left w:val="none" w:sz="0" w:space="0" w:color="auto"/>
        <w:bottom w:val="none" w:sz="0" w:space="0" w:color="auto"/>
        <w:right w:val="none" w:sz="0" w:space="0" w:color="auto"/>
      </w:divBdr>
    </w:div>
    <w:div w:id="612253390">
      <w:bodyDiv w:val="1"/>
      <w:marLeft w:val="0"/>
      <w:marRight w:val="0"/>
      <w:marTop w:val="0"/>
      <w:marBottom w:val="0"/>
      <w:divBdr>
        <w:top w:val="none" w:sz="0" w:space="0" w:color="auto"/>
        <w:left w:val="none" w:sz="0" w:space="0" w:color="auto"/>
        <w:bottom w:val="none" w:sz="0" w:space="0" w:color="auto"/>
        <w:right w:val="none" w:sz="0" w:space="0" w:color="auto"/>
      </w:divBdr>
    </w:div>
    <w:div w:id="681861311">
      <w:bodyDiv w:val="1"/>
      <w:marLeft w:val="0"/>
      <w:marRight w:val="0"/>
      <w:marTop w:val="0"/>
      <w:marBottom w:val="0"/>
      <w:divBdr>
        <w:top w:val="none" w:sz="0" w:space="0" w:color="auto"/>
        <w:left w:val="none" w:sz="0" w:space="0" w:color="auto"/>
        <w:bottom w:val="none" w:sz="0" w:space="0" w:color="auto"/>
        <w:right w:val="none" w:sz="0" w:space="0" w:color="auto"/>
      </w:divBdr>
    </w:div>
    <w:div w:id="764497307">
      <w:bodyDiv w:val="1"/>
      <w:marLeft w:val="0"/>
      <w:marRight w:val="0"/>
      <w:marTop w:val="0"/>
      <w:marBottom w:val="0"/>
      <w:divBdr>
        <w:top w:val="none" w:sz="0" w:space="0" w:color="auto"/>
        <w:left w:val="none" w:sz="0" w:space="0" w:color="auto"/>
        <w:bottom w:val="none" w:sz="0" w:space="0" w:color="auto"/>
        <w:right w:val="none" w:sz="0" w:space="0" w:color="auto"/>
      </w:divBdr>
    </w:div>
    <w:div w:id="926881725">
      <w:bodyDiv w:val="1"/>
      <w:marLeft w:val="0"/>
      <w:marRight w:val="0"/>
      <w:marTop w:val="0"/>
      <w:marBottom w:val="0"/>
      <w:divBdr>
        <w:top w:val="none" w:sz="0" w:space="0" w:color="auto"/>
        <w:left w:val="none" w:sz="0" w:space="0" w:color="auto"/>
        <w:bottom w:val="none" w:sz="0" w:space="0" w:color="auto"/>
        <w:right w:val="none" w:sz="0" w:space="0" w:color="auto"/>
      </w:divBdr>
    </w:div>
    <w:div w:id="956524612">
      <w:bodyDiv w:val="1"/>
      <w:marLeft w:val="0"/>
      <w:marRight w:val="0"/>
      <w:marTop w:val="0"/>
      <w:marBottom w:val="0"/>
      <w:divBdr>
        <w:top w:val="none" w:sz="0" w:space="0" w:color="auto"/>
        <w:left w:val="none" w:sz="0" w:space="0" w:color="auto"/>
        <w:bottom w:val="none" w:sz="0" w:space="0" w:color="auto"/>
        <w:right w:val="none" w:sz="0" w:space="0" w:color="auto"/>
      </w:divBdr>
    </w:div>
    <w:div w:id="1060130701">
      <w:bodyDiv w:val="1"/>
      <w:marLeft w:val="0"/>
      <w:marRight w:val="0"/>
      <w:marTop w:val="0"/>
      <w:marBottom w:val="0"/>
      <w:divBdr>
        <w:top w:val="none" w:sz="0" w:space="0" w:color="auto"/>
        <w:left w:val="none" w:sz="0" w:space="0" w:color="auto"/>
        <w:bottom w:val="none" w:sz="0" w:space="0" w:color="auto"/>
        <w:right w:val="none" w:sz="0" w:space="0" w:color="auto"/>
      </w:divBdr>
    </w:div>
    <w:div w:id="1093208620">
      <w:bodyDiv w:val="1"/>
      <w:marLeft w:val="0"/>
      <w:marRight w:val="0"/>
      <w:marTop w:val="0"/>
      <w:marBottom w:val="0"/>
      <w:divBdr>
        <w:top w:val="none" w:sz="0" w:space="0" w:color="auto"/>
        <w:left w:val="none" w:sz="0" w:space="0" w:color="auto"/>
        <w:bottom w:val="none" w:sz="0" w:space="0" w:color="auto"/>
        <w:right w:val="none" w:sz="0" w:space="0" w:color="auto"/>
      </w:divBdr>
    </w:div>
    <w:div w:id="1161434184">
      <w:bodyDiv w:val="1"/>
      <w:marLeft w:val="0"/>
      <w:marRight w:val="0"/>
      <w:marTop w:val="0"/>
      <w:marBottom w:val="0"/>
      <w:divBdr>
        <w:top w:val="none" w:sz="0" w:space="0" w:color="auto"/>
        <w:left w:val="none" w:sz="0" w:space="0" w:color="auto"/>
        <w:bottom w:val="none" w:sz="0" w:space="0" w:color="auto"/>
        <w:right w:val="none" w:sz="0" w:space="0" w:color="auto"/>
      </w:divBdr>
    </w:div>
    <w:div w:id="1466897882">
      <w:bodyDiv w:val="1"/>
      <w:marLeft w:val="0"/>
      <w:marRight w:val="0"/>
      <w:marTop w:val="0"/>
      <w:marBottom w:val="0"/>
      <w:divBdr>
        <w:top w:val="none" w:sz="0" w:space="0" w:color="auto"/>
        <w:left w:val="none" w:sz="0" w:space="0" w:color="auto"/>
        <w:bottom w:val="none" w:sz="0" w:space="0" w:color="auto"/>
        <w:right w:val="none" w:sz="0" w:space="0" w:color="auto"/>
      </w:divBdr>
    </w:div>
    <w:div w:id="1724480193">
      <w:bodyDiv w:val="1"/>
      <w:marLeft w:val="0"/>
      <w:marRight w:val="0"/>
      <w:marTop w:val="0"/>
      <w:marBottom w:val="0"/>
      <w:divBdr>
        <w:top w:val="none" w:sz="0" w:space="0" w:color="auto"/>
        <w:left w:val="none" w:sz="0" w:space="0" w:color="auto"/>
        <w:bottom w:val="none" w:sz="0" w:space="0" w:color="auto"/>
        <w:right w:val="none" w:sz="0" w:space="0" w:color="auto"/>
      </w:divBdr>
    </w:div>
    <w:div w:id="1739553856">
      <w:bodyDiv w:val="1"/>
      <w:marLeft w:val="0"/>
      <w:marRight w:val="0"/>
      <w:marTop w:val="0"/>
      <w:marBottom w:val="0"/>
      <w:divBdr>
        <w:top w:val="none" w:sz="0" w:space="0" w:color="auto"/>
        <w:left w:val="none" w:sz="0" w:space="0" w:color="auto"/>
        <w:bottom w:val="none" w:sz="0" w:space="0" w:color="auto"/>
        <w:right w:val="none" w:sz="0" w:space="0" w:color="auto"/>
      </w:divBdr>
    </w:div>
    <w:div w:id="195732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header" Target="head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elsti\AppData\Local\Microsoft\Windows\INetCache\Content.Outlook\J2GP55A2\CMU%20potenti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'Graph v2'!$C$48</c:f>
              <c:strCache>
                <c:ptCount val="1"/>
                <c:pt idx="0">
                  <c:v>Stock market</c:v>
                </c:pt>
              </c:strCache>
            </c:strRef>
          </c:tx>
          <c:spPr>
            <a:solidFill>
              <a:schemeClr val="accent5">
                <a:lumMod val="75000"/>
              </a:schemeClr>
            </a:solidFill>
            <a:ln>
              <a:noFill/>
            </a:ln>
            <a:effectLst/>
          </c:spPr>
          <c:invertIfNegative val="0"/>
          <c:cat>
            <c:strRef>
              <c:f>'Graph v2'!$B$49:$B$54</c:f>
              <c:strCache>
                <c:ptCount val="6"/>
                <c:pt idx="0">
                  <c:v>Euro Area</c:v>
                </c:pt>
                <c:pt idx="1">
                  <c:v>EU-28 </c:v>
                </c:pt>
                <c:pt idx="2">
                  <c:v>Japan</c:v>
                </c:pt>
                <c:pt idx="3">
                  <c:v>UK</c:v>
                </c:pt>
                <c:pt idx="4">
                  <c:v>USA</c:v>
                </c:pt>
                <c:pt idx="5">
                  <c:v>EU Top 5 countries</c:v>
                </c:pt>
              </c:strCache>
            </c:strRef>
          </c:cat>
          <c:val>
            <c:numRef>
              <c:f>'Graph v2'!$C$49:$C$54</c:f>
              <c:numCache>
                <c:formatCode>0%</c:formatCode>
                <c:ptCount val="6"/>
                <c:pt idx="0">
                  <c:v>0.67284897996900939</c:v>
                </c:pt>
                <c:pt idx="1">
                  <c:v>0.76891041049408304</c:v>
                </c:pt>
                <c:pt idx="2">
                  <c:v>1.2031051456256734</c:v>
                </c:pt>
                <c:pt idx="3">
                  <c:v>1.272919355699736</c:v>
                </c:pt>
                <c:pt idx="4">
                  <c:v>1.5603753628847263</c:v>
                </c:pt>
                <c:pt idx="5">
                  <c:v>1.1551535671191602</c:v>
                </c:pt>
              </c:numCache>
            </c:numRef>
          </c:val>
          <c:extLst>
            <c:ext xmlns:c16="http://schemas.microsoft.com/office/drawing/2014/chart" uri="{C3380CC4-5D6E-409C-BE32-E72D297353CC}">
              <c16:uniqueId val="{00000000-9CB4-4B96-A679-1173D650CC7C}"/>
            </c:ext>
          </c:extLst>
        </c:ser>
        <c:ser>
          <c:idx val="1"/>
          <c:order val="1"/>
          <c:tx>
            <c:strRef>
              <c:f>'Graph v2'!$D$48</c:f>
              <c:strCache>
                <c:ptCount val="1"/>
                <c:pt idx="0">
                  <c:v>Bond market (private sector only)</c:v>
                </c:pt>
              </c:strCache>
            </c:strRef>
          </c:tx>
          <c:spPr>
            <a:pattFill prst="wdDnDiag">
              <a:fgClr>
                <a:schemeClr val="accent2">
                  <a:lumMod val="75000"/>
                </a:schemeClr>
              </a:fgClr>
              <a:bgClr>
                <a:schemeClr val="bg1"/>
              </a:bgClr>
            </a:pattFill>
            <a:ln>
              <a:noFill/>
            </a:ln>
            <a:effectLst/>
          </c:spPr>
          <c:invertIfNegative val="0"/>
          <c:cat>
            <c:strRef>
              <c:f>'Graph v2'!$B$49:$B$54</c:f>
              <c:strCache>
                <c:ptCount val="6"/>
                <c:pt idx="0">
                  <c:v>Euro Area</c:v>
                </c:pt>
                <c:pt idx="1">
                  <c:v>EU-28 </c:v>
                </c:pt>
                <c:pt idx="2">
                  <c:v>Japan</c:v>
                </c:pt>
                <c:pt idx="3">
                  <c:v>UK</c:v>
                </c:pt>
                <c:pt idx="4">
                  <c:v>USA</c:v>
                </c:pt>
                <c:pt idx="5">
                  <c:v>EU Top 5 countries</c:v>
                </c:pt>
              </c:strCache>
            </c:strRef>
          </c:cat>
          <c:val>
            <c:numRef>
              <c:f>'Graph v2'!$D$49:$D$54</c:f>
              <c:numCache>
                <c:formatCode>0%</c:formatCode>
                <c:ptCount val="6"/>
                <c:pt idx="0">
                  <c:v>0.81211809548030156</c:v>
                </c:pt>
                <c:pt idx="1">
                  <c:v>0.86731372630360271</c:v>
                </c:pt>
                <c:pt idx="2">
                  <c:v>0.65569324331119716</c:v>
                </c:pt>
                <c:pt idx="3">
                  <c:v>1.2318481109124693</c:v>
                </c:pt>
                <c:pt idx="4">
                  <c:v>1.1113019710581415</c:v>
                </c:pt>
                <c:pt idx="5">
                  <c:v>2.2804318113049926</c:v>
                </c:pt>
              </c:numCache>
            </c:numRef>
          </c:val>
          <c:extLst>
            <c:ext xmlns:c16="http://schemas.microsoft.com/office/drawing/2014/chart" uri="{C3380CC4-5D6E-409C-BE32-E72D297353CC}">
              <c16:uniqueId val="{00000001-9CB4-4B96-A679-1173D650CC7C}"/>
            </c:ext>
          </c:extLst>
        </c:ser>
        <c:dLbls>
          <c:showLegendKey val="0"/>
          <c:showVal val="0"/>
          <c:showCatName val="0"/>
          <c:showSerName val="0"/>
          <c:showPercent val="0"/>
          <c:showBubbleSize val="0"/>
        </c:dLbls>
        <c:gapWidth val="150"/>
        <c:overlap val="100"/>
        <c:axId val="91804416"/>
        <c:axId val="91805952"/>
      </c:barChart>
      <c:catAx>
        <c:axId val="9180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fr-FR"/>
          </a:p>
        </c:txPr>
        <c:crossAx val="91805952"/>
        <c:crosses val="autoZero"/>
        <c:auto val="1"/>
        <c:lblAlgn val="ctr"/>
        <c:lblOffset val="100"/>
        <c:noMultiLvlLbl val="0"/>
      </c:catAx>
      <c:valAx>
        <c:axId val="9180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fr-BE" baseline="0">
                    <a:solidFill>
                      <a:sysClr val="windowText" lastClr="000000"/>
                    </a:solidFill>
                  </a:rPr>
                  <a:t>Percentage of GDP</a:t>
                </a:r>
              </a:p>
            </c:rich>
          </c:tx>
          <c:layout>
            <c:manualLayout>
              <c:xMode val="edge"/>
              <c:yMode val="edge"/>
              <c:x val="7.6875768757687576E-3"/>
              <c:y val="0.289720992206389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fr-FR"/>
          </a:p>
        </c:txPr>
        <c:crossAx val="918044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fr-FR"/>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fr-FR"/>
          </a:p>
        </c:txPr>
      </c:legendEntry>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dda241cc-5733-459e-901e-767dd293e5d5</Id>
  <Names>
    <Latin>
      <FirstName>Tim</FirstName>
      <LastName>KOELSCH</LastName>
    </Latin>
    <Greek>
      <FirstName/>
      <LastName/>
    </Greek>
    <Cyrillic>
      <FirstName/>
      <LastName/>
    </Cyrillic>
    <DocumentScript>
      <FirstName>Tim</FirstName>
      <LastName>KOELSCH</LastName>
      <FullName>Tim KOELSCH</FullName>
    </DocumentScript>
  </Names>
  <Initials>TK</Initials>
  <Gender>m</Gender>
  <Email>Tim.KOELSCH@ec.europa.eu</Email>
  <Service>FISMA.C.1</Service>
  <Function ShowInSignature="true"/>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bee81f75-72c8-4129-87c7-657bd7e074d9</Id>
    <LogicalLevel>2</LogicalLevel>
    <Name>FISMA.C</Name>
    <HeadLine1>FINANCIAL MARKETS</HeadLine1>
    <HeadLine2/>
    <PrimaryAddressId>f03b5801-04c9-4931-aa17-c6d6c70bc579</PrimaryAddressId>
    <SecondaryAddressId/>
    <WebAddress/>
    <InheritedWebAddress>WebAddress</InheritedWebAddress>
    <ShowInHeader>true</ShowInHeader>
  </OrgaEntity2>
  <OrgaEntity3>
    <Id>17c3611f-9820-4261-9e3e-df1d637756ee</Id>
    <LogicalLevel>3</LogicalLevel>
    <Name>FISMA.C.1</Name>
    <HeadLine1>Capital markets Union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
    <Office/>
  </MainWorkplace>
  <Workplaces>
    <Workplace IsMain="false">
      <AddressId>1264fb81-f6bb-475e-9f9d-a937d3be6ee2</AddressId>
      <Fax/>
      <Phone/>
      <Office/>
    </Workplace>
    <Workplace IsMain="tru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4.6</Version>
    <Date>2018-10-23T09:12:34</Date>
    <Language>EN</Language>
  </Created>
  <Edited>
    <Version>10.0.37613.0</Version>
    <Date>2018-11-28T10:33:37</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9AD6B9-950E-4944-90CB-B32FB77086BF}">
  <ds:schemaRefs/>
</ds:datastoreItem>
</file>

<file path=customXml/itemProps2.xml><?xml version="1.0" encoding="utf-8"?>
<ds:datastoreItem xmlns:ds="http://schemas.openxmlformats.org/officeDocument/2006/customXml" ds:itemID="{A4B56B07-17D9-4A3D-8653-EFF4FFEBA6B1}">
  <ds:schemaRefs/>
</ds:datastoreItem>
</file>

<file path=customXml/itemProps3.xml><?xml version="1.0" encoding="utf-8"?>
<ds:datastoreItem xmlns:ds="http://schemas.openxmlformats.org/officeDocument/2006/customXml" ds:itemID="{EFA54432-9DC7-43D3-B51B-2D62C88C84E2}">
  <ds:schemaRefs/>
</ds:datastoreItem>
</file>

<file path=customXml/itemProps4.xml><?xml version="1.0" encoding="utf-8"?>
<ds:datastoreItem xmlns:ds="http://schemas.openxmlformats.org/officeDocument/2006/customXml" ds:itemID="{0FB6F364-1C9C-447F-8283-07691DAA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9</Pages>
  <Words>3189</Words>
  <Characters>18469</Characters>
  <Application>Microsoft Office Word</Application>
  <DocSecurity>0</DocSecurity>
  <PresentationFormat>Microsoft Word 14.0</PresentationFormat>
  <Lines>335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2018-11-27T08:50:00Z</dcterms:created>
  <dcterms:modified xsi:type="dcterms:W3CDTF">2018-11-28T09:33:00Z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