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C6E85A0-FBAD-4204-B60F-896C1EFE5401" style="width:450.25pt;height:334.2pt">
            <v:imagedata r:id="rId9" o:title=""/>
          </v:shape>
        </w:pict>
      </w:r>
    </w:p>
    <w:bookmarkEnd w:id="0"/>
    <w:p>
      <w:pPr>
        <w:spacing w:line="240" w:lineRule="auto"/>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eastAsia="Times New Roman"/>
          <w:b/>
          <w:noProof/>
          <w:sz w:val="80"/>
          <w:szCs w:val="80"/>
        </w:rPr>
      </w:pPr>
      <w:bookmarkStart w:id="1" w:name="_Ref340815968"/>
      <w:bookmarkStart w:id="2" w:name="_Toc530674108"/>
      <w:bookmarkStart w:id="3" w:name="_GoBack"/>
      <w:bookmarkEnd w:id="3"/>
      <w:r>
        <w:rPr>
          <w:b/>
          <w:noProof/>
          <w:sz w:val="80"/>
        </w:rPr>
        <w:lastRenderedPageBreak/>
        <w:t>ДОКУМЕНТИ</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eastAsia="Times New Roman"/>
                <w:noProof/>
                <w:color w:val="0000FF"/>
                <w:sz w:val="24"/>
                <w:szCs w:val="24"/>
              </w:rPr>
            </w:pPr>
            <w:r>
              <w:rPr>
                <w:noProof/>
              </w:rPr>
              <w:tab/>
            </w:r>
            <w:r>
              <w:rPr>
                <w:noProof/>
              </w:rPr>
              <w:tab/>
            </w:r>
          </w:p>
        </w:tc>
      </w:tr>
    </w:tbl>
    <w:p>
      <w:pPr>
        <w:spacing w:after="0" w:line="240" w:lineRule="auto"/>
        <w:ind w:right="972"/>
        <w:rPr>
          <w:rFonts w:eastAsia="Times New Roman"/>
          <w:b/>
          <w:noProof/>
          <w:sz w:val="44"/>
          <w:szCs w:val="44"/>
          <w:lang w:val="ru-RU"/>
        </w:rPr>
      </w:pPr>
      <w:r>
        <w:rPr>
          <w:b/>
          <w:noProof/>
          <w:sz w:val="44"/>
          <w:lang w:val="ru-RU"/>
        </w:rPr>
        <w:t>Втори ПРОЕКТ на общ бюджет</w:t>
      </w:r>
      <w:r>
        <w:rPr>
          <w:rFonts w:eastAsia="Times New Roman"/>
          <w:b/>
          <w:noProof/>
          <w:sz w:val="44"/>
          <w:szCs w:val="44"/>
          <w:lang w:val="ru-RU"/>
        </w:rPr>
        <w:br/>
      </w:r>
      <w:r>
        <w:rPr>
          <w:b/>
          <w:noProof/>
          <w:sz w:val="44"/>
          <w:lang w:val="ru-RU"/>
        </w:rPr>
        <w:t>на Европейския съюз</w:t>
      </w:r>
      <w:r>
        <w:rPr>
          <w:rFonts w:eastAsia="Times New Roman"/>
          <w:b/>
          <w:noProof/>
          <w:sz w:val="44"/>
          <w:szCs w:val="44"/>
          <w:lang w:val="ru-RU"/>
        </w:rPr>
        <w:br/>
      </w:r>
      <w:r>
        <w:rPr>
          <w:b/>
          <w:noProof/>
          <w:sz w:val="44"/>
          <w:lang w:val="ru-RU"/>
        </w:rPr>
        <w:t>за финансовата 2019</w:t>
      </w:r>
      <w:r>
        <w:rPr>
          <w:b/>
          <w:noProof/>
          <w:sz w:val="44"/>
        </w:rPr>
        <w:t> </w:t>
      </w:r>
      <w:r>
        <w:rPr>
          <w:b/>
          <w:noProof/>
          <w:sz w:val="44"/>
          <w:lang w:val="ru-RU"/>
        </w:rPr>
        <w:t>година</w:t>
      </w:r>
    </w:p>
    <w:p>
      <w:pPr>
        <w:spacing w:after="0" w:line="240" w:lineRule="auto"/>
        <w:jc w:val="both"/>
        <w:rPr>
          <w:rFonts w:eastAsia="Times New Roman"/>
          <w:b/>
          <w:noProof/>
          <w:sz w:val="44"/>
          <w:szCs w:val="44"/>
          <w:lang w:val="ru-RU"/>
        </w:rPr>
      </w:pPr>
    </w:p>
    <w:p>
      <w:pPr>
        <w:spacing w:after="0" w:line="240" w:lineRule="auto"/>
        <w:jc w:val="both"/>
        <w:rPr>
          <w:rFonts w:eastAsia="Times New Roman"/>
          <w:b/>
          <w:noProof/>
          <w:sz w:val="44"/>
          <w:szCs w:val="44"/>
          <w:lang w:val="ru-RU"/>
        </w:rPr>
      </w:pPr>
    </w:p>
    <w:p>
      <w:pPr>
        <w:spacing w:after="0" w:line="240" w:lineRule="auto"/>
        <w:ind w:right="1512"/>
        <w:jc w:val="both"/>
        <w:rPr>
          <w:rFonts w:eastAsia="Times New Roman"/>
          <w:b/>
          <w:noProof/>
          <w:sz w:val="36"/>
          <w:szCs w:val="36"/>
        </w:rPr>
      </w:pPr>
      <w:r>
        <w:rPr>
          <w:b/>
          <w:noProof/>
          <w:sz w:val="36"/>
        </w:rPr>
        <w:t>ОБЩО ВЪВЕДЕНИЕ</w:t>
      </w: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9000"/>
        </w:tabs>
        <w:spacing w:after="0" w:line="240" w:lineRule="auto"/>
        <w:ind w:left="240" w:right="19"/>
        <w:jc w:val="both"/>
        <w:rPr>
          <w:rFonts w:eastAsia="Times New Roman"/>
          <w:noProof/>
          <w:sz w:val="24"/>
          <w:szCs w:val="24"/>
        </w:rPr>
      </w:pPr>
    </w:p>
    <w:p>
      <w:pPr>
        <w:tabs>
          <w:tab w:val="left" w:pos="7560"/>
          <w:tab w:val="right" w:pos="9000"/>
        </w:tabs>
        <w:spacing w:after="0" w:line="240" w:lineRule="auto"/>
        <w:ind w:right="23"/>
        <w:jc w:val="right"/>
        <w:rPr>
          <w:rFonts w:eastAsia="Times New Roman"/>
          <w:noProof/>
        </w:rPr>
      </w:pPr>
    </w:p>
    <w:p>
      <w:pPr>
        <w:tabs>
          <w:tab w:val="left" w:pos="7560"/>
          <w:tab w:val="right" w:pos="9000"/>
        </w:tabs>
        <w:spacing w:after="0" w:line="240" w:lineRule="auto"/>
        <w:ind w:right="23"/>
        <w:jc w:val="right"/>
        <w:rPr>
          <w:rFonts w:eastAsia="Times New Roman"/>
          <w:noProof/>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p>
            <w:pPr>
              <w:tabs>
                <w:tab w:val="left" w:pos="7560"/>
              </w:tabs>
              <w:spacing w:after="0" w:line="240" w:lineRule="auto"/>
              <w:jc w:val="both"/>
              <w:rPr>
                <w:rFonts w:eastAsia="Times New Roman"/>
                <w:noProof/>
                <w:sz w:val="32"/>
                <w:szCs w:val="32"/>
              </w:rPr>
            </w:pPr>
          </w:p>
        </w:tc>
      </w:tr>
    </w:tbl>
    <w:p>
      <w:pPr>
        <w:spacing w:line="240" w:lineRule="auto"/>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Prliminairetype"/>
        <w:rPr>
          <w:noProof/>
          <w:lang w:val="ru-RU"/>
        </w:rPr>
      </w:pPr>
      <w:r>
        <w:rPr>
          <w:noProof/>
          <w:lang w:val="ru-RU"/>
        </w:rPr>
        <w:lastRenderedPageBreak/>
        <w:t>ПРОЕКТ НА ОБЩИЯ БЮДЖЕТ ЗА 2019 ГОДИНА</w:t>
      </w:r>
    </w:p>
    <w:p>
      <w:pPr>
        <w:pStyle w:val="Prliminairetitre"/>
        <w:rPr>
          <w:noProof/>
          <w:lang w:val="ru-RU"/>
        </w:rPr>
      </w:pPr>
      <w:bookmarkStart w:id="4" w:name="_Toc278112514"/>
      <w:r>
        <w:rPr>
          <w:noProof/>
          <w:lang w:val="ru-RU"/>
        </w:rPr>
        <w:t>ПРИХОДНА И РАЗХОДНА ЧАСТ НА БЮДЖЕТА ПО РАЗДЕЛИ</w:t>
      </w:r>
      <w:bookmarkEnd w:id="4"/>
      <w:r>
        <w:rPr>
          <w:noProof/>
          <w:lang w:val="ru-RU"/>
        </w:rPr>
        <w:br/>
      </w:r>
    </w:p>
    <w:p>
      <w:pPr>
        <w:spacing w:line="240" w:lineRule="auto"/>
        <w:rPr>
          <w:noProof/>
        </w:rPr>
      </w:pPr>
      <w:r>
        <w:rPr>
          <w:noProof/>
        </w:rPr>
        <w:t>Като взе предвид:</w:t>
      </w:r>
    </w:p>
    <w:p>
      <w:pPr>
        <w:pStyle w:val="Tiret0"/>
        <w:numPr>
          <w:ilvl w:val="0"/>
          <w:numId w:val="24"/>
        </w:numPr>
        <w:rPr>
          <w:noProof/>
          <w:lang w:val="ru-RU"/>
        </w:rPr>
      </w:pPr>
      <w:r>
        <w:rPr>
          <w:noProof/>
          <w:lang w:val="ru-RU"/>
        </w:rPr>
        <w:t>Договора за функционирането на Европейския съюз, и по-специално член</w:t>
      </w:r>
      <w:r>
        <w:rPr>
          <w:noProof/>
          <w:lang w:val="fr-BE"/>
        </w:rPr>
        <w:t> </w:t>
      </w:r>
      <w:r>
        <w:rPr>
          <w:noProof/>
          <w:lang w:val="ru-RU"/>
        </w:rPr>
        <w:t>314 от него, във връзка с Договора за създаване на Европейската общност за атомна енергия, и по-специално член</w:t>
      </w:r>
      <w:r>
        <w:rPr>
          <w:noProof/>
          <w:lang w:val="fr-BE"/>
        </w:rPr>
        <w:t> </w:t>
      </w:r>
      <w:r>
        <w:rPr>
          <w:noProof/>
          <w:lang w:val="ru-RU"/>
        </w:rPr>
        <w:t>106а от него,</w:t>
      </w:r>
    </w:p>
    <w:p>
      <w:pPr>
        <w:pStyle w:val="Tiret0"/>
        <w:rPr>
          <w:rFonts w:cs="Arial"/>
          <w:noProof/>
          <w:szCs w:val="18"/>
          <w:lang w:val="ru-RU"/>
        </w:rPr>
      </w:pPr>
      <w:r>
        <w:rPr>
          <w:noProof/>
          <w:lang w:val="ru-RU"/>
        </w:rPr>
        <w:t>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
      </w:r>
      <w:r>
        <w:rPr>
          <w:noProof/>
          <w:lang w:val="ru-RU"/>
        </w:rPr>
        <w:t xml:space="preserve"> (Регламент за МФР), и по-специално член 13 от него,</w:t>
      </w:r>
    </w:p>
    <w:p>
      <w:pPr>
        <w:pStyle w:val="Tiret0"/>
        <w:rPr>
          <w:rFonts w:cs="Arial"/>
          <w:noProof/>
          <w:szCs w:val="18"/>
          <w:lang w:val="ru-RU"/>
        </w:rPr>
      </w:pPr>
      <w:r>
        <w:rPr>
          <w:noProof/>
          <w:lang w:val="ru-RU"/>
        </w:rPr>
        <w:t>Междуинституционално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
      </w:r>
      <w:r>
        <w:rPr>
          <w:noProof/>
          <w:lang w:val="ru-RU"/>
        </w:rPr>
        <w:t>,</w:t>
      </w:r>
    </w:p>
    <w:p>
      <w:pPr>
        <w:pStyle w:val="Tiret0"/>
        <w:rPr>
          <w:rFonts w:cs="Arial"/>
          <w:noProof/>
          <w:szCs w:val="18"/>
          <w:lang w:val="ru-RU"/>
        </w:rPr>
      </w:pPr>
      <w:r>
        <w:rPr>
          <w:noProof/>
          <w:lang w:val="ru-RU"/>
        </w:rPr>
        <w:t>Решение</w:t>
      </w:r>
      <w:r>
        <w:rPr>
          <w:noProof/>
        </w:rPr>
        <w:t> </w:t>
      </w:r>
      <w:r>
        <w:rPr>
          <w:noProof/>
          <w:lang w:val="ru-RU"/>
        </w:rPr>
        <w:t>2014/335/ЕС, Евратом на Съвета от 26</w:t>
      </w:r>
      <w:r>
        <w:rPr>
          <w:noProof/>
        </w:rPr>
        <w:t> </w:t>
      </w:r>
      <w:r>
        <w:rPr>
          <w:noProof/>
          <w:lang w:val="ru-RU"/>
        </w:rPr>
        <w:t>май 2014</w:t>
      </w:r>
      <w:r>
        <w:rPr>
          <w:noProof/>
        </w:rPr>
        <w:t> </w:t>
      </w:r>
      <w:r>
        <w:rPr>
          <w:noProof/>
          <w:lang w:val="ru-RU"/>
        </w:rPr>
        <w:t>г. относно системата на собствените ресурси на Европейския съюз</w:t>
      </w:r>
      <w:r>
        <w:rPr>
          <w:rStyle w:val="FootnoteReference"/>
          <w:noProof/>
        </w:rPr>
        <w:footnoteReference w:id="3"/>
      </w:r>
      <w:r>
        <w:rPr>
          <w:noProof/>
          <w:lang w:val="ru-RU"/>
        </w:rPr>
        <w:t>,</w:t>
      </w:r>
    </w:p>
    <w:p>
      <w:pPr>
        <w:pStyle w:val="Tiret0"/>
        <w:numPr>
          <w:ilvl w:val="0"/>
          <w:numId w:val="24"/>
        </w:numPr>
        <w:rPr>
          <w:noProof/>
          <w:szCs w:val="18"/>
          <w:lang w:val="ru-RU"/>
        </w:rPr>
      </w:pPr>
      <w:r>
        <w:rPr>
          <w:noProof/>
          <w:lang w:val="ru-RU"/>
        </w:rPr>
        <w:t>Регламент (ЕС, Евратом) № 2018/1046 на Европейския парламент и на Съвета от 18</w:t>
      </w:r>
      <w:r>
        <w:rPr>
          <w:noProof/>
        </w:rPr>
        <w:t> </w:t>
      </w:r>
      <w:r>
        <w:rPr>
          <w:noProof/>
          <w:lang w:val="ru-RU"/>
        </w:rPr>
        <w:t>юли 2018</w:t>
      </w:r>
      <w:r>
        <w:rPr>
          <w:noProof/>
        </w:rPr>
        <w:t> </w:t>
      </w:r>
      <w:r>
        <w:rPr>
          <w:noProof/>
          <w:lang w:val="ru-RU"/>
        </w:rPr>
        <w:t>г. за финансовите правила, приложими за общия бюджет на Съюза, за изменение на регламенти (ЕС) №</w:t>
      </w:r>
      <w:r>
        <w:rPr>
          <w:noProof/>
        </w:rPr>
        <w:t> </w:t>
      </w:r>
      <w:r>
        <w:rPr>
          <w:noProof/>
          <w:lang w:val="ru-RU"/>
        </w:rPr>
        <w:t>1296/2013, (ЕС) №</w:t>
      </w:r>
      <w:r>
        <w:rPr>
          <w:noProof/>
        </w:rPr>
        <w:t> </w:t>
      </w:r>
      <w:r>
        <w:rPr>
          <w:noProof/>
          <w:lang w:val="ru-RU"/>
        </w:rPr>
        <w:t>1301/2013, (ЕС) №</w:t>
      </w:r>
      <w:r>
        <w:rPr>
          <w:noProof/>
        </w:rPr>
        <w:t> </w:t>
      </w:r>
      <w:r>
        <w:rPr>
          <w:noProof/>
          <w:lang w:val="ru-RU"/>
        </w:rPr>
        <w:t>1303/2013, (ЕС) №</w:t>
      </w:r>
      <w:r>
        <w:rPr>
          <w:noProof/>
        </w:rPr>
        <w:t> </w:t>
      </w:r>
      <w:r>
        <w:rPr>
          <w:noProof/>
          <w:lang w:val="ru-RU"/>
        </w:rPr>
        <w:t>1304/2013, (ЕС) №</w:t>
      </w:r>
      <w:r>
        <w:rPr>
          <w:noProof/>
        </w:rPr>
        <w:t> </w:t>
      </w:r>
      <w:r>
        <w:rPr>
          <w:noProof/>
          <w:lang w:val="ru-RU"/>
        </w:rPr>
        <w:t>1309/2013, (ЕС) №</w:t>
      </w:r>
      <w:r>
        <w:rPr>
          <w:noProof/>
        </w:rPr>
        <w:t> </w:t>
      </w:r>
      <w:r>
        <w:rPr>
          <w:noProof/>
          <w:lang w:val="ru-RU"/>
        </w:rPr>
        <w:t>1316/2013, (ЕС) №</w:t>
      </w:r>
      <w:r>
        <w:rPr>
          <w:noProof/>
        </w:rPr>
        <w:t> </w:t>
      </w:r>
      <w:r>
        <w:rPr>
          <w:noProof/>
          <w:lang w:val="ru-RU"/>
        </w:rPr>
        <w:t>223/2013 и (ЕС) №</w:t>
      </w:r>
      <w:r>
        <w:rPr>
          <w:noProof/>
        </w:rPr>
        <w:t> </w:t>
      </w:r>
      <w:r>
        <w:rPr>
          <w:noProof/>
          <w:lang w:val="ru-RU"/>
        </w:rPr>
        <w:t>283/2014 и на Решение №</w:t>
      </w:r>
      <w:r>
        <w:rPr>
          <w:noProof/>
        </w:rPr>
        <w:t> </w:t>
      </w:r>
      <w:r>
        <w:rPr>
          <w:noProof/>
          <w:lang w:val="ru-RU"/>
        </w:rPr>
        <w:t>541/2014/ЕС и за отмяна на Регламент (ЕС, Евратом) №</w:t>
      </w:r>
      <w:r>
        <w:rPr>
          <w:noProof/>
        </w:rPr>
        <w:t> </w:t>
      </w:r>
      <w:r>
        <w:rPr>
          <w:noProof/>
          <w:lang w:val="ru-RU"/>
        </w:rPr>
        <w:t>966/2012</w:t>
      </w:r>
      <w:r>
        <w:rPr>
          <w:rStyle w:val="FootnoteReference"/>
          <w:noProof/>
        </w:rPr>
        <w:footnoteReference w:id="4"/>
      </w:r>
      <w:r>
        <w:rPr>
          <w:noProof/>
          <w:lang w:val="ru-RU"/>
        </w:rPr>
        <w:t>,</w:t>
      </w:r>
    </w:p>
    <w:p>
      <w:pPr>
        <w:pStyle w:val="Tiret0"/>
        <w:numPr>
          <w:ilvl w:val="0"/>
          <w:numId w:val="24"/>
        </w:numPr>
        <w:rPr>
          <w:noProof/>
          <w:lang w:val="ru-RU"/>
        </w:rPr>
      </w:pPr>
      <w:r>
        <w:rPr>
          <w:noProof/>
          <w:lang w:val="ru-RU"/>
        </w:rPr>
        <w:t>първоначалния проект на общия бюджет на Европейския съюз за финансовата 2019</w:t>
      </w:r>
      <w:r>
        <w:rPr>
          <w:noProof/>
        </w:rPr>
        <w:t> </w:t>
      </w:r>
      <w:r>
        <w:rPr>
          <w:noProof/>
          <w:lang w:val="ru-RU"/>
        </w:rPr>
        <w:t>година, представен от Комисията на 21 юни 2018 г.</w:t>
      </w:r>
      <w:r>
        <w:rPr>
          <w:rStyle w:val="FootnoteReference"/>
          <w:noProof/>
        </w:rPr>
        <w:footnoteReference w:id="5"/>
      </w:r>
      <w:r>
        <w:rPr>
          <w:noProof/>
          <w:lang w:val="ru-RU"/>
        </w:rPr>
        <w:t>,</w:t>
      </w:r>
    </w:p>
    <w:p>
      <w:pPr>
        <w:pStyle w:val="Tiret0"/>
        <w:numPr>
          <w:ilvl w:val="0"/>
          <w:numId w:val="24"/>
        </w:numPr>
        <w:rPr>
          <w:noProof/>
          <w:lang w:val="ru-RU"/>
        </w:rPr>
      </w:pPr>
      <w:r>
        <w:rPr>
          <w:noProof/>
          <w:lang w:val="ru-RU"/>
        </w:rPr>
        <w:t>позицията на Съвета по първоначалния проект на общ бюджет на Европейския съюз за 2019</w:t>
      </w:r>
      <w:r>
        <w:rPr>
          <w:noProof/>
        </w:rPr>
        <w:t> </w:t>
      </w:r>
      <w:r>
        <w:rPr>
          <w:noProof/>
          <w:lang w:val="ru-RU"/>
        </w:rPr>
        <w:t>финансова година, приета от Съвета на 4 септември 2018 г.</w:t>
      </w:r>
      <w:r>
        <w:rPr>
          <w:rStyle w:val="FootnoteReference"/>
          <w:noProof/>
        </w:rPr>
        <w:footnoteReference w:id="6"/>
      </w:r>
      <w:r>
        <w:rPr>
          <w:noProof/>
          <w:lang w:val="ru-RU"/>
        </w:rPr>
        <w:t>,</w:t>
      </w:r>
    </w:p>
    <w:p>
      <w:pPr>
        <w:pStyle w:val="Tiret0"/>
        <w:numPr>
          <w:ilvl w:val="0"/>
          <w:numId w:val="24"/>
        </w:numPr>
        <w:rPr>
          <w:noProof/>
          <w:lang w:val="ru-RU"/>
        </w:rPr>
      </w:pPr>
      <w:r>
        <w:rPr>
          <w:noProof/>
          <w:lang w:val="ru-RU"/>
        </w:rPr>
        <w:t>писмо за внасяне на корекции №</w:t>
      </w:r>
      <w:r>
        <w:rPr>
          <w:noProof/>
        </w:rPr>
        <w:t> </w:t>
      </w:r>
      <w:r>
        <w:rPr>
          <w:noProof/>
          <w:lang w:val="ru-RU"/>
        </w:rPr>
        <w:t>1/2019 към първоначалния проект на общия бюджет за 2019 г., представено от Комисията на 16 октомври 2018</w:t>
      </w:r>
      <w:r>
        <w:rPr>
          <w:noProof/>
        </w:rPr>
        <w:t> </w:t>
      </w:r>
      <w:r>
        <w:rPr>
          <w:noProof/>
          <w:lang w:val="ru-RU"/>
        </w:rPr>
        <w:t>г.</w:t>
      </w:r>
      <w:r>
        <w:rPr>
          <w:rStyle w:val="FootnoteReference"/>
          <w:noProof/>
        </w:rPr>
        <w:footnoteReference w:id="7"/>
      </w:r>
      <w:r>
        <w:rPr>
          <w:noProof/>
          <w:lang w:val="ru-RU"/>
        </w:rPr>
        <w:t>,</w:t>
      </w:r>
    </w:p>
    <w:p>
      <w:pPr>
        <w:pStyle w:val="Tiret0"/>
        <w:numPr>
          <w:ilvl w:val="0"/>
          <w:numId w:val="24"/>
        </w:numPr>
        <w:rPr>
          <w:noProof/>
          <w:lang w:val="ru-RU"/>
        </w:rPr>
      </w:pPr>
      <w:r>
        <w:rPr>
          <w:noProof/>
          <w:lang w:val="ru-RU"/>
        </w:rPr>
        <w:t>измененията от Европейския парламент в позицията на Съвета по първоначалния проект на общия бюджет на Европейския съюз за финансовата 2019</w:t>
      </w:r>
      <w:r>
        <w:rPr>
          <w:noProof/>
        </w:rPr>
        <w:t> </w:t>
      </w:r>
      <w:r>
        <w:rPr>
          <w:noProof/>
          <w:lang w:val="ru-RU"/>
        </w:rPr>
        <w:t>година, приети от Европейския парламент на 25 октомври 2018 г.</w:t>
      </w:r>
      <w:r>
        <w:rPr>
          <w:rStyle w:val="FootnoteReference"/>
          <w:noProof/>
        </w:rPr>
        <w:footnoteReference w:id="8"/>
      </w:r>
      <w:r>
        <w:rPr>
          <w:noProof/>
          <w:lang w:val="ru-RU"/>
        </w:rPr>
        <w:t>,</w:t>
      </w:r>
    </w:p>
    <w:p>
      <w:pPr>
        <w:spacing w:line="240" w:lineRule="auto"/>
        <w:jc w:val="both"/>
        <w:rPr>
          <w:noProof/>
          <w:lang w:val="ru-RU"/>
        </w:rPr>
      </w:pPr>
      <w:r>
        <w:rPr>
          <w:noProof/>
          <w:lang w:val="ru-RU"/>
        </w:rPr>
        <w:t>С настоящото Европейската комисия представя на Европейския парламент и на Съвета общото въведение към втория проект на общия бюджет за 2019</w:t>
      </w:r>
      <w:r>
        <w:rPr>
          <w:noProof/>
        </w:rPr>
        <w:t> </w:t>
      </w:r>
      <w:r>
        <w:rPr>
          <w:noProof/>
          <w:lang w:val="ru-RU"/>
        </w:rPr>
        <w:t>г.</w:t>
      </w:r>
    </w:p>
    <w:p>
      <w:pPr>
        <w:spacing w:line="240" w:lineRule="auto"/>
        <w:jc w:val="both"/>
        <w:rPr>
          <w:noProof/>
          <w:lang w:val="ru-RU"/>
        </w:rPr>
      </w:pPr>
      <w:r>
        <w:rPr>
          <w:noProof/>
          <w:lang w:val="ru-RU"/>
        </w:rPr>
        <w:t>Едновременно с това общо въведение всички данни по раздели от втория проект на общия бюджет за 2019</w:t>
      </w:r>
      <w:r>
        <w:rPr>
          <w:noProof/>
        </w:rPr>
        <w:t> </w:t>
      </w:r>
      <w:r>
        <w:rPr>
          <w:noProof/>
          <w:lang w:val="ru-RU"/>
        </w:rPr>
        <w:t xml:space="preserve">г. могат да бъдат намерени в </w:t>
      </w:r>
      <w:r>
        <w:rPr>
          <w:noProof/>
        </w:rPr>
        <w:t>EUR</w:t>
      </w:r>
      <w:r>
        <w:rPr>
          <w:noProof/>
          <w:lang w:val="ru-RU"/>
        </w:rPr>
        <w:t>-</w:t>
      </w:r>
      <w:r>
        <w:rPr>
          <w:noProof/>
        </w:rPr>
        <w:t>Lex</w:t>
      </w:r>
      <w:r>
        <w:rPr>
          <w:noProof/>
          <w:lang w:val="ru-RU"/>
        </w:rPr>
        <w:t xml:space="preserve"> (</w:t>
      </w:r>
      <w:hyperlink r:id="rId22" w:tooltip="blocked::https://eur-lex.europa.eu/budget/www/index-bg.htm">
        <w:r>
          <w:rPr>
            <w:noProof/>
            <w:color w:val="0000FF"/>
            <w:u w:val="single"/>
          </w:rPr>
          <w:t>https</w:t>
        </w:r>
        <w:r>
          <w:rPr>
            <w:noProof/>
            <w:color w:val="0000FF"/>
            <w:u w:val="single"/>
            <w:lang w:val="ru-RU"/>
          </w:rPr>
          <w:t>://</w:t>
        </w:r>
        <w:r>
          <w:rPr>
            <w:noProof/>
            <w:color w:val="0000FF"/>
            <w:u w:val="single"/>
          </w:rPr>
          <w:t>eur</w:t>
        </w:r>
        <w:r>
          <w:rPr>
            <w:noProof/>
            <w:color w:val="0000FF"/>
            <w:u w:val="single"/>
            <w:lang w:val="ru-RU"/>
          </w:rPr>
          <w:t>-</w:t>
        </w:r>
        <w:r>
          <w:rPr>
            <w:noProof/>
            <w:color w:val="0000FF"/>
            <w:u w:val="single"/>
          </w:rPr>
          <w:t>lex</w:t>
        </w:r>
        <w:r>
          <w:rPr>
            <w:noProof/>
            <w:color w:val="0000FF"/>
            <w:u w:val="single"/>
            <w:lang w:val="ru-RU"/>
          </w:rPr>
          <w:t>.</w:t>
        </w:r>
        <w:r>
          <w:rPr>
            <w:noProof/>
            <w:color w:val="0000FF"/>
            <w:u w:val="single"/>
          </w:rPr>
          <w:t>europa</w:t>
        </w:r>
        <w:r>
          <w:rPr>
            <w:noProof/>
            <w:color w:val="0000FF"/>
            <w:u w:val="single"/>
            <w:lang w:val="ru-RU"/>
          </w:rPr>
          <w:t>.</w:t>
        </w:r>
        <w:r>
          <w:rPr>
            <w:noProof/>
            <w:color w:val="0000FF"/>
            <w:u w:val="single"/>
          </w:rPr>
          <w:t>eu</w:t>
        </w:r>
        <w:r>
          <w:rPr>
            <w:noProof/>
            <w:color w:val="0000FF"/>
            <w:u w:val="single"/>
            <w:lang w:val="ru-RU"/>
          </w:rPr>
          <w:t>/</w:t>
        </w:r>
        <w:r>
          <w:rPr>
            <w:noProof/>
            <w:color w:val="0000FF"/>
            <w:u w:val="single"/>
          </w:rPr>
          <w:t>budget</w:t>
        </w:r>
        <w:r>
          <w:rPr>
            <w:noProof/>
            <w:color w:val="0000FF"/>
            <w:u w:val="single"/>
            <w:lang w:val="ru-RU"/>
          </w:rPr>
          <w:t>/</w:t>
        </w:r>
        <w:r>
          <w:rPr>
            <w:noProof/>
            <w:color w:val="0000FF"/>
            <w:u w:val="single"/>
          </w:rPr>
          <w:t>www</w:t>
        </w:r>
        <w:r>
          <w:rPr>
            <w:noProof/>
            <w:color w:val="0000FF"/>
            <w:u w:val="single"/>
            <w:lang w:val="ru-RU"/>
          </w:rPr>
          <w:t>/</w:t>
        </w:r>
        <w:r>
          <w:rPr>
            <w:noProof/>
            <w:color w:val="0000FF"/>
            <w:u w:val="single"/>
          </w:rPr>
          <w:t>index</w:t>
        </w:r>
        <w:r>
          <w:rPr>
            <w:noProof/>
            <w:color w:val="0000FF"/>
            <w:u w:val="single"/>
            <w:lang w:val="ru-RU"/>
          </w:rPr>
          <w:t>-</w:t>
        </w:r>
        <w:r>
          <w:rPr>
            <w:noProof/>
            <w:color w:val="0000FF"/>
            <w:u w:val="single"/>
          </w:rPr>
          <w:t>bg</w:t>
        </w:r>
        <w:r>
          <w:rPr>
            <w:noProof/>
            <w:color w:val="0000FF"/>
            <w:u w:val="single"/>
            <w:lang w:val="ru-RU"/>
          </w:rPr>
          <w:t>.</w:t>
        </w:r>
        <w:r>
          <w:rPr>
            <w:noProof/>
            <w:color w:val="0000FF"/>
            <w:u w:val="single"/>
          </w:rPr>
          <w:t>htm</w:t>
        </w:r>
      </w:hyperlink>
      <w:r>
        <w:rPr>
          <w:noProof/>
          <w:lang w:val="ru-RU"/>
        </w:rPr>
        <w:t>) във всички езикови версии.</w:t>
      </w:r>
    </w:p>
    <w:p>
      <w:pPr>
        <w:spacing w:line="240" w:lineRule="auto"/>
        <w:jc w:val="both"/>
        <w:rPr>
          <w:noProof/>
          <w:lang w:val="ru-RU"/>
        </w:rPr>
      </w:pPr>
    </w:p>
    <w:p>
      <w:pPr>
        <w:pStyle w:val="TOCHeading"/>
        <w:rPr>
          <w:noProof/>
        </w:rPr>
      </w:pPr>
      <w:r>
        <w:rPr>
          <w:noProof/>
        </w:rPr>
        <w:t>СЪДЪРЖАНИЕ</w:t>
      </w:r>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r>
        <w:rPr>
          <w:rFonts w:ascii="Times New Roman" w:hAnsi="Times New Roman" w:cs="Times New Roman"/>
          <w:b w:val="0"/>
          <w:bCs w:val="0"/>
          <w:caps w:val="0"/>
          <w:noProof/>
        </w:rPr>
        <w:fldChar w:fldCharType="begin"/>
      </w:r>
      <w:r>
        <w:rPr>
          <w:rFonts w:ascii="Times New Roman" w:hAnsi="Times New Roman" w:cs="Times New Roman"/>
          <w:b w:val="0"/>
          <w:bCs w:val="0"/>
          <w:caps w:val="0"/>
          <w:noProof/>
        </w:rPr>
        <w:instrText xml:space="preserve"> TOC \o "1-3" \h \z \u </w:instrText>
      </w:r>
      <w:r>
        <w:rPr>
          <w:rFonts w:ascii="Times New Roman" w:hAnsi="Times New Roman" w:cs="Times New Roman"/>
          <w:b w:val="0"/>
          <w:bCs w:val="0"/>
          <w:caps w:val="0"/>
          <w:noProof/>
        </w:rPr>
        <w:fldChar w:fldCharType="separate"/>
      </w:r>
      <w:hyperlink w:anchor="_Toc531253439" w:history="1">
        <w:r>
          <w:rPr>
            <w:rStyle w:val="Hyperlink"/>
            <w:rFonts w:ascii="Times New Roman" w:hAnsi="Times New Roman"/>
            <w:noProof/>
          </w:rPr>
          <w:t>1.</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rPr>
          <w:t>Въведение</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1253440" w:history="1">
        <w:r>
          <w:rPr>
            <w:rStyle w:val="Hyperlink"/>
            <w:rFonts w:ascii="Times New Roman" w:hAnsi="Times New Roman"/>
            <w:noProof/>
            <w:lang w:val="ru-RU"/>
          </w:rPr>
          <w:t>2.</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lang w:val="ru-RU"/>
          </w:rPr>
          <w:t>Многогодишната финансова рамка и вторият проектобюджет за 2019 г.</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41" w:history="1">
        <w:r>
          <w:rPr>
            <w:rStyle w:val="Hyperlink"/>
            <w:rFonts w:ascii="Times New Roman" w:hAnsi="Times New Roman"/>
            <w:noProof/>
            <w:lang w:val="ru-RU"/>
          </w:rPr>
          <w:t>2.1.</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lang w:val="ru-RU"/>
          </w:rPr>
          <w:t>Тавани в многогодишната финансова рамка за бюджета за 2019</w:t>
        </w:r>
        <w:r>
          <w:rPr>
            <w:rStyle w:val="Hyperlink"/>
            <w:rFonts w:ascii="Times New Roman" w:hAnsi="Times New Roman"/>
            <w:noProof/>
          </w:rPr>
          <w:t> </w:t>
        </w:r>
        <w:r>
          <w:rPr>
            <w:rStyle w:val="Hyperlink"/>
            <w:rFonts w:ascii="Times New Roman" w:hAnsi="Times New Roman"/>
            <w:noProof/>
            <w:lang w:val="ru-RU"/>
          </w:rPr>
          <w:t>г.</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42" w:history="1">
        <w:r>
          <w:rPr>
            <w:rStyle w:val="Hyperlink"/>
            <w:rFonts w:ascii="Times New Roman" w:hAnsi="Times New Roman"/>
            <w:noProof/>
            <w:lang w:val="ru-RU"/>
          </w:rPr>
          <w:t>2.2.</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lang w:val="ru-RU"/>
          </w:rPr>
          <w:t>Общ преглед на втория проектобюджет за 2019</w:t>
        </w:r>
        <w:r>
          <w:rPr>
            <w:rStyle w:val="Hyperlink"/>
            <w:rFonts w:ascii="Times New Roman" w:hAnsi="Times New Roman"/>
            <w:noProof/>
          </w:rPr>
          <w:t> </w:t>
        </w:r>
        <w:r>
          <w:rPr>
            <w:rStyle w:val="Hyperlink"/>
            <w:rFonts w:ascii="Times New Roman" w:hAnsi="Times New Roman"/>
            <w:noProof/>
            <w:lang w:val="ru-RU"/>
          </w:rPr>
          <w:t>г.</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1253443" w:history="1">
        <w:r>
          <w:rPr>
            <w:rStyle w:val="Hyperlink"/>
            <w:rFonts w:ascii="Times New Roman" w:hAnsi="Times New Roman"/>
            <w:noProof/>
            <w:lang w:val="ru-RU"/>
          </w:rPr>
          <w:t>3.</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lang w:val="ru-RU"/>
          </w:rPr>
          <w:t>Ключови елементи на второто предложение за проектобюджет</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44" w:history="1">
        <w:r>
          <w:rPr>
            <w:rStyle w:val="Hyperlink"/>
            <w:rFonts w:ascii="Times New Roman" w:hAnsi="Times New Roman"/>
            <w:noProof/>
          </w:rPr>
          <w:t>3.1.</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rPr>
          <w:t>Хоризонтални въпроси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45" w:history="1">
        <w:r>
          <w:rPr>
            <w:rStyle w:val="Hyperlink"/>
            <w:rFonts w:ascii="Times New Roman" w:hAnsi="Times New Roman"/>
            <w:noProof/>
          </w:rPr>
          <w:t>3.1.1.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Децентрализирани агенции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46" w:history="1">
        <w:r>
          <w:rPr>
            <w:rStyle w:val="Hyperlink"/>
            <w:rFonts w:ascii="Times New Roman" w:hAnsi="Times New Roman"/>
            <w:noProof/>
          </w:rPr>
          <w:t>3.1.2.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Изпълнителни агенции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47" w:history="1">
        <w:r>
          <w:rPr>
            <w:rStyle w:val="Hyperlink"/>
            <w:rFonts w:ascii="Times New Roman" w:hAnsi="Times New Roman"/>
            <w:noProof/>
          </w:rPr>
          <w:t>3.1.3.</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Пилотни проекти и подготвителни действия</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48" w:history="1">
        <w:r>
          <w:rPr>
            <w:rStyle w:val="Hyperlink"/>
            <w:rFonts w:ascii="Times New Roman" w:hAnsi="Times New Roman"/>
            <w:noProof/>
            <w:lang w:val="ru-RU"/>
          </w:rPr>
          <w:t>3.2.</w:t>
        </w:r>
        <w:r>
          <w:rPr>
            <w:rFonts w:ascii="Times New Roman" w:eastAsiaTheme="minorEastAsia" w:hAnsi="Times New Roman" w:cs="Times New Roman"/>
            <w:smallCaps w:val="0"/>
            <w:noProof/>
            <w:sz w:val="22"/>
            <w:szCs w:val="22"/>
            <w:lang w:eastAsia="en-GB"/>
          </w:rPr>
          <w:tab/>
        </w:r>
        <w:r>
          <w:rPr>
            <w:rStyle w:val="Hyperlink"/>
            <w:rFonts w:ascii="Times New Roman" w:hAnsi="Times New Roman"/>
            <w:noProof/>
            <w:lang w:val="ru-RU"/>
          </w:rPr>
          <w:t>Общ подход за бюджетните кредити за поети задължения</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49" w:history="1">
        <w:r>
          <w:rPr>
            <w:rStyle w:val="Hyperlink"/>
            <w:rFonts w:ascii="Times New Roman" w:hAnsi="Times New Roman"/>
            <w:noProof/>
            <w:lang w:val="ru-RU"/>
          </w:rPr>
          <w:t>3.2.1.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lang w:val="ru-RU"/>
          </w:rPr>
          <w:t>Функция</w:t>
        </w:r>
        <w:r>
          <w:rPr>
            <w:rStyle w:val="Hyperlink"/>
            <w:rFonts w:ascii="Times New Roman" w:hAnsi="Times New Roman"/>
            <w:noProof/>
          </w:rPr>
          <w:t> </w:t>
        </w:r>
        <w:r>
          <w:rPr>
            <w:rStyle w:val="Hyperlink"/>
            <w:rFonts w:ascii="Times New Roman" w:hAnsi="Times New Roman"/>
            <w:noProof/>
            <w:lang w:val="ru-RU"/>
          </w:rPr>
          <w:t>1а — Конкурентоспособност за растеж и работни места</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0" w:history="1">
        <w:r>
          <w:rPr>
            <w:rStyle w:val="Hyperlink"/>
            <w:rFonts w:ascii="Times New Roman" w:hAnsi="Times New Roman"/>
            <w:noProof/>
            <w:lang w:val="ru-RU"/>
          </w:rPr>
          <w:t>3.2.2.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lang w:val="ru-RU"/>
          </w:rPr>
          <w:t>Функция</w:t>
        </w:r>
        <w:r>
          <w:rPr>
            <w:rStyle w:val="Hyperlink"/>
            <w:rFonts w:ascii="Times New Roman" w:hAnsi="Times New Roman"/>
            <w:noProof/>
          </w:rPr>
          <w:t> </w:t>
        </w:r>
        <w:r>
          <w:rPr>
            <w:rStyle w:val="Hyperlink"/>
            <w:rFonts w:ascii="Times New Roman" w:hAnsi="Times New Roman"/>
            <w:noProof/>
            <w:lang w:val="ru-RU"/>
          </w:rPr>
          <w:t>1б — Икономическо, социално и териториално сближаване</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1" w:history="1">
        <w:r>
          <w:rPr>
            <w:rStyle w:val="Hyperlink"/>
            <w:rFonts w:ascii="Times New Roman" w:hAnsi="Times New Roman"/>
            <w:noProof/>
          </w:rPr>
          <w:t>3.2.3.</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Функция 2 — Устойчив растеж: природни ресурси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2" w:history="1">
        <w:r>
          <w:rPr>
            <w:rStyle w:val="Hyperlink"/>
            <w:rFonts w:ascii="Times New Roman" w:hAnsi="Times New Roman"/>
            <w:noProof/>
          </w:rPr>
          <w:t>3.2.4.</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Функция 3 — Сигурност и гражданство</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3" w:history="1">
        <w:r>
          <w:rPr>
            <w:rStyle w:val="Hyperlink"/>
            <w:rFonts w:ascii="Times New Roman" w:hAnsi="Times New Roman"/>
            <w:noProof/>
          </w:rPr>
          <w:t>3.2.5.</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noProof/>
          </w:rPr>
          <w:t>Функция 4 — Глобална Европа</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4" w:history="1">
        <w:r>
          <w:rPr>
            <w:rStyle w:val="Hyperlink"/>
            <w:rFonts w:ascii="Times New Roman" w:hAnsi="Times New Roman"/>
            <w:bCs/>
            <w:noProof/>
            <w:lang w:val="bg-BG" w:eastAsia="bg-BG" w:bidi="bg-BG"/>
          </w:rPr>
          <w:t>3.2.6.</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bCs/>
            <w:noProof/>
            <w:lang w:val="bg-BG" w:eastAsia="bg-BG" w:bidi="bg-BG"/>
          </w:rPr>
          <w:t>Функция 5 — Администрация</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16</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5" w:history="1">
        <w:r>
          <w:rPr>
            <w:rStyle w:val="Hyperlink"/>
            <w:rFonts w:ascii="Times New Roman" w:hAnsi="Times New Roman"/>
            <w:bCs/>
            <w:noProof/>
            <w:lang w:val="bg-BG" w:eastAsia="bg-BG" w:bidi="bg-BG"/>
          </w:rPr>
          <w:t>3.2.7.</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bCs/>
            <w:noProof/>
            <w:lang w:val="bg-BG" w:eastAsia="bg-BG" w:bidi="bg-BG"/>
          </w:rPr>
          <w:t>Специални инструменти: ЕФПГ, РСП и ФСЕС</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56" w:history="1">
        <w:r>
          <w:rPr>
            <w:rStyle w:val="Hyperlink"/>
            <w:rFonts w:ascii="Times New Roman" w:hAnsi="Times New Roman"/>
            <w:bCs/>
            <w:iCs/>
            <w:noProof/>
            <w:lang w:val="bg-BG" w:eastAsia="bg-BG" w:bidi="bg-BG"/>
          </w:rPr>
          <w:t>3.3.</w:t>
        </w:r>
        <w:r>
          <w:rPr>
            <w:rFonts w:ascii="Times New Roman" w:eastAsiaTheme="minorEastAsia" w:hAnsi="Times New Roman" w:cs="Times New Roman"/>
            <w:smallCaps w:val="0"/>
            <w:noProof/>
            <w:sz w:val="22"/>
            <w:szCs w:val="22"/>
            <w:lang w:eastAsia="en-GB"/>
          </w:rPr>
          <w:tab/>
        </w:r>
        <w:r>
          <w:rPr>
            <w:rStyle w:val="Hyperlink"/>
            <w:rFonts w:ascii="Times New Roman" w:hAnsi="Times New Roman"/>
            <w:bCs/>
            <w:iCs/>
            <w:noProof/>
            <w:lang w:val="bg-BG" w:eastAsia="bg-BG" w:bidi="bg-BG"/>
          </w:rPr>
          <w:t>Общ подход по отношение на бюджетните кредити за плащания</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18</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57" w:history="1">
        <w:r>
          <w:rPr>
            <w:rStyle w:val="Hyperlink"/>
            <w:rFonts w:ascii="Times New Roman" w:hAnsi="Times New Roman"/>
            <w:bCs/>
            <w:iCs/>
            <w:noProof/>
            <w:lang w:val="bg-BG" w:eastAsia="bg-BG" w:bidi="bg-BG"/>
          </w:rPr>
          <w:t>3.4.</w:t>
        </w:r>
        <w:r>
          <w:rPr>
            <w:rFonts w:ascii="Times New Roman" w:eastAsiaTheme="minorEastAsia" w:hAnsi="Times New Roman" w:cs="Times New Roman"/>
            <w:smallCaps w:val="0"/>
            <w:noProof/>
            <w:sz w:val="22"/>
            <w:szCs w:val="22"/>
            <w:lang w:eastAsia="en-GB"/>
          </w:rPr>
          <w:tab/>
        </w:r>
        <w:r>
          <w:rPr>
            <w:rStyle w:val="Hyperlink"/>
            <w:rFonts w:ascii="Times New Roman" w:hAnsi="Times New Roman"/>
            <w:bCs/>
            <w:iCs/>
            <w:noProof/>
            <w:lang w:val="bg-BG" w:eastAsia="bg-BG" w:bidi="bg-BG"/>
          </w:rPr>
          <w:t>Резерви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2"/>
        <w:tabs>
          <w:tab w:val="left" w:pos="960"/>
          <w:tab w:val="right" w:leader="dot" w:pos="9770"/>
        </w:tabs>
        <w:rPr>
          <w:rFonts w:ascii="Times New Roman" w:eastAsiaTheme="minorEastAsia" w:hAnsi="Times New Roman" w:cs="Times New Roman"/>
          <w:smallCaps w:val="0"/>
          <w:noProof/>
          <w:sz w:val="22"/>
          <w:szCs w:val="22"/>
          <w:lang w:eastAsia="en-GB"/>
        </w:rPr>
      </w:pPr>
      <w:hyperlink w:anchor="_Toc531253458" w:history="1">
        <w:r>
          <w:rPr>
            <w:rStyle w:val="Hyperlink"/>
            <w:rFonts w:ascii="Times New Roman" w:hAnsi="Times New Roman"/>
            <w:bCs/>
            <w:iCs/>
            <w:noProof/>
            <w:lang w:val="bg-BG" w:eastAsia="bg-BG" w:bidi="bg-BG"/>
          </w:rPr>
          <w:t>3.5.</w:t>
        </w:r>
        <w:r>
          <w:rPr>
            <w:rFonts w:ascii="Times New Roman" w:eastAsiaTheme="minorEastAsia" w:hAnsi="Times New Roman" w:cs="Times New Roman"/>
            <w:smallCaps w:val="0"/>
            <w:noProof/>
            <w:sz w:val="22"/>
            <w:szCs w:val="22"/>
            <w:lang w:eastAsia="en-GB"/>
          </w:rPr>
          <w:tab/>
        </w:r>
        <w:r>
          <w:rPr>
            <w:rStyle w:val="Hyperlink"/>
            <w:rFonts w:ascii="Times New Roman" w:hAnsi="Times New Roman"/>
            <w:bCs/>
            <w:iCs/>
            <w:noProof/>
            <w:lang w:val="bg-BG" w:eastAsia="bg-BG" w:bidi="bg-BG"/>
          </w:rPr>
          <w:t>Промени на номенклатурата и бюджетните забележки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59" w:history="1">
        <w:r>
          <w:rPr>
            <w:rStyle w:val="Hyperlink"/>
            <w:rFonts w:ascii="Times New Roman" w:hAnsi="Times New Roman"/>
            <w:bCs/>
            <w:noProof/>
            <w:lang w:val="bg-BG" w:eastAsia="bg-BG" w:bidi="bg-BG"/>
          </w:rPr>
          <w:t>3.5.1.</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bCs/>
            <w:noProof/>
            <w:lang w:val="bg-BG" w:eastAsia="bg-BG" w:bidi="bg-BG"/>
          </w:rPr>
          <w:t>Бюджетни забележки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_Toc531253459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3"/>
        <w:tabs>
          <w:tab w:val="left" w:pos="1200"/>
          <w:tab w:val="right" w:leader="dot" w:pos="9770"/>
        </w:tabs>
        <w:rPr>
          <w:rFonts w:ascii="Times New Roman" w:eastAsiaTheme="minorEastAsia" w:hAnsi="Times New Roman" w:cs="Times New Roman"/>
          <w:i w:val="0"/>
          <w:iCs w:val="0"/>
          <w:noProof/>
          <w:sz w:val="22"/>
          <w:szCs w:val="22"/>
          <w:lang w:eastAsia="en-GB"/>
        </w:rPr>
      </w:pPr>
      <w:hyperlink w:anchor="_Toc531253460" w:history="1">
        <w:r>
          <w:rPr>
            <w:rStyle w:val="Hyperlink"/>
            <w:rFonts w:ascii="Times New Roman" w:hAnsi="Times New Roman"/>
            <w:bCs/>
            <w:noProof/>
            <w:lang w:val="bg-BG" w:eastAsia="bg-BG" w:bidi="bg-BG"/>
          </w:rPr>
          <w:t>3.5.2.</w:t>
        </w:r>
        <w:r>
          <w:rPr>
            <w:rFonts w:ascii="Times New Roman" w:eastAsiaTheme="minorEastAsia" w:hAnsi="Times New Roman" w:cs="Times New Roman"/>
            <w:i w:val="0"/>
            <w:iCs w:val="0"/>
            <w:noProof/>
            <w:sz w:val="22"/>
            <w:szCs w:val="22"/>
            <w:lang w:eastAsia="en-GB"/>
          </w:rPr>
          <w:tab/>
        </w:r>
        <w:r>
          <w:rPr>
            <w:rStyle w:val="Hyperlink"/>
            <w:rFonts w:ascii="Times New Roman" w:hAnsi="Times New Roman"/>
            <w:bCs/>
            <w:noProof/>
            <w:lang w:val="bg-BG" w:eastAsia="bg-BG" w:bidi="bg-BG"/>
          </w:rPr>
          <w:t>Номенклатура</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_Toc531253460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1253461" w:history="1">
        <w:r>
          <w:rPr>
            <w:rStyle w:val="Hyperlink"/>
            <w:rFonts w:ascii="Times New Roman" w:hAnsi="Times New Roman"/>
            <w:smallCaps/>
            <w:noProof/>
            <w:lang w:val="bg-BG" w:eastAsia="bg-BG" w:bidi="bg-BG"/>
          </w:rPr>
          <w:t>4.</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smallCaps/>
            <w:noProof/>
            <w:lang w:val="bg-BG" w:eastAsia="bg-BG" w:bidi="bg-BG"/>
          </w:rPr>
          <w:t>Заключителни бележки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_Toc531253461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lang w:eastAsia="en-GB"/>
        </w:rPr>
      </w:pPr>
      <w:hyperlink w:anchor="_Toc531253462" w:history="1">
        <w:r>
          <w:rPr>
            <w:rStyle w:val="Hyperlink"/>
            <w:rFonts w:ascii="Times New Roman" w:hAnsi="Times New Roman"/>
            <w:noProof/>
            <w:lang w:val="ru-RU"/>
          </w:rPr>
          <w:t>5.</w:t>
        </w:r>
        <w:r>
          <w:rPr>
            <w:rFonts w:ascii="Times New Roman" w:eastAsiaTheme="minorEastAsia" w:hAnsi="Times New Roman" w:cs="Times New Roman"/>
            <w:b w:val="0"/>
            <w:bCs w:val="0"/>
            <w:caps w:val="0"/>
            <w:noProof/>
            <w:sz w:val="22"/>
            <w:szCs w:val="22"/>
            <w:lang w:eastAsia="en-GB"/>
          </w:rPr>
          <w:tab/>
        </w:r>
        <w:r>
          <w:rPr>
            <w:rStyle w:val="Hyperlink"/>
            <w:rFonts w:ascii="Times New Roman" w:hAnsi="Times New Roman"/>
            <w:noProof/>
            <w:lang w:val="ru-RU"/>
          </w:rPr>
          <w:t>Втори проектобюджет за 2019</w:t>
        </w:r>
        <w:r>
          <w:rPr>
            <w:rStyle w:val="Hyperlink"/>
            <w:rFonts w:ascii="Times New Roman" w:hAnsi="Times New Roman"/>
            <w:noProof/>
          </w:rPr>
          <w:t> </w:t>
        </w:r>
        <w:r>
          <w:rPr>
            <w:rStyle w:val="Hyperlink"/>
            <w:rFonts w:ascii="Times New Roman" w:hAnsi="Times New Roman"/>
            <w:noProof/>
            <w:lang w:val="ru-RU"/>
          </w:rPr>
          <w:t>г. по функции от финансовата рамка и основни програми</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_Toc531253462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22</w:t>
        </w:r>
        <w:r>
          <w:rPr>
            <w:rFonts w:ascii="Times New Roman" w:hAnsi="Times New Roman" w:cs="Times New Roman"/>
            <w:noProof/>
            <w:webHidden/>
          </w:rPr>
          <w:fldChar w:fldCharType="end"/>
        </w:r>
      </w:hyperlink>
    </w:p>
    <w:p>
      <w:pPr>
        <w:pStyle w:val="TOC1"/>
        <w:tabs>
          <w:tab w:val="left" w:pos="480"/>
          <w:tab w:val="right" w:leader="dot" w:pos="9770"/>
        </w:tabs>
        <w:rPr>
          <w:rFonts w:ascii="Times New Roman" w:eastAsiaTheme="minorEastAsia" w:hAnsi="Times New Roman" w:cs="Times New Roman"/>
          <w:b w:val="0"/>
          <w:bCs w:val="0"/>
          <w:caps w:val="0"/>
          <w:noProof/>
          <w:sz w:val="22"/>
          <w:szCs w:val="22"/>
        </w:rPr>
      </w:pPr>
      <w:r>
        <w:rPr>
          <w:rFonts w:ascii="Times New Roman" w:hAnsi="Times New Roman" w:cs="Times New Roman"/>
          <w:noProof/>
        </w:rPr>
        <w:fldChar w:fldCharType="end"/>
      </w:r>
    </w:p>
    <w:p>
      <w:pPr>
        <w:spacing w:line="240" w:lineRule="auto"/>
        <w:jc w:val="both"/>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709" w:header="709" w:footer="709" w:gutter="0"/>
          <w:cols w:space="708"/>
          <w:docGrid w:linePitch="360"/>
        </w:sectPr>
      </w:pPr>
    </w:p>
    <w:p>
      <w:pPr>
        <w:pStyle w:val="ManualHeading1"/>
        <w:rPr>
          <w:noProof/>
        </w:rPr>
      </w:pPr>
      <w:bookmarkStart w:id="5" w:name="_Toc278112515"/>
      <w:bookmarkStart w:id="6" w:name="_Toc530674093"/>
      <w:bookmarkStart w:id="7" w:name="_Toc531253439"/>
      <w:r>
        <w:t>1.</w:t>
      </w:r>
      <w:r>
        <w:tab/>
      </w:r>
      <w:r>
        <w:rPr>
          <w:noProof/>
        </w:rPr>
        <w:t>Въведение</w:t>
      </w:r>
      <w:bookmarkEnd w:id="5"/>
      <w:bookmarkEnd w:id="6"/>
      <w:bookmarkEnd w:id="7"/>
    </w:p>
    <w:p>
      <w:pPr>
        <w:spacing w:line="240" w:lineRule="auto"/>
        <w:jc w:val="both"/>
        <w:rPr>
          <w:noProof/>
          <w:sz w:val="24"/>
          <w:lang w:val="ru-RU"/>
        </w:rPr>
      </w:pPr>
      <w:bookmarkStart w:id="8" w:name="_Toc322520752"/>
      <w:bookmarkStart w:id="9" w:name="_Toc323061076"/>
      <w:bookmarkStart w:id="10" w:name="_Toc278112516"/>
      <w:r>
        <w:rPr>
          <w:noProof/>
          <w:sz w:val="24"/>
          <w:lang w:val="ru-RU"/>
        </w:rPr>
        <w:t>На 21 юни 2018 г. Комисията предаде проектобюджета за 2019 г. на всички официални езици</w:t>
      </w:r>
      <w:r>
        <w:rPr>
          <w:rStyle w:val="FootnoteReference"/>
          <w:noProof/>
        </w:rPr>
        <w:footnoteReference w:id="9"/>
      </w:r>
      <w:r>
        <w:rPr>
          <w:noProof/>
          <w:sz w:val="24"/>
          <w:lang w:val="ru-RU"/>
        </w:rPr>
        <w:t>. На 4 септември 2018 г. Съветът приключи своето четене на проектобюджета, а на 25 октомври 2018 г. Европейският парламент прие своето четене. На 16 октомври Комисията представи писмо за внасяне на корекции №</w:t>
      </w:r>
      <w:r>
        <w:rPr>
          <w:noProof/>
          <w:sz w:val="24"/>
        </w:rPr>
        <w:t> </w:t>
      </w:r>
      <w:r>
        <w:rPr>
          <w:noProof/>
          <w:sz w:val="24"/>
          <w:lang w:val="ru-RU"/>
        </w:rPr>
        <w:t>1/2019 с актуализирани прогнози за финансовата 2019 година. Тъй като Европейският парламент прие изменения на проектобюджета, които Съветът не одобри, бе свикан помирителен комитет в съответствие с член</w:t>
      </w:r>
      <w:r>
        <w:rPr>
          <w:noProof/>
          <w:sz w:val="24"/>
        </w:rPr>
        <w:t> </w:t>
      </w:r>
      <w:r>
        <w:rPr>
          <w:noProof/>
          <w:sz w:val="24"/>
          <w:lang w:val="ru-RU"/>
        </w:rPr>
        <w:t>314, параграф</w:t>
      </w:r>
      <w:r>
        <w:rPr>
          <w:noProof/>
          <w:sz w:val="24"/>
        </w:rPr>
        <w:t> </w:t>
      </w:r>
      <w:r>
        <w:rPr>
          <w:noProof/>
          <w:sz w:val="24"/>
          <w:lang w:val="ru-RU"/>
        </w:rPr>
        <w:t>4, буква</w:t>
      </w:r>
      <w:r>
        <w:rPr>
          <w:noProof/>
          <w:sz w:val="24"/>
        </w:rPr>
        <w:t> </w:t>
      </w:r>
      <w:r>
        <w:rPr>
          <w:noProof/>
          <w:sz w:val="24"/>
          <w:lang w:val="ru-RU"/>
        </w:rPr>
        <w:t>в) от Договора за функционирането на Европейския съюз (ДФЕС).</w:t>
      </w:r>
    </w:p>
    <w:p>
      <w:pPr>
        <w:spacing w:line="240" w:lineRule="auto"/>
        <w:jc w:val="both"/>
        <w:rPr>
          <w:noProof/>
          <w:sz w:val="24"/>
          <w:lang w:val="ru-RU"/>
        </w:rPr>
      </w:pPr>
      <w:r>
        <w:rPr>
          <w:noProof/>
          <w:sz w:val="24"/>
          <w:lang w:val="ru-RU"/>
        </w:rPr>
        <w:t>Помирителният комитет работи в продължение на двадесет и един дни от 30 октомври до 19 ноември 2018 г. Въпреки че бе постигнат значителен напредък по време на обсъжданията, не беше възможно да се съгласуват позициите на Европейския парламент и на Съвета в рамките на този период, по-специално по отношение на прилагането на новия член</w:t>
      </w:r>
      <w:r>
        <w:rPr>
          <w:noProof/>
          <w:sz w:val="24"/>
        </w:rPr>
        <w:t> </w:t>
      </w:r>
      <w:r>
        <w:rPr>
          <w:noProof/>
          <w:sz w:val="24"/>
          <w:lang w:val="ru-RU"/>
        </w:rPr>
        <w:t>15, параграф 3 от Финансовия регламент за повторно предоставяне на бюджетни кредити, съответстващи на отменени бюджетни кредити за научноизследователски проекти. Въпреки това проект за коригиращ бюджет №</w:t>
      </w:r>
      <w:r>
        <w:rPr>
          <w:noProof/>
          <w:sz w:val="24"/>
        </w:rPr>
        <w:t> </w:t>
      </w:r>
      <w:r>
        <w:rPr>
          <w:noProof/>
          <w:sz w:val="24"/>
          <w:lang w:val="ru-RU"/>
        </w:rPr>
        <w:t>6/2018</w:t>
      </w:r>
      <w:r>
        <w:rPr>
          <w:rStyle w:val="FootnoteReference"/>
          <w:noProof/>
        </w:rPr>
        <w:footnoteReference w:id="10"/>
      </w:r>
      <w:r>
        <w:rPr>
          <w:noProof/>
          <w:sz w:val="24"/>
          <w:lang w:val="ru-RU"/>
        </w:rPr>
        <w:t xml:space="preserve"> беше одобрен от Европейския парламент и от Съвета</w:t>
      </w:r>
      <w:r>
        <w:rPr>
          <w:rStyle w:val="FootnoteReference"/>
          <w:noProof/>
        </w:rPr>
        <w:footnoteReference w:id="11"/>
      </w:r>
      <w:r>
        <w:rPr>
          <w:noProof/>
          <w:sz w:val="24"/>
          <w:lang w:val="ru-RU"/>
        </w:rPr>
        <w:t>.</w:t>
      </w:r>
    </w:p>
    <w:p>
      <w:pPr>
        <w:pStyle w:val="CM1"/>
        <w:spacing w:before="200" w:after="200"/>
        <w:jc w:val="both"/>
        <w:rPr>
          <w:noProof/>
          <w:lang w:val="ru-RU"/>
        </w:rPr>
      </w:pPr>
      <w:r>
        <w:rPr>
          <w:rFonts w:ascii="Times New Roman" w:hAnsi="Times New Roman"/>
          <w:noProof/>
          <w:lang w:val="ru-RU"/>
        </w:rPr>
        <w:t>Поради липсата на съгласие в рамките на помирителния комитет, съгласно член 314, параграф 8 от ДФЕС сега Комисията представя втори проектобюджет за 2019 г. С това предложение Комисията се стреми да помири позициите на Европейския парламент и Съвета, без да се прибягва до допълнителен период на помирение поради ограничено време. Ако не може да бъде постигнато съгласие по бюджета преди края на 2018</w:t>
      </w:r>
      <w:r>
        <w:rPr>
          <w:rFonts w:ascii="Times New Roman" w:hAnsi="Times New Roman"/>
          <w:noProof/>
        </w:rPr>
        <w:t> </w:t>
      </w:r>
      <w:r>
        <w:rPr>
          <w:rFonts w:ascii="Times New Roman" w:hAnsi="Times New Roman"/>
          <w:noProof/>
          <w:lang w:val="ru-RU"/>
        </w:rPr>
        <w:t>г., ще влезе в сила режимът на временни суми от една дванадесета, считано от 1 януари 2019</w:t>
      </w:r>
      <w:r>
        <w:rPr>
          <w:rFonts w:ascii="Times New Roman" w:hAnsi="Times New Roman"/>
          <w:noProof/>
        </w:rPr>
        <w:t> </w:t>
      </w:r>
      <w:r>
        <w:rPr>
          <w:rFonts w:ascii="Times New Roman" w:hAnsi="Times New Roman"/>
          <w:noProof/>
          <w:lang w:val="ru-RU"/>
        </w:rPr>
        <w:t>г. Това е процедура, предвидена в член</w:t>
      </w:r>
      <w:r>
        <w:rPr>
          <w:rFonts w:ascii="Times New Roman" w:hAnsi="Times New Roman"/>
          <w:noProof/>
        </w:rPr>
        <w:t> </w:t>
      </w:r>
      <w:r>
        <w:rPr>
          <w:rFonts w:ascii="Times New Roman" w:hAnsi="Times New Roman"/>
          <w:noProof/>
          <w:lang w:val="ru-RU"/>
        </w:rPr>
        <w:t xml:space="preserve">315, параграф 1 от ДФЕС, която би довела до забавяне на изпълнението на ключови политики и програми, по-специално в областта на селското стопанство, и би предотвратила започването на нови дейности. </w:t>
      </w:r>
    </w:p>
    <w:p>
      <w:pPr>
        <w:spacing w:line="240" w:lineRule="auto"/>
        <w:jc w:val="both"/>
        <w:rPr>
          <w:noProof/>
          <w:sz w:val="24"/>
          <w:lang w:val="ru-RU"/>
        </w:rPr>
      </w:pPr>
      <w:r>
        <w:rPr>
          <w:noProof/>
          <w:sz w:val="24"/>
          <w:lang w:val="ru-RU"/>
        </w:rPr>
        <w:t>При неотложната необходимост от постигане на навременно приемане на бюджета за 2019</w:t>
      </w:r>
      <w:r>
        <w:rPr>
          <w:noProof/>
          <w:sz w:val="24"/>
        </w:rPr>
        <w:t> </w:t>
      </w:r>
      <w:r>
        <w:rPr>
          <w:noProof/>
          <w:sz w:val="24"/>
          <w:lang w:val="ru-RU"/>
        </w:rPr>
        <w:t>г. предложението на Комисията за проектобюджета за 2019</w:t>
      </w:r>
      <w:r>
        <w:rPr>
          <w:noProof/>
          <w:sz w:val="24"/>
        </w:rPr>
        <w:t> </w:t>
      </w:r>
      <w:r>
        <w:rPr>
          <w:noProof/>
          <w:sz w:val="24"/>
          <w:lang w:val="ru-RU"/>
        </w:rPr>
        <w:t>г. се основава на напредъка, постигнат в помирителния комитет, който до голяма степен възстанови първоначалния проектобюджет на Комисията, изменен с писмо за внасяне на корекции №</w:t>
      </w:r>
      <w:r>
        <w:rPr>
          <w:noProof/>
          <w:sz w:val="24"/>
        </w:rPr>
        <w:t> </w:t>
      </w:r>
      <w:r>
        <w:rPr>
          <w:noProof/>
          <w:sz w:val="24"/>
          <w:lang w:val="ru-RU"/>
        </w:rPr>
        <w:t>1/2019</w:t>
      </w:r>
      <w:r>
        <w:rPr>
          <w:rStyle w:val="FootnoteReference"/>
          <w:noProof/>
        </w:rPr>
        <w:footnoteReference w:id="12"/>
      </w:r>
      <w:r>
        <w:rPr>
          <w:noProof/>
          <w:sz w:val="24"/>
          <w:lang w:val="ru-RU"/>
        </w:rPr>
        <w:t>, с някои значителни увеличения на бюджетните кредити за поети задължения за основните програми, които допринасят за растежа и създаването на работни места (като например „Еразъм +“ и инициативата за младежка заетост) и с известни намаления и преразпределяне на средства, особено по функция 4, след четенията на Съвета и Европейския парламент на първоначалния проектобюджет. Предлага се целево увеличение на програмата „Хоризонт 2020“ чрез прилагането на член</w:t>
      </w:r>
      <w:r>
        <w:rPr>
          <w:noProof/>
          <w:sz w:val="24"/>
        </w:rPr>
        <w:t> </w:t>
      </w:r>
      <w:r>
        <w:rPr>
          <w:noProof/>
          <w:sz w:val="24"/>
          <w:lang w:val="ru-RU"/>
        </w:rPr>
        <w:t>15, параграф 3 от Финансовия регламент. Общото равнище на плащанията, вследствие на промените в поетите задължения и също така на ребалансиращия ефект на известно предварително предоставяне на средства през 2018</w:t>
      </w:r>
      <w:r>
        <w:rPr>
          <w:noProof/>
          <w:sz w:val="24"/>
        </w:rPr>
        <w:t> </w:t>
      </w:r>
      <w:r>
        <w:rPr>
          <w:noProof/>
          <w:sz w:val="24"/>
          <w:lang w:val="ru-RU"/>
        </w:rPr>
        <w:t>г., е по-ниско в сравнение с писмо за внасяне на корекции №</w:t>
      </w:r>
      <w:r>
        <w:rPr>
          <w:noProof/>
          <w:sz w:val="24"/>
        </w:rPr>
        <w:t> </w:t>
      </w:r>
      <w:r>
        <w:rPr>
          <w:noProof/>
          <w:sz w:val="24"/>
          <w:lang w:val="ru-RU"/>
        </w:rPr>
        <w:t>1/2019.</w:t>
      </w:r>
    </w:p>
    <w:p>
      <w:pPr>
        <w:pStyle w:val="ManualHeading1"/>
        <w:rPr>
          <w:noProof/>
        </w:rPr>
      </w:pPr>
      <w:r>
        <w:rPr>
          <w:noProof/>
        </w:rPr>
        <w:br w:type="page"/>
      </w:r>
      <w:bookmarkStart w:id="11" w:name="_Toc530674094"/>
      <w:bookmarkStart w:id="12" w:name="_Toc531253440"/>
      <w:r>
        <w:t>2.</w:t>
      </w:r>
      <w:r>
        <w:tab/>
      </w:r>
      <w:r>
        <w:rPr>
          <w:noProof/>
        </w:rPr>
        <w:t>Многогодишната финансова рамка и вторият проектобюджет за 2019 г.</w:t>
      </w:r>
      <w:bookmarkEnd w:id="8"/>
      <w:bookmarkEnd w:id="9"/>
      <w:bookmarkEnd w:id="11"/>
      <w:bookmarkEnd w:id="12"/>
    </w:p>
    <w:p>
      <w:pPr>
        <w:pStyle w:val="ManualHeading2"/>
        <w:rPr>
          <w:noProof/>
        </w:rPr>
      </w:pPr>
      <w:bookmarkStart w:id="13" w:name="_Toc322520753"/>
      <w:bookmarkStart w:id="14" w:name="_Toc323061077"/>
      <w:bookmarkStart w:id="15" w:name="_Toc530674095"/>
      <w:bookmarkStart w:id="16" w:name="_Toc531253441"/>
      <w:r>
        <w:t>2.1.</w:t>
      </w:r>
      <w:r>
        <w:tab/>
      </w:r>
      <w:r>
        <w:rPr>
          <w:noProof/>
        </w:rPr>
        <w:t>Тавани в многогодишната финансова рамка за бюджета за 2019 г.</w:t>
      </w:r>
      <w:bookmarkEnd w:id="13"/>
      <w:bookmarkEnd w:id="14"/>
      <w:bookmarkEnd w:id="15"/>
      <w:bookmarkEnd w:id="16"/>
    </w:p>
    <w:p>
      <w:pPr>
        <w:rPr>
          <w:noProof/>
          <w:lang w:val="ru-RU"/>
        </w:rPr>
      </w:pPr>
      <w:bookmarkStart w:id="17" w:name="_Toc278112518"/>
      <w:bookmarkEnd w:id="10"/>
      <w:r>
        <w:rPr>
          <w:noProof/>
          <w:lang w:val="ru-RU"/>
        </w:rPr>
        <w:t>В таблицата по-долу са представени използваните при съставянето на втория проектобюджет за 2019</w:t>
      </w:r>
      <w:r>
        <w:rPr>
          <w:noProof/>
        </w:rPr>
        <w:t> </w:t>
      </w:r>
      <w:r>
        <w:rPr>
          <w:noProof/>
          <w:lang w:val="ru-RU"/>
        </w:rPr>
        <w:t>г. тавани за бюджетните кредити за поети задължения и за плащания в многогодишната финансова рамка (МФР)</w:t>
      </w:r>
      <w:r>
        <w:rPr>
          <w:rStyle w:val="FootnoteReference"/>
          <w:noProof/>
        </w:rPr>
        <w:footnoteReference w:id="13"/>
      </w:r>
      <w:r>
        <w:rPr>
          <w:noProof/>
          <w:lang w:val="ru-RU"/>
        </w:rPr>
        <w:t>:</w:t>
      </w:r>
    </w:p>
    <w:tbl>
      <w:tblPr>
        <w:tblW w:w="0" w:type="auto"/>
        <w:jc w:val="center"/>
        <w:tblLayout w:type="fixed"/>
        <w:tblCellMar>
          <w:left w:w="40" w:type="dxa"/>
          <w:right w:w="40" w:type="dxa"/>
        </w:tblCellMar>
        <w:tblLook w:val="0000" w:firstRow="0" w:lastRow="0" w:firstColumn="0" w:lastColumn="0" w:noHBand="0" w:noVBand="0"/>
      </w:tblPr>
      <w:tblGrid>
        <w:gridCol w:w="324"/>
        <w:gridCol w:w="5063"/>
        <w:gridCol w:w="1956"/>
      </w:tblGrid>
      <w:tr>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spacing w:before="30" w:after="30"/>
              <w:rPr>
                <w:noProof/>
                <w:sz w:val="16"/>
                <w:szCs w:val="16"/>
              </w:rPr>
            </w:pPr>
            <w:r>
              <w:rPr>
                <w:b/>
                <w:noProof/>
                <w:sz w:val="16"/>
              </w:rPr>
              <w:t>Функция</w:t>
            </w:r>
          </w:p>
        </w:tc>
        <w:tc>
          <w:tcPr>
            <w:tcW w:w="1956" w:type="dxa"/>
            <w:tcBorders>
              <w:top w:val="single" w:sz="4" w:space="0" w:color="auto"/>
              <w:left w:val="nil"/>
              <w:bottom w:val="single" w:sz="4" w:space="0" w:color="auto"/>
              <w:right w:val="single" w:sz="4" w:space="0" w:color="auto"/>
            </w:tcBorders>
            <w:shd w:val="clear" w:color="auto" w:fill="E0E0E0"/>
            <w:vAlign w:val="center"/>
          </w:tcPr>
          <w:p>
            <w:pPr>
              <w:pStyle w:val="NormalCentered"/>
              <w:spacing w:before="30" w:after="30"/>
              <w:rPr>
                <w:noProof/>
                <w:sz w:val="16"/>
                <w:szCs w:val="16"/>
                <w:lang w:val="ru-RU"/>
              </w:rPr>
            </w:pPr>
            <w:r>
              <w:rPr>
                <w:b/>
                <w:noProof/>
                <w:sz w:val="16"/>
                <w:lang w:val="ru-RU"/>
              </w:rPr>
              <w:t>Тавани в МФР за 2019</w:t>
            </w:r>
            <w:r>
              <w:rPr>
                <w:b/>
                <w:noProof/>
                <w:sz w:val="16"/>
              </w:rPr>
              <w:t> </w:t>
            </w:r>
            <w:r>
              <w:rPr>
                <w:b/>
                <w:noProof/>
                <w:sz w:val="16"/>
                <w:lang w:val="ru-RU"/>
              </w:rPr>
              <w:t>г.</w:t>
            </w:r>
          </w:p>
          <w:p>
            <w:pPr>
              <w:pStyle w:val="NormalCentered"/>
              <w:spacing w:before="30" w:after="30"/>
              <w:rPr>
                <w:noProof/>
                <w:sz w:val="16"/>
                <w:szCs w:val="16"/>
                <w:lang w:val="ru-RU"/>
              </w:rPr>
            </w:pPr>
            <w:r>
              <w:rPr>
                <w:b/>
                <w:noProof/>
                <w:sz w:val="16"/>
                <w:lang w:val="ru-RU"/>
              </w:rPr>
              <w:t>в милиони евро по текущи цени</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lang w:val="ru-RU"/>
              </w:rPr>
            </w:pPr>
          </w:p>
        </w:tc>
        <w:tc>
          <w:tcPr>
            <w:tcW w:w="5063" w:type="dxa"/>
            <w:tcBorders>
              <w:top w:val="nil"/>
              <w:left w:val="nil"/>
              <w:bottom w:val="dotted" w:sz="2" w:space="0" w:color="auto"/>
              <w:right w:val="single" w:sz="4" w:space="0" w:color="auto"/>
            </w:tcBorders>
          </w:tcPr>
          <w:p>
            <w:pPr>
              <w:spacing w:before="30" w:after="30"/>
              <w:rPr>
                <w:noProof/>
                <w:sz w:val="16"/>
                <w:szCs w:val="16"/>
                <w:lang w:val="ru-RU"/>
              </w:rPr>
            </w:pPr>
            <w:r>
              <w:rPr>
                <w:b/>
                <w:noProof/>
                <w:sz w:val="16"/>
                <w:lang w:val="ru-RU"/>
              </w:rPr>
              <w:t>Бюджетни кредити за поети задължения</w:t>
            </w:r>
          </w:p>
        </w:tc>
        <w:tc>
          <w:tcPr>
            <w:tcW w:w="1956" w:type="dxa"/>
            <w:tcBorders>
              <w:top w:val="nil"/>
              <w:left w:val="nil"/>
              <w:bottom w:val="dotted" w:sz="2" w:space="0" w:color="auto"/>
              <w:right w:val="single" w:sz="4" w:space="0" w:color="auto"/>
            </w:tcBorders>
          </w:tcPr>
          <w:p>
            <w:pPr>
              <w:spacing w:before="30" w:after="30"/>
              <w:rPr>
                <w:noProof/>
                <w:sz w:val="16"/>
                <w:szCs w:val="16"/>
                <w:lang w:val="ru-RU"/>
              </w:rPr>
            </w:pP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1.</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Интелигентен и приобщаващ растеж</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79 924,0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 xml:space="preserve">1a </w:t>
            </w:r>
          </w:p>
        </w:tc>
        <w:tc>
          <w:tcPr>
            <w:tcW w:w="5063" w:type="dxa"/>
            <w:tcBorders>
              <w:top w:val="nil"/>
              <w:left w:val="nil"/>
              <w:bottom w:val="dotted" w:sz="2" w:space="0" w:color="auto"/>
              <w:right w:val="single" w:sz="4" w:space="0" w:color="auto"/>
            </w:tcBorders>
          </w:tcPr>
          <w:p>
            <w:pPr>
              <w:spacing w:before="30" w:after="30"/>
              <w:rPr>
                <w:noProof/>
                <w:sz w:val="16"/>
                <w:szCs w:val="16"/>
                <w:lang w:val="ru-RU"/>
              </w:rPr>
            </w:pPr>
            <w:r>
              <w:rPr>
                <w:noProof/>
                <w:sz w:val="16"/>
                <w:lang w:val="ru-RU"/>
              </w:rPr>
              <w:t>Конкурентоспособност за растеж и работни места</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23 082,0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noProof/>
                <w:sz w:val="16"/>
              </w:rPr>
              <w:t xml:space="preserve">1б </w:t>
            </w:r>
          </w:p>
        </w:tc>
        <w:tc>
          <w:tcPr>
            <w:tcW w:w="5063" w:type="dxa"/>
            <w:tcBorders>
              <w:top w:val="nil"/>
              <w:left w:val="nil"/>
              <w:bottom w:val="single" w:sz="4" w:space="0" w:color="auto"/>
              <w:right w:val="single" w:sz="4" w:space="0" w:color="auto"/>
            </w:tcBorders>
          </w:tcPr>
          <w:p>
            <w:pPr>
              <w:spacing w:before="30" w:after="30"/>
              <w:rPr>
                <w:noProof/>
                <w:sz w:val="16"/>
                <w:szCs w:val="16"/>
                <w:lang w:val="ru-RU"/>
              </w:rPr>
            </w:pPr>
            <w:r>
              <w:rPr>
                <w:noProof/>
                <w:sz w:val="16"/>
                <w:lang w:val="ru-RU"/>
              </w:rPr>
              <w:t>Икономическо, социално и териториално сближаване</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56 842,0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 xml:space="preserve">2.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Устойчив растеж: природни ресурси</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60 344,0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lang w:val="ru-RU"/>
              </w:rPr>
            </w:pPr>
            <w:r>
              <w:rPr>
                <w:noProof/>
                <w:sz w:val="16"/>
                <w:lang w:val="ru-RU"/>
              </w:rPr>
              <w:t>от които: Европейски фонд за гарантиране на земеделието (ЕФГЗ) — Разходи, свързани с пазара, и преки плащания</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43 881,0</w:t>
            </w:r>
          </w:p>
        </w:tc>
      </w:tr>
      <w:tr>
        <w:trPr>
          <w:jc w:val="center"/>
        </w:trPr>
        <w:tc>
          <w:tcPr>
            <w:tcW w:w="324" w:type="dxa"/>
            <w:tcBorders>
              <w:top w:val="nil"/>
              <w:left w:val="single" w:sz="4" w:space="0" w:color="auto"/>
              <w:bottom w:val="dotted" w:sz="2" w:space="0" w:color="auto"/>
              <w:right w:val="nil"/>
            </w:tcBorders>
          </w:tcPr>
          <w:p>
            <w:pPr>
              <w:spacing w:before="30" w:after="30"/>
              <w:rPr>
                <w:noProof/>
                <w:sz w:val="16"/>
                <w:szCs w:val="16"/>
              </w:rPr>
            </w:pPr>
            <w:r>
              <w:rPr>
                <w:b/>
                <w:noProof/>
                <w:sz w:val="16"/>
              </w:rPr>
              <w:t xml:space="preserve">3. </w:t>
            </w:r>
          </w:p>
        </w:tc>
        <w:tc>
          <w:tcPr>
            <w:tcW w:w="5063" w:type="dxa"/>
            <w:tcBorders>
              <w:top w:val="nil"/>
              <w:left w:val="nil"/>
              <w:bottom w:val="dotted" w:sz="2" w:space="0" w:color="auto"/>
              <w:right w:val="single" w:sz="4" w:space="0" w:color="auto"/>
            </w:tcBorders>
          </w:tcPr>
          <w:p>
            <w:pPr>
              <w:spacing w:before="30" w:after="30"/>
              <w:rPr>
                <w:noProof/>
                <w:sz w:val="16"/>
                <w:szCs w:val="16"/>
              </w:rPr>
            </w:pPr>
            <w:r>
              <w:rPr>
                <w:b/>
                <w:noProof/>
                <w:sz w:val="16"/>
              </w:rPr>
              <w:t>Сигурност и гражданство</w:t>
            </w:r>
          </w:p>
        </w:tc>
        <w:tc>
          <w:tcPr>
            <w:tcW w:w="1956" w:type="dxa"/>
            <w:tcBorders>
              <w:top w:val="nil"/>
              <w:left w:val="nil"/>
              <w:bottom w:val="dotted" w:sz="2" w:space="0" w:color="auto"/>
              <w:right w:val="single" w:sz="4" w:space="0" w:color="auto"/>
            </w:tcBorders>
          </w:tcPr>
          <w:p>
            <w:pPr>
              <w:pStyle w:val="NormalRight"/>
              <w:spacing w:before="30" w:after="30"/>
              <w:rPr>
                <w:noProof/>
                <w:sz w:val="16"/>
                <w:szCs w:val="16"/>
              </w:rPr>
            </w:pPr>
            <w:r>
              <w:rPr>
                <w:b/>
                <w:noProof/>
                <w:sz w:val="16"/>
              </w:rPr>
              <w:t>2 801,0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4.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Глобална Европа</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10 268,0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5.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Администрация</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10 786,0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p>
        </w:tc>
        <w:tc>
          <w:tcPr>
            <w:tcW w:w="5063" w:type="dxa"/>
            <w:tcBorders>
              <w:top w:val="nil"/>
              <w:left w:val="nil"/>
              <w:bottom w:val="single" w:sz="4" w:space="0" w:color="auto"/>
              <w:right w:val="single" w:sz="4" w:space="0" w:color="auto"/>
            </w:tcBorders>
          </w:tcPr>
          <w:p>
            <w:pPr>
              <w:spacing w:before="30" w:after="30"/>
              <w:rPr>
                <w:noProof/>
                <w:sz w:val="16"/>
                <w:szCs w:val="16"/>
                <w:lang w:val="ru-RU"/>
              </w:rPr>
            </w:pPr>
            <w:r>
              <w:rPr>
                <w:noProof/>
                <w:sz w:val="16"/>
                <w:lang w:val="ru-RU"/>
              </w:rPr>
              <w:t>от които: административни разходи на институциите</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noProof/>
                <w:sz w:val="16"/>
              </w:rPr>
              <w:t>8 700,0</w:t>
            </w:r>
          </w:p>
        </w:tc>
      </w:tr>
      <w:tr>
        <w:trPr>
          <w:jc w:val="center"/>
        </w:trPr>
        <w:tc>
          <w:tcPr>
            <w:tcW w:w="324" w:type="dxa"/>
            <w:tcBorders>
              <w:top w:val="nil"/>
              <w:left w:val="single" w:sz="4" w:space="0" w:color="auto"/>
              <w:bottom w:val="single" w:sz="4" w:space="0" w:color="auto"/>
              <w:right w:val="nil"/>
            </w:tcBorders>
          </w:tcPr>
          <w:p>
            <w:pPr>
              <w:spacing w:before="30" w:after="30"/>
              <w:rPr>
                <w:noProof/>
                <w:sz w:val="16"/>
                <w:szCs w:val="16"/>
              </w:rPr>
            </w:pPr>
            <w:r>
              <w:rPr>
                <w:b/>
                <w:noProof/>
                <w:sz w:val="16"/>
              </w:rPr>
              <w:t xml:space="preserve">6. </w:t>
            </w:r>
          </w:p>
        </w:tc>
        <w:tc>
          <w:tcPr>
            <w:tcW w:w="5063" w:type="dxa"/>
            <w:tcBorders>
              <w:top w:val="nil"/>
              <w:left w:val="nil"/>
              <w:bottom w:val="single" w:sz="4" w:space="0" w:color="auto"/>
              <w:right w:val="single" w:sz="4" w:space="0" w:color="auto"/>
            </w:tcBorders>
          </w:tcPr>
          <w:p>
            <w:pPr>
              <w:spacing w:before="30" w:after="30"/>
              <w:rPr>
                <w:noProof/>
                <w:sz w:val="16"/>
                <w:szCs w:val="16"/>
              </w:rPr>
            </w:pPr>
            <w:r>
              <w:rPr>
                <w:b/>
                <w:noProof/>
                <w:sz w:val="16"/>
              </w:rPr>
              <w:t>Компенсации</w:t>
            </w:r>
          </w:p>
        </w:tc>
        <w:tc>
          <w:tcPr>
            <w:tcW w:w="1956" w:type="dxa"/>
            <w:tcBorders>
              <w:top w:val="nil"/>
              <w:left w:val="nil"/>
              <w:bottom w:val="single" w:sz="4" w:space="0" w:color="auto"/>
              <w:right w:val="single" w:sz="4" w:space="0" w:color="auto"/>
            </w:tcBorders>
          </w:tcPr>
          <w:p>
            <w:pPr>
              <w:pStyle w:val="NormalRight"/>
              <w:spacing w:before="30" w:after="30"/>
              <w:rPr>
                <w:noProof/>
                <w:sz w:val="16"/>
                <w:szCs w:val="16"/>
              </w:rPr>
            </w:pPr>
            <w:r>
              <w:rPr>
                <w:b/>
                <w:noProof/>
                <w:sz w:val="16"/>
              </w:rPr>
              <w:t>0,0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ОБЩО ПОЕТИ ЗАДЪЛЖЕНИЯ</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164 123,0</w:t>
            </w:r>
          </w:p>
        </w:tc>
      </w:tr>
      <w:tr>
        <w:trPr>
          <w:jc w:val="center"/>
        </w:trPr>
        <w:tc>
          <w:tcPr>
            <w:tcW w:w="324" w:type="dxa"/>
            <w:tcBorders>
              <w:top w:val="nil"/>
              <w:left w:val="single" w:sz="4" w:space="0" w:color="auto"/>
              <w:bottom w:val="single" w:sz="4" w:space="0" w:color="auto"/>
              <w:right w:val="nil"/>
            </w:tcBorders>
            <w:shd w:val="clear" w:color="auto" w:fill="E0E0E0"/>
          </w:tcPr>
          <w:p>
            <w:pPr>
              <w:spacing w:before="30" w:after="30"/>
              <w:rPr>
                <w:noProof/>
                <w:sz w:val="16"/>
                <w:szCs w:val="16"/>
              </w:rPr>
            </w:pPr>
          </w:p>
        </w:tc>
        <w:tc>
          <w:tcPr>
            <w:tcW w:w="5063"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ОБЩО ПЛАЩАНИЯ</w:t>
            </w:r>
          </w:p>
        </w:tc>
        <w:tc>
          <w:tcPr>
            <w:tcW w:w="1956" w:type="dxa"/>
            <w:tcBorders>
              <w:top w:val="nil"/>
              <w:left w:val="nil"/>
              <w:bottom w:val="single" w:sz="4" w:space="0" w:color="auto"/>
              <w:right w:val="single" w:sz="4" w:space="0" w:color="auto"/>
            </w:tcBorders>
            <w:shd w:val="clear" w:color="auto" w:fill="E0E0E0"/>
          </w:tcPr>
          <w:p>
            <w:pPr>
              <w:pStyle w:val="NormalRight"/>
              <w:spacing w:before="30" w:after="30"/>
              <w:rPr>
                <w:noProof/>
                <w:sz w:val="16"/>
                <w:szCs w:val="16"/>
              </w:rPr>
            </w:pPr>
            <w:r>
              <w:rPr>
                <w:b/>
                <w:noProof/>
                <w:sz w:val="16"/>
              </w:rPr>
              <w:t>166 709,0</w:t>
            </w:r>
          </w:p>
        </w:tc>
      </w:tr>
    </w:tbl>
    <w:p>
      <w:pPr>
        <w:spacing w:before="240"/>
        <w:rPr>
          <w:noProof/>
          <w:lang w:val="ru-RU"/>
        </w:rPr>
      </w:pPr>
      <w:r>
        <w:rPr>
          <w:noProof/>
          <w:lang w:val="ru-RU"/>
        </w:rPr>
        <w:t>В МФР общият таван за бюджетните кредити за поети задължения (БКПЗ) е определен на 164 123 милиона евро, което представлява 1,00</w:t>
      </w:r>
      <w:r>
        <w:rPr>
          <w:noProof/>
        </w:rPr>
        <w:t> </w:t>
      </w:r>
      <w:r>
        <w:rPr>
          <w:noProof/>
          <w:lang w:val="ru-RU"/>
        </w:rPr>
        <w:t>% от брутния национален доход (БНД) на ЕС. Таванът за бюджетните кредити за плащания е 166 709</w:t>
      </w:r>
      <w:r>
        <w:rPr>
          <w:noProof/>
        </w:rPr>
        <w:t> </w:t>
      </w:r>
      <w:r>
        <w:rPr>
          <w:noProof/>
          <w:lang w:val="ru-RU"/>
        </w:rPr>
        <w:t>милиона</w:t>
      </w:r>
      <w:r>
        <w:rPr>
          <w:noProof/>
        </w:rPr>
        <w:t> </w:t>
      </w:r>
      <w:r>
        <w:rPr>
          <w:noProof/>
          <w:lang w:val="ru-RU"/>
        </w:rPr>
        <w:t>евро, или 1,01</w:t>
      </w:r>
      <w:r>
        <w:rPr>
          <w:noProof/>
        </w:rPr>
        <w:t> </w:t>
      </w:r>
      <w:r>
        <w:rPr>
          <w:noProof/>
          <w:lang w:val="ru-RU"/>
        </w:rPr>
        <w:t>% от БНД.</w:t>
      </w:r>
    </w:p>
    <w:p>
      <w:pPr>
        <w:pStyle w:val="ManualHeading2"/>
        <w:rPr>
          <w:noProof/>
        </w:rPr>
      </w:pPr>
      <w:bookmarkStart w:id="18" w:name="_Toc530674096"/>
      <w:bookmarkStart w:id="19" w:name="_Toc531253442"/>
      <w:r>
        <w:t>2.2.</w:t>
      </w:r>
      <w:r>
        <w:tab/>
      </w:r>
      <w:r>
        <w:rPr>
          <w:noProof/>
        </w:rPr>
        <w:t>Общ преглед на втория проектобюджет</w:t>
      </w:r>
      <w:bookmarkEnd w:id="17"/>
      <w:r>
        <w:rPr>
          <w:noProof/>
        </w:rPr>
        <w:t xml:space="preserve"> за 2019 г.</w:t>
      </w:r>
      <w:bookmarkEnd w:id="18"/>
      <w:bookmarkEnd w:id="19"/>
    </w:p>
    <w:tbl>
      <w:tblPr>
        <w:tblW w:w="10560" w:type="dxa"/>
        <w:tblInd w:w="108" w:type="dxa"/>
        <w:tblLook w:val="04A0" w:firstRow="1" w:lastRow="0" w:firstColumn="1" w:lastColumn="0" w:noHBand="0" w:noVBand="1"/>
      </w:tblPr>
      <w:tblGrid>
        <w:gridCol w:w="403"/>
        <w:gridCol w:w="2866"/>
        <w:gridCol w:w="980"/>
        <w:gridCol w:w="980"/>
        <w:gridCol w:w="980"/>
        <w:gridCol w:w="980"/>
        <w:gridCol w:w="972"/>
        <w:gridCol w:w="879"/>
        <w:gridCol w:w="760"/>
        <w:gridCol w:w="760"/>
      </w:tblGrid>
      <w:tr>
        <w:trPr>
          <w:trHeight w:val="255"/>
          <w:tblHeader/>
        </w:trPr>
        <w:tc>
          <w:tcPr>
            <w:tcW w:w="10560" w:type="dxa"/>
            <w:gridSpan w:val="10"/>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sz w:val="20"/>
                <w:szCs w:val="20"/>
                <w:lang w:val="ru-RU"/>
              </w:rPr>
            </w:pPr>
            <w:r>
              <w:rPr>
                <w:i/>
                <w:noProof/>
                <w:sz w:val="20"/>
                <w:lang w:val="ru-RU"/>
              </w:rPr>
              <w:t>(бюджетни кредити за поети задължения (БКПЗ) и бюджетни кредити за плащания (БКП) в милиони евро, закръглени стойности по текущи цени)</w:t>
            </w:r>
          </w:p>
        </w:tc>
      </w:tr>
      <w:tr>
        <w:trPr>
          <w:trHeight w:val="210"/>
          <w:tblHeader/>
        </w:trPr>
        <w:tc>
          <w:tcPr>
            <w:tcW w:w="31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Функция</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Бюджет</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Втори проектобюджет</w:t>
            </w:r>
          </w:p>
        </w:tc>
        <w:tc>
          <w:tcPr>
            <w:tcW w:w="196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Разлика</w:t>
            </w:r>
          </w:p>
        </w:tc>
        <w:tc>
          <w:tcPr>
            <w:tcW w:w="1520"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Разлика</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2018 г.</w:t>
            </w:r>
            <w:r>
              <w:rPr>
                <w:noProof/>
                <w:sz w:val="16"/>
                <w:vertAlign w:val="superscript"/>
              </w:rPr>
              <w:t>(1)</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w:t>
            </w:r>
          </w:p>
        </w:tc>
        <w:tc>
          <w:tcPr>
            <w:tcW w:w="196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 – 2018 г.</w:t>
            </w:r>
          </w:p>
        </w:tc>
        <w:tc>
          <w:tcPr>
            <w:tcW w:w="152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 – 2018 г.</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(1)</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w:t>
            </w:r>
          </w:p>
        </w:tc>
        <w:tc>
          <w:tcPr>
            <w:tcW w:w="196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c>
          <w:tcPr>
            <w:tcW w:w="1520"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r>
      <w:tr>
        <w:trPr>
          <w:trHeight w:val="210"/>
          <w:tblHeader/>
        </w:trPr>
        <w:tc>
          <w:tcPr>
            <w:tcW w:w="316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eastAsia="Times New Roman"/>
                <w:b/>
                <w:bCs/>
                <w:noProof/>
                <w:sz w:val="16"/>
                <w:szCs w:val="16"/>
              </w:rPr>
            </w:pP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98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7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r>
      <w:tr>
        <w:trPr>
          <w:trHeight w:val="240"/>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1.</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Интелигентен и приобщаващ растеж</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77 531,8</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66 622,6</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80 337,4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67 556,9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2 805,7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934,4</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3,6%</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1 111,8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413,4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76 420,0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79 924,0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rPr>
            </w:pPr>
            <w:r>
              <w:rPr>
                <w:noProof/>
                <w:sz w:val="15"/>
              </w:rPr>
              <w:t>1a</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lang w:val="ru-RU"/>
              </w:rPr>
            </w:pPr>
            <w:r>
              <w:rPr>
                <w:noProof/>
                <w:sz w:val="15"/>
                <w:lang w:val="ru-RU"/>
              </w:rPr>
              <w:t>Конкурентоспособност за растеж и работни места</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21 999,6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20 095,3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23 145,4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20 521,5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1 145,9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426,3</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по Инструмента за гъвкавост</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lang w:val="ru-RU"/>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lang w:val="ru-RU"/>
              </w:rPr>
              <w:t xml:space="preserve"> </w:t>
            </w:r>
            <w:r>
              <w:rPr>
                <w:i/>
                <w:noProof/>
                <w:sz w:val="16"/>
              </w:rPr>
              <w:t>760,6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63,4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21 239,0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23 082,0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5"/>
                <w:szCs w:val="15"/>
              </w:rPr>
            </w:pPr>
            <w:r>
              <w:rPr>
                <w:noProof/>
                <w:sz w:val="15"/>
              </w:rPr>
              <w:t xml:space="preserve">1б </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Икономическо, социално и териториално сближаване</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55 532,2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46 527,3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57 192,0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47 035,4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1 659,8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508,1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3,0%</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1,1%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lang w:val="ru-RU"/>
              </w:rPr>
              <w:t xml:space="preserve"> </w:t>
            </w:r>
            <w:r>
              <w:rPr>
                <w:i/>
                <w:noProof/>
                <w:sz w:val="16"/>
              </w:rPr>
              <w:t>351,2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350,0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55 181,0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56 842,0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2.</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Устойчив растеж: природни ресурси</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59 238,6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56 041,0</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59 642,1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57 399,9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403,5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1 358,9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0,7%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2,4%</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60 267,0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60 344,0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1 028,4</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701,9</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75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От които: Европейски фонд за гарантиране на земеделието (ЕФГЗ) — Разходи, свързани с пазара, и преки плащания</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43 233,1</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43 187,3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43 191,9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43 116,4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- 41,2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- 70,9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-0,1%</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-0,2%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Подтаван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44 163,0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43 881,0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3.</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Сигурност и гражданство</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3 493,2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2 980,7</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3 786,6</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3 527,4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293,4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546,7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18,3%</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по Инструмента за гъвкавост</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lang w:val="ru-RU"/>
              </w:rPr>
              <w:t xml:space="preserve"> </w:t>
            </w:r>
            <w:r>
              <w:rPr>
                <w:i/>
                <w:noProof/>
                <w:sz w:val="16"/>
              </w:rPr>
              <w:t>837,2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985,6</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2 656,0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2 801,0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4.</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Глобална Европа</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10 068,8</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8 906,1</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11 319,3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9 358,3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1 250,4</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452,2</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12,4%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5,1%</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lang w:val="ru-RU"/>
              </w:rPr>
              <w:t xml:space="preserve"> </w:t>
            </w:r>
            <w:r>
              <w:rPr>
                <w:i/>
                <w:noProof/>
                <w:sz w:val="16"/>
              </w:rPr>
              <w:t>243,8</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1 051,3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9 825,0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10 268,0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b/>
                <w:bCs/>
                <w:noProof/>
                <w:sz w:val="15"/>
                <w:szCs w:val="15"/>
              </w:rPr>
            </w:pPr>
            <w:r>
              <w:rPr>
                <w:b/>
                <w:noProof/>
                <w:sz w:val="15"/>
              </w:rPr>
              <w:t>5.</w:t>
            </w:r>
          </w:p>
        </w:tc>
        <w:tc>
          <w:tcPr>
            <w:tcW w:w="2880" w:type="dxa"/>
            <w:tcBorders>
              <w:top w:val="nil"/>
              <w:left w:val="nil"/>
              <w:bottom w:val="dotted" w:sz="4" w:space="0" w:color="auto"/>
              <w:right w:val="single" w:sz="4" w:space="0" w:color="auto"/>
            </w:tcBorders>
            <w:shd w:val="clear" w:color="auto" w:fill="auto"/>
            <w:vAlign w:val="center"/>
            <w:hideMark/>
          </w:tcPr>
          <w:p>
            <w:pPr>
              <w:spacing w:after="0" w:line="240" w:lineRule="auto"/>
              <w:rPr>
                <w:rFonts w:eastAsia="Times New Roman"/>
                <w:b/>
                <w:bCs/>
                <w:noProof/>
                <w:sz w:val="15"/>
                <w:szCs w:val="15"/>
              </w:rPr>
            </w:pPr>
            <w:r>
              <w:rPr>
                <w:b/>
                <w:noProof/>
                <w:sz w:val="15"/>
              </w:rPr>
              <w:t>Администрация</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9 665,5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9 666,3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9 943,0</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9 944,9</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277,5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278,6</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 xml:space="preserve">Таван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10 346,0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10 786,0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приспадане от маржа за непредвидени обстоятелства</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362,5</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589,1</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От които: административни разходи на институциите</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7 579,9</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7 580,7</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7 747,3</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7 749,2</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167,4</w:t>
            </w:r>
          </w:p>
        </w:tc>
        <w:tc>
          <w:tcPr>
            <w:tcW w:w="98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 xml:space="preserve"> 168,5</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2,2%</w:t>
            </w:r>
          </w:p>
        </w:tc>
        <w:tc>
          <w:tcPr>
            <w:tcW w:w="760" w:type="dxa"/>
            <w:tcBorders>
              <w:top w:val="single" w:sz="4" w:space="0" w:color="auto"/>
              <w:left w:val="nil"/>
              <w:bottom w:val="dotted" w:sz="4" w:space="0" w:color="auto"/>
              <w:right w:val="single" w:sz="4" w:space="0" w:color="auto"/>
            </w:tcBorders>
            <w:shd w:val="clear" w:color="auto" w:fill="auto"/>
            <w:hideMark/>
          </w:tcPr>
          <w:p>
            <w:pPr>
              <w:spacing w:after="0" w:line="240" w:lineRule="auto"/>
              <w:jc w:val="right"/>
              <w:rPr>
                <w:rFonts w:eastAsia="Times New Roman"/>
                <w:noProof/>
                <w:sz w:val="16"/>
                <w:szCs w:val="16"/>
              </w:rPr>
            </w:pPr>
            <w:r>
              <w:rPr>
                <w:noProof/>
                <w:sz w:val="16"/>
              </w:rPr>
              <w:t>2,2%</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Подтаван</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8 360,0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8 700,0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приспадане от маржа за непредвидени обстоятелства</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- 318,0</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- 253,9</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dotted"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Подмарж</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462,1</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xml:space="preserve"> 698,8</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98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c>
          <w:tcPr>
            <w:tcW w:w="760" w:type="dxa"/>
            <w:tcBorders>
              <w:top w:val="nil"/>
              <w:left w:val="nil"/>
              <w:bottom w:val="single" w:sz="4" w:space="0" w:color="auto"/>
              <w:right w:val="single" w:sz="4" w:space="0" w:color="auto"/>
            </w:tcBorders>
            <w:shd w:val="clear" w:color="auto" w:fill="auto"/>
            <w:hideMark/>
          </w:tcPr>
          <w:p>
            <w:pPr>
              <w:spacing w:after="0" w:line="240" w:lineRule="auto"/>
              <w:rPr>
                <w:rFonts w:eastAsia="Times New Roman"/>
                <w:i/>
                <w:iCs/>
                <w:noProof/>
                <w:sz w:val="16"/>
                <w:szCs w:val="16"/>
              </w:rPr>
            </w:pPr>
            <w:r>
              <w:rPr>
                <w:i/>
                <w:noProof/>
                <w:sz w:val="16"/>
              </w:rPr>
              <w:t> </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Бюджетни кредити за функции 1—6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159 998,0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144 216,7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165 028,4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147 787,4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5 030,4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3 570,8</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2,5%</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по Инструмента за гъвкавост</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lang w:val="ru-RU"/>
              </w:rPr>
              <w:t xml:space="preserve"> </w:t>
            </w:r>
            <w:r>
              <w:rPr>
                <w:b/>
                <w:i/>
                <w:noProof/>
                <w:sz w:val="16"/>
              </w:rPr>
              <w:t>837,2</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678,3</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985,6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xml:space="preserve"> 909,8</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в общия марж за поетите задължения</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1 355,6</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1 464,7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по маржа за непредвидени обстоятелства</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lang w:val="ru-RU"/>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Таван</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159 514,0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154 565,0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164 123,0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166 709,0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приспадане от маржа за непредвидени обстоятелства</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- 318,0</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- 253,9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Марж</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1 390,9</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11 026,7</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1 291,1</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19 831,4</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98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c>
          <w:tcPr>
            <w:tcW w:w="760" w:type="dxa"/>
            <w:tcBorders>
              <w:top w:val="nil"/>
              <w:left w:val="nil"/>
              <w:bottom w:val="dotted" w:sz="4" w:space="0" w:color="auto"/>
              <w:right w:val="single" w:sz="4" w:space="0" w:color="auto"/>
            </w:tcBorders>
            <w:shd w:val="clear" w:color="000000" w:fill="D9D9D9"/>
            <w:hideMark/>
          </w:tcPr>
          <w:p>
            <w:pPr>
              <w:spacing w:after="0" w:line="240" w:lineRule="auto"/>
              <w:jc w:val="right"/>
              <w:rPr>
                <w:rFonts w:eastAsia="Times New Roman"/>
                <w:b/>
                <w:bCs/>
                <w:i/>
                <w:iCs/>
                <w:noProof/>
                <w:sz w:val="16"/>
                <w:szCs w:val="16"/>
              </w:rPr>
            </w:pPr>
            <w:r>
              <w:rPr>
                <w:b/>
                <w:i/>
                <w:noProof/>
                <w:sz w:val="16"/>
              </w:rPr>
              <w:t> </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ru-RU"/>
              </w:rPr>
            </w:pPr>
            <w:r>
              <w:rPr>
                <w:b/>
                <w:noProof/>
                <w:sz w:val="15"/>
                <w:lang w:val="ru-RU"/>
              </w:rPr>
              <w:t>Бюджетни кредити като % от БНД</w:t>
            </w:r>
            <w:r>
              <w:rPr>
                <w:noProof/>
                <w:lang w:val="ru-RU"/>
              </w:rPr>
              <w:t xml:space="preserve"> </w:t>
            </w:r>
            <w:r>
              <w:rPr>
                <w:noProof/>
                <w:sz w:val="15"/>
                <w:vertAlign w:val="superscript"/>
                <w:lang w:val="ru-RU"/>
              </w:rPr>
              <w:t>(2)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r>
      <w:tr>
        <w:trPr>
          <w:trHeight w:val="24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eastAsia="Times New Roman"/>
                <w:b/>
                <w:bCs/>
                <w:noProof/>
                <w:sz w:val="15"/>
                <w:szCs w:val="15"/>
              </w:rPr>
            </w:pPr>
            <w:r>
              <w:rPr>
                <w:b/>
                <w:noProof/>
                <w:sz w:val="15"/>
              </w:rPr>
              <w:t>Други специални инструменти</w:t>
            </w:r>
            <w:r>
              <w:rPr>
                <w:noProof/>
              </w:rPr>
              <w:t xml:space="preserve"> </w:t>
            </w:r>
            <w:r>
              <w:rPr>
                <w:noProof/>
                <w:sz w:val="15"/>
                <w:vertAlign w:val="superscript"/>
              </w:rPr>
              <w:t>(3)</w:t>
            </w:r>
          </w:p>
        </w:tc>
        <w:tc>
          <w:tcPr>
            <w:tcW w:w="980" w:type="dxa"/>
            <w:tcBorders>
              <w:top w:val="nil"/>
              <w:left w:val="single" w:sz="4" w:space="0" w:color="auto"/>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698,5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551,2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577,2</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xml:space="preserve"> 411,5</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- 121,3</w:t>
            </w:r>
          </w:p>
        </w:tc>
        <w:tc>
          <w:tcPr>
            <w:tcW w:w="98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- 139,7</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-17,4%</w:t>
            </w:r>
          </w:p>
        </w:tc>
        <w:tc>
          <w:tcPr>
            <w:tcW w:w="760" w:type="dxa"/>
            <w:tcBorders>
              <w:top w:val="nil"/>
              <w:left w:val="nil"/>
              <w:bottom w:val="dotted" w:sz="4" w:space="0" w:color="auto"/>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-25,3%</w:t>
            </w:r>
          </w:p>
        </w:tc>
      </w:tr>
      <w:tr>
        <w:trPr>
          <w:trHeight w:val="240"/>
        </w:trPr>
        <w:tc>
          <w:tcPr>
            <w:tcW w:w="31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Общо бюджетни кредити</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160 696,5</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144 767,9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165 605,6</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148 198,9</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4 909,2</w:t>
            </w:r>
          </w:p>
        </w:tc>
        <w:tc>
          <w:tcPr>
            <w:tcW w:w="98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3 431,0</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3,1%</w:t>
            </w:r>
          </w:p>
        </w:tc>
        <w:tc>
          <w:tcPr>
            <w:tcW w:w="760" w:type="dxa"/>
            <w:tcBorders>
              <w:top w:val="single" w:sz="4" w:space="0" w:color="auto"/>
              <w:left w:val="nil"/>
              <w:bottom w:val="dotted"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2,4%</w:t>
            </w:r>
          </w:p>
        </w:tc>
      </w:tr>
      <w:tr>
        <w:trPr>
          <w:trHeight w:val="240"/>
        </w:trPr>
        <w:tc>
          <w:tcPr>
            <w:tcW w:w="3160" w:type="dxa"/>
            <w:gridSpan w:val="2"/>
            <w:tcBorders>
              <w:top w:val="dotted" w:sz="4" w:space="0" w:color="auto"/>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ru-RU"/>
              </w:rPr>
            </w:pPr>
            <w:r>
              <w:rPr>
                <w:b/>
                <w:noProof/>
                <w:sz w:val="15"/>
                <w:lang w:val="ru-RU"/>
              </w:rPr>
              <w:t>Бюджетни кредити като % от БНД</w:t>
            </w:r>
            <w:r>
              <w:rPr>
                <w:noProof/>
                <w:lang w:val="ru-RU"/>
              </w:rPr>
              <w:t xml:space="preserve"> </w:t>
            </w:r>
            <w:r>
              <w:rPr>
                <w:noProof/>
                <w:sz w:val="15"/>
                <w:vertAlign w:val="superscript"/>
                <w:lang w:val="ru-RU"/>
              </w:rPr>
              <w:t>(2)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0,92%</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1,00%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0,90%</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98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c>
          <w:tcPr>
            <w:tcW w:w="760" w:type="dxa"/>
            <w:tcBorders>
              <w:top w:val="nil"/>
              <w:left w:val="nil"/>
              <w:bottom w:val="single" w:sz="4" w:space="0" w:color="auto"/>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 </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(1)</w:t>
            </w:r>
          </w:p>
        </w:tc>
        <w:tc>
          <w:tcPr>
            <w:tcW w:w="10280" w:type="dxa"/>
            <w:gridSpan w:val="9"/>
            <w:tcBorders>
              <w:top w:val="single"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lang w:val="ru-RU"/>
              </w:rPr>
            </w:pPr>
            <w:r>
              <w:rPr>
                <w:noProof/>
                <w:sz w:val="16"/>
                <w:lang w:val="ru-RU"/>
              </w:rPr>
              <w:t>Бюджетът за 2018 г. включва коригиращи бюджети 1—5 и проект на коригиращ бюджет 6.</w:t>
            </w:r>
          </w:p>
        </w:tc>
      </w:tr>
      <w:tr>
        <w:trPr>
          <w:trHeight w:val="240"/>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(2)</w:t>
            </w:r>
          </w:p>
        </w:tc>
        <w:tc>
          <w:tcPr>
            <w:tcW w:w="10280" w:type="dxa"/>
            <w:gridSpan w:val="9"/>
            <w:tcBorders>
              <w:top w:val="dotted" w:sz="4" w:space="0" w:color="auto"/>
              <w:left w:val="nil"/>
              <w:bottom w:val="dotted" w:sz="4" w:space="0" w:color="auto"/>
              <w:right w:val="nil"/>
            </w:tcBorders>
            <w:shd w:val="clear" w:color="auto" w:fill="auto"/>
            <w:vAlign w:val="center"/>
            <w:hideMark/>
          </w:tcPr>
          <w:p>
            <w:pPr>
              <w:spacing w:after="0" w:line="240" w:lineRule="auto"/>
              <w:rPr>
                <w:rFonts w:eastAsia="Times New Roman"/>
                <w:noProof/>
                <w:sz w:val="16"/>
                <w:szCs w:val="16"/>
                <w:lang w:val="ru-RU"/>
              </w:rPr>
            </w:pPr>
            <w:r>
              <w:rPr>
                <w:noProof/>
                <w:sz w:val="16"/>
                <w:lang w:val="ru-RU"/>
              </w:rPr>
              <w:t>Вторият проектобюджет за 2019</w:t>
            </w:r>
            <w:r>
              <w:rPr>
                <w:noProof/>
                <w:sz w:val="16"/>
              </w:rPr>
              <w:t> </w:t>
            </w:r>
            <w:r>
              <w:rPr>
                <w:noProof/>
                <w:sz w:val="16"/>
                <w:lang w:val="ru-RU"/>
              </w:rPr>
              <w:t>г. се основава на прогнозата за БНД, включена в техническата корекция на МФР, приета на 23 май 2018</w:t>
            </w:r>
            <w:r>
              <w:rPr>
                <w:noProof/>
                <w:sz w:val="16"/>
              </w:rPr>
              <w:t> </w:t>
            </w:r>
            <w:r>
              <w:rPr>
                <w:noProof/>
                <w:sz w:val="16"/>
                <w:lang w:val="ru-RU"/>
              </w:rPr>
              <w:t>г. (</w:t>
            </w:r>
            <w:r>
              <w:rPr>
                <w:noProof/>
                <w:sz w:val="16"/>
              </w:rPr>
              <w:t>COM</w:t>
            </w:r>
            <w:r>
              <w:rPr>
                <w:noProof/>
                <w:sz w:val="16"/>
                <w:lang w:val="ru-RU"/>
              </w:rPr>
              <w:t>(2018) 282).</w:t>
            </w:r>
          </w:p>
        </w:tc>
      </w:tr>
      <w:tr>
        <w:trPr>
          <w:trHeight w:val="240"/>
        </w:trPr>
        <w:tc>
          <w:tcPr>
            <w:tcW w:w="280" w:type="dxa"/>
            <w:tcBorders>
              <w:top w:val="nil"/>
              <w:left w:val="single" w:sz="4" w:space="0" w:color="auto"/>
              <w:bottom w:val="single" w:sz="4" w:space="0" w:color="auto"/>
              <w:right w:val="nil"/>
            </w:tcBorders>
            <w:shd w:val="clear" w:color="auto" w:fill="auto"/>
            <w:vAlign w:val="center"/>
            <w:hideMark/>
          </w:tcPr>
          <w:p>
            <w:pPr>
              <w:spacing w:after="0" w:line="240" w:lineRule="auto"/>
              <w:rPr>
                <w:rFonts w:eastAsia="Times New Roman"/>
                <w:noProof/>
                <w:sz w:val="16"/>
                <w:szCs w:val="16"/>
              </w:rPr>
            </w:pPr>
            <w:r>
              <w:rPr>
                <w:noProof/>
                <w:sz w:val="16"/>
              </w:rPr>
              <w:t>(3)</w:t>
            </w:r>
          </w:p>
        </w:tc>
        <w:tc>
          <w:tcPr>
            <w:tcW w:w="10280" w:type="dxa"/>
            <w:gridSpan w:val="9"/>
            <w:tcBorders>
              <w:top w:val="dotted" w:sz="4" w:space="0" w:color="auto"/>
              <w:left w:val="nil"/>
              <w:bottom w:val="single" w:sz="4" w:space="0" w:color="auto"/>
              <w:right w:val="nil"/>
            </w:tcBorders>
            <w:shd w:val="clear" w:color="auto" w:fill="auto"/>
            <w:vAlign w:val="center"/>
            <w:hideMark/>
          </w:tcPr>
          <w:p>
            <w:pPr>
              <w:spacing w:after="0" w:line="240" w:lineRule="auto"/>
              <w:rPr>
                <w:rFonts w:eastAsia="Times New Roman"/>
                <w:noProof/>
                <w:sz w:val="16"/>
                <w:szCs w:val="16"/>
                <w:lang w:val="ru-RU"/>
              </w:rPr>
            </w:pPr>
            <w:r>
              <w:rPr>
                <w:noProof/>
                <w:sz w:val="16"/>
                <w:lang w:val="ru-RU"/>
              </w:rPr>
              <w:t xml:space="preserve">„Други специални инструменти“ включва Резерва за спешна помощ (РСП), Европейския фонд за приспособяване към глобализацията (ЕФПГ) и фонд „Солидарност“ на Европейския съюз (ФСЕС). </w:t>
            </w:r>
          </w:p>
        </w:tc>
      </w:tr>
    </w:tbl>
    <w:p>
      <w:pPr>
        <w:spacing w:before="240" w:line="240" w:lineRule="auto"/>
        <w:jc w:val="both"/>
        <w:rPr>
          <w:noProof/>
          <w:lang w:val="ru-RU"/>
        </w:rPr>
      </w:pPr>
      <w:r>
        <w:rPr>
          <w:noProof/>
          <w:lang w:val="ru-RU"/>
        </w:rPr>
        <w:t xml:space="preserve">По отношение на </w:t>
      </w:r>
      <w:r>
        <w:rPr>
          <w:b/>
          <w:noProof/>
          <w:lang w:val="ru-RU"/>
        </w:rPr>
        <w:t xml:space="preserve">бюджетните кредити за </w:t>
      </w:r>
      <w:r>
        <w:rPr>
          <w:b/>
          <w:i/>
          <w:noProof/>
          <w:lang w:val="ru-RU"/>
        </w:rPr>
        <w:t>поети задължения</w:t>
      </w:r>
      <w:r>
        <w:rPr>
          <w:noProof/>
          <w:lang w:val="ru-RU"/>
        </w:rPr>
        <w:t xml:space="preserve"> (включително специалните инструменти) общите разходи, предложени в проектобюджета (ПБ) за 2019</w:t>
      </w:r>
      <w:r>
        <w:rPr>
          <w:noProof/>
        </w:rPr>
        <w:t> </w:t>
      </w:r>
      <w:r>
        <w:rPr>
          <w:noProof/>
          <w:lang w:val="ru-RU"/>
        </w:rPr>
        <w:t xml:space="preserve">г. са </w:t>
      </w:r>
      <w:r>
        <w:rPr>
          <w:b/>
          <w:noProof/>
          <w:lang w:val="ru-RU"/>
        </w:rPr>
        <w:t>165</w:t>
      </w:r>
      <w:r>
        <w:rPr>
          <w:b/>
          <w:noProof/>
        </w:rPr>
        <w:t> </w:t>
      </w:r>
      <w:r>
        <w:rPr>
          <w:b/>
          <w:noProof/>
          <w:lang w:val="ru-RU"/>
        </w:rPr>
        <w:t>605,6 милиона евро</w:t>
      </w:r>
      <w:r>
        <w:rPr>
          <w:noProof/>
          <w:lang w:val="ru-RU"/>
        </w:rPr>
        <w:t xml:space="preserve">, което представлява </w:t>
      </w:r>
      <w:r>
        <w:rPr>
          <w:b/>
          <w:noProof/>
          <w:lang w:val="ru-RU"/>
        </w:rPr>
        <w:t>1,00</w:t>
      </w:r>
      <w:r>
        <w:rPr>
          <w:b/>
          <w:noProof/>
        </w:rPr>
        <w:t> </w:t>
      </w:r>
      <w:r>
        <w:rPr>
          <w:b/>
          <w:noProof/>
          <w:lang w:val="ru-RU"/>
        </w:rPr>
        <w:t>% от БНД</w:t>
      </w:r>
      <w:r>
        <w:rPr>
          <w:noProof/>
          <w:lang w:val="ru-RU"/>
        </w:rPr>
        <w:t>, т.е. с 4</w:t>
      </w:r>
      <w:r>
        <w:rPr>
          <w:noProof/>
        </w:rPr>
        <w:t> </w:t>
      </w:r>
      <w:r>
        <w:rPr>
          <w:noProof/>
          <w:lang w:val="ru-RU"/>
        </w:rPr>
        <w:t>909,2 милиона евро повече в сравнение с 2018</w:t>
      </w:r>
      <w:r>
        <w:rPr>
          <w:noProof/>
        </w:rPr>
        <w:t> </w:t>
      </w:r>
      <w:r>
        <w:rPr>
          <w:noProof/>
          <w:lang w:val="ru-RU"/>
        </w:rPr>
        <w:t>г. (+</w:t>
      </w:r>
      <w:r>
        <w:rPr>
          <w:noProof/>
        </w:rPr>
        <w:t> </w:t>
      </w:r>
      <w:r>
        <w:rPr>
          <w:noProof/>
          <w:lang w:val="ru-RU"/>
        </w:rPr>
        <w:t>3,1</w:t>
      </w:r>
      <w:r>
        <w:rPr>
          <w:noProof/>
        </w:rPr>
        <w:t> </w:t>
      </w:r>
      <w:r>
        <w:rPr>
          <w:noProof/>
          <w:lang w:val="ru-RU"/>
        </w:rPr>
        <w:t>%), когато бъдат включени коригиращи бюджети №</w:t>
      </w:r>
      <w:r>
        <w:rPr>
          <w:noProof/>
        </w:rPr>
        <w:t> </w:t>
      </w:r>
      <w:r>
        <w:rPr>
          <w:noProof/>
          <w:lang w:val="ru-RU"/>
        </w:rPr>
        <w:t>1—5/2018 и проект на коригиращ бюджет №</w:t>
      </w:r>
      <w:r>
        <w:rPr>
          <w:noProof/>
        </w:rPr>
        <w:t> </w:t>
      </w:r>
      <w:r>
        <w:rPr>
          <w:noProof/>
          <w:lang w:val="ru-RU"/>
        </w:rPr>
        <w:t>6/2018. Общо това оставя комбиниран марж от 1</w:t>
      </w:r>
      <w:r>
        <w:rPr>
          <w:noProof/>
        </w:rPr>
        <w:t> </w:t>
      </w:r>
      <w:r>
        <w:rPr>
          <w:noProof/>
          <w:lang w:val="ru-RU"/>
        </w:rPr>
        <w:t>291,1 милиона евро под различните тавани на МФР, като се вземат предвид използването на общия марж за поетите задължения (1</w:t>
      </w:r>
      <w:r>
        <w:rPr>
          <w:noProof/>
        </w:rPr>
        <w:t> </w:t>
      </w:r>
      <w:r>
        <w:rPr>
          <w:noProof/>
          <w:lang w:val="ru-RU"/>
        </w:rPr>
        <w:t>464,7 милиона евро), мобилизирането на Инструмента за гъвкавост (985,6 милиона евро) и приспадането за използването на маржа за непредвидени обстоятелства за разходи, свързани с миграцията, мобилизирани през 2017</w:t>
      </w:r>
      <w:r>
        <w:rPr>
          <w:noProof/>
        </w:rPr>
        <w:t> </w:t>
      </w:r>
      <w:r>
        <w:rPr>
          <w:noProof/>
          <w:lang w:val="ru-RU"/>
        </w:rPr>
        <w:t>г. (253,9 милиона евро).</w:t>
      </w:r>
    </w:p>
    <w:p>
      <w:pPr>
        <w:spacing w:line="240" w:lineRule="auto"/>
        <w:jc w:val="both"/>
        <w:rPr>
          <w:noProof/>
          <w:lang w:val="ru-RU"/>
        </w:rPr>
      </w:pPr>
      <w:r>
        <w:rPr>
          <w:noProof/>
          <w:lang w:val="ru-RU"/>
        </w:rPr>
        <w:t xml:space="preserve">По отношение на </w:t>
      </w:r>
      <w:r>
        <w:rPr>
          <w:b/>
          <w:noProof/>
          <w:lang w:val="ru-RU"/>
        </w:rPr>
        <w:t>бюджетните кредити</w:t>
      </w:r>
      <w:r>
        <w:rPr>
          <w:b/>
          <w:i/>
          <w:noProof/>
          <w:lang w:val="ru-RU"/>
        </w:rPr>
        <w:t xml:space="preserve"> за плащания</w:t>
      </w:r>
      <w:r>
        <w:rPr>
          <w:noProof/>
          <w:lang w:val="ru-RU"/>
        </w:rPr>
        <w:t xml:space="preserve"> (включително специалните инструменти) исканите разходи възлизат на общо </w:t>
      </w:r>
      <w:r>
        <w:rPr>
          <w:b/>
          <w:noProof/>
          <w:lang w:val="ru-RU"/>
        </w:rPr>
        <w:t>148</w:t>
      </w:r>
      <w:r>
        <w:rPr>
          <w:b/>
          <w:noProof/>
        </w:rPr>
        <w:t> </w:t>
      </w:r>
      <w:r>
        <w:rPr>
          <w:b/>
          <w:noProof/>
          <w:lang w:val="ru-RU"/>
        </w:rPr>
        <w:t>198,9 милиона евро</w:t>
      </w:r>
      <w:r>
        <w:rPr>
          <w:noProof/>
          <w:lang w:val="ru-RU"/>
        </w:rPr>
        <w:t xml:space="preserve">, което представлява </w:t>
      </w:r>
      <w:r>
        <w:rPr>
          <w:b/>
          <w:noProof/>
          <w:lang w:val="ru-RU"/>
        </w:rPr>
        <w:t>0,90</w:t>
      </w:r>
      <w:r>
        <w:rPr>
          <w:b/>
          <w:noProof/>
        </w:rPr>
        <w:t> </w:t>
      </w:r>
      <w:r>
        <w:rPr>
          <w:b/>
          <w:noProof/>
          <w:lang w:val="ru-RU"/>
        </w:rPr>
        <w:t>% от БНД</w:t>
      </w:r>
      <w:r>
        <w:rPr>
          <w:noProof/>
          <w:lang w:val="ru-RU"/>
        </w:rPr>
        <w:t>. Това представлява увеличение от 3</w:t>
      </w:r>
      <w:r>
        <w:rPr>
          <w:noProof/>
        </w:rPr>
        <w:t> </w:t>
      </w:r>
      <w:r>
        <w:rPr>
          <w:noProof/>
          <w:lang w:val="ru-RU"/>
        </w:rPr>
        <w:t>431,0 милиона евро в сравнение с 2018 г. (+</w:t>
      </w:r>
      <w:r>
        <w:rPr>
          <w:noProof/>
        </w:rPr>
        <w:t> </w:t>
      </w:r>
      <w:r>
        <w:rPr>
          <w:noProof/>
          <w:lang w:val="ru-RU"/>
        </w:rPr>
        <w:t>2,4</w:t>
      </w:r>
      <w:r>
        <w:rPr>
          <w:noProof/>
        </w:rPr>
        <w:t> </w:t>
      </w:r>
      <w:r>
        <w:rPr>
          <w:noProof/>
          <w:lang w:val="ru-RU"/>
        </w:rPr>
        <w:t>%), включително коригиращи бюджети №</w:t>
      </w:r>
      <w:r>
        <w:rPr>
          <w:noProof/>
        </w:rPr>
        <w:t> </w:t>
      </w:r>
      <w:r>
        <w:rPr>
          <w:noProof/>
          <w:lang w:val="ru-RU"/>
        </w:rPr>
        <w:t>1—5/2018 и проект на коригиращ бюджет №</w:t>
      </w:r>
      <w:r>
        <w:rPr>
          <w:noProof/>
        </w:rPr>
        <w:t> </w:t>
      </w:r>
      <w:r>
        <w:rPr>
          <w:noProof/>
          <w:lang w:val="ru-RU"/>
        </w:rPr>
        <w:t>6/2018. Това оставя марж от 19</w:t>
      </w:r>
      <w:r>
        <w:rPr>
          <w:noProof/>
        </w:rPr>
        <w:t> </w:t>
      </w:r>
      <w:r>
        <w:rPr>
          <w:noProof/>
          <w:lang w:val="ru-RU"/>
        </w:rPr>
        <w:t>831,4 милиона евро под тавана на МФР, като се взема предвид въздействието върху бюджетните кредити за плащания през 2019</w:t>
      </w:r>
      <w:r>
        <w:rPr>
          <w:noProof/>
        </w:rPr>
        <w:t> </w:t>
      </w:r>
      <w:r>
        <w:rPr>
          <w:noProof/>
          <w:lang w:val="ru-RU"/>
        </w:rPr>
        <w:t>г. от мобилизирането на Инструмента за гъвкавост през 2016 г., 2017 г., 2018 г. и 2019 г. (909,8 милиона евро).</w:t>
      </w:r>
    </w:p>
    <w:p>
      <w:pPr>
        <w:spacing w:line="240" w:lineRule="auto"/>
        <w:jc w:val="both"/>
        <w:rPr>
          <w:noProof/>
          <w:lang w:val="ru-RU"/>
        </w:rPr>
      </w:pPr>
      <w:r>
        <w:rPr>
          <w:noProof/>
          <w:lang w:val="ru-RU"/>
        </w:rPr>
        <w:t xml:space="preserve">Бюджетните кредити за поети задължения за </w:t>
      </w:r>
      <w:r>
        <w:rPr>
          <w:b/>
          <w:noProof/>
          <w:lang w:val="ru-RU"/>
        </w:rPr>
        <w:t>Конкурентоспособност за растеж и работни места</w:t>
      </w:r>
      <w:r>
        <w:rPr>
          <w:noProof/>
          <w:lang w:val="ru-RU"/>
        </w:rPr>
        <w:t xml:space="preserve"> </w:t>
      </w:r>
      <w:r>
        <w:rPr>
          <w:b/>
          <w:noProof/>
          <w:lang w:val="ru-RU"/>
        </w:rPr>
        <w:t>(функция</w:t>
      </w:r>
      <w:r>
        <w:rPr>
          <w:b/>
          <w:noProof/>
        </w:rPr>
        <w:t> </w:t>
      </w:r>
      <w:r>
        <w:rPr>
          <w:b/>
          <w:noProof/>
          <w:lang w:val="ru-RU"/>
        </w:rPr>
        <w:t>1а)</w:t>
      </w:r>
      <w:r>
        <w:rPr>
          <w:noProof/>
          <w:lang w:val="ru-RU"/>
        </w:rPr>
        <w:t xml:space="preserve"> се определят на 23 145,5</w:t>
      </w:r>
      <w:r>
        <w:rPr>
          <w:noProof/>
        </w:rPr>
        <w:t> </w:t>
      </w:r>
      <w:r>
        <w:rPr>
          <w:noProof/>
          <w:lang w:val="ru-RU"/>
        </w:rPr>
        <w:t>милиона евро. Това представлява увеличение от 5,2</w:t>
      </w:r>
      <w:r>
        <w:rPr>
          <w:noProof/>
        </w:rPr>
        <w:t> </w:t>
      </w:r>
      <w:r>
        <w:rPr>
          <w:noProof/>
          <w:lang w:val="ru-RU"/>
        </w:rPr>
        <w:t>% в сравнение с 2018</w:t>
      </w:r>
      <w:r>
        <w:rPr>
          <w:noProof/>
        </w:rPr>
        <w:t> </w:t>
      </w:r>
      <w:r>
        <w:rPr>
          <w:noProof/>
          <w:lang w:val="ru-RU"/>
        </w:rPr>
        <w:t>г., което се отнася предимно до Механизма за свързване на Европа (МСЕ), „Хоризонт 2020“, Еразъм и Европейската програма за промишлено развитие в областта на отбраната (</w:t>
      </w:r>
      <w:r>
        <w:rPr>
          <w:noProof/>
        </w:rPr>
        <w:t>EDIDP</w:t>
      </w:r>
      <w:r>
        <w:rPr>
          <w:noProof/>
          <w:lang w:val="ru-RU"/>
        </w:rPr>
        <w:t>), което не оставя никакъв марж по тази функция и изисква използването на общия марж за поети задължения (63,4 милиона евро). Бюджетните кредити за плащания нарастват с 2,1</w:t>
      </w:r>
      <w:r>
        <w:rPr>
          <w:noProof/>
        </w:rPr>
        <w:t> </w:t>
      </w:r>
      <w:r>
        <w:rPr>
          <w:noProof/>
          <w:lang w:val="ru-RU"/>
        </w:rPr>
        <w:t>% на 20</w:t>
      </w:r>
      <w:r>
        <w:rPr>
          <w:noProof/>
        </w:rPr>
        <w:t> </w:t>
      </w:r>
      <w:r>
        <w:rPr>
          <w:noProof/>
          <w:lang w:val="ru-RU"/>
        </w:rPr>
        <w:t>521,5 милиона евро.</w:t>
      </w:r>
    </w:p>
    <w:p>
      <w:pPr>
        <w:spacing w:line="240" w:lineRule="auto"/>
        <w:jc w:val="both"/>
        <w:rPr>
          <w:noProof/>
          <w:lang w:val="ru-RU"/>
        </w:rPr>
      </w:pPr>
      <w:r>
        <w:rPr>
          <w:noProof/>
          <w:lang w:val="ru-RU"/>
        </w:rPr>
        <w:t xml:space="preserve">За </w:t>
      </w:r>
      <w:r>
        <w:rPr>
          <w:b/>
          <w:noProof/>
          <w:lang w:val="ru-RU"/>
        </w:rPr>
        <w:t>Икономическо, социално и териториално сближаване (функция 1б)</w:t>
      </w:r>
      <w:r>
        <w:rPr>
          <w:noProof/>
          <w:lang w:val="ru-RU"/>
        </w:rPr>
        <w:t xml:space="preserve"> бюджетните кредити за поети задължения нарастват с 3,0</w:t>
      </w:r>
      <w:r>
        <w:rPr>
          <w:noProof/>
        </w:rPr>
        <w:t> </w:t>
      </w:r>
      <w:r>
        <w:rPr>
          <w:noProof/>
          <w:lang w:val="ru-RU"/>
        </w:rPr>
        <w:t>% на 57</w:t>
      </w:r>
      <w:r>
        <w:rPr>
          <w:noProof/>
        </w:rPr>
        <w:t> </w:t>
      </w:r>
      <w:r>
        <w:rPr>
          <w:noProof/>
          <w:lang w:val="ru-RU"/>
        </w:rPr>
        <w:t>192,0 милиона евро, което не оставя никакъв марж под тази функция след използване на общия марж за поетите задължения с цел финансиране на инициативата за младежка заетост (350,0 милиона евро). Бюджетните кредити за плащания нарастват с 1,1</w:t>
      </w:r>
      <w:r>
        <w:rPr>
          <w:noProof/>
        </w:rPr>
        <w:t> </w:t>
      </w:r>
      <w:r>
        <w:rPr>
          <w:noProof/>
          <w:lang w:val="ru-RU"/>
        </w:rPr>
        <w:t>% на 47</w:t>
      </w:r>
      <w:r>
        <w:rPr>
          <w:noProof/>
        </w:rPr>
        <w:t> </w:t>
      </w:r>
      <w:r>
        <w:rPr>
          <w:noProof/>
          <w:lang w:val="ru-RU"/>
        </w:rPr>
        <w:t xml:space="preserve">035,4 милиона евро. </w:t>
      </w:r>
    </w:p>
    <w:p>
      <w:pPr>
        <w:spacing w:line="240" w:lineRule="auto"/>
        <w:jc w:val="both"/>
        <w:rPr>
          <w:noProof/>
          <w:lang w:val="ru-RU"/>
        </w:rPr>
      </w:pPr>
      <w:r>
        <w:rPr>
          <w:noProof/>
          <w:lang w:val="ru-RU"/>
        </w:rPr>
        <w:t xml:space="preserve">За </w:t>
      </w:r>
      <w:r>
        <w:rPr>
          <w:b/>
          <w:noProof/>
          <w:lang w:val="ru-RU"/>
        </w:rPr>
        <w:t>Устойчив растеж: природни ресурси (функция</w:t>
      </w:r>
      <w:r>
        <w:rPr>
          <w:b/>
          <w:noProof/>
        </w:rPr>
        <w:t> </w:t>
      </w:r>
      <w:r>
        <w:rPr>
          <w:b/>
          <w:noProof/>
          <w:lang w:val="ru-RU"/>
        </w:rPr>
        <w:t>2)</w:t>
      </w:r>
      <w:r>
        <w:rPr>
          <w:noProof/>
          <w:lang w:val="ru-RU"/>
        </w:rPr>
        <w:t xml:space="preserve"> предложеният размер на бюджетните кредити за поети задължения е:</w:t>
      </w:r>
      <w:r>
        <w:rPr>
          <w:b/>
          <w:noProof/>
          <w:lang w:val="ru-RU"/>
        </w:rPr>
        <w:t xml:space="preserve"> </w:t>
      </w:r>
      <w:r>
        <w:rPr>
          <w:noProof/>
          <w:lang w:val="ru-RU"/>
        </w:rPr>
        <w:t>59</w:t>
      </w:r>
      <w:r>
        <w:rPr>
          <w:noProof/>
        </w:rPr>
        <w:t> </w:t>
      </w:r>
      <w:r>
        <w:rPr>
          <w:noProof/>
          <w:lang w:val="ru-RU"/>
        </w:rPr>
        <w:t>642,1 милиона евро. Това равнище на разходите представлява увеличение от 0,7</w:t>
      </w:r>
      <w:r>
        <w:rPr>
          <w:noProof/>
        </w:rPr>
        <w:t> </w:t>
      </w:r>
      <w:r>
        <w:rPr>
          <w:noProof/>
          <w:lang w:val="ru-RU"/>
        </w:rPr>
        <w:t>% в сравнение с 2018</w:t>
      </w:r>
      <w:r>
        <w:rPr>
          <w:noProof/>
        </w:rPr>
        <w:t> </w:t>
      </w:r>
      <w:r>
        <w:rPr>
          <w:noProof/>
          <w:lang w:val="ru-RU"/>
        </w:rPr>
        <w:t>г., като оставя значителен марж от 701,9 милиона евро под тавана. Бюджетните кредити за плащания възлизат на 57</w:t>
      </w:r>
      <w:r>
        <w:rPr>
          <w:noProof/>
        </w:rPr>
        <w:t> </w:t>
      </w:r>
      <w:r>
        <w:rPr>
          <w:noProof/>
          <w:lang w:val="ru-RU"/>
        </w:rPr>
        <w:t>399,9 милиона евро, което представлява увеличение с 2,4</w:t>
      </w:r>
      <w:r>
        <w:rPr>
          <w:noProof/>
        </w:rPr>
        <w:t> </w:t>
      </w:r>
      <w:r>
        <w:rPr>
          <w:noProof/>
          <w:lang w:val="ru-RU"/>
        </w:rPr>
        <w:t>% в сравнение с 2018</w:t>
      </w:r>
      <w:r>
        <w:rPr>
          <w:noProof/>
        </w:rPr>
        <w:t> </w:t>
      </w:r>
      <w:r>
        <w:rPr>
          <w:noProof/>
          <w:lang w:val="ru-RU"/>
        </w:rPr>
        <w:t>г. С включването на най-новата информация за целевите приходи средствата за финансиране на разходите, свързани с пазара, и на преките помощи възлизат на 43</w:t>
      </w:r>
      <w:r>
        <w:rPr>
          <w:noProof/>
        </w:rPr>
        <w:t> </w:t>
      </w:r>
      <w:r>
        <w:rPr>
          <w:noProof/>
          <w:lang w:val="ru-RU"/>
        </w:rPr>
        <w:t>191,9 милиона евро бюджетни кредити за поети задължения и 43</w:t>
      </w:r>
      <w:r>
        <w:rPr>
          <w:noProof/>
        </w:rPr>
        <w:t> </w:t>
      </w:r>
      <w:r>
        <w:rPr>
          <w:noProof/>
          <w:lang w:val="ru-RU"/>
        </w:rPr>
        <w:t>116,4 милиона евро бюджетни кредити за плащания.</w:t>
      </w:r>
    </w:p>
    <w:p>
      <w:pPr>
        <w:spacing w:line="240" w:lineRule="auto"/>
        <w:jc w:val="both"/>
        <w:rPr>
          <w:noProof/>
          <w:lang w:val="ru-RU"/>
        </w:rPr>
      </w:pPr>
      <w:r>
        <w:rPr>
          <w:noProof/>
          <w:lang w:val="ru-RU"/>
        </w:rPr>
        <w:t xml:space="preserve">За </w:t>
      </w:r>
      <w:r>
        <w:rPr>
          <w:b/>
          <w:noProof/>
          <w:lang w:val="ru-RU"/>
        </w:rPr>
        <w:t>Сигурност и гражданство (функция 3)</w:t>
      </w:r>
      <w:r>
        <w:rPr>
          <w:noProof/>
          <w:lang w:val="ru-RU"/>
        </w:rPr>
        <w:t xml:space="preserve"> бюджетните кредити за поети задължения нарастват с 8,4</w:t>
      </w:r>
      <w:r>
        <w:rPr>
          <w:noProof/>
        </w:rPr>
        <w:t> </w:t>
      </w:r>
      <w:r>
        <w:rPr>
          <w:noProof/>
          <w:lang w:val="ru-RU"/>
        </w:rPr>
        <w:t>% на 3</w:t>
      </w:r>
      <w:r>
        <w:rPr>
          <w:noProof/>
        </w:rPr>
        <w:t> </w:t>
      </w:r>
      <w:r>
        <w:rPr>
          <w:noProof/>
          <w:lang w:val="ru-RU"/>
        </w:rPr>
        <w:t>786,6 милиона евро, което не оставя никакъв марж под тази функция след мобилизирането на Инструмента за гъвкавост (985,6 милиона евро). Бюджетните кредити за плащания нарастват с 18,3</w:t>
      </w:r>
      <w:r>
        <w:rPr>
          <w:noProof/>
        </w:rPr>
        <w:t> </w:t>
      </w:r>
      <w:r>
        <w:rPr>
          <w:noProof/>
          <w:lang w:val="ru-RU"/>
        </w:rPr>
        <w:t>% на 3</w:t>
      </w:r>
      <w:r>
        <w:rPr>
          <w:noProof/>
        </w:rPr>
        <w:t> </w:t>
      </w:r>
      <w:r>
        <w:rPr>
          <w:noProof/>
          <w:lang w:val="ru-RU"/>
        </w:rPr>
        <w:t>527,4 милиона евро.</w:t>
      </w:r>
    </w:p>
    <w:p>
      <w:pPr>
        <w:spacing w:line="240" w:lineRule="auto"/>
        <w:jc w:val="both"/>
        <w:rPr>
          <w:noProof/>
          <w:lang w:val="ru-RU"/>
        </w:rPr>
      </w:pPr>
      <w:r>
        <w:rPr>
          <w:noProof/>
          <w:lang w:val="ru-RU"/>
        </w:rPr>
        <w:t xml:space="preserve">За </w:t>
      </w:r>
      <w:r>
        <w:rPr>
          <w:b/>
          <w:noProof/>
          <w:lang w:val="ru-RU"/>
        </w:rPr>
        <w:t>Глобална Европа (функция 4)</w:t>
      </w:r>
      <w:r>
        <w:rPr>
          <w:noProof/>
          <w:lang w:val="ru-RU"/>
        </w:rPr>
        <w:t xml:space="preserve"> бюджетните кредити за поети задължения се увеличават с 12,4</w:t>
      </w:r>
      <w:r>
        <w:rPr>
          <w:noProof/>
        </w:rPr>
        <w:t> </w:t>
      </w:r>
      <w:r>
        <w:rPr>
          <w:noProof/>
          <w:lang w:val="ru-RU"/>
        </w:rPr>
        <w:t>% на 11</w:t>
      </w:r>
      <w:r>
        <w:rPr>
          <w:noProof/>
        </w:rPr>
        <w:t> </w:t>
      </w:r>
      <w:r>
        <w:rPr>
          <w:noProof/>
          <w:lang w:val="ru-RU"/>
        </w:rPr>
        <w:t>319,3 милиона евро (включително въздействието от разширяването на обхвата на Механизма за бежанците в Турция), което не оставя никакъв марж по тази функция, и изисква използването на общия марж за поети задължения (1</w:t>
      </w:r>
      <w:r>
        <w:rPr>
          <w:noProof/>
        </w:rPr>
        <w:t> </w:t>
      </w:r>
      <w:r>
        <w:rPr>
          <w:noProof/>
          <w:lang w:val="ru-RU"/>
        </w:rPr>
        <w:t>051,3 милиона евро). Бюджетните кредити за плащания нарастват с 5,1</w:t>
      </w:r>
      <w:r>
        <w:rPr>
          <w:noProof/>
        </w:rPr>
        <w:t> </w:t>
      </w:r>
      <w:r>
        <w:rPr>
          <w:noProof/>
          <w:lang w:val="ru-RU"/>
        </w:rPr>
        <w:t>% на 9</w:t>
      </w:r>
      <w:r>
        <w:rPr>
          <w:noProof/>
        </w:rPr>
        <w:t> </w:t>
      </w:r>
      <w:r>
        <w:rPr>
          <w:noProof/>
          <w:lang w:val="ru-RU"/>
        </w:rPr>
        <w:t>358,3 милиона евро.</w:t>
      </w:r>
    </w:p>
    <w:p>
      <w:pPr>
        <w:spacing w:line="240" w:lineRule="auto"/>
        <w:jc w:val="both"/>
        <w:rPr>
          <w:noProof/>
          <w:lang w:val="ru-RU"/>
        </w:rPr>
      </w:pPr>
      <w:r>
        <w:rPr>
          <w:noProof/>
          <w:lang w:val="ru-RU"/>
        </w:rPr>
        <w:t xml:space="preserve">Общо за всички институции, включително пенсиите и европейските училища, бюджетните кредити за </w:t>
      </w:r>
      <w:r>
        <w:rPr>
          <w:b/>
          <w:noProof/>
          <w:lang w:val="ru-RU"/>
        </w:rPr>
        <w:t>Администрация (функция</w:t>
      </w:r>
      <w:r>
        <w:rPr>
          <w:b/>
          <w:noProof/>
        </w:rPr>
        <w:t> </w:t>
      </w:r>
      <w:r>
        <w:rPr>
          <w:b/>
          <w:noProof/>
          <w:lang w:val="ru-RU"/>
        </w:rPr>
        <w:t>5)</w:t>
      </w:r>
      <w:r>
        <w:rPr>
          <w:noProof/>
          <w:lang w:val="ru-RU"/>
        </w:rPr>
        <w:t xml:space="preserve"> се увеличават с 2,9</w:t>
      </w:r>
      <w:r>
        <w:rPr>
          <w:noProof/>
        </w:rPr>
        <w:t> </w:t>
      </w:r>
      <w:r>
        <w:rPr>
          <w:noProof/>
          <w:lang w:val="ru-RU"/>
        </w:rPr>
        <w:t>% за поетите задължения (</w:t>
      </w:r>
      <w:r>
        <w:rPr>
          <w:noProof/>
        </w:rPr>
        <w:t> </w:t>
      </w:r>
      <w:r>
        <w:rPr>
          <w:noProof/>
          <w:lang w:val="ru-RU"/>
        </w:rPr>
        <w:t>9</w:t>
      </w:r>
      <w:r>
        <w:rPr>
          <w:noProof/>
        </w:rPr>
        <w:t> </w:t>
      </w:r>
      <w:r>
        <w:rPr>
          <w:noProof/>
          <w:lang w:val="ru-RU"/>
        </w:rPr>
        <w:t>943,0</w:t>
      </w:r>
      <w:r>
        <w:rPr>
          <w:noProof/>
        </w:rPr>
        <w:t> </w:t>
      </w:r>
      <w:r>
        <w:rPr>
          <w:noProof/>
          <w:lang w:val="ru-RU"/>
        </w:rPr>
        <w:t>милиона евро) и за плащанията (9</w:t>
      </w:r>
      <w:r>
        <w:rPr>
          <w:noProof/>
        </w:rPr>
        <w:t> </w:t>
      </w:r>
      <w:r>
        <w:rPr>
          <w:noProof/>
          <w:lang w:val="ru-RU"/>
        </w:rPr>
        <w:t>944,9 милиона евро). Оставащият неразпределен марж е 589,1 милиона евро след приспадането на използването на маржа за непредвидени обстоятелства за свързаните с миграцията разходи, мобилизирани през 2017</w:t>
      </w:r>
      <w:r>
        <w:rPr>
          <w:noProof/>
        </w:rPr>
        <w:t> </w:t>
      </w:r>
      <w:r>
        <w:rPr>
          <w:noProof/>
          <w:lang w:val="ru-RU"/>
        </w:rPr>
        <w:t>г. (253,9 милиона евро).</w:t>
      </w:r>
    </w:p>
    <w:p>
      <w:pPr>
        <w:pStyle w:val="ManualHeading1"/>
        <w:rPr>
          <w:noProof/>
        </w:rPr>
      </w:pPr>
      <w:bookmarkStart w:id="20" w:name="_Toc278112519"/>
      <w:bookmarkStart w:id="21" w:name="_Toc530674097"/>
      <w:bookmarkStart w:id="22" w:name="_Toc531253443"/>
      <w:r>
        <w:t>3.</w:t>
      </w:r>
      <w:r>
        <w:tab/>
      </w:r>
      <w:r>
        <w:rPr>
          <w:noProof/>
        </w:rPr>
        <w:t>Ключови елементи на второто предложение за проектобюджет</w:t>
      </w:r>
      <w:bookmarkEnd w:id="20"/>
      <w:bookmarkEnd w:id="21"/>
      <w:bookmarkEnd w:id="22"/>
    </w:p>
    <w:p>
      <w:pPr>
        <w:spacing w:line="240" w:lineRule="auto"/>
        <w:jc w:val="both"/>
        <w:rPr>
          <w:noProof/>
          <w:lang w:val="ru-RU"/>
        </w:rPr>
      </w:pPr>
      <w:r>
        <w:rPr>
          <w:noProof/>
          <w:lang w:val="ru-RU"/>
        </w:rPr>
        <w:t>Като цяло, вторият проектобюджет се основава на напредъка, постигнат по време на заседанията на помирителния комитет.</w:t>
      </w:r>
      <w:r>
        <w:rPr>
          <w:noProof/>
          <w:sz w:val="24"/>
          <w:lang w:val="ru-RU"/>
        </w:rPr>
        <w:t xml:space="preserve"> </w:t>
      </w:r>
      <w:r>
        <w:rPr>
          <w:noProof/>
          <w:lang w:val="ru-RU"/>
        </w:rPr>
        <w:t>Подробностите за предложените изменения в първоначалния проектобюджет, изменен с писмо за внасяне на корекции №</w:t>
      </w:r>
      <w:r>
        <w:rPr>
          <w:noProof/>
        </w:rPr>
        <w:t> </w:t>
      </w:r>
      <w:r>
        <w:rPr>
          <w:noProof/>
          <w:lang w:val="ru-RU"/>
        </w:rPr>
        <w:t>1/2019, са изложени по-долу.</w:t>
      </w:r>
    </w:p>
    <w:p>
      <w:pPr>
        <w:pStyle w:val="ManualHeading2"/>
        <w:rPr>
          <w:noProof/>
        </w:rPr>
      </w:pPr>
      <w:bookmarkStart w:id="23" w:name="_Toc530674098"/>
      <w:bookmarkStart w:id="24" w:name="_Toc531253444"/>
      <w:r>
        <w:t>3.1.</w:t>
      </w:r>
      <w:r>
        <w:tab/>
      </w:r>
      <w:r>
        <w:rPr>
          <w:noProof/>
        </w:rPr>
        <w:t>Хоризонтални въпроси</w:t>
      </w:r>
      <w:bookmarkEnd w:id="23"/>
      <w:bookmarkEnd w:id="24"/>
    </w:p>
    <w:p>
      <w:pPr>
        <w:pStyle w:val="ManualHeading3"/>
        <w:rPr>
          <w:noProof/>
        </w:rPr>
      </w:pPr>
      <w:bookmarkStart w:id="25" w:name="_Toc530674099"/>
      <w:bookmarkStart w:id="26" w:name="_Toc531253445"/>
      <w:r>
        <w:t>3.1.1.</w:t>
      </w:r>
      <w:r>
        <w:tab/>
      </w:r>
      <w:r>
        <w:rPr>
          <w:noProof/>
        </w:rPr>
        <w:t>Децентрализирани агенции</w:t>
      </w:r>
      <w:bookmarkEnd w:id="25"/>
      <w:bookmarkEnd w:id="26"/>
    </w:p>
    <w:p>
      <w:pPr>
        <w:spacing w:line="240" w:lineRule="auto"/>
        <w:jc w:val="both"/>
        <w:rPr>
          <w:noProof/>
          <w:lang w:val="ru-RU"/>
        </w:rPr>
      </w:pPr>
      <w:r>
        <w:rPr>
          <w:noProof/>
          <w:lang w:val="ru-RU"/>
        </w:rPr>
        <w:t>За децентрализираните агенции вноската на ЕС (под формата на бюджетни кредити за поети задължения и за плащания) и броят на длъжностите се предлагат да бъдат определени на равнищата, предложени в първоначалния проектобюджет, изменен с писмо за внасяне на корекции №</w:t>
      </w:r>
      <w:r>
        <w:rPr>
          <w:noProof/>
          <w:lang w:val="en-GB"/>
        </w:rPr>
        <w:t> </w:t>
      </w:r>
      <w:r>
        <w:rPr>
          <w:noProof/>
          <w:lang w:val="ru-RU"/>
        </w:rPr>
        <w:t>1/2019, със следните изменения:</w:t>
      </w:r>
    </w:p>
    <w:p>
      <w:pPr>
        <w:pStyle w:val="ListParagraph"/>
        <w:numPr>
          <w:ilvl w:val="0"/>
          <w:numId w:val="39"/>
        </w:numPr>
        <w:spacing w:before="120" w:after="120"/>
        <w:jc w:val="both"/>
        <w:rPr>
          <w:noProof/>
          <w:sz w:val="23"/>
          <w:szCs w:val="23"/>
        </w:rPr>
      </w:pPr>
      <w:r>
        <w:rPr>
          <w:noProof/>
          <w:sz w:val="23"/>
        </w:rPr>
        <w:t>По функция 1a:</w:t>
      </w:r>
    </w:p>
    <w:p>
      <w:pPr>
        <w:pStyle w:val="ListParagraph"/>
        <w:numPr>
          <w:ilvl w:val="1"/>
          <w:numId w:val="39"/>
        </w:numPr>
        <w:spacing w:before="120" w:after="120"/>
        <w:jc w:val="both"/>
        <w:rPr>
          <w:noProof/>
          <w:sz w:val="23"/>
          <w:szCs w:val="23"/>
          <w:lang w:val="ru-RU"/>
        </w:rPr>
      </w:pPr>
      <w:r>
        <w:rPr>
          <w:noProof/>
          <w:sz w:val="23"/>
          <w:lang w:val="ru-RU"/>
        </w:rPr>
        <w:t>Европейската агенция за ГНСС (</w:t>
      </w:r>
      <w:r>
        <w:rPr>
          <w:noProof/>
          <w:sz w:val="23"/>
        </w:rPr>
        <w:t>GSA</w:t>
      </w:r>
      <w:r>
        <w:rPr>
          <w:noProof/>
          <w:sz w:val="23"/>
          <w:lang w:val="ru-RU"/>
        </w:rPr>
        <w:t>, бюджетна статия 02</w:t>
      </w:r>
      <w:r>
        <w:rPr>
          <w:noProof/>
          <w:sz w:val="23"/>
        </w:rPr>
        <w:t> </w:t>
      </w:r>
      <w:r>
        <w:rPr>
          <w:noProof/>
          <w:sz w:val="23"/>
          <w:lang w:val="ru-RU"/>
        </w:rPr>
        <w:t>05</w:t>
      </w:r>
      <w:r>
        <w:rPr>
          <w:noProof/>
          <w:sz w:val="23"/>
        </w:rPr>
        <w:t> </w:t>
      </w:r>
      <w:r>
        <w:rPr>
          <w:noProof/>
          <w:sz w:val="23"/>
          <w:lang w:val="ru-RU"/>
        </w:rPr>
        <w:t>11), за която се предлага да бъдат разпределени</w:t>
      </w:r>
      <w:r>
        <w:rPr>
          <w:noProof/>
          <w:sz w:val="23"/>
        </w:rPr>
        <w:t> </w:t>
      </w:r>
      <w:r>
        <w:rPr>
          <w:noProof/>
          <w:sz w:val="23"/>
          <w:lang w:val="ru-RU"/>
        </w:rPr>
        <w:t>5 допълнителни длъжности и размерът на бюджетните кредити за поети задължения и бюджетните кредити за плащания да бъде увеличен с 357</w:t>
      </w:r>
      <w:r>
        <w:rPr>
          <w:noProof/>
          <w:sz w:val="23"/>
        </w:rPr>
        <w:t> </w:t>
      </w:r>
      <w:r>
        <w:rPr>
          <w:noProof/>
          <w:sz w:val="23"/>
          <w:lang w:val="ru-RU"/>
        </w:rPr>
        <w:t>500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Европейският орган по труда (ЕОТ, бюджетна статия 04</w:t>
      </w:r>
      <w:r>
        <w:rPr>
          <w:noProof/>
          <w:sz w:val="23"/>
        </w:rPr>
        <w:t> </w:t>
      </w:r>
      <w:r>
        <w:rPr>
          <w:noProof/>
          <w:sz w:val="23"/>
          <w:lang w:val="ru-RU"/>
        </w:rPr>
        <w:t>03</w:t>
      </w:r>
      <w:r>
        <w:rPr>
          <w:noProof/>
          <w:sz w:val="23"/>
        </w:rPr>
        <w:t> </w:t>
      </w:r>
      <w:r>
        <w:rPr>
          <w:noProof/>
          <w:sz w:val="23"/>
          <w:lang w:val="ru-RU"/>
        </w:rPr>
        <w:t>15), за който се предлага размерът на бюджетните кредити за поети задължения и бюджетните кредити за плащания да бъде намален с 8</w:t>
      </w:r>
      <w:r>
        <w:rPr>
          <w:noProof/>
          <w:sz w:val="23"/>
        </w:rPr>
        <w:t> </w:t>
      </w:r>
      <w:r>
        <w:rPr>
          <w:noProof/>
          <w:sz w:val="23"/>
          <w:lang w:val="ru-RU"/>
        </w:rPr>
        <w:t>947</w:t>
      </w:r>
      <w:r>
        <w:rPr>
          <w:noProof/>
          <w:sz w:val="23"/>
        </w:rPr>
        <w:t> </w:t>
      </w:r>
      <w:r>
        <w:rPr>
          <w:noProof/>
          <w:sz w:val="23"/>
          <w:lang w:val="ru-RU"/>
        </w:rPr>
        <w:t>000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Агенцията на Европейския съюз за мрежова и информационна сигурност (</w:t>
      </w:r>
      <w:r>
        <w:rPr>
          <w:noProof/>
          <w:sz w:val="23"/>
        </w:rPr>
        <w:t>ENISA</w:t>
      </w:r>
      <w:r>
        <w:rPr>
          <w:noProof/>
          <w:sz w:val="23"/>
          <w:lang w:val="ru-RU"/>
        </w:rPr>
        <w:t>, бюджетна статия 09</w:t>
      </w:r>
      <w:r>
        <w:rPr>
          <w:noProof/>
          <w:sz w:val="23"/>
        </w:rPr>
        <w:t> </w:t>
      </w:r>
      <w:r>
        <w:rPr>
          <w:noProof/>
          <w:sz w:val="23"/>
          <w:lang w:val="ru-RU"/>
        </w:rPr>
        <w:t>02</w:t>
      </w:r>
      <w:r>
        <w:rPr>
          <w:noProof/>
          <w:sz w:val="23"/>
        </w:rPr>
        <w:t> </w:t>
      </w:r>
      <w:r>
        <w:rPr>
          <w:noProof/>
          <w:sz w:val="23"/>
          <w:lang w:val="ru-RU"/>
        </w:rPr>
        <w:t>03), за която се предлага размерът на бюджетните кредити за поети задължения и бюджетните кредити за плащания да бъде увеличен с 400 000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Органът на европейските регулатори в областта на електронните съобщения (</w:t>
      </w:r>
      <w:r>
        <w:rPr>
          <w:noProof/>
          <w:sz w:val="23"/>
        </w:rPr>
        <w:t>BEREC</w:t>
      </w:r>
      <w:r>
        <w:rPr>
          <w:noProof/>
          <w:sz w:val="23"/>
          <w:lang w:val="ru-RU"/>
        </w:rPr>
        <w:t>, бюджетна статия 09</w:t>
      </w:r>
      <w:r>
        <w:rPr>
          <w:noProof/>
          <w:sz w:val="23"/>
        </w:rPr>
        <w:t> </w:t>
      </w:r>
      <w:r>
        <w:rPr>
          <w:noProof/>
          <w:sz w:val="23"/>
          <w:lang w:val="ru-RU"/>
        </w:rPr>
        <w:t>02</w:t>
      </w:r>
      <w:r>
        <w:rPr>
          <w:noProof/>
          <w:sz w:val="23"/>
        </w:rPr>
        <w:t> </w:t>
      </w:r>
      <w:r>
        <w:rPr>
          <w:noProof/>
          <w:sz w:val="23"/>
          <w:lang w:val="ru-RU"/>
        </w:rPr>
        <w:t>04), за която се предлага да бъдат разпределени</w:t>
      </w:r>
      <w:r>
        <w:rPr>
          <w:noProof/>
          <w:sz w:val="23"/>
        </w:rPr>
        <w:t> </w:t>
      </w:r>
      <w:r>
        <w:rPr>
          <w:noProof/>
          <w:sz w:val="23"/>
          <w:lang w:val="ru-RU"/>
        </w:rPr>
        <w:t>2 допълнителни длъжности и размерът на бюджетните кредити за поети задължения и бюджетните кредити за плащания да бъде увеличен с 143 000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Европейският банков орган (ЕБО, бюджетна статия 12</w:t>
      </w:r>
      <w:r>
        <w:rPr>
          <w:noProof/>
          <w:sz w:val="23"/>
        </w:rPr>
        <w:t> </w:t>
      </w:r>
      <w:r>
        <w:rPr>
          <w:noProof/>
          <w:sz w:val="23"/>
          <w:lang w:val="ru-RU"/>
        </w:rPr>
        <w:t>02</w:t>
      </w:r>
      <w:r>
        <w:rPr>
          <w:noProof/>
          <w:sz w:val="23"/>
        </w:rPr>
        <w:t> </w:t>
      </w:r>
      <w:r>
        <w:rPr>
          <w:noProof/>
          <w:sz w:val="23"/>
          <w:lang w:val="ru-RU"/>
        </w:rPr>
        <w:t>04), за който се предлага щатното разписание да бъде намалено с 2 длъжности.</w:t>
      </w:r>
    </w:p>
    <w:p>
      <w:pPr>
        <w:pStyle w:val="ListParagraph"/>
        <w:numPr>
          <w:ilvl w:val="1"/>
          <w:numId w:val="39"/>
        </w:numPr>
        <w:spacing w:before="120" w:after="120"/>
        <w:jc w:val="both"/>
        <w:rPr>
          <w:noProof/>
          <w:sz w:val="23"/>
          <w:szCs w:val="23"/>
          <w:lang w:val="ru-RU"/>
        </w:rPr>
      </w:pPr>
      <w:r>
        <w:rPr>
          <w:noProof/>
          <w:sz w:val="23"/>
          <w:lang w:val="ru-RU"/>
        </w:rPr>
        <w:t>Европейският орган за застраховане и професионално пенсионно осигуряване (Е</w:t>
      </w:r>
      <w:r>
        <w:rPr>
          <w:noProof/>
          <w:sz w:val="23"/>
        </w:rPr>
        <w:t>I</w:t>
      </w:r>
      <w:r>
        <w:rPr>
          <w:noProof/>
          <w:sz w:val="23"/>
          <w:lang w:val="ru-RU"/>
        </w:rPr>
        <w:t>О</w:t>
      </w:r>
      <w:r>
        <w:rPr>
          <w:noProof/>
          <w:sz w:val="23"/>
        </w:rPr>
        <w:t>PA</w:t>
      </w:r>
      <w:r>
        <w:rPr>
          <w:noProof/>
          <w:sz w:val="23"/>
          <w:lang w:val="ru-RU"/>
        </w:rPr>
        <w:t>, бюджетна статия 12</w:t>
      </w:r>
      <w:r>
        <w:rPr>
          <w:noProof/>
          <w:sz w:val="23"/>
        </w:rPr>
        <w:t> </w:t>
      </w:r>
      <w:r>
        <w:rPr>
          <w:noProof/>
          <w:sz w:val="23"/>
          <w:lang w:val="ru-RU"/>
        </w:rPr>
        <w:t>02</w:t>
      </w:r>
      <w:r>
        <w:rPr>
          <w:noProof/>
          <w:sz w:val="23"/>
        </w:rPr>
        <w:t> </w:t>
      </w:r>
      <w:r>
        <w:rPr>
          <w:noProof/>
          <w:sz w:val="23"/>
          <w:lang w:val="ru-RU"/>
        </w:rPr>
        <w:t>05), за който се предлага щатното разписание да бъде намалено с 4 длъжности и размерът на бюджетните кредити за поети задължения и бюджетните кредити за плащания да бъде намален с 1</w:t>
      </w:r>
      <w:r>
        <w:rPr>
          <w:noProof/>
          <w:sz w:val="23"/>
        </w:rPr>
        <w:t> </w:t>
      </w:r>
      <w:r>
        <w:rPr>
          <w:noProof/>
          <w:sz w:val="23"/>
          <w:lang w:val="ru-RU"/>
        </w:rPr>
        <w:t>100</w:t>
      </w:r>
      <w:r>
        <w:rPr>
          <w:noProof/>
          <w:sz w:val="23"/>
        </w:rPr>
        <w:t> </w:t>
      </w:r>
      <w:r>
        <w:rPr>
          <w:noProof/>
          <w:sz w:val="23"/>
          <w:lang w:val="ru-RU"/>
        </w:rPr>
        <w:t>000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Европейският орган за ценни книжа и пазари (</w:t>
      </w:r>
      <w:r>
        <w:rPr>
          <w:noProof/>
          <w:sz w:val="23"/>
        </w:rPr>
        <w:t>ESMA</w:t>
      </w:r>
      <w:r>
        <w:rPr>
          <w:noProof/>
          <w:sz w:val="23"/>
          <w:lang w:val="ru-RU"/>
        </w:rPr>
        <w:t>, бюджетна статия 12</w:t>
      </w:r>
      <w:r>
        <w:rPr>
          <w:noProof/>
          <w:sz w:val="23"/>
        </w:rPr>
        <w:t> </w:t>
      </w:r>
      <w:r>
        <w:rPr>
          <w:noProof/>
          <w:sz w:val="23"/>
          <w:lang w:val="ru-RU"/>
        </w:rPr>
        <w:t>02</w:t>
      </w:r>
      <w:r>
        <w:rPr>
          <w:noProof/>
          <w:sz w:val="23"/>
        </w:rPr>
        <w:t> </w:t>
      </w:r>
      <w:r>
        <w:rPr>
          <w:noProof/>
          <w:sz w:val="23"/>
          <w:lang w:val="ru-RU"/>
        </w:rPr>
        <w:t>06), за който се предлага щатното разписание да бъде намалено с 23 длъжности и размерът на бюджетните кредити за поети задължения и бюджетните кредити за плащания да бъде намален с 11</w:t>
      </w:r>
      <w:r>
        <w:rPr>
          <w:noProof/>
          <w:sz w:val="23"/>
        </w:rPr>
        <w:t> </w:t>
      </w:r>
      <w:r>
        <w:rPr>
          <w:noProof/>
          <w:sz w:val="23"/>
          <w:lang w:val="ru-RU"/>
        </w:rPr>
        <w:t>000</w:t>
      </w:r>
      <w:r>
        <w:rPr>
          <w:noProof/>
          <w:sz w:val="23"/>
        </w:rPr>
        <w:t> </w:t>
      </w:r>
      <w:r>
        <w:rPr>
          <w:noProof/>
          <w:sz w:val="23"/>
          <w:lang w:val="ru-RU"/>
        </w:rPr>
        <w:t>000</w:t>
      </w:r>
      <w:r>
        <w:rPr>
          <w:noProof/>
          <w:sz w:val="23"/>
        </w:rPr>
        <w:t> </w:t>
      </w:r>
      <w:r>
        <w:rPr>
          <w:noProof/>
          <w:sz w:val="23"/>
          <w:lang w:val="ru-RU"/>
        </w:rPr>
        <w:t>евро.</w:t>
      </w:r>
    </w:p>
    <w:p>
      <w:pPr>
        <w:pStyle w:val="ListParagraph"/>
        <w:numPr>
          <w:ilvl w:val="0"/>
          <w:numId w:val="39"/>
        </w:numPr>
        <w:spacing w:before="120" w:after="120"/>
        <w:jc w:val="both"/>
        <w:rPr>
          <w:noProof/>
          <w:sz w:val="23"/>
          <w:szCs w:val="23"/>
        </w:rPr>
      </w:pPr>
      <w:r>
        <w:rPr>
          <w:noProof/>
          <w:sz w:val="23"/>
        </w:rPr>
        <w:t>По функция 3:</w:t>
      </w:r>
    </w:p>
    <w:p>
      <w:pPr>
        <w:pStyle w:val="ListParagraph"/>
        <w:numPr>
          <w:ilvl w:val="1"/>
          <w:numId w:val="39"/>
        </w:numPr>
        <w:spacing w:before="120" w:after="120"/>
        <w:jc w:val="both"/>
        <w:rPr>
          <w:noProof/>
          <w:sz w:val="23"/>
          <w:szCs w:val="23"/>
          <w:lang w:val="ru-RU"/>
        </w:rPr>
      </w:pPr>
      <w:r>
        <w:rPr>
          <w:noProof/>
          <w:sz w:val="23"/>
          <w:lang w:val="ru-RU"/>
        </w:rPr>
        <w:t>Агенцията на Европейския съюз за сътрудничество в областта на правоприлагането (Европол, бюджетна статия 18</w:t>
      </w:r>
      <w:r>
        <w:rPr>
          <w:noProof/>
          <w:sz w:val="23"/>
        </w:rPr>
        <w:t> </w:t>
      </w:r>
      <w:r>
        <w:rPr>
          <w:noProof/>
          <w:sz w:val="23"/>
          <w:lang w:val="ru-RU"/>
        </w:rPr>
        <w:t>02</w:t>
      </w:r>
      <w:r>
        <w:rPr>
          <w:noProof/>
          <w:sz w:val="23"/>
        </w:rPr>
        <w:t> </w:t>
      </w:r>
      <w:r>
        <w:rPr>
          <w:noProof/>
          <w:sz w:val="23"/>
          <w:lang w:val="ru-RU"/>
        </w:rPr>
        <w:t>04), за която се предлага да бъдат разпределени</w:t>
      </w:r>
      <w:r>
        <w:rPr>
          <w:noProof/>
          <w:sz w:val="23"/>
        </w:rPr>
        <w:t> </w:t>
      </w:r>
      <w:r>
        <w:rPr>
          <w:noProof/>
          <w:sz w:val="23"/>
          <w:lang w:val="ru-RU"/>
        </w:rPr>
        <w:t>10 допълнителни длъжности и размерът на бюджетните кредити за поети задължения и бюджетните кредити за плащания да бъде увеличен с 8 357</w:t>
      </w:r>
      <w:r>
        <w:rPr>
          <w:noProof/>
          <w:sz w:val="23"/>
        </w:rPr>
        <w:t> </w:t>
      </w:r>
      <w:r>
        <w:rPr>
          <w:noProof/>
          <w:sz w:val="23"/>
          <w:lang w:val="ru-RU"/>
        </w:rPr>
        <w:t>500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Европейската агенция за оперативното управление на широкомащабни информационни системи в областта на свободата, сигурността и правосъдието (</w:t>
      </w:r>
      <w:r>
        <w:rPr>
          <w:noProof/>
          <w:sz w:val="23"/>
        </w:rPr>
        <w:t>eu</w:t>
      </w:r>
      <w:r>
        <w:rPr>
          <w:noProof/>
          <w:sz w:val="23"/>
          <w:lang w:val="ru-RU"/>
        </w:rPr>
        <w:t>-</w:t>
      </w:r>
      <w:r>
        <w:rPr>
          <w:noProof/>
          <w:sz w:val="23"/>
        </w:rPr>
        <w:t>LISA</w:t>
      </w:r>
      <w:r>
        <w:rPr>
          <w:noProof/>
          <w:sz w:val="23"/>
          <w:lang w:val="ru-RU"/>
        </w:rPr>
        <w:t>, бюджетна статия</w:t>
      </w:r>
      <w:r>
        <w:rPr>
          <w:noProof/>
          <w:sz w:val="23"/>
        </w:rPr>
        <w:t> </w:t>
      </w:r>
      <w:r>
        <w:rPr>
          <w:noProof/>
          <w:sz w:val="23"/>
          <w:lang w:val="ru-RU"/>
        </w:rPr>
        <w:t>18</w:t>
      </w:r>
      <w:r>
        <w:rPr>
          <w:noProof/>
          <w:sz w:val="23"/>
        </w:rPr>
        <w:t> </w:t>
      </w:r>
      <w:r>
        <w:rPr>
          <w:noProof/>
          <w:sz w:val="23"/>
          <w:lang w:val="ru-RU"/>
        </w:rPr>
        <w:t>02</w:t>
      </w:r>
      <w:r>
        <w:rPr>
          <w:noProof/>
          <w:sz w:val="23"/>
        </w:rPr>
        <w:t> </w:t>
      </w:r>
      <w:r>
        <w:rPr>
          <w:noProof/>
          <w:sz w:val="23"/>
          <w:lang w:val="ru-RU"/>
        </w:rPr>
        <w:t>07), за която се предлага размерът на бюджетните кредити за поети задължения и бюджетните кредити за плащания да бъде увеличен с 4</w:t>
      </w:r>
      <w:r>
        <w:rPr>
          <w:noProof/>
          <w:sz w:val="23"/>
        </w:rPr>
        <w:t> </w:t>
      </w:r>
      <w:r>
        <w:rPr>
          <w:noProof/>
          <w:sz w:val="23"/>
          <w:lang w:val="ru-RU"/>
        </w:rPr>
        <w:t>000</w:t>
      </w:r>
      <w:r>
        <w:rPr>
          <w:noProof/>
          <w:sz w:val="23"/>
        </w:rPr>
        <w:t> </w:t>
      </w:r>
      <w:r>
        <w:rPr>
          <w:noProof/>
          <w:sz w:val="23"/>
          <w:lang w:val="ru-RU"/>
        </w:rPr>
        <w:t>000</w:t>
      </w:r>
      <w:r>
        <w:rPr>
          <w:noProof/>
          <w:sz w:val="23"/>
        </w:rPr>
        <w:t> </w:t>
      </w:r>
      <w:r>
        <w:rPr>
          <w:noProof/>
          <w:sz w:val="23"/>
          <w:lang w:val="ru-RU"/>
        </w:rPr>
        <w:t>евро.</w:t>
      </w:r>
    </w:p>
    <w:p>
      <w:pPr>
        <w:pStyle w:val="ListParagraph"/>
        <w:numPr>
          <w:ilvl w:val="1"/>
          <w:numId w:val="39"/>
        </w:numPr>
        <w:spacing w:before="120" w:after="120"/>
        <w:jc w:val="both"/>
        <w:rPr>
          <w:noProof/>
          <w:sz w:val="23"/>
          <w:szCs w:val="23"/>
          <w:lang w:val="ru-RU"/>
        </w:rPr>
      </w:pPr>
      <w:r>
        <w:rPr>
          <w:noProof/>
          <w:sz w:val="23"/>
          <w:lang w:val="ru-RU"/>
        </w:rPr>
        <w:t>Европейската служба за подкрепа в областта на убежището (</w:t>
      </w:r>
      <w:r>
        <w:rPr>
          <w:noProof/>
          <w:sz w:val="23"/>
        </w:rPr>
        <w:t>EASO</w:t>
      </w:r>
      <w:r>
        <w:rPr>
          <w:noProof/>
          <w:sz w:val="23"/>
          <w:lang w:val="ru-RU"/>
        </w:rPr>
        <w:t>, бюджетна статия</w:t>
      </w:r>
      <w:r>
        <w:rPr>
          <w:noProof/>
          <w:sz w:val="23"/>
        </w:rPr>
        <w:t> </w:t>
      </w:r>
      <w:r>
        <w:rPr>
          <w:noProof/>
          <w:sz w:val="23"/>
          <w:lang w:val="ru-RU"/>
        </w:rPr>
        <w:t>18</w:t>
      </w:r>
      <w:r>
        <w:rPr>
          <w:noProof/>
          <w:sz w:val="23"/>
        </w:rPr>
        <w:t> </w:t>
      </w:r>
      <w:r>
        <w:rPr>
          <w:noProof/>
          <w:sz w:val="23"/>
          <w:lang w:val="ru-RU"/>
        </w:rPr>
        <w:t>03</w:t>
      </w:r>
      <w:r>
        <w:rPr>
          <w:noProof/>
          <w:sz w:val="23"/>
        </w:rPr>
        <w:t> </w:t>
      </w:r>
      <w:r>
        <w:rPr>
          <w:noProof/>
          <w:sz w:val="23"/>
          <w:lang w:val="ru-RU"/>
        </w:rPr>
        <w:t xml:space="preserve">02), за която се предлага размерът на бюджетните кредити за поети задължения и бюджетните кредити за плащания да се определи на равнището, предложено от Комисията в първоначалния проектобюджет. Европейската комисия ще направи преглед на потребностите от финансиране на </w:t>
      </w:r>
      <w:r>
        <w:rPr>
          <w:noProof/>
          <w:sz w:val="23"/>
        </w:rPr>
        <w:t>EASO</w:t>
      </w:r>
      <w:r>
        <w:rPr>
          <w:noProof/>
          <w:sz w:val="23"/>
          <w:lang w:val="ru-RU"/>
        </w:rPr>
        <w:t xml:space="preserve"> за финансовата 2019 година, след като бъде прието законодателното предложение от 12 септември 2018</w:t>
      </w:r>
      <w:r>
        <w:rPr>
          <w:noProof/>
          <w:sz w:val="23"/>
        </w:rPr>
        <w:t> </w:t>
      </w:r>
      <w:r>
        <w:rPr>
          <w:noProof/>
          <w:sz w:val="23"/>
          <w:lang w:val="ru-RU"/>
        </w:rPr>
        <w:t>г. за укрепване на оперативните способности за подкрепа на агенцията. Ако е необходимо, Комисията ще направи съответните бюджетни предложения.</w:t>
      </w:r>
    </w:p>
    <w:p>
      <w:pPr>
        <w:pStyle w:val="ListParagraph"/>
        <w:numPr>
          <w:ilvl w:val="1"/>
          <w:numId w:val="39"/>
        </w:numPr>
        <w:spacing w:before="120" w:after="120"/>
        <w:jc w:val="both"/>
        <w:rPr>
          <w:b/>
          <w:noProof/>
          <w:sz w:val="23"/>
          <w:szCs w:val="23"/>
          <w:u w:val="single"/>
          <w:lang w:val="ru-RU"/>
        </w:rPr>
      </w:pPr>
      <w:r>
        <w:rPr>
          <w:noProof/>
          <w:sz w:val="23"/>
          <w:lang w:val="ru-RU"/>
        </w:rPr>
        <w:t>Европейският орган за засилване на съдебното сътрудничество (Евроюст, бюджетна статия 33</w:t>
      </w:r>
      <w:r>
        <w:rPr>
          <w:noProof/>
          <w:sz w:val="23"/>
        </w:rPr>
        <w:t> </w:t>
      </w:r>
      <w:r>
        <w:rPr>
          <w:noProof/>
          <w:sz w:val="23"/>
          <w:lang w:val="ru-RU"/>
        </w:rPr>
        <w:t>03</w:t>
      </w:r>
      <w:r>
        <w:rPr>
          <w:noProof/>
          <w:sz w:val="23"/>
        </w:rPr>
        <w:t> </w:t>
      </w:r>
      <w:r>
        <w:rPr>
          <w:noProof/>
          <w:sz w:val="23"/>
          <w:lang w:val="ru-RU"/>
        </w:rPr>
        <w:t>04), за който се предлага да бъдат разпределени</w:t>
      </w:r>
      <w:r>
        <w:rPr>
          <w:noProof/>
          <w:sz w:val="23"/>
        </w:rPr>
        <w:t> </w:t>
      </w:r>
      <w:r>
        <w:rPr>
          <w:noProof/>
          <w:sz w:val="23"/>
          <w:lang w:val="ru-RU"/>
        </w:rPr>
        <w:t>5 допълнителни длъжности и размерът на бюджетните кредити за поети задължения и бюджетните кредити за плащания да бъде увеличен с 357</w:t>
      </w:r>
      <w:r>
        <w:rPr>
          <w:noProof/>
          <w:sz w:val="23"/>
        </w:rPr>
        <w:t> </w:t>
      </w:r>
      <w:r>
        <w:rPr>
          <w:noProof/>
          <w:sz w:val="23"/>
          <w:lang w:val="ru-RU"/>
        </w:rPr>
        <w:t>500</w:t>
      </w:r>
      <w:r>
        <w:rPr>
          <w:noProof/>
          <w:sz w:val="23"/>
        </w:rPr>
        <w:t> </w:t>
      </w:r>
      <w:r>
        <w:rPr>
          <w:noProof/>
          <w:sz w:val="23"/>
          <w:lang w:val="ru-RU"/>
        </w:rPr>
        <w:t>евро.</w:t>
      </w:r>
    </w:p>
    <w:p>
      <w:pPr>
        <w:pStyle w:val="ManualHeading3"/>
        <w:rPr>
          <w:noProof/>
        </w:rPr>
      </w:pPr>
      <w:bookmarkStart w:id="27" w:name="_Toc530674100"/>
      <w:bookmarkStart w:id="28" w:name="_Toc531253446"/>
      <w:r>
        <w:t>3.1.2.</w:t>
      </w:r>
      <w:r>
        <w:tab/>
      </w:r>
      <w:r>
        <w:rPr>
          <w:noProof/>
        </w:rPr>
        <w:t>Изпълнителни агенции</w:t>
      </w:r>
      <w:bookmarkEnd w:id="27"/>
      <w:bookmarkEnd w:id="28"/>
    </w:p>
    <w:p>
      <w:pPr>
        <w:spacing w:line="240" w:lineRule="auto"/>
        <w:jc w:val="both"/>
        <w:rPr>
          <w:noProof/>
          <w:lang w:val="ru-RU"/>
        </w:rPr>
      </w:pPr>
      <w:r>
        <w:rPr>
          <w:noProof/>
          <w:lang w:val="ru-RU"/>
        </w:rPr>
        <w:t>За изпълнителните агенции вноската на ЕС (под формата на бюджетни кредити за поети задължения и за плащания) и броят на длъжностите се предлага да се определят на равнищата, предложени в първоначалния проектобюджет, изменен с писмо за внасяне на корекции №</w:t>
      </w:r>
      <w:r>
        <w:rPr>
          <w:noProof/>
          <w:lang w:val="en-GB"/>
        </w:rPr>
        <w:t> </w:t>
      </w:r>
      <w:r>
        <w:rPr>
          <w:noProof/>
          <w:lang w:val="ru-RU"/>
        </w:rPr>
        <w:t>1/2019.</w:t>
      </w:r>
    </w:p>
    <w:p>
      <w:pPr>
        <w:pStyle w:val="ManualHeading3"/>
        <w:rPr>
          <w:noProof/>
        </w:rPr>
      </w:pPr>
      <w:bookmarkStart w:id="29" w:name="_Toc530674101"/>
      <w:bookmarkStart w:id="30" w:name="_Toc531253447"/>
      <w:r>
        <w:t>3.1.3.</w:t>
      </w:r>
      <w:r>
        <w:tab/>
      </w:r>
      <w:r>
        <w:rPr>
          <w:noProof/>
        </w:rPr>
        <w:t>Пилотни проекти и подготвителни действия</w:t>
      </w:r>
      <w:bookmarkEnd w:id="29"/>
      <w:bookmarkEnd w:id="30"/>
    </w:p>
    <w:p>
      <w:pPr>
        <w:spacing w:line="240" w:lineRule="auto"/>
        <w:jc w:val="both"/>
        <w:rPr>
          <w:noProof/>
          <w:lang w:val="ru-RU"/>
        </w:rPr>
      </w:pPr>
      <w:r>
        <w:rPr>
          <w:noProof/>
          <w:lang w:val="ru-RU"/>
        </w:rPr>
        <w:t>Втория проектобюджет включва 75 пилотни проекта и подготвителни действия в общ размер на 114,9 милиона евро бюджетни кредити за поети задължения, което отразява четенето на Европейския парламент на първоначалния проектобюджет.</w:t>
      </w:r>
    </w:p>
    <w:p>
      <w:pPr>
        <w:spacing w:after="0" w:line="240" w:lineRule="auto"/>
        <w:rPr>
          <w:rFonts w:eastAsia="Times New Roman"/>
          <w:b/>
          <w:bCs/>
          <w:iCs/>
          <w:noProof/>
          <w:sz w:val="24"/>
          <w:szCs w:val="28"/>
          <w:lang w:val="ru-RU"/>
        </w:rPr>
      </w:pPr>
      <w:r>
        <w:rPr>
          <w:noProof/>
          <w:lang w:val="ru-RU"/>
        </w:rPr>
        <w:br w:type="page"/>
      </w:r>
    </w:p>
    <w:p>
      <w:pPr>
        <w:pStyle w:val="ManualHeading2"/>
        <w:rPr>
          <w:noProof/>
        </w:rPr>
      </w:pPr>
      <w:bookmarkStart w:id="31" w:name="_Toc530586710"/>
      <w:bookmarkStart w:id="32" w:name="_Toc530586711"/>
      <w:bookmarkStart w:id="33" w:name="_Toc530586713"/>
      <w:bookmarkStart w:id="34" w:name="_Toc530674102"/>
      <w:bookmarkStart w:id="35" w:name="_Toc531253448"/>
      <w:bookmarkEnd w:id="31"/>
      <w:bookmarkEnd w:id="32"/>
      <w:bookmarkEnd w:id="33"/>
      <w:r>
        <w:t>3.2.</w:t>
      </w:r>
      <w:r>
        <w:tab/>
      </w:r>
      <w:r>
        <w:rPr>
          <w:noProof/>
        </w:rPr>
        <w:t>Общ подход за бюджетните кредити за поети задължения</w:t>
      </w:r>
      <w:bookmarkEnd w:id="34"/>
      <w:bookmarkEnd w:id="35"/>
    </w:p>
    <w:p>
      <w:pPr>
        <w:pStyle w:val="ManualHeading3"/>
        <w:rPr>
          <w:noProof/>
        </w:rPr>
      </w:pPr>
      <w:r>
        <w:t>3.2.1.</w:t>
      </w:r>
      <w:r>
        <w:tab/>
      </w:r>
      <w:r>
        <w:rPr>
          <w:noProof/>
        </w:rPr>
        <w:t xml:space="preserve"> </w:t>
      </w:r>
      <w:bookmarkStart w:id="36" w:name="_Toc530586716"/>
      <w:bookmarkStart w:id="37" w:name="_Toc530674103"/>
      <w:bookmarkStart w:id="38" w:name="_Toc531253449"/>
      <w:bookmarkEnd w:id="36"/>
      <w:r>
        <w:rPr>
          <w:noProof/>
        </w:rPr>
        <w:t>Функция 1а — Конкурентоспособност за растеж и работни места</w:t>
      </w:r>
      <w:bookmarkEnd w:id="37"/>
      <w:bookmarkEnd w:id="38"/>
    </w:p>
    <w:p>
      <w:pPr>
        <w:spacing w:line="240" w:lineRule="auto"/>
        <w:jc w:val="both"/>
        <w:rPr>
          <w:noProof/>
          <w:lang w:val="ru-RU"/>
        </w:rPr>
      </w:pPr>
      <w:r>
        <w:rPr>
          <w:noProof/>
          <w:lang w:val="ru-RU"/>
        </w:rPr>
        <w:t>За функция 1а се предлага бюджетните кредити за поети задължения да бъдат определени на нивото от първоначалния проектобюджет, изменен с писмо за внасяне на корекции №</w:t>
      </w:r>
      <w:r>
        <w:rPr>
          <w:noProof/>
        </w:rPr>
        <w:t> </w:t>
      </w:r>
      <w:r>
        <w:rPr>
          <w:noProof/>
          <w:lang w:val="ru-RU"/>
        </w:rPr>
        <w:t>1/2019, с измененията, включени в таблицата по-долу:</w:t>
      </w:r>
    </w:p>
    <w:tbl>
      <w:tblPr>
        <w:tblW w:w="10536" w:type="dxa"/>
        <w:tblInd w:w="108" w:type="dxa"/>
        <w:tblLook w:val="04A0" w:firstRow="1" w:lastRow="0" w:firstColumn="1" w:lastColumn="0" w:noHBand="0" w:noVBand="1"/>
      </w:tblPr>
      <w:tblGrid>
        <w:gridCol w:w="1240"/>
        <w:gridCol w:w="4940"/>
        <w:gridCol w:w="1480"/>
        <w:gridCol w:w="1631"/>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ru-RU"/>
              </w:rPr>
            </w:pPr>
            <w:r>
              <w:rPr>
                <w:b/>
                <w:noProof/>
                <w:sz w:val="20"/>
                <w:lang w:val="ru-RU"/>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ru-RU"/>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ПБ 2019 (вкл. ПВК №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Разлика</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Международен експериментален термоядрен реактор (</w:t>
            </w:r>
            <w:r>
              <w:rPr>
                <w:b/>
                <w:i/>
                <w:noProof/>
                <w:sz w:val="20"/>
              </w:rPr>
              <w:t>ITER</w:t>
            </w:r>
            <w:r>
              <w:rPr>
                <w:b/>
                <w:i/>
                <w:noProof/>
                <w:sz w:val="20"/>
                <w:lang w:val="ru-RU"/>
              </w:rPr>
              <w:t>)</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32 05 01 02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 xml:space="preserve">Изграждане, работа и експлоатация на съоръженията на </w:t>
            </w:r>
            <w:r>
              <w:rPr>
                <w:noProof/>
                <w:sz w:val="20"/>
              </w:rPr>
              <w:t>ITER</w:t>
            </w:r>
            <w:r>
              <w:rPr>
                <w:noProof/>
                <w:sz w:val="20"/>
                <w:lang w:val="ru-RU"/>
              </w:rPr>
              <w:t xml:space="preserve"> — Европейско съвместно предприятие за „</w:t>
            </w:r>
            <w:r>
              <w:rPr>
                <w:noProof/>
                <w:sz w:val="20"/>
              </w:rPr>
              <w:t>ITER</w:t>
            </w:r>
            <w:r>
              <w:rPr>
                <w:noProof/>
                <w:sz w:val="20"/>
                <w:lang w:val="ru-RU"/>
              </w:rPr>
              <w:t>“ — „Ядрен синтез за добиване на енергия“ (</w:t>
            </w:r>
            <w:r>
              <w:rPr>
                <w:noProof/>
                <w:sz w:val="20"/>
              </w:rPr>
              <w:t>F</w:t>
            </w:r>
            <w:r>
              <w:rPr>
                <w:noProof/>
                <w:sz w:val="20"/>
                <w:lang w:val="ru-RU"/>
              </w:rPr>
              <w:t>4</w:t>
            </w:r>
            <w:r>
              <w:rPr>
                <w:noProof/>
                <w:sz w:val="20"/>
              </w:rPr>
              <w:t>E</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354 658 200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351 158 200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1.1.13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Европейска програма за наблюдение на Земята („Коперник“)</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-17 500 000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 xml:space="preserve">Предоставяне на оперативни услуги, основаващи се на космически наблюдения и данни </w:t>
            </w:r>
            <w:r>
              <w:rPr>
                <w:i/>
                <w:noProof/>
                <w:sz w:val="20"/>
              </w:rPr>
              <w:t>in</w:t>
            </w:r>
            <w:r>
              <w:rPr>
                <w:i/>
                <w:noProof/>
                <w:sz w:val="20"/>
                <w:lang w:val="ru-RU"/>
              </w:rPr>
              <w:t>-</w:t>
            </w:r>
            <w:r>
              <w:rPr>
                <w:i/>
                <w:noProof/>
                <w:sz w:val="20"/>
              </w:rPr>
              <w:t>situ</w:t>
            </w:r>
            <w:r>
              <w:rPr>
                <w:noProof/>
                <w:sz w:val="20"/>
                <w:lang w:val="ru-RU"/>
              </w:rPr>
              <w:t xml:space="preserve"> („Коперник“)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189 755 000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188 255 000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02 06 02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Изграждане на автономен капацитет на Съюза за наблюдение на Земята („Коперник“)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686 315 000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670 315 000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Програма за конкурентоспособност на предприятията и малките и средните предприятия (</w:t>
            </w:r>
            <w:r>
              <w:rPr>
                <w:b/>
                <w:i/>
                <w:noProof/>
                <w:sz w:val="20"/>
              </w:rPr>
              <w:t>COSME</w:t>
            </w:r>
            <w:r>
              <w:rPr>
                <w:b/>
                <w:i/>
                <w:noProof/>
                <w:sz w:val="20"/>
                <w:lang w:val="ru-RU"/>
              </w:rPr>
              <w:t>)</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Насърчаване на предприемачеството и повишаване на конкурентоспособността и пазарния достъп на предприятията от Съюза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128 039 000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130 039 000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Подобряване на достъпа до финансиране на малките и средните предприятия (МСП) под формата на капиталови и дългови инструменти.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221 430 000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224 430 000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Образование, обучение и спорт („Еразъм+“)</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200 000 000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Насърчаване на високите постижения и сътрудничеството в областта на европейското образование и обучение и тяхното значение за пазара на труда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2 217 836 200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2 411 836 200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15 02 01 02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Насърчаване на високите постижения и сътрудничеството в областта на европейската младеж и участието на младите хора в европейския демократичен живот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169 070 000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175 070 000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1.1.6</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Заетост и социални иновации (</w:t>
            </w:r>
            <w:r>
              <w:rPr>
                <w:b/>
                <w:i/>
                <w:noProof/>
                <w:sz w:val="20"/>
              </w:rPr>
              <w:t>EaSI</w:t>
            </w:r>
            <w:r>
              <w:rPr>
                <w:b/>
                <w:i/>
                <w:noProof/>
                <w:sz w:val="20"/>
                <w:lang w:val="ru-RU"/>
              </w:rPr>
              <w:t>)</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6 300 000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04 01 04 02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Разходи за подкрепа на Програмата за трудова заетост и социални иновации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2 950 000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3 400 000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450 000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„Прогрес“ — подкрепа за разработването, изпълнението, мониторинга и оценката на политиката на Съюза в областта на заетостта и социалната политика и на законодателството в областта на условията на труд</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77 373 225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78 873 225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rPr>
              <w:t>EURES</w:t>
            </w:r>
            <w:r>
              <w:rPr>
                <w:noProof/>
                <w:sz w:val="20"/>
                <w:lang w:val="ru-RU"/>
              </w:rPr>
              <w:t xml:space="preserve"> — насърчаване на доброволната географската мобилност на работниците и увеличаване на възможностите за работа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28 626 491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32 976 491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4 350 000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Децентрализирани агенции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-20 146 500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02 05 11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Европейска агенция за ГНСС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32 270 863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32 628 363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357 500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pacing w:val="-4"/>
                <w:sz w:val="20"/>
                <w:szCs w:val="20"/>
                <w:lang w:val="ru-RU"/>
              </w:rPr>
            </w:pPr>
            <w:r>
              <w:rPr>
                <w:noProof/>
                <w:spacing w:val="-4"/>
                <w:sz w:val="20"/>
                <w:lang w:val="ru-RU"/>
              </w:rPr>
              <w:t>Агенция на Европейския съюз за мрежова и информационна сигурност (</w:t>
            </w:r>
            <w:r>
              <w:rPr>
                <w:noProof/>
                <w:spacing w:val="-4"/>
                <w:sz w:val="20"/>
              </w:rPr>
              <w:t>ENISA</w:t>
            </w:r>
            <w:r>
              <w:rPr>
                <w:noProof/>
                <w:spacing w:val="-4"/>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15 424 465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15 824 465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Орган на европейските регулатори в областта на електронните съобщения (ОЕРЕС) — Служба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5 534 665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5 677 665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12 02 05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Европейски орган за застраховане и професионално пенсионно осигуряване (Е</w:t>
            </w:r>
            <w:r>
              <w:rPr>
                <w:noProof/>
                <w:sz w:val="20"/>
              </w:rPr>
              <w:t>I</w:t>
            </w:r>
            <w:r>
              <w:rPr>
                <w:noProof/>
                <w:sz w:val="20"/>
                <w:lang w:val="ru-RU"/>
              </w:rPr>
              <w:t>О</w:t>
            </w:r>
            <w:r>
              <w:rPr>
                <w:noProof/>
                <w:sz w:val="20"/>
              </w:rPr>
              <w:t>PA</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13 474 234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12 374 234</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-1 100 000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12 02 06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Европейски орган за ценни книжа и пазари (</w:t>
            </w:r>
            <w:r>
              <w:rPr>
                <w:noProof/>
                <w:sz w:val="20"/>
              </w:rPr>
              <w:t>ESMA</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38 235 160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27 235 160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04 03 15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Европейски орган по труда (ЕОТ)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11 071 650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2 124 650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-8 947 000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Други дейности и програми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227 000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Свободно движение на работници, координиране на схемите за социална сигурност и мерки за мигрантите, включително мигрантите от трети държави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7 998 950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9 285 950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1 287 000</w:t>
            </w:r>
          </w:p>
        </w:tc>
      </w:tr>
      <w:tr>
        <w:trPr>
          <w:trHeight w:val="102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Предоставяне на качествена статистическа информация, внедряване на нови методи за изготвяне на европейски статистически данни и укрепване на партньорството в рамките на Европейската статистическа система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73 245 000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72 185 000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-1 060 000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Пилотни проекти и подготвителни действия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72 258 000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Дейности, финансирани съгласно прерогативите на Комисията и специфичните правомощия, предоставени на Комисията</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-1 210 000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Координация, надзор и комуникация, свързани с икономическия и паричен съюз, включително еврото</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11 730 000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Информация, консултиране и участие на представители на предприятия</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7 903 000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7 103 000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04 03 01 08</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Колективни трудови правоотношения и социален диалог</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06 02 05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Дейности за подкрепа на европейската транспортна политика и правата на пътниците, включително комуникационни дейности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12 860 000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1 360 000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Определяне и изпълнение на политиката на Съюза в областта на електронните комуникации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3 765 000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3 265 000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241 428 500</w:t>
            </w:r>
          </w:p>
        </w:tc>
      </w:tr>
    </w:tbl>
    <w:p>
      <w:pPr>
        <w:spacing w:before="240" w:line="240" w:lineRule="auto"/>
        <w:jc w:val="both"/>
        <w:rPr>
          <w:noProof/>
          <w:lang w:val="ru-RU"/>
        </w:rPr>
      </w:pPr>
      <w:r>
        <w:rPr>
          <w:noProof/>
          <w:lang w:val="ru-RU"/>
        </w:rPr>
        <w:t>В резултат на това се предлага равнището на бюджетните кредити за поети задължения да бъде определено на 23</w:t>
      </w:r>
      <w:r>
        <w:rPr>
          <w:noProof/>
        </w:rPr>
        <w:t> </w:t>
      </w:r>
      <w:r>
        <w:rPr>
          <w:noProof/>
          <w:lang w:val="ru-RU"/>
        </w:rPr>
        <w:t>145,4 милиона евро, без да се оставя марж под тавана на разходите по функция 1а и като се използва общият марж за поетите задължения за сума в размер на 63,4 милиона евро.</w:t>
      </w:r>
    </w:p>
    <w:p>
      <w:pPr>
        <w:spacing w:line="240" w:lineRule="auto"/>
        <w:jc w:val="both"/>
        <w:rPr>
          <w:noProof/>
          <w:spacing w:val="-6"/>
          <w:lang w:val="ru-RU"/>
        </w:rPr>
      </w:pPr>
      <w:r>
        <w:rPr>
          <w:noProof/>
          <w:spacing w:val="-6"/>
          <w:lang w:val="ru-RU"/>
        </w:rPr>
        <w:t>Освен бюджетните кредити, отменени през 2017</w:t>
      </w:r>
      <w:r>
        <w:rPr>
          <w:noProof/>
          <w:spacing w:val="-6"/>
        </w:rPr>
        <w:t> </w:t>
      </w:r>
      <w:r>
        <w:rPr>
          <w:noProof/>
          <w:spacing w:val="-6"/>
          <w:lang w:val="ru-RU"/>
        </w:rPr>
        <w:t>г. (412,8 милиона евро) в резултат на пълно или частично неизпълнение на научноизследователски проекти, и в съответствие с член</w:t>
      </w:r>
      <w:r>
        <w:rPr>
          <w:noProof/>
          <w:spacing w:val="-6"/>
        </w:rPr>
        <w:t> </w:t>
      </w:r>
      <w:r>
        <w:rPr>
          <w:noProof/>
          <w:spacing w:val="-6"/>
          <w:lang w:val="ru-RU"/>
        </w:rPr>
        <w:t>15, параграф 3 от Финансовия регламент</w:t>
      </w:r>
      <w:r>
        <w:rPr>
          <w:rStyle w:val="FootnoteReference"/>
          <w:noProof/>
          <w:spacing w:val="-6"/>
        </w:rPr>
        <w:footnoteReference w:id="14"/>
      </w:r>
      <w:r>
        <w:rPr>
          <w:noProof/>
          <w:spacing w:val="-6"/>
          <w:lang w:val="ru-RU"/>
        </w:rPr>
        <w:t>, който се прилага единствено по отношение на научните изследвания, Комисията предлага да предостави отново на разположение 100 милиона евро бюджетни кредити за поети задължения за подсилване на пилотната инициатива за Европейски съвет по иновациите в рамките на инструмента за МСП</w:t>
      </w:r>
      <w:r>
        <w:rPr>
          <w:rStyle w:val="FootnoteReference"/>
          <w:noProof/>
          <w:spacing w:val="-6"/>
        </w:rPr>
        <w:footnoteReference w:id="15"/>
      </w:r>
      <w:r>
        <w:rPr>
          <w:noProof/>
          <w:spacing w:val="-6"/>
          <w:lang w:val="ru-RU"/>
        </w:rPr>
        <w:t xml:space="preserve"> по бюджетен ред</w:t>
      </w:r>
      <w:r>
        <w:rPr>
          <w:noProof/>
          <w:spacing w:val="-6"/>
        </w:rPr>
        <w:t> </w:t>
      </w:r>
      <w:r>
        <w:rPr>
          <w:noProof/>
          <w:spacing w:val="-6"/>
          <w:lang w:val="ru-RU"/>
        </w:rPr>
        <w:t>08</w:t>
      </w:r>
      <w:r>
        <w:rPr>
          <w:noProof/>
          <w:spacing w:val="-6"/>
        </w:rPr>
        <w:t> </w:t>
      </w:r>
      <w:r>
        <w:rPr>
          <w:noProof/>
          <w:spacing w:val="-6"/>
          <w:lang w:val="ru-RU"/>
        </w:rPr>
        <w:t>02</w:t>
      </w:r>
      <w:r>
        <w:rPr>
          <w:noProof/>
          <w:spacing w:val="-6"/>
        </w:rPr>
        <w:t> </w:t>
      </w:r>
      <w:r>
        <w:rPr>
          <w:noProof/>
          <w:spacing w:val="-6"/>
          <w:lang w:val="ru-RU"/>
        </w:rPr>
        <w:t>08:</w:t>
      </w:r>
    </w:p>
    <w:tbl>
      <w:tblPr>
        <w:tblW w:w="10500" w:type="dxa"/>
        <w:tblInd w:w="108" w:type="dxa"/>
        <w:tblLook w:val="04A0" w:firstRow="1" w:lastRow="0" w:firstColumn="1" w:lastColumn="0" w:noHBand="0" w:noVBand="1"/>
      </w:tblPr>
      <w:tblGrid>
        <w:gridCol w:w="1240"/>
        <w:gridCol w:w="7800"/>
        <w:gridCol w:w="1460"/>
      </w:tblGrid>
      <w:tr>
        <w:trPr>
          <w:trHeight w:val="255"/>
        </w:trPr>
        <w:tc>
          <w:tcPr>
            <w:tcW w:w="10500" w:type="dxa"/>
            <w:gridSpan w:val="3"/>
            <w:tcBorders>
              <w:top w:val="nil"/>
              <w:left w:val="nil"/>
              <w:bottom w:val="single" w:sz="4" w:space="0" w:color="auto"/>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509"/>
        </w:trPr>
        <w:tc>
          <w:tcPr>
            <w:tcW w:w="124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780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1460" w:type="dxa"/>
            <w:tcBorders>
              <w:top w:val="nil"/>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16"/>
                <w:szCs w:val="16"/>
                <w:lang w:val="ru-RU"/>
              </w:rPr>
            </w:pPr>
            <w:r>
              <w:rPr>
                <w:b/>
                <w:noProof/>
                <w:color w:val="000000"/>
                <w:sz w:val="16"/>
                <w:lang w:val="ru-RU"/>
              </w:rPr>
              <w:t>Бюджетни кредити, които да бъдат предоставени отново</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1.1.31</w:t>
            </w:r>
          </w:p>
        </w:tc>
        <w:tc>
          <w:tcPr>
            <w:tcW w:w="7800" w:type="dxa"/>
            <w:tcBorders>
              <w:top w:val="single" w:sz="4" w:space="0" w:color="auto"/>
              <w:left w:val="nil"/>
              <w:bottom w:val="single" w:sz="4" w:space="0" w:color="auto"/>
              <w:right w:val="single" w:sz="4" w:space="0" w:color="auto"/>
            </w:tcBorders>
            <w:shd w:val="clear" w:color="000000" w:fill="F2F2F2"/>
            <w:vAlign w:val="center"/>
            <w:hideMark/>
          </w:tcPr>
          <w:p>
            <w:pPr>
              <w:spacing w:after="0" w:line="240" w:lineRule="auto"/>
              <w:rPr>
                <w:rFonts w:eastAsia="Times New Roman"/>
                <w:b/>
                <w:bCs/>
                <w:i/>
                <w:iCs/>
                <w:noProof/>
                <w:sz w:val="20"/>
                <w:szCs w:val="20"/>
              </w:rPr>
            </w:pPr>
            <w:r>
              <w:rPr>
                <w:b/>
                <w:i/>
                <w:noProof/>
                <w:sz w:val="20"/>
              </w:rPr>
              <w:t>„Хоризонт 2020“</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08 02 08</w:t>
            </w:r>
          </w:p>
        </w:tc>
        <w:tc>
          <w:tcPr>
            <w:tcW w:w="78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Инструмент за МСП</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780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100 000 000</w:t>
            </w:r>
          </w:p>
        </w:tc>
      </w:tr>
    </w:tbl>
    <w:p>
      <w:pPr>
        <w:spacing w:before="240"/>
        <w:rPr>
          <w:rFonts w:eastAsia="Times New Roman"/>
          <w:noProof/>
          <w:sz w:val="24"/>
          <w:szCs w:val="26"/>
          <w:lang w:val="ru-RU"/>
        </w:rPr>
      </w:pPr>
      <w:r>
        <w:rPr>
          <w:noProof/>
          <w:lang w:val="ru-RU"/>
        </w:rPr>
        <w:t>Предлага се забележката към бюджета да бъде съответно коригирана.</w:t>
      </w:r>
      <w:r>
        <w:rPr>
          <w:noProof/>
          <w:lang w:val="ru-RU"/>
        </w:rPr>
        <w:br w:type="page"/>
      </w:r>
    </w:p>
    <w:p>
      <w:pPr>
        <w:pStyle w:val="ManualHeading3"/>
        <w:rPr>
          <w:noProof/>
        </w:rPr>
      </w:pPr>
      <w:bookmarkStart w:id="39" w:name="_Toc530586720"/>
      <w:bookmarkStart w:id="40" w:name="_Toc530674104"/>
      <w:bookmarkStart w:id="41" w:name="_Toc531253450"/>
      <w:bookmarkEnd w:id="39"/>
      <w:r>
        <w:t>3.2.2.</w:t>
      </w:r>
      <w:r>
        <w:tab/>
      </w:r>
      <w:r>
        <w:rPr>
          <w:noProof/>
        </w:rPr>
        <w:t>Функция 1б — Икономическо, социално и териториално сближаване</w:t>
      </w:r>
      <w:bookmarkEnd w:id="40"/>
      <w:bookmarkEnd w:id="41"/>
    </w:p>
    <w:p>
      <w:pPr>
        <w:spacing w:line="240" w:lineRule="auto"/>
        <w:jc w:val="both"/>
        <w:rPr>
          <w:noProof/>
          <w:lang w:val="ru-RU"/>
        </w:rPr>
      </w:pPr>
      <w:r>
        <w:rPr>
          <w:noProof/>
          <w:lang w:val="ru-RU"/>
        </w:rPr>
        <w:t>За функция 1б се предлага бюджетните кредити за поети задължения да бъдат определени на нивото от първоначалния проектобюджет, изменен с писмо за внасяне на корекции №</w:t>
      </w:r>
      <w:r>
        <w:rPr>
          <w:noProof/>
        </w:rPr>
        <w:t> </w:t>
      </w:r>
      <w:r>
        <w:rPr>
          <w:noProof/>
          <w:lang w:val="ru-RU"/>
        </w:rPr>
        <w:t>1/2019, с измененията, включени в таблицата по-долу:</w:t>
      </w:r>
    </w:p>
    <w:tbl>
      <w:tblPr>
        <w:tblW w:w="10536" w:type="dxa"/>
        <w:tblInd w:w="108" w:type="dxa"/>
        <w:tblLook w:val="04A0" w:firstRow="1" w:lastRow="0" w:firstColumn="1" w:lastColumn="0" w:noHBand="0" w:noVBand="1"/>
      </w:tblPr>
      <w:tblGrid>
        <w:gridCol w:w="1240"/>
        <w:gridCol w:w="4940"/>
        <w:gridCol w:w="1480"/>
        <w:gridCol w:w="1631"/>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ru-RU"/>
              </w:rPr>
            </w:pPr>
            <w:r>
              <w:rPr>
                <w:b/>
                <w:noProof/>
                <w:sz w:val="20"/>
                <w:lang w:val="ru-RU"/>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ru-RU"/>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ПБ 2019 (вкл. ПВК №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Разлика</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1.2.31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Техническа помощ</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-1 744 903</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04 02 63 01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Европейски социален фонд — Оперативна техническа помощ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25 078 000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23 333 097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-1 744 903</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1.2.5</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Инициатива за младежка заетост (специални допълнителни средства)</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116 666 667</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04 02 64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Инициатива за младежка заетост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233 333 333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116 666 667</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1.2.PPPA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Пилотни проекти и подготвителни действия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3 675 000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118 596 764</w:t>
            </w:r>
          </w:p>
        </w:tc>
      </w:tr>
    </w:tbl>
    <w:p>
      <w:pPr>
        <w:spacing w:before="240" w:after="120"/>
        <w:jc w:val="both"/>
        <w:rPr>
          <w:noProof/>
          <w:lang w:val="ru-RU"/>
        </w:rPr>
      </w:pPr>
      <w:r>
        <w:rPr>
          <w:noProof/>
          <w:lang w:val="ru-RU"/>
        </w:rPr>
        <w:t>В резултат на това се предлага равнището на бюджетните кредити за поети задължения да бъде определено на 57</w:t>
      </w:r>
      <w:r>
        <w:rPr>
          <w:noProof/>
        </w:rPr>
        <w:t> </w:t>
      </w:r>
      <w:r>
        <w:rPr>
          <w:noProof/>
          <w:lang w:val="ru-RU"/>
        </w:rPr>
        <w:t>192,0 милиона евро, без да се оставя марж под тавана на разходите по функция 1б и като се използва общият марж за поетите задължения за сума в размер на 350,0 милиона евро.</w:t>
      </w:r>
    </w:p>
    <w:p>
      <w:pPr>
        <w:pStyle w:val="ManualHeading3"/>
        <w:rPr>
          <w:noProof/>
        </w:rPr>
      </w:pPr>
      <w:bookmarkStart w:id="42" w:name="_Toc530586722"/>
      <w:bookmarkStart w:id="43" w:name="_Ref340817102"/>
      <w:bookmarkStart w:id="44" w:name="_Toc530674105"/>
      <w:bookmarkStart w:id="45" w:name="_Toc531253451"/>
      <w:bookmarkEnd w:id="42"/>
      <w:r>
        <w:t>3.2.3.</w:t>
      </w:r>
      <w:r>
        <w:tab/>
      </w:r>
      <w:r>
        <w:rPr>
          <w:noProof/>
        </w:rPr>
        <w:t>Функция 2 — Устойчив растеж: природни ресурси</w:t>
      </w:r>
      <w:bookmarkEnd w:id="43"/>
      <w:bookmarkEnd w:id="44"/>
      <w:bookmarkEnd w:id="45"/>
    </w:p>
    <w:p>
      <w:pPr>
        <w:spacing w:line="240" w:lineRule="auto"/>
        <w:jc w:val="both"/>
        <w:rPr>
          <w:noProof/>
          <w:lang w:val="ru-RU"/>
        </w:rPr>
      </w:pPr>
      <w:r>
        <w:rPr>
          <w:noProof/>
          <w:lang w:val="ru-RU"/>
        </w:rPr>
        <w:t>За функция 2 се предлага бюджетните кредити за поети задължения да бъдат определени на нивото от първоначалния проектобюджет, изменен с писмо за внасяне на корекции №</w:t>
      </w:r>
      <w:r>
        <w:rPr>
          <w:noProof/>
          <w:lang w:val="en-GB"/>
        </w:rPr>
        <w:t> </w:t>
      </w:r>
      <w:r>
        <w:rPr>
          <w:noProof/>
          <w:lang w:val="ru-RU"/>
        </w:rPr>
        <w:t>1/2019, с измененията, включени в таблицата по-долу:</w:t>
      </w:r>
    </w:p>
    <w:tbl>
      <w:tblPr>
        <w:tblW w:w="10536" w:type="dxa"/>
        <w:tblInd w:w="108" w:type="dxa"/>
        <w:tblLook w:val="04A0" w:firstRow="1" w:lastRow="0" w:firstColumn="1" w:lastColumn="0" w:noHBand="0" w:noVBand="1"/>
      </w:tblPr>
      <w:tblGrid>
        <w:gridCol w:w="1240"/>
        <w:gridCol w:w="4940"/>
        <w:gridCol w:w="1480"/>
        <w:gridCol w:w="1631"/>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ru-RU"/>
              </w:rPr>
            </w:pPr>
            <w:r>
              <w:rPr>
                <w:b/>
                <w:noProof/>
                <w:sz w:val="20"/>
                <w:lang w:val="ru-RU"/>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ru-RU"/>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ПБ 2019 (вкл. ПВК №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Разлика</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Европейски фонд за гарантиране на земеделието (ЕФГЗ) — Разходи, свързани с пазара, и преки плащания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-237 500 000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05 02 06 99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Други мерки за маслиново масло</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05 02 15 99</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Други мерки за свинско месо, птиче месо, яйца, пчеларство, други животински продукти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05 03 01 10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Схема за основно плащане (СОП)</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16 464 000 000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16 211 000 000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2.0.4</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Програма за околната среда и действията по климата (</w:t>
            </w:r>
            <w:r>
              <w:rPr>
                <w:b/>
                <w:i/>
                <w:noProof/>
                <w:sz w:val="20"/>
              </w:rPr>
              <w:t>LIFE</w:t>
            </w:r>
            <w:r>
              <w:rPr>
                <w:b/>
                <w:i/>
                <w:noProof/>
                <w:sz w:val="20"/>
                <w:lang w:val="ru-RU"/>
              </w:rPr>
              <w:t>)</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Принос за преминаване към по-екологосъобразна икономика с по-ефективно използване на ресурсите и за разработване и прилагане на политиката и законодателството на Съюза в областта на околната среда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148 835 000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150 335 000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Спиране и обръщане процеса на загуба на биологично разнообразие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211 620 000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213 620 000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07 02 03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Подкрепа за по-добро управление, свързано с околната среда, и по-добра информация на всички равнища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47 500 000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2.0.PPPA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Пилотни проекти и подготвителни действия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13 500 000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-220 000 000</w:t>
            </w:r>
          </w:p>
        </w:tc>
      </w:tr>
    </w:tbl>
    <w:p>
      <w:pPr>
        <w:spacing w:before="240" w:after="120"/>
        <w:jc w:val="both"/>
        <w:rPr>
          <w:noProof/>
          <w:lang w:val="ru-RU"/>
        </w:rPr>
      </w:pPr>
      <w:r>
        <w:rPr>
          <w:noProof/>
          <w:lang w:val="ru-RU"/>
        </w:rPr>
        <w:t>Намалението на бюджетните кредити за поети задължения се дължи изцяло на по-високите целеви приходи, породени от излишъка по ЕФГЗ от 31 октомври 2018</w:t>
      </w:r>
      <w:r>
        <w:rPr>
          <w:noProof/>
        </w:rPr>
        <w:t> </w:t>
      </w:r>
      <w:r>
        <w:rPr>
          <w:noProof/>
          <w:lang w:val="ru-RU"/>
        </w:rPr>
        <w:t>г., които ще покрият напълно потребностите на сектора, актуализирани с писмо за внасяне на корекции №</w:t>
      </w:r>
      <w:r>
        <w:rPr>
          <w:noProof/>
        </w:rPr>
        <w:t> </w:t>
      </w:r>
      <w:r>
        <w:rPr>
          <w:noProof/>
          <w:lang w:val="ru-RU"/>
        </w:rPr>
        <w:t xml:space="preserve">1/2019. </w:t>
      </w:r>
    </w:p>
    <w:p>
      <w:pPr>
        <w:spacing w:before="240" w:after="120"/>
        <w:jc w:val="both"/>
        <w:rPr>
          <w:noProof/>
          <w:lang w:val="ru-RU"/>
        </w:rPr>
      </w:pPr>
      <w:r>
        <w:rPr>
          <w:noProof/>
          <w:lang w:val="ru-RU"/>
        </w:rPr>
        <w:t>В резултат на това се предлага равнището на бюджетните кредити за поети задължения да бъде определено на 59</w:t>
      </w:r>
      <w:r>
        <w:rPr>
          <w:noProof/>
        </w:rPr>
        <w:t> </w:t>
      </w:r>
      <w:r>
        <w:rPr>
          <w:noProof/>
          <w:lang w:val="ru-RU"/>
        </w:rPr>
        <w:t>642,1 милиона евро, което се остави марж от 701,9 милиона евро под тавана на разходите по функция 2.</w:t>
      </w:r>
    </w:p>
    <w:p>
      <w:pPr>
        <w:pStyle w:val="ManualHeading3"/>
        <w:rPr>
          <w:noProof/>
        </w:rPr>
      </w:pPr>
      <w:bookmarkStart w:id="46" w:name="_Toc530674106"/>
      <w:bookmarkStart w:id="47" w:name="_Toc531253452"/>
      <w:r>
        <w:t>3.2.4.</w:t>
      </w:r>
      <w:r>
        <w:tab/>
      </w:r>
      <w:r>
        <w:rPr>
          <w:noProof/>
        </w:rPr>
        <w:t>Функция 3 — Сигурност и гражданство</w:t>
      </w:r>
      <w:bookmarkEnd w:id="46"/>
      <w:bookmarkEnd w:id="47"/>
    </w:p>
    <w:p>
      <w:pPr>
        <w:spacing w:line="240" w:lineRule="auto"/>
        <w:jc w:val="both"/>
        <w:rPr>
          <w:noProof/>
          <w:lang w:val="ru-RU"/>
        </w:rPr>
      </w:pPr>
      <w:r>
        <w:rPr>
          <w:noProof/>
          <w:lang w:val="ru-RU"/>
        </w:rPr>
        <w:t>За функция 3 се предлага бюджетните кредити за поети задължения да бъдат определени на нивото от първоначалния проектобюджет, изменен с писмо за внасяне на корекции №</w:t>
      </w:r>
      <w:r>
        <w:rPr>
          <w:noProof/>
          <w:lang w:val="en-GB"/>
        </w:rPr>
        <w:t> </w:t>
      </w:r>
      <w:r>
        <w:rPr>
          <w:noProof/>
          <w:lang w:val="ru-RU"/>
        </w:rPr>
        <w:t>1/2019, с измененията, включени в таблицата по-долу:</w:t>
      </w:r>
    </w:p>
    <w:tbl>
      <w:tblPr>
        <w:tblW w:w="10536" w:type="dxa"/>
        <w:tblInd w:w="108" w:type="dxa"/>
        <w:tblLook w:val="04A0" w:firstRow="1" w:lastRow="0" w:firstColumn="1" w:lastColumn="0" w:noHBand="0" w:noVBand="1"/>
      </w:tblPr>
      <w:tblGrid>
        <w:gridCol w:w="1240"/>
        <w:gridCol w:w="4940"/>
        <w:gridCol w:w="1480"/>
        <w:gridCol w:w="1631"/>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ru-RU"/>
              </w:rPr>
            </w:pPr>
            <w:r>
              <w:rPr>
                <w:b/>
                <w:noProof/>
                <w:sz w:val="20"/>
                <w:lang w:val="ru-RU"/>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ru-RU"/>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ПБ 2019 (вкл. ПВК №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Разлика</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„Творческа Европа“</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09 05 01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Подпрограма „МЕДИА“ — действия на транснационално и международно равнище и насърчаване на транснационалното разпространение и мобилност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117 260 000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120 260 000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Фонд „Вътрешна сигурност“</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Подкрепа за управлението на границата и обща визова политика за улесняване на законното пътуване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330 317 547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335 317 547</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3.0.8</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Храни и фуражи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-8 000 000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17 04 01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Осигуряване на по-висок здравен статус на животните и висока степен на защита на животните в Съюза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163 500 000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155 500 000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3.0.DAG</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Децентрализирани агенции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-42 285 000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Агенция на Европейския съюз за сътрудничество в областта на правоприлагането (Европол)</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128 789 065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137 146 565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8 357 500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18 02 07</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Европейска агенция за оперативното управление на широкомащабни информационни системи в областта на свободата, сигурността и правосъдието (</w:t>
            </w:r>
            <w:r>
              <w:rPr>
                <w:noProof/>
                <w:sz w:val="20"/>
              </w:rPr>
              <w:t>eu</w:t>
            </w:r>
            <w:r>
              <w:rPr>
                <w:noProof/>
                <w:sz w:val="20"/>
                <w:lang w:val="ru-RU"/>
              </w:rPr>
              <w:t>-</w:t>
            </w:r>
            <w:r>
              <w:rPr>
                <w:noProof/>
                <w:sz w:val="20"/>
              </w:rPr>
              <w:t>LISA</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291 350 509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295 350 509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18 03 02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Европейска служба за подкрепа в областта на убежището (</w:t>
            </w:r>
            <w:r>
              <w:rPr>
                <w:noProof/>
                <w:sz w:val="20"/>
              </w:rPr>
              <w:t>EASO</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149 032 843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94 032 843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33 03 04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Европейско звено за съдебно сътрудничество (Евроюст)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37 316 059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37 673 559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357 500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Пилотни проекти и подготвителни действия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15 075 000</w:t>
            </w:r>
          </w:p>
        </w:tc>
      </w:tr>
      <w:tr>
        <w:trPr>
          <w:trHeight w:val="81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3.0.SPEC</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Дейности, финансирани съгласно прерогативите на Комисията и специфичните правомощия, предоставени на Комисията</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09 05 05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Мултимедийни действия</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20 346 000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23 546 000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16 03 01 03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Информационни центрове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15 600 000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-24 210 000</w:t>
            </w:r>
          </w:p>
        </w:tc>
      </w:tr>
    </w:tbl>
    <w:p>
      <w:pPr>
        <w:spacing w:before="240" w:line="240" w:lineRule="auto"/>
        <w:jc w:val="both"/>
        <w:rPr>
          <w:noProof/>
          <w:lang w:val="ru-RU"/>
        </w:rPr>
      </w:pPr>
      <w:r>
        <w:rPr>
          <w:noProof/>
          <w:lang w:val="ru-RU"/>
        </w:rPr>
        <w:t>В резултат на това се предлага равнището на бюджетните кредити за поети задължения да бъде определено на 3</w:t>
      </w:r>
      <w:r>
        <w:rPr>
          <w:noProof/>
        </w:rPr>
        <w:t> </w:t>
      </w:r>
      <w:r>
        <w:rPr>
          <w:noProof/>
          <w:lang w:val="ru-RU"/>
        </w:rPr>
        <w:t>786,6 милиона евро, без да се оставя марж под тавана на разходите по функция 3 и като се мобилизира Инструментът за гъвкавост за сума в размер на 985,6 милиона евро.</w:t>
      </w:r>
    </w:p>
    <w:p>
      <w:pPr>
        <w:pStyle w:val="ManualHeading3"/>
        <w:rPr>
          <w:noProof/>
        </w:rPr>
      </w:pPr>
      <w:bookmarkStart w:id="48" w:name="_Toc530674107"/>
      <w:bookmarkStart w:id="49" w:name="_Toc531253453"/>
      <w:r>
        <w:t>3.2.5.</w:t>
      </w:r>
      <w:r>
        <w:tab/>
      </w:r>
      <w:r>
        <w:rPr>
          <w:noProof/>
        </w:rPr>
        <w:t>Функция 4 — Глобална Европа</w:t>
      </w:r>
      <w:bookmarkEnd w:id="48"/>
      <w:bookmarkEnd w:id="49"/>
    </w:p>
    <w:p>
      <w:pPr>
        <w:spacing w:line="240" w:lineRule="auto"/>
        <w:jc w:val="both"/>
        <w:rPr>
          <w:noProof/>
          <w:lang w:val="ru-RU"/>
        </w:rPr>
      </w:pPr>
      <w:r>
        <w:rPr>
          <w:noProof/>
          <w:lang w:val="ru-RU"/>
        </w:rPr>
        <w:t>За функция 4 се предлага бюджетните кредити за поети задължения да бъдат определени на нивото от първоначалния проектобюджет, изменен с писмо за внасяне на корекции №</w:t>
      </w:r>
      <w:r>
        <w:rPr>
          <w:noProof/>
          <w:lang w:val="en-GB"/>
        </w:rPr>
        <w:t> </w:t>
      </w:r>
      <w:r>
        <w:rPr>
          <w:noProof/>
          <w:lang w:val="ru-RU"/>
        </w:rPr>
        <w:t>1/2019, с измененията, включени в таблицата по-долу:</w:t>
      </w:r>
    </w:p>
    <w:tbl>
      <w:tblPr>
        <w:tblW w:w="10536" w:type="dxa"/>
        <w:tblInd w:w="108" w:type="dxa"/>
        <w:tblLook w:val="04A0" w:firstRow="1" w:lastRow="0" w:firstColumn="1" w:lastColumn="0" w:noHBand="0" w:noVBand="1"/>
      </w:tblPr>
      <w:tblGrid>
        <w:gridCol w:w="1240"/>
        <w:gridCol w:w="4940"/>
        <w:gridCol w:w="1480"/>
        <w:gridCol w:w="1631"/>
        <w:gridCol w:w="1396"/>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4940"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ru-RU"/>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rPr>
            </w:pPr>
            <w:r>
              <w:rPr>
                <w:i/>
                <w:noProof/>
                <w:sz w:val="20"/>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rPr>
            </w:pPr>
            <w:r>
              <w:rPr>
                <w:b/>
                <w:noProof/>
                <w:color w:val="000000"/>
                <w:sz w:val="16"/>
              </w:rPr>
              <w:t>Бюджетен ред/Програма</w:t>
            </w:r>
          </w:p>
        </w:tc>
        <w:tc>
          <w:tcPr>
            <w:tcW w:w="494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ru-RU"/>
              </w:rPr>
            </w:pPr>
            <w:r>
              <w:rPr>
                <w:b/>
                <w:noProof/>
                <w:sz w:val="20"/>
                <w:lang w:val="ru-RU"/>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ru-RU"/>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ПБ 2019 (вкл. ПВК № 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rPr>
            </w:pPr>
            <w:r>
              <w:rPr>
                <w:b/>
                <w:noProof/>
                <w:color w:val="000000"/>
                <w:sz w:val="20"/>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rPr>
            </w:pPr>
            <w:r>
              <w:rPr>
                <w:b/>
                <w:noProof/>
                <w:color w:val="000000"/>
                <w:sz w:val="20"/>
              </w:rPr>
              <w:t>Разлика</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 xml:space="preserve">Инструмент за предприсъединителна помощ (ИПП </w:t>
            </w:r>
            <w:r>
              <w:rPr>
                <w:b/>
                <w:i/>
                <w:noProof/>
                <w:sz w:val="20"/>
              </w:rPr>
              <w:t>II</w:t>
            </w:r>
            <w:r>
              <w:rPr>
                <w:b/>
                <w:i/>
                <w:noProof/>
                <w:sz w:val="20"/>
                <w:lang w:val="ru-RU"/>
              </w:rPr>
              <w:t>)</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-138 700 000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05 05 04 02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Турция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56 800 000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-16 800 000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Западни Балкани — Подкрепа за политическите реформи, както и за постепенното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189 267 000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193 267 000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Западни Балкани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306 439 000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310 439 000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Турция — Подкрепа за политическите реформи, както и за постепенното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244 100 000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-84 100 000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22 02 03 02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Турция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944 500 000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898 700 000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-45 800 000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4.0.10</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Макрофинансова помощ (МФП)</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01 03 02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Макрофинансова помощ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-15 000 000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4.0.11</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Гаранционен фонд за външни дейности (ГФ)</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-48 222 935</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01 03 06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Обезпечаване на Гаранционния фонд за външни дейности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48 222 935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-48 222 935</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4.0.2</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Европейски инструмент за съседство (ЕИС)</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97 119 000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Средиземноморски страни — Права на човека, добро управление и мобилност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125 838 308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133 923 308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Средиземноморски страни — Намаляване на бедността и устойчиво развитие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629 108 985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668 160 985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39 052 000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Средиземноморски страни — Укрепване на доверието, сигурност, предотвратяване и уреждане на конфликти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415 324 409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423 718 409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8 394 000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22 04 01 04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Подкрепа на мирния процес и финансова помощ за Палестина и за Агенцията на ООН за подпомагане и строителство за палестинските бежанци в Близкия изток (</w:t>
            </w:r>
            <w:r>
              <w:rPr>
                <w:noProof/>
                <w:sz w:val="20"/>
              </w:rPr>
              <w:t>UNRWA</w:t>
            </w:r>
            <w:r>
              <w:rPr>
                <w:noProof/>
                <w:sz w:val="20"/>
                <w:lang w:val="ru-RU"/>
              </w:rPr>
              <w: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308 811 939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329 811 939</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Източно партньорство — Права на човека, добро управление и мобилност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241 931 953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250 016 953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8 085 000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Източно партньорство — Намаляване на бедността и устойчиво развитие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371 016 900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380 730 900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9 714 000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22 04 02 03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Източно партньорство</w:t>
            </w:r>
            <w:r>
              <w:rPr>
                <w:noProof/>
                <w:sz w:val="20"/>
              </w:rPr>
              <w:t> </w:t>
            </w:r>
            <w:r>
              <w:rPr>
                <w:noProof/>
                <w:sz w:val="20"/>
                <w:lang w:val="ru-RU"/>
              </w:rPr>
              <w:t>—</w:t>
            </w:r>
            <w:r>
              <w:rPr>
                <w:noProof/>
                <w:sz w:val="20"/>
              </w:rPr>
              <w:t> </w:t>
            </w:r>
            <w:r>
              <w:rPr>
                <w:noProof/>
                <w:sz w:val="20"/>
                <w:lang w:val="ru-RU"/>
              </w:rPr>
              <w:t>Укрепване на доверието, сигурност, предотвратяване и уреждане на конфликти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12 231 062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12 770 062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539 000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22 04 20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„Еразъм +“ — Вноски от Европейския инструмент за съседство (ЕИС)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84 544 000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86 794 000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4.0.3</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Инструмент за сътрудничество за развитие (ИСР)</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31 556 000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Сътрудничество с Азия</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810 388 665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794 388 665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21 02 04</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Сътрудничество с Близкия изток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194 531 328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178 531 328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-16 000 000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Околна среда и изменение на климата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215 593 156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224 576 156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8 983 000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21 02 07 02</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Устойчива енергетика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95 819 181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99 412 181</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3 593 000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21 02 07 03</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Човешко развитие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205 589 346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238 149 346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32 560 000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21 02 07 05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rPr>
            </w:pPr>
            <w:r>
              <w:rPr>
                <w:noProof/>
                <w:sz w:val="20"/>
              </w:rPr>
              <w:t>Миграция и убежище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54 951 845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56 748 845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1 797 000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21 02 08 01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Гражданското общество в процеса на развитие</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219 626 756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230 999 756</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11 373 000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21 02 20</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„Еразъм+“ — Вноски от инструмента за сътрудничество за развитие (ИСР)</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98 638 290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103 888 290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5 250 000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4.0.OTH</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rPr>
            </w:pPr>
            <w:r>
              <w:rPr>
                <w:b/>
                <w:i/>
                <w:noProof/>
                <w:sz w:val="20"/>
              </w:rPr>
              <w:t>Други дейности и програми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2 000 000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rPr>
            </w:pPr>
            <w:r>
              <w:rPr>
                <w:noProof/>
                <w:sz w:val="20"/>
              </w:rPr>
              <w:t>13 07 01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ru-RU"/>
              </w:rPr>
            </w:pPr>
            <w:r>
              <w:rPr>
                <w:noProof/>
                <w:sz w:val="20"/>
                <w:lang w:val="ru-RU"/>
              </w:rPr>
              <w:t>Финансова подкрепа за насърчаване на икономическото развитие на турската кипърска общност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33 122 000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35 122 000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rPr>
            </w:pPr>
            <w:r>
              <w:rPr>
                <w:noProof/>
                <w:sz w:val="20"/>
              </w:rPr>
              <w:t>2 000 000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rPr>
            </w:pPr>
            <w:r>
              <w:rPr>
                <w:b/>
                <w:i/>
                <w:noProof/>
                <w:sz w:val="20"/>
              </w:rPr>
              <w:t>4.0.PPPA</w:t>
            </w:r>
          </w:p>
        </w:tc>
        <w:tc>
          <w:tcPr>
            <w:tcW w:w="4940"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ru-RU"/>
              </w:rPr>
            </w:pPr>
            <w:r>
              <w:rPr>
                <w:b/>
                <w:i/>
                <w:noProof/>
                <w:sz w:val="20"/>
                <w:lang w:val="ru-RU"/>
              </w:rPr>
              <w:t>Пилотни проекти и подготвителни действия</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ru-RU"/>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rPr>
            </w:pPr>
            <w:r>
              <w:rPr>
                <w:b/>
                <w:i/>
                <w:noProof/>
                <w:sz w:val="20"/>
              </w:rPr>
              <w:t>6 325 000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rPr>
            </w:pPr>
          </w:p>
        </w:tc>
        <w:tc>
          <w:tcPr>
            <w:tcW w:w="494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rPr>
            </w:pPr>
            <w:r>
              <w:rPr>
                <w:b/>
                <w:noProof/>
                <w:sz w:val="20"/>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rPr>
            </w:pPr>
            <w:r>
              <w:rPr>
                <w:b/>
                <w:noProof/>
                <w:sz w:val="20"/>
              </w:rPr>
              <w:t>-64 922 935</w:t>
            </w:r>
          </w:p>
        </w:tc>
      </w:tr>
    </w:tbl>
    <w:p>
      <w:pPr>
        <w:spacing w:before="240" w:line="240" w:lineRule="auto"/>
        <w:jc w:val="both"/>
        <w:rPr>
          <w:noProof/>
          <w:lang w:val="ru-RU"/>
        </w:rPr>
      </w:pPr>
      <w:r>
        <w:rPr>
          <w:noProof/>
          <w:lang w:val="ru-RU"/>
        </w:rPr>
        <w:t>В резултат на това се предлага равнището на бюджетните кредити за поети задължения да бъде определено на 11</w:t>
      </w:r>
      <w:r>
        <w:rPr>
          <w:noProof/>
        </w:rPr>
        <w:t> </w:t>
      </w:r>
      <w:r>
        <w:rPr>
          <w:noProof/>
          <w:lang w:val="ru-RU"/>
        </w:rPr>
        <w:t>319,3 милиона евро, без да се оставя марж под тавана на разходите по функция 4 и като се използва общият марж за поетите задължения за сума в размер на 1</w:t>
      </w:r>
      <w:r>
        <w:rPr>
          <w:noProof/>
        </w:rPr>
        <w:t> </w:t>
      </w:r>
      <w:r>
        <w:rPr>
          <w:noProof/>
          <w:lang w:val="ru-RU"/>
        </w:rPr>
        <w:t>051,3 милиона евро.</w:t>
      </w:r>
    </w:p>
    <w:p>
      <w:pPr>
        <w:keepNext/>
        <w:numPr>
          <w:ilvl w:val="2"/>
          <w:numId w:val="14"/>
        </w:numPr>
        <w:tabs>
          <w:tab w:val="clear" w:pos="850"/>
          <w:tab w:val="num" w:pos="360"/>
        </w:tabs>
        <w:spacing w:before="120" w:after="120" w:line="240" w:lineRule="auto"/>
        <w:ind w:left="0" w:firstLine="0"/>
        <w:jc w:val="both"/>
        <w:outlineLvl w:val="2"/>
        <w:rPr>
          <w:rFonts w:eastAsia="Times New Roman"/>
          <w:bCs/>
          <w:i/>
          <w:noProof/>
          <w:sz w:val="24"/>
          <w:szCs w:val="26"/>
          <w:lang w:val="bg-BG" w:eastAsia="bg-BG" w:bidi="bg-BG"/>
        </w:rPr>
      </w:pPr>
      <w:bookmarkStart w:id="50" w:name="_Toc531253454"/>
      <w:bookmarkEnd w:id="1"/>
      <w:bookmarkEnd w:id="2"/>
      <w:r>
        <w:rPr>
          <w:rFonts w:eastAsia="Times New Roman"/>
          <w:bCs/>
          <w:i/>
          <w:noProof/>
          <w:sz w:val="24"/>
          <w:szCs w:val="26"/>
          <w:lang w:val="bg-BG" w:eastAsia="bg-BG" w:bidi="bg-BG"/>
        </w:rPr>
        <w:t>Функция 5 — Администрация</w:t>
      </w:r>
      <w:bookmarkEnd w:id="50"/>
    </w:p>
    <w:p>
      <w:pPr>
        <w:spacing w:before="120"/>
        <w:jc w:val="both"/>
        <w:rPr>
          <w:noProof/>
          <w:lang w:val="bg-BG" w:eastAsia="bg-BG" w:bidi="bg-BG"/>
        </w:rPr>
      </w:pPr>
      <w:r>
        <w:rPr>
          <w:noProof/>
          <w:lang w:val="bg-BG" w:eastAsia="bg-BG" w:bidi="bg-BG"/>
        </w:rPr>
        <w:t>За функция 5 се предлага броят на длъжностите в щатните разписания на институциите и размерът на бюджетните кредити да се определи на равнището, посочено в първоначалния проектобюджет, изменен с писмо за внасяне на корекции № 1/2019, със следните изключения:</w:t>
      </w:r>
    </w:p>
    <w:p>
      <w:pPr>
        <w:numPr>
          <w:ilvl w:val="0"/>
          <w:numId w:val="38"/>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Разделът за Парламента, за който неговото четене на първоначалния проектобюджет е одобрено, като са взети предвид корекциите, включени в писмото за внасяне на корекции № 1/2019 относно Органа за европейските политически партии и европейските политически асоциации.</w:t>
      </w:r>
    </w:p>
    <w:p>
      <w:pPr>
        <w:numPr>
          <w:ilvl w:val="0"/>
          <w:numId w:val="38"/>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Разделът за Съвета, за който неговото четене на първоначалния проектобюджет е одобрено;</w:t>
      </w:r>
    </w:p>
    <w:p>
      <w:pPr>
        <w:numPr>
          <w:ilvl w:val="0"/>
          <w:numId w:val="38"/>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Разделът за Европейския надзорен орган по защита на данните, за който четенето на Съвета на първоначалния проектобюджет е одобрено.</w:t>
      </w:r>
    </w:p>
    <w:p>
      <w:pPr>
        <w:spacing w:before="120" w:after="120"/>
        <w:jc w:val="both"/>
        <w:rPr>
          <w:noProof/>
          <w:lang w:val="bg-BG" w:eastAsia="bg-BG" w:bidi="bg-BG"/>
        </w:rPr>
      </w:pPr>
      <w:r>
        <w:rPr>
          <w:noProof/>
          <w:lang w:val="bg-BG" w:eastAsia="bg-BG" w:bidi="bg-BG"/>
        </w:rPr>
        <w:t>Освен това се предлагат следните изменения на броя на длъжностите в щатните разписания и бюджетните кредити, включени в първоначалния проектобюджет, изменен с писмо за внасяне на корекции № 1/2019, за следните институции:</w:t>
      </w:r>
    </w:p>
    <w:p>
      <w:pPr>
        <w:numPr>
          <w:ilvl w:val="0"/>
          <w:numId w:val="38"/>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Разделът за Съда на Европейския съюз, за който се предлага да бъдат разпределени 5 допълнителни щатни бройки</w:t>
      </w:r>
      <w:r>
        <w:rPr>
          <w:rFonts w:eastAsia="Times New Roman"/>
          <w:noProof/>
          <w:szCs w:val="24"/>
          <w:vertAlign w:val="superscript"/>
          <w:lang w:val="bg-BG" w:eastAsia="bg-BG" w:bidi="bg-BG"/>
        </w:rPr>
        <w:footnoteReference w:id="16"/>
      </w:r>
      <w:r>
        <w:rPr>
          <w:rFonts w:eastAsia="Times New Roman"/>
          <w:noProof/>
          <w:szCs w:val="24"/>
          <w:lang w:val="bg-BG" w:eastAsia="bg-BG" w:bidi="bg-BG"/>
        </w:rPr>
        <w:t xml:space="preserve">, а равнището на бюджетните кредити за поети задължения да бъде увеличено с 415 016 евро (246 875 евро за бюджетен ред 1 2 0 0 </w:t>
      </w:r>
      <w:r>
        <w:rPr>
          <w:rFonts w:eastAsia="Times New Roman"/>
          <w:i/>
          <w:noProof/>
          <w:szCs w:val="24"/>
          <w:lang w:val="bg-BG" w:eastAsia="bg-BG" w:bidi="bg-BG"/>
        </w:rPr>
        <w:t xml:space="preserve">Възнаграждения и обезщетения </w:t>
      </w:r>
      <w:r>
        <w:rPr>
          <w:rFonts w:eastAsia="Times New Roman"/>
          <w:noProof/>
          <w:szCs w:val="24"/>
          <w:lang w:val="bg-BG" w:eastAsia="bg-BG" w:bidi="bg-BG"/>
        </w:rPr>
        <w:t xml:space="preserve">и 168 141 евро за бюджетен ред 2 1 0 0 </w:t>
      </w:r>
      <w:r>
        <w:rPr>
          <w:rFonts w:eastAsia="Times New Roman"/>
          <w:i/>
          <w:noProof/>
          <w:szCs w:val="24"/>
          <w:lang w:val="bg-BG" w:eastAsia="bg-BG" w:bidi="bg-BG"/>
        </w:rPr>
        <w:t>Покупка, поддръжка и ремонт на оборудване и софтуерни продукти</w:t>
      </w:r>
      <w:r>
        <w:rPr>
          <w:rFonts w:eastAsia="Times New Roman"/>
          <w:noProof/>
          <w:szCs w:val="24"/>
          <w:lang w:val="bg-BG" w:eastAsia="bg-BG" w:bidi="bg-BG"/>
        </w:rPr>
        <w:t>);</w:t>
      </w:r>
    </w:p>
    <w:p>
      <w:pPr>
        <w:numPr>
          <w:ilvl w:val="0"/>
          <w:numId w:val="38"/>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 xml:space="preserve">Разделът за Европейската служба за външна дейност, за която се предлага равнището на бюджетните кредити за поети задължения и за плащания да бъде намалено с 3 050 000 евро, което представлява комбинирания резултат от предложено увеличение в размер на 1 200 000 евро за бюджетен ред 2 2 1 4 </w:t>
      </w:r>
      <w:r>
        <w:rPr>
          <w:rFonts w:eastAsia="Times New Roman"/>
          <w:i/>
          <w:noProof/>
          <w:szCs w:val="24"/>
          <w:lang w:val="bg-BG" w:eastAsia="bg-BG" w:bidi="bg-BG"/>
        </w:rPr>
        <w:t>Капацитет за стратегическа комуникация</w:t>
      </w:r>
      <w:r>
        <w:rPr>
          <w:rFonts w:eastAsia="Times New Roman"/>
          <w:noProof/>
          <w:szCs w:val="24"/>
          <w:lang w:val="bg-BG" w:eastAsia="bg-BG" w:bidi="bg-BG"/>
        </w:rPr>
        <w:t xml:space="preserve"> и предложени намаления в размер на - 4 250 000 евро на следните бюджетни редове: 1 1 0 0 </w:t>
      </w:r>
      <w:r>
        <w:rPr>
          <w:rFonts w:eastAsia="Times New Roman"/>
          <w:i/>
          <w:noProof/>
          <w:szCs w:val="24"/>
          <w:lang w:val="bg-BG" w:eastAsia="bg-BG" w:bidi="bg-BG"/>
        </w:rPr>
        <w:t>Основни заплати</w:t>
      </w:r>
      <w:r>
        <w:rPr>
          <w:rFonts w:eastAsia="Times New Roman"/>
          <w:noProof/>
          <w:szCs w:val="24"/>
          <w:lang w:val="bg-BG" w:eastAsia="bg-BG" w:bidi="bg-BG"/>
        </w:rPr>
        <w:t xml:space="preserve"> (- 3 280 000 евро), 1 1 0 1 </w:t>
      </w:r>
      <w:r>
        <w:rPr>
          <w:rFonts w:eastAsia="Times New Roman"/>
          <w:i/>
          <w:noProof/>
          <w:szCs w:val="24"/>
          <w:lang w:val="bg-BG" w:eastAsia="bg-BG" w:bidi="bg-BG"/>
        </w:rPr>
        <w:t>Права според Правилника за длъжностните лица, свързани със заеманата длъжност</w:t>
      </w:r>
      <w:r>
        <w:rPr>
          <w:rFonts w:eastAsia="Times New Roman"/>
          <w:noProof/>
          <w:szCs w:val="24"/>
          <w:lang w:val="bg-BG" w:eastAsia="bg-BG" w:bidi="bg-BG"/>
        </w:rPr>
        <w:t xml:space="preserve"> (- 10 000 евро), 1 1 0 2 </w:t>
      </w:r>
      <w:r>
        <w:rPr>
          <w:rFonts w:eastAsia="Times New Roman"/>
          <w:i/>
          <w:noProof/>
          <w:szCs w:val="24"/>
          <w:lang w:val="bg-BG" w:eastAsia="bg-BG" w:bidi="bg-BG"/>
        </w:rPr>
        <w:t>Права според Правилника за длъжностните лица, свързани с личното положение на служителя</w:t>
      </w:r>
      <w:r>
        <w:rPr>
          <w:rFonts w:eastAsia="Times New Roman"/>
          <w:noProof/>
          <w:szCs w:val="24"/>
          <w:lang w:val="bg-BG" w:eastAsia="bg-BG" w:bidi="bg-BG"/>
        </w:rPr>
        <w:t xml:space="preserve"> (- 840 000 евро) и 1 1 0 3 </w:t>
      </w:r>
      <w:r>
        <w:rPr>
          <w:rFonts w:eastAsia="Times New Roman"/>
          <w:i/>
          <w:noProof/>
          <w:szCs w:val="24"/>
          <w:lang w:val="bg-BG" w:eastAsia="bg-BG" w:bidi="bg-BG"/>
        </w:rPr>
        <w:t>Разходи за социално осигуряване</w:t>
      </w:r>
      <w:r>
        <w:rPr>
          <w:rFonts w:eastAsia="Times New Roman"/>
          <w:noProof/>
          <w:szCs w:val="24"/>
          <w:lang w:val="bg-BG" w:eastAsia="bg-BG" w:bidi="bg-BG"/>
        </w:rPr>
        <w:t xml:space="preserve"> (- 120 000 евро).</w:t>
      </w:r>
    </w:p>
    <w:p>
      <w:pPr>
        <w:spacing w:before="120" w:after="120"/>
        <w:jc w:val="both"/>
        <w:rPr>
          <w:noProof/>
          <w:lang w:val="bg-BG" w:eastAsia="bg-BG" w:bidi="bg-BG"/>
        </w:rPr>
      </w:pPr>
      <w:r>
        <w:rPr>
          <w:noProof/>
          <w:lang w:val="bg-BG" w:eastAsia="bg-BG" w:bidi="bg-BG"/>
        </w:rPr>
        <w:t>Предлага се отражението в бюджета за 2019 година на автоматичната актуализация на заплатите, която следва да се приложи считано от 1 юли 2018 г. (1,7 % вместо 2,0 %), да бъде включена във всички раздели на проектобюджета, както следва:</w:t>
      </w:r>
    </w:p>
    <w:tbl>
      <w:tblPr>
        <w:tblW w:w="5152" w:type="dxa"/>
        <w:jc w:val="center"/>
        <w:tblCellMar>
          <w:left w:w="0" w:type="dxa"/>
          <w:right w:w="0" w:type="dxa"/>
        </w:tblCellMar>
        <w:tblLook w:val="04A0" w:firstRow="1" w:lastRow="0" w:firstColumn="1" w:lastColumn="0" w:noHBand="0" w:noVBand="1"/>
      </w:tblPr>
      <w:tblGrid>
        <w:gridCol w:w="3910"/>
        <w:gridCol w:w="1258"/>
      </w:tblGrid>
      <w:tr>
        <w:trPr>
          <w:trHeight w:val="255"/>
          <w:jc w:val="center"/>
        </w:trPr>
        <w:tc>
          <w:tcPr>
            <w:tcW w:w="3910" w:type="dxa"/>
            <w:tcBorders>
              <w:top w:val="nil"/>
              <w:left w:val="nil"/>
              <w:bottom w:val="nil"/>
              <w:right w:val="nil"/>
            </w:tcBorders>
            <w:shd w:val="clear" w:color="auto" w:fill="auto"/>
            <w:noWrap/>
            <w:vAlign w:val="center"/>
            <w:hideMark/>
          </w:tcPr>
          <w:p>
            <w:pPr>
              <w:spacing w:after="0"/>
              <w:jc w:val="right"/>
              <w:rPr>
                <w:b/>
                <w:bCs/>
                <w:noProof/>
                <w:sz w:val="20"/>
                <w:szCs w:val="20"/>
                <w:lang w:val="bg-BG" w:eastAsia="bg-BG" w:bidi="bg-BG"/>
              </w:rPr>
            </w:pPr>
          </w:p>
        </w:tc>
        <w:tc>
          <w:tcPr>
            <w:tcW w:w="1242" w:type="dxa"/>
            <w:tcBorders>
              <w:top w:val="nil"/>
              <w:left w:val="nil"/>
              <w:bottom w:val="nil"/>
              <w:right w:val="nil"/>
            </w:tcBorders>
            <w:shd w:val="clear" w:color="auto" w:fill="auto"/>
            <w:noWrap/>
            <w:vAlign w:val="center"/>
            <w:hideMark/>
          </w:tcPr>
          <w:p>
            <w:pPr>
              <w:spacing w:after="0"/>
              <w:jc w:val="right"/>
              <w:rPr>
                <w:i/>
                <w:iCs/>
                <w:noProof/>
                <w:sz w:val="20"/>
                <w:szCs w:val="20"/>
                <w:lang w:val="bg-BG" w:eastAsia="bg-BG" w:bidi="bg-BG"/>
              </w:rPr>
            </w:pPr>
            <w:r>
              <w:rPr>
                <w:i/>
                <w:noProof/>
                <w:sz w:val="20"/>
                <w:lang w:val="bg-BG" w:eastAsia="bg-BG" w:bidi="bg-BG"/>
              </w:rPr>
              <w:t>В евро</w:t>
            </w:r>
          </w:p>
        </w:tc>
      </w:tr>
      <w:tr>
        <w:trPr>
          <w:trHeight w:val="255"/>
          <w:jc w:val="center"/>
        </w:trPr>
        <w:tc>
          <w:tcPr>
            <w:tcW w:w="3910" w:type="dxa"/>
            <w:tcBorders>
              <w:top w:val="single" w:sz="4" w:space="0" w:color="auto"/>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парламент</w:t>
            </w:r>
          </w:p>
        </w:tc>
        <w:tc>
          <w:tcPr>
            <w:tcW w:w="1242"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-2 851 238</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съвет и Съвет</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-965 489</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Европейска комисия (включително пенсии)</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-13 781 615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Съд на Европейския съюз</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-891 000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Европейска сметна палата</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-359 000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икономически и социален комитет</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-220 825</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комитет на регионите</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-160 594</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омбудсман</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-26 880</w:t>
            </w:r>
          </w:p>
        </w:tc>
      </w:tr>
      <w:tr>
        <w:trPr>
          <w:trHeight w:val="255"/>
          <w:jc w:val="center"/>
        </w:trPr>
        <w:tc>
          <w:tcPr>
            <w:tcW w:w="3910" w:type="dxa"/>
            <w:tcBorders>
              <w:top w:val="nil"/>
              <w:left w:val="single" w:sz="4" w:space="0" w:color="auto"/>
              <w:bottom w:val="nil"/>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Европейски надзорен орган за защита на личните данни</w:t>
            </w:r>
          </w:p>
        </w:tc>
        <w:tc>
          <w:tcPr>
            <w:tcW w:w="1242" w:type="dxa"/>
            <w:tcBorders>
              <w:top w:val="nil"/>
              <w:left w:val="nil"/>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-14 568</w:t>
            </w:r>
          </w:p>
        </w:tc>
      </w:tr>
      <w:tr>
        <w:trPr>
          <w:trHeight w:val="255"/>
          <w:jc w:val="center"/>
        </w:trPr>
        <w:tc>
          <w:tcPr>
            <w:tcW w:w="3910" w:type="dxa"/>
            <w:tcBorders>
              <w:top w:val="nil"/>
              <w:left w:val="single" w:sz="4" w:space="0" w:color="auto"/>
              <w:bottom w:val="single" w:sz="4" w:space="0" w:color="auto"/>
              <w:right w:val="single" w:sz="4" w:space="0" w:color="auto"/>
            </w:tcBorders>
            <w:shd w:val="clear" w:color="auto" w:fill="auto"/>
            <w:noWrap/>
            <w:vAlign w:val="center"/>
            <w:hideMark/>
          </w:tcPr>
          <w:p>
            <w:pPr>
              <w:spacing w:after="0"/>
              <w:ind w:left="142"/>
              <w:rPr>
                <w:noProof/>
                <w:sz w:val="20"/>
                <w:szCs w:val="20"/>
                <w:lang w:val="bg-BG" w:eastAsia="bg-BG" w:bidi="bg-BG"/>
              </w:rPr>
            </w:pPr>
            <w:r>
              <w:rPr>
                <w:noProof/>
                <w:sz w:val="20"/>
                <w:lang w:val="bg-BG" w:eastAsia="bg-BG" w:bidi="bg-BG"/>
              </w:rPr>
              <w:t>Европейска служба за външна дейност</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-911 839</w:t>
            </w:r>
          </w:p>
        </w:tc>
      </w:tr>
      <w:tr>
        <w:trPr>
          <w:trHeight w:val="255"/>
          <w:jc w:val="center"/>
        </w:trPr>
        <w:tc>
          <w:tcPr>
            <w:tcW w:w="3910"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Общо</w:t>
            </w:r>
          </w:p>
        </w:tc>
        <w:tc>
          <w:tcPr>
            <w:tcW w:w="1242"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lang w:val="bg-BG" w:eastAsia="bg-BG" w:bidi="bg-BG"/>
              </w:rPr>
            </w:pPr>
            <w:r>
              <w:rPr>
                <w:b/>
                <w:noProof/>
                <w:color w:val="000000"/>
                <w:sz w:val="20"/>
                <w:lang w:val="bg-BG" w:eastAsia="bg-BG" w:bidi="bg-BG"/>
              </w:rPr>
              <w:t>-20 183 048</w:t>
            </w:r>
          </w:p>
        </w:tc>
      </w:tr>
    </w:tbl>
    <w:p>
      <w:pPr>
        <w:spacing w:after="0" w:line="240" w:lineRule="auto"/>
        <w:rPr>
          <w:noProof/>
          <w:lang w:val="bg-BG" w:eastAsia="bg-BG" w:bidi="bg-BG"/>
        </w:rPr>
      </w:pPr>
      <w:r>
        <w:rPr>
          <w:noProof/>
          <w:lang w:val="bg-BG" w:eastAsia="bg-BG" w:bidi="bg-BG"/>
        </w:rPr>
        <w:br w:type="page"/>
      </w:r>
    </w:p>
    <w:p>
      <w:pPr>
        <w:spacing w:before="120" w:after="120"/>
        <w:jc w:val="both"/>
        <w:rPr>
          <w:noProof/>
          <w:lang w:val="bg-BG" w:eastAsia="bg-BG" w:bidi="bg-BG"/>
        </w:rPr>
      </w:pPr>
      <w:r>
        <w:rPr>
          <w:noProof/>
          <w:lang w:val="bg-BG" w:eastAsia="bg-BG" w:bidi="bg-BG"/>
        </w:rPr>
        <w:t>Накрая, бяха набелязани и предложени допълнителни намаления в размер на 0,8 милиона евро във всички институции с изключение на Европейския парламент, за разходи, свързани със сгради, както следва:</w:t>
      </w:r>
    </w:p>
    <w:tbl>
      <w:tblPr>
        <w:tblW w:w="5103" w:type="dxa"/>
        <w:jc w:val="center"/>
        <w:tblLook w:val="04A0" w:firstRow="1" w:lastRow="0" w:firstColumn="1" w:lastColumn="0" w:noHBand="0" w:noVBand="1"/>
      </w:tblPr>
      <w:tblGrid>
        <w:gridCol w:w="3933"/>
        <w:gridCol w:w="1170"/>
      </w:tblGrid>
      <w:tr>
        <w:trPr>
          <w:trHeight w:val="255"/>
          <w:jc w:val="center"/>
        </w:trPr>
        <w:tc>
          <w:tcPr>
            <w:tcW w:w="3933" w:type="dxa"/>
            <w:tcBorders>
              <w:top w:val="nil"/>
              <w:left w:val="nil"/>
              <w:bottom w:val="nil"/>
              <w:right w:val="nil"/>
            </w:tcBorders>
            <w:shd w:val="clear" w:color="auto" w:fill="auto"/>
            <w:noWrap/>
            <w:vAlign w:val="center"/>
            <w:hideMark/>
          </w:tcPr>
          <w:p>
            <w:pPr>
              <w:spacing w:after="0"/>
              <w:jc w:val="right"/>
              <w:rPr>
                <w:b/>
                <w:bCs/>
                <w:noProof/>
                <w:sz w:val="20"/>
                <w:szCs w:val="20"/>
                <w:lang w:val="bg-BG" w:eastAsia="bg-BG" w:bidi="bg-BG"/>
              </w:rPr>
            </w:pPr>
          </w:p>
        </w:tc>
        <w:tc>
          <w:tcPr>
            <w:tcW w:w="1170" w:type="dxa"/>
            <w:tcBorders>
              <w:top w:val="nil"/>
              <w:left w:val="nil"/>
              <w:bottom w:val="nil"/>
              <w:right w:val="nil"/>
            </w:tcBorders>
            <w:shd w:val="clear" w:color="auto" w:fill="auto"/>
            <w:noWrap/>
            <w:vAlign w:val="center"/>
            <w:hideMark/>
          </w:tcPr>
          <w:p>
            <w:pPr>
              <w:spacing w:after="0"/>
              <w:jc w:val="right"/>
              <w:rPr>
                <w:i/>
                <w:iCs/>
                <w:noProof/>
                <w:sz w:val="20"/>
                <w:szCs w:val="20"/>
                <w:lang w:val="bg-BG" w:eastAsia="bg-BG" w:bidi="bg-BG"/>
              </w:rPr>
            </w:pPr>
            <w:r>
              <w:rPr>
                <w:i/>
                <w:noProof/>
                <w:sz w:val="20"/>
                <w:lang w:val="bg-BG" w:eastAsia="bg-BG" w:bidi="bg-BG"/>
              </w:rPr>
              <w:t>В евро</w:t>
            </w:r>
          </w:p>
        </w:tc>
      </w:tr>
      <w:tr>
        <w:trPr>
          <w:trHeight w:val="255"/>
          <w:jc w:val="center"/>
        </w:trPr>
        <w:tc>
          <w:tcPr>
            <w:tcW w:w="3933" w:type="dxa"/>
            <w:tcBorders>
              <w:top w:val="single" w:sz="4" w:space="0" w:color="auto"/>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Европейски съвет и Съвет</w:t>
            </w:r>
          </w:p>
        </w:tc>
        <w:tc>
          <w:tcPr>
            <w:tcW w:w="1170" w:type="dxa"/>
            <w:tcBorders>
              <w:top w:val="single" w:sz="4" w:space="0" w:color="auto"/>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-20 052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Европейска комисия</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-557 239</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Съд на Европейския съюз</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-77 689</w:t>
            </w:r>
          </w:p>
        </w:tc>
      </w:tr>
      <w:tr>
        <w:trPr>
          <w:trHeight w:val="224"/>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Европейска сметна палата</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-482</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Европейски икономически и социален комитет</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-27 215</w:t>
            </w:r>
          </w:p>
        </w:tc>
      </w:tr>
      <w:tr>
        <w:trPr>
          <w:trHeight w:val="255"/>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Европейски комитет на регионите</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-20 008</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Европейски омбудсман</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-2 287</w:t>
            </w:r>
          </w:p>
        </w:tc>
      </w:tr>
      <w:tr>
        <w:trPr>
          <w:trHeight w:val="270"/>
          <w:jc w:val="center"/>
        </w:trPr>
        <w:tc>
          <w:tcPr>
            <w:tcW w:w="3933" w:type="dxa"/>
            <w:tcBorders>
              <w:top w:val="nil"/>
              <w:left w:val="single" w:sz="4" w:space="0" w:color="auto"/>
              <w:bottom w:val="nil"/>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Европейски надзорен орган за защита на личните данни</w:t>
            </w:r>
          </w:p>
        </w:tc>
        <w:tc>
          <w:tcPr>
            <w:tcW w:w="1170" w:type="dxa"/>
            <w:tcBorders>
              <w:top w:val="nil"/>
              <w:left w:val="single" w:sz="4" w:space="0" w:color="auto"/>
              <w:bottom w:val="nil"/>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-4 026</w:t>
            </w:r>
          </w:p>
        </w:tc>
      </w:tr>
      <w:tr>
        <w:trPr>
          <w:trHeight w:val="270"/>
          <w:jc w:val="center"/>
        </w:trPr>
        <w:tc>
          <w:tcPr>
            <w:tcW w:w="3933" w:type="dxa"/>
            <w:tcBorders>
              <w:top w:val="nil"/>
              <w:left w:val="single" w:sz="4" w:space="0" w:color="auto"/>
              <w:bottom w:val="single" w:sz="4" w:space="0" w:color="auto"/>
              <w:right w:val="nil"/>
            </w:tcBorders>
            <w:shd w:val="clear" w:color="auto" w:fill="auto"/>
            <w:noWrap/>
            <w:vAlign w:val="center"/>
            <w:hideMark/>
          </w:tcPr>
          <w:p>
            <w:pPr>
              <w:spacing w:after="0"/>
              <w:rPr>
                <w:noProof/>
                <w:sz w:val="20"/>
                <w:szCs w:val="20"/>
                <w:lang w:val="bg-BG" w:eastAsia="bg-BG" w:bidi="bg-BG"/>
              </w:rPr>
            </w:pPr>
            <w:r>
              <w:rPr>
                <w:noProof/>
                <w:sz w:val="20"/>
                <w:lang w:val="bg-BG" w:eastAsia="bg-BG" w:bidi="bg-BG"/>
              </w:rPr>
              <w:t>Европейска служба за външна дейност</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-41 002</w:t>
            </w:r>
          </w:p>
        </w:tc>
      </w:tr>
      <w:tr>
        <w:trPr>
          <w:trHeight w:val="270"/>
          <w:jc w:val="center"/>
        </w:trPr>
        <w:tc>
          <w:tcPr>
            <w:tcW w:w="3933" w:type="dxa"/>
            <w:tcBorders>
              <w:top w:val="nil"/>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Общо</w:t>
            </w:r>
          </w:p>
        </w:tc>
        <w:tc>
          <w:tcPr>
            <w:tcW w:w="1170" w:type="dxa"/>
            <w:tcBorders>
              <w:top w:val="nil"/>
              <w:left w:val="nil"/>
              <w:bottom w:val="single" w:sz="4" w:space="0" w:color="auto"/>
              <w:right w:val="single" w:sz="4" w:space="0" w:color="auto"/>
            </w:tcBorders>
            <w:shd w:val="clear" w:color="DCE6F1" w:fill="DCE6F1"/>
            <w:vAlign w:val="center"/>
            <w:hideMark/>
          </w:tcPr>
          <w:p>
            <w:pPr>
              <w:spacing w:after="0"/>
              <w:jc w:val="right"/>
              <w:rPr>
                <w:b/>
                <w:bCs/>
                <w:noProof/>
                <w:color w:val="000000"/>
                <w:sz w:val="20"/>
                <w:szCs w:val="20"/>
                <w:lang w:val="bg-BG" w:eastAsia="bg-BG" w:bidi="bg-BG"/>
              </w:rPr>
            </w:pPr>
            <w:r>
              <w:rPr>
                <w:b/>
                <w:noProof/>
                <w:color w:val="000000"/>
                <w:sz w:val="20"/>
                <w:lang w:val="bg-BG" w:eastAsia="bg-BG" w:bidi="bg-BG"/>
              </w:rPr>
              <w:t>-750 000</w:t>
            </w:r>
          </w:p>
        </w:tc>
      </w:tr>
    </w:tbl>
    <w:p>
      <w:pPr>
        <w:spacing w:before="240" w:line="240" w:lineRule="auto"/>
        <w:jc w:val="both"/>
        <w:rPr>
          <w:noProof/>
          <w:lang w:val="bg-BG" w:eastAsia="bg-BG" w:bidi="bg-BG"/>
        </w:rPr>
      </w:pPr>
      <w:r>
        <w:rPr>
          <w:noProof/>
          <w:lang w:val="bg-BG" w:eastAsia="bg-BG" w:bidi="bg-BG"/>
        </w:rPr>
        <w:t xml:space="preserve">В резултат на това, като се вземат предвид пилотните проекти и подготвителните действия (4,1 милиона евро), предложени по линия на раздел 3.1.3 по-горе, се предлага равнището на бюджетните кредити за поети задължения да бъде определено на 9 943,0 милиона евро, при което остава марж в размер на 589,1 милиона евро под тавана на разходите на функция 5, след като са използвани 253,9 милиона евро от маржа за компенсиране на мобилизирането на маржа за непредвидени обстоятелства през 2017 г. </w:t>
      </w:r>
    </w:p>
    <w:p>
      <w:pPr>
        <w:keepNext/>
        <w:numPr>
          <w:ilvl w:val="2"/>
          <w:numId w:val="14"/>
        </w:numPr>
        <w:tabs>
          <w:tab w:val="clear" w:pos="850"/>
          <w:tab w:val="num" w:pos="360"/>
        </w:tabs>
        <w:spacing w:before="120" w:after="120" w:line="240" w:lineRule="auto"/>
        <w:ind w:left="0" w:firstLine="0"/>
        <w:jc w:val="both"/>
        <w:outlineLvl w:val="2"/>
        <w:rPr>
          <w:rFonts w:eastAsia="Times New Roman"/>
          <w:bCs/>
          <w:i/>
          <w:noProof/>
          <w:sz w:val="24"/>
          <w:szCs w:val="26"/>
          <w:lang w:val="bg-BG" w:eastAsia="bg-BG" w:bidi="bg-BG"/>
        </w:rPr>
      </w:pPr>
      <w:bookmarkStart w:id="51" w:name="_Toc530674109"/>
      <w:bookmarkStart w:id="52" w:name="_Toc531253455"/>
      <w:r>
        <w:rPr>
          <w:rFonts w:eastAsia="Times New Roman"/>
          <w:bCs/>
          <w:i/>
          <w:noProof/>
          <w:sz w:val="24"/>
          <w:szCs w:val="26"/>
          <w:lang w:val="bg-BG" w:eastAsia="bg-BG" w:bidi="bg-BG"/>
        </w:rPr>
        <w:t>Специални инструменти: ЕФПГ, РСП и ФСЕС</w:t>
      </w:r>
      <w:bookmarkEnd w:id="51"/>
      <w:bookmarkEnd w:id="52"/>
    </w:p>
    <w:p>
      <w:pPr>
        <w:spacing w:before="120" w:after="120"/>
        <w:jc w:val="both"/>
        <w:rPr>
          <w:noProof/>
          <w:lang w:val="bg-BG" w:eastAsia="bg-BG" w:bidi="bg-BG"/>
        </w:rPr>
      </w:pPr>
      <w:r>
        <w:rPr>
          <w:noProof/>
          <w:lang w:val="bg-BG" w:eastAsia="bg-BG" w:bidi="bg-BG"/>
        </w:rPr>
        <w:t>Предлага се бюджетните кредити за поети задължения за Европейския фонд за приспособяване към глобализацията (ЕФПГ), за Резерва за спешна помощ (РСП) и за Фонд „Солидарност“ на Европейския съюз (ФСЕС) да се определят на равнището на първоначалния проектобюджет, изменен с писмо за внасяне на корекции № 1/2019.</w:t>
      </w:r>
    </w:p>
    <w:p>
      <w:pPr>
        <w:keepNext/>
        <w:keepLines/>
        <w:numPr>
          <w:ilvl w:val="1"/>
          <w:numId w:val="14"/>
        </w:numPr>
        <w:tabs>
          <w:tab w:val="clear" w:pos="850"/>
          <w:tab w:val="num" w:pos="360"/>
        </w:tabs>
        <w:spacing w:before="240" w:after="120" w:line="240" w:lineRule="auto"/>
        <w:ind w:left="0" w:firstLine="0"/>
        <w:jc w:val="both"/>
        <w:outlineLvl w:val="1"/>
        <w:rPr>
          <w:rFonts w:eastAsia="Times New Roman"/>
          <w:b/>
          <w:bCs/>
          <w:iCs/>
          <w:noProof/>
          <w:sz w:val="24"/>
          <w:szCs w:val="28"/>
          <w:lang w:val="bg-BG" w:eastAsia="bg-BG" w:bidi="bg-BG"/>
        </w:rPr>
      </w:pPr>
      <w:bookmarkStart w:id="53" w:name="_Toc530586728"/>
      <w:bookmarkStart w:id="54" w:name="_Toc278112520"/>
      <w:bookmarkStart w:id="55" w:name="_Toc530674110"/>
      <w:bookmarkStart w:id="56" w:name="_Toc531253456"/>
      <w:bookmarkEnd w:id="53"/>
      <w:r>
        <w:rPr>
          <w:rFonts w:eastAsia="Times New Roman"/>
          <w:b/>
          <w:bCs/>
          <w:iCs/>
          <w:noProof/>
          <w:sz w:val="24"/>
          <w:szCs w:val="28"/>
          <w:lang w:val="bg-BG" w:eastAsia="bg-BG" w:bidi="bg-BG"/>
        </w:rPr>
        <w:t>Общ подход по отношение на бюджетните кредити за плащания</w:t>
      </w:r>
      <w:bookmarkEnd w:id="54"/>
      <w:bookmarkEnd w:id="55"/>
      <w:bookmarkEnd w:id="56"/>
    </w:p>
    <w:p>
      <w:pPr>
        <w:spacing w:before="120" w:after="120"/>
        <w:jc w:val="both"/>
        <w:rPr>
          <w:noProof/>
          <w:lang w:val="bg-BG" w:eastAsia="bg-BG" w:bidi="bg-BG"/>
        </w:rPr>
      </w:pPr>
      <w:r>
        <w:rPr>
          <w:noProof/>
          <w:lang w:val="bg-BG" w:eastAsia="bg-BG" w:bidi="bg-BG"/>
        </w:rPr>
        <w:t>Предлага се общото равнище на бюджетните кредити за плащания да се определи на равнището, посочено в първоначалния проектобюджет, изменен с писмо за внасяне на корекции № 1/2019, със следните изменения:</w:t>
      </w:r>
    </w:p>
    <w:p>
      <w:pPr>
        <w:numPr>
          <w:ilvl w:val="0"/>
          <w:numId w:val="44"/>
        </w:numPr>
        <w:spacing w:before="120" w:after="120" w:line="240" w:lineRule="auto"/>
        <w:jc w:val="both"/>
        <w:rPr>
          <w:noProof/>
          <w:lang w:val="bg-BG" w:eastAsia="bg-BG" w:bidi="bg-BG"/>
        </w:rPr>
      </w:pPr>
      <w:r>
        <w:rPr>
          <w:noProof/>
          <w:lang w:val="bg-BG" w:eastAsia="bg-BG" w:bidi="bg-BG"/>
        </w:rPr>
        <w:t>На първо място е взето предвид предложеното равнище на бюджетните кредити за едногодишни разходи, за които предложеното равнище на бюджетните кредити за плащания е равно на равнището на бюджетните кредити за поети задължения. Това включва допълнително намаление на разходите за селското стопанство с 253,0 милиона евро. Този подход се прилага по аналогия за вноската на ЕС за децентрализираните агенции и за Гаранционния фонд за външни дейности. Комбинираният ефект е предложено намаление в размер на 375,0 милиона евро;</w:t>
      </w:r>
    </w:p>
    <w:p>
      <w:pPr>
        <w:numPr>
          <w:ilvl w:val="0"/>
          <w:numId w:val="44"/>
        </w:numPr>
        <w:spacing w:before="120" w:after="0" w:line="240" w:lineRule="auto"/>
        <w:jc w:val="both"/>
        <w:rPr>
          <w:noProof/>
          <w:lang w:val="bg-BG" w:eastAsia="bg-BG" w:bidi="bg-BG"/>
        </w:rPr>
      </w:pPr>
      <w:r>
        <w:rPr>
          <w:noProof/>
          <w:lang w:val="bg-BG" w:eastAsia="bg-BG" w:bidi="bg-BG"/>
        </w:rPr>
        <w:t xml:space="preserve">Предлага се бюджетните кредити за плащания за всички </w:t>
      </w:r>
      <w:r>
        <w:rPr>
          <w:i/>
          <w:noProof/>
          <w:lang w:val="bg-BG" w:eastAsia="bg-BG" w:bidi="bg-BG"/>
        </w:rPr>
        <w:t>нови</w:t>
      </w:r>
      <w:r>
        <w:rPr>
          <w:noProof/>
          <w:lang w:val="bg-BG" w:eastAsia="bg-BG" w:bidi="bg-BG"/>
        </w:rPr>
        <w:t xml:space="preserve"> пилотни проекти и подготвителни дейности, включително във втория проектобюджет да се определят на 50 % от съответстващите бюджетни кредити за поети задължения или на равнището, предложено от Парламента в неговото четене на първоначалния проектобюджет, ако то е по-ниско. В случай на удължаване на </w:t>
      </w:r>
      <w:r>
        <w:rPr>
          <w:i/>
          <w:noProof/>
          <w:lang w:val="bg-BG" w:eastAsia="bg-BG" w:bidi="bg-BG"/>
        </w:rPr>
        <w:t>съществуващи</w:t>
      </w:r>
      <w:r>
        <w:rPr>
          <w:noProof/>
          <w:lang w:val="bg-BG" w:eastAsia="bg-BG" w:bidi="bg-BG"/>
        </w:rPr>
        <w:t xml:space="preserve"> пилотни проекти и подготвителни дейности предлага се равнището на бюджетните кредити за плащания да бъде това, което е определено в първоначалния проектобюджет плюс 50 % от съответстващите нови предложени бюджетни кредити за поети задължения, или на равнището, предложено от Парламента в неговото четене на първоначалния проектобюджет, ако то е по-ниско. Комбинираният ефект е предложено увеличение в размер на 57,5 милиона евро;</w:t>
      </w:r>
      <w:r>
        <w:rPr>
          <w:noProof/>
          <w:lang w:val="bg-BG" w:eastAsia="bg-BG" w:bidi="bg-BG"/>
        </w:rPr>
        <w:br w:type="page"/>
      </w:r>
    </w:p>
    <w:p>
      <w:pPr>
        <w:numPr>
          <w:ilvl w:val="0"/>
          <w:numId w:val="44"/>
        </w:numPr>
        <w:spacing w:before="120" w:after="120" w:line="240" w:lineRule="auto"/>
        <w:jc w:val="both"/>
        <w:rPr>
          <w:noProof/>
          <w:lang w:val="bg-BG" w:eastAsia="bg-BG" w:bidi="bg-BG"/>
        </w:rPr>
      </w:pPr>
      <w:r>
        <w:rPr>
          <w:noProof/>
          <w:lang w:val="bg-BG" w:eastAsia="bg-BG" w:bidi="bg-BG"/>
        </w:rPr>
        <w:t>Измененията на следните бюджетни редове са предложени в резултат от промяната на бюджетните кредити за поети задължения за многогодишни разходи:</w:t>
      </w:r>
      <w:bookmarkStart w:id="57" w:name="_Toc278112536"/>
    </w:p>
    <w:tbl>
      <w:tblPr>
        <w:tblW w:w="10310" w:type="dxa"/>
        <w:tblInd w:w="108" w:type="dxa"/>
        <w:tblLook w:val="04A0" w:firstRow="1" w:lastRow="0" w:firstColumn="1" w:lastColumn="0" w:noHBand="0" w:noVBand="1"/>
      </w:tblPr>
      <w:tblGrid>
        <w:gridCol w:w="1240"/>
        <w:gridCol w:w="4712"/>
        <w:gridCol w:w="1479"/>
        <w:gridCol w:w="1630"/>
        <w:gridCol w:w="1395"/>
      </w:tblGrid>
      <w:tr>
        <w:trPr>
          <w:trHeight w:val="255"/>
          <w:tblHeader/>
        </w:trPr>
        <w:tc>
          <w:tcPr>
            <w:tcW w:w="124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bg-BG" w:eastAsia="bg-BG" w:bidi="bg-BG"/>
              </w:rPr>
            </w:pPr>
          </w:p>
        </w:tc>
        <w:tc>
          <w:tcPr>
            <w:tcW w:w="4714" w:type="dxa"/>
            <w:tcBorders>
              <w:top w:val="nil"/>
              <w:left w:val="nil"/>
              <w:bottom w:val="nil"/>
              <w:right w:val="nil"/>
            </w:tcBorders>
            <w:shd w:val="clear" w:color="auto" w:fill="auto"/>
            <w:noWrap/>
            <w:vAlign w:val="bottom"/>
            <w:hideMark/>
          </w:tcPr>
          <w:p>
            <w:pPr>
              <w:spacing w:after="0" w:line="240" w:lineRule="auto"/>
              <w:rPr>
                <w:rFonts w:eastAsia="Times New Roman"/>
                <w:noProof/>
                <w:sz w:val="20"/>
                <w:szCs w:val="20"/>
                <w:lang w:val="bg-BG" w:eastAsia="bg-BG" w:bidi="bg-BG"/>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bg-BG" w:eastAsia="bg-BG" w:bidi="bg-BG"/>
              </w:rPr>
            </w:pPr>
          </w:p>
        </w:tc>
        <w:tc>
          <w:tcPr>
            <w:tcW w:w="1480" w:type="dxa"/>
            <w:tcBorders>
              <w:top w:val="nil"/>
              <w:left w:val="nil"/>
              <w:bottom w:val="nil"/>
              <w:right w:val="nil"/>
            </w:tcBorders>
            <w:shd w:val="clear" w:color="auto" w:fill="auto"/>
            <w:noWrap/>
            <w:vAlign w:val="center"/>
            <w:hideMark/>
          </w:tcPr>
          <w:p>
            <w:pPr>
              <w:spacing w:after="0" w:line="240" w:lineRule="auto"/>
              <w:rPr>
                <w:rFonts w:eastAsia="Times New Roman"/>
                <w:noProof/>
                <w:sz w:val="20"/>
                <w:szCs w:val="20"/>
                <w:lang w:val="bg-BG" w:eastAsia="bg-BG" w:bidi="bg-BG"/>
              </w:rPr>
            </w:pPr>
          </w:p>
        </w:tc>
        <w:tc>
          <w:tcPr>
            <w:tcW w:w="1396" w:type="dxa"/>
            <w:tcBorders>
              <w:top w:val="nil"/>
              <w:left w:val="nil"/>
              <w:bottom w:val="nil"/>
              <w:right w:val="nil"/>
            </w:tcBorders>
            <w:shd w:val="clear" w:color="auto" w:fill="auto"/>
            <w:noWrap/>
            <w:vAlign w:val="center"/>
            <w:hideMark/>
          </w:tcPr>
          <w:p>
            <w:pPr>
              <w:spacing w:after="0" w:line="240" w:lineRule="auto"/>
              <w:jc w:val="right"/>
              <w:rPr>
                <w:rFonts w:eastAsia="Times New Roman"/>
                <w:i/>
                <w:iCs/>
                <w:noProof/>
                <w:sz w:val="20"/>
                <w:szCs w:val="20"/>
                <w:lang w:val="bg-BG" w:eastAsia="bg-BG" w:bidi="bg-BG"/>
              </w:rPr>
            </w:pPr>
            <w:r>
              <w:rPr>
                <w:i/>
                <w:noProof/>
                <w:sz w:val="20"/>
                <w:lang w:val="bg-BG" w:eastAsia="bg-BG" w:bidi="bg-BG"/>
              </w:rPr>
              <w:t>В евро</w:t>
            </w:r>
          </w:p>
        </w:tc>
      </w:tr>
      <w:tr>
        <w:trPr>
          <w:trHeight w:val="255"/>
          <w:tblHeader/>
        </w:trPr>
        <w:tc>
          <w:tcPr>
            <w:tcW w:w="124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eastAsia="Times New Roman"/>
                <w:b/>
                <w:bCs/>
                <w:noProof/>
                <w:color w:val="000000"/>
                <w:sz w:val="16"/>
                <w:szCs w:val="16"/>
                <w:lang w:val="bg-BG" w:eastAsia="bg-BG" w:bidi="bg-BG"/>
              </w:rPr>
            </w:pPr>
            <w:r>
              <w:rPr>
                <w:b/>
                <w:noProof/>
                <w:color w:val="000000"/>
                <w:sz w:val="16"/>
                <w:lang w:val="bg-BG" w:eastAsia="bg-BG" w:bidi="bg-BG"/>
              </w:rPr>
              <w:t>Бюджетен ред/Програма</w:t>
            </w:r>
          </w:p>
        </w:tc>
        <w:tc>
          <w:tcPr>
            <w:tcW w:w="4714"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Наименование</w:t>
            </w:r>
          </w:p>
        </w:tc>
        <w:tc>
          <w:tcPr>
            <w:tcW w:w="435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eastAsia="Times New Roman"/>
                <w:b/>
                <w:bCs/>
                <w:noProof/>
                <w:sz w:val="20"/>
                <w:szCs w:val="20"/>
                <w:lang w:val="bg-BG" w:eastAsia="bg-BG" w:bidi="bg-BG"/>
              </w:rPr>
            </w:pPr>
            <w:r>
              <w:rPr>
                <w:b/>
                <w:noProof/>
                <w:sz w:val="20"/>
                <w:lang w:val="bg-BG" w:eastAsia="bg-BG" w:bidi="bg-BG"/>
              </w:rPr>
              <w:t>Увеличение на бюджетните кредити за поети задължения</w:t>
            </w:r>
          </w:p>
        </w:tc>
      </w:tr>
      <w:tr>
        <w:trPr>
          <w:trHeight w:val="510"/>
          <w:tblHeader/>
        </w:trPr>
        <w:tc>
          <w:tcPr>
            <w:tcW w:w="1240" w:type="dxa"/>
            <w:vMerge/>
            <w:tcBorders>
              <w:top w:val="single" w:sz="4" w:space="0" w:color="auto"/>
              <w:left w:val="single" w:sz="4" w:space="0" w:color="auto"/>
              <w:bottom w:val="single" w:sz="4" w:space="0" w:color="000000"/>
              <w:right w:val="nil"/>
            </w:tcBorders>
            <w:vAlign w:val="center"/>
            <w:hideMark/>
          </w:tcPr>
          <w:p>
            <w:pPr>
              <w:spacing w:after="0" w:line="240" w:lineRule="auto"/>
              <w:rPr>
                <w:rFonts w:eastAsia="Times New Roman"/>
                <w:b/>
                <w:bCs/>
                <w:noProof/>
                <w:color w:val="000000"/>
                <w:sz w:val="16"/>
                <w:szCs w:val="16"/>
                <w:lang w:val="bg-BG" w:eastAsia="bg-BG" w:bidi="bg-BG"/>
              </w:rPr>
            </w:pPr>
          </w:p>
        </w:tc>
        <w:tc>
          <w:tcPr>
            <w:tcW w:w="471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b/>
                <w:bCs/>
                <w:noProof/>
                <w:color w:val="000000"/>
                <w:sz w:val="20"/>
                <w:szCs w:val="20"/>
                <w:lang w:val="bg-BG" w:eastAsia="bg-BG" w:bidi="bg-BG"/>
              </w:rPr>
            </w:pP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ПБ 2019 г. (вкл. AL1)</w:t>
            </w:r>
          </w:p>
        </w:tc>
        <w:tc>
          <w:tcPr>
            <w:tcW w:w="148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Втори проектобюджет за 2019 г.</w:t>
            </w:r>
          </w:p>
        </w:tc>
        <w:tc>
          <w:tcPr>
            <w:tcW w:w="1396"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Разлика</w:t>
            </w:r>
          </w:p>
        </w:tc>
      </w:tr>
      <w:tr>
        <w:trPr>
          <w:trHeight w:val="54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1.1.12</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Международен термоядрен експериментален реактор (ITER)</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-3 500 000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32 05 01 02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Изграждане, работа и експлоатация на съоръженията на ITER — Европейско съвместно предприятие за „ITER“ — „Ядрен синтез за добиване на енергия“ (F4E)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366 696 185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363 196 185</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1.1.13</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Европейска програма за наблюдение на Земята („Коперник“)</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-12 500 000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02 06 01</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Предоставяне на оперативни услуги, основаващи се на космически наблюдения и данни in-situ („Коперник“)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140 000 000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139 000 000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02 06 02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Изграждане на автономен капацитет на Съюза за наблюдение на Земята („Коперник“)</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472 000 000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460 500 000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-11 500 000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1.1.31</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„Хоризонт 2020“</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30 000 000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08 02 08</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Инструмент за МСП</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482 502 033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512 502 033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1.1.5</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Образование, обучение и спорт („Еразъм+“)</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170 000 000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15 02 01 01</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Насърчаване на високите постижения и сътрудничеството в областта на европейското образование и обучение и тяхното значение за пазара на труда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2 096 100 000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2 261 000 000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164 900 000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15 02 01 02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Насърчаване на високите постижения и сътрудничеството в областта на европейската младеж и участието на младите хора в европейския демократичен живот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170 850 000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175 950 000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5 100 000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3.0.8</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Храни и фуражи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-6 500 000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17 04 01</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Осигуряване на по-висок здравен статус на животните и висока степен на защита на животните в Съюза</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134 040 000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127 540 000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-6 500 000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4.0.1</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Инструмент за предприсъединителна помощ (ИПП II)</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-90 000 000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05 05 04 02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Турция - Подкрепа за икономическото, социалното и териториалното развитие и свързаното с него постепенно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35 000 000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-15 000 000</w:t>
            </w:r>
          </w:p>
        </w:tc>
      </w:tr>
      <w:tr>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22 02 03 01</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Турция - Подкрепа за политическите реформи и свързаното с тях постепенно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150 719 568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105 719 568</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-45 000 000</w:t>
            </w:r>
          </w:p>
        </w:tc>
      </w:tr>
      <w:tr>
        <w:trPr>
          <w:trHeight w:val="76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22 02 03 02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Турция - Подкрепа за икономическото, социалното и териториалното развитие и свързаното с него постепенно привеждане в съответствие с достиженията на правото на ЕС</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708 080 653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678 080 653</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-30 000 000</w:t>
            </w:r>
          </w:p>
        </w:tc>
      </w:tr>
      <w:tr>
        <w:trPr>
          <w:trHeight w:val="270"/>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4.0.10</w:t>
            </w:r>
          </w:p>
        </w:tc>
        <w:tc>
          <w:tcPr>
            <w:tcW w:w="4714" w:type="dxa"/>
            <w:tcBorders>
              <w:top w:val="single" w:sz="4" w:space="0" w:color="auto"/>
              <w:left w:val="nil"/>
              <w:bottom w:val="single" w:sz="4" w:space="0" w:color="auto"/>
              <w:right w:val="nil"/>
            </w:tcBorders>
            <w:shd w:val="clear" w:color="000000" w:fill="F2F2F2"/>
            <w:vAlign w:val="center"/>
            <w:hideMark/>
          </w:tcPr>
          <w:p>
            <w:pPr>
              <w:spacing w:after="0" w:line="240" w:lineRule="auto"/>
              <w:rPr>
                <w:rFonts w:eastAsia="Times New Roman"/>
                <w:b/>
                <w:bCs/>
                <w:i/>
                <w:iCs/>
                <w:noProof/>
                <w:sz w:val="20"/>
                <w:szCs w:val="20"/>
                <w:lang w:val="bg-BG" w:eastAsia="bg-BG" w:bidi="bg-BG"/>
              </w:rPr>
            </w:pPr>
            <w:r>
              <w:rPr>
                <w:b/>
                <w:i/>
                <w:noProof/>
                <w:sz w:val="20"/>
                <w:lang w:val="bg-BG" w:eastAsia="bg-BG" w:bidi="bg-BG"/>
              </w:rPr>
              <w:t>Макрофинансова помощ (МФП)</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line="240" w:lineRule="auto"/>
              <w:jc w:val="right"/>
              <w:rPr>
                <w:rFonts w:eastAsia="Times New Roman"/>
                <w:b/>
                <w:bCs/>
                <w:i/>
                <w:iCs/>
                <w:noProof/>
                <w:sz w:val="20"/>
                <w:szCs w:val="20"/>
                <w:lang w:val="bg-BG" w:eastAsia="bg-BG" w:bidi="bg-BG"/>
              </w:rPr>
            </w:pPr>
            <w:r>
              <w:rPr>
                <w:b/>
                <w:i/>
                <w:noProof/>
                <w:sz w:val="20"/>
                <w:lang w:val="bg-BG" w:eastAsia="bg-BG" w:bidi="bg-BG"/>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01 03 02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Макрофинансова помощ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42 000 000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27 000 000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noProof/>
                <w:sz w:val="20"/>
                <w:szCs w:val="20"/>
                <w:lang w:val="bg-BG" w:eastAsia="bg-BG" w:bidi="bg-BG"/>
              </w:rPr>
            </w:pPr>
            <w:r>
              <w:rPr>
                <w:noProof/>
                <w:sz w:val="20"/>
                <w:lang w:val="bg-BG" w:eastAsia="bg-BG" w:bidi="bg-BG"/>
              </w:rPr>
              <w:t>-15 000 000</w:t>
            </w:r>
          </w:p>
        </w:tc>
      </w:tr>
      <w:tr>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eastAsia="Times New Roman"/>
                <w:b/>
                <w:bCs/>
                <w:noProof/>
                <w:sz w:val="20"/>
                <w:szCs w:val="20"/>
                <w:lang w:val="bg-BG" w:eastAsia="bg-BG" w:bidi="bg-BG"/>
              </w:rPr>
            </w:pPr>
          </w:p>
        </w:tc>
        <w:tc>
          <w:tcPr>
            <w:tcW w:w="4714"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b/>
                <w:bCs/>
                <w:noProof/>
                <w:sz w:val="20"/>
                <w:szCs w:val="20"/>
                <w:lang w:val="bg-BG" w:eastAsia="bg-BG" w:bidi="bg-BG"/>
              </w:rPr>
            </w:pPr>
            <w:r>
              <w:rPr>
                <w:b/>
                <w:noProof/>
                <w:sz w:val="20"/>
                <w:lang w:val="bg-BG" w:eastAsia="bg-BG" w:bidi="bg-BG"/>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bg-BG" w:eastAsia="bg-BG" w:bidi="bg-BG"/>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bg-BG" w:eastAsia="bg-BG" w:bidi="bg-BG"/>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eastAsia="Times New Roman"/>
                <w:b/>
                <w:bCs/>
                <w:noProof/>
                <w:sz w:val="20"/>
                <w:szCs w:val="20"/>
                <w:lang w:val="bg-BG" w:eastAsia="bg-BG" w:bidi="bg-BG"/>
              </w:rPr>
            </w:pPr>
            <w:r>
              <w:rPr>
                <w:b/>
                <w:noProof/>
                <w:sz w:val="20"/>
                <w:lang w:val="bg-BG" w:eastAsia="bg-BG" w:bidi="bg-BG"/>
              </w:rPr>
              <w:t>72 500 000</w:t>
            </w:r>
          </w:p>
        </w:tc>
      </w:tr>
    </w:tbl>
    <w:p>
      <w:pPr>
        <w:numPr>
          <w:ilvl w:val="0"/>
          <w:numId w:val="44"/>
        </w:numPr>
        <w:spacing w:before="120" w:line="240" w:lineRule="auto"/>
        <w:jc w:val="both"/>
        <w:rPr>
          <w:noProof/>
          <w:lang w:val="bg-BG" w:eastAsia="bg-BG" w:bidi="bg-BG"/>
        </w:rPr>
      </w:pPr>
      <w:r>
        <w:rPr>
          <w:noProof/>
          <w:lang w:val="bg-BG" w:eastAsia="bg-BG" w:bidi="bg-BG"/>
        </w:rPr>
        <w:t>Предлага се допълнително намаление на бюджетните кредити за плащания по бюджетен ред 01 04 05, за който се предлага обезпечаването със средства на Гаранционния фонд за ЕФСИ да бъде намалено със сума, предварително изплатена в трансфер на бюджетния орган (DEC) № 22/2018, както следва:</w:t>
      </w:r>
    </w:p>
    <w:tbl>
      <w:tblPr>
        <w:tblW w:w="10239" w:type="dxa"/>
        <w:jc w:val="center"/>
        <w:tblLook w:val="04A0" w:firstRow="1" w:lastRow="0" w:firstColumn="1" w:lastColumn="0" w:noHBand="0" w:noVBand="1"/>
      </w:tblPr>
      <w:tblGrid>
        <w:gridCol w:w="1240"/>
        <w:gridCol w:w="4643"/>
        <w:gridCol w:w="1480"/>
        <w:gridCol w:w="1480"/>
        <w:gridCol w:w="1396"/>
      </w:tblGrid>
      <w:tr>
        <w:trPr>
          <w:trHeight w:val="255"/>
          <w:tblHeader/>
          <w:jc w:val="center"/>
        </w:trPr>
        <w:tc>
          <w:tcPr>
            <w:tcW w:w="1240" w:type="dxa"/>
            <w:tcBorders>
              <w:top w:val="nil"/>
              <w:left w:val="nil"/>
              <w:bottom w:val="nil"/>
              <w:right w:val="nil"/>
            </w:tcBorders>
            <w:shd w:val="clear" w:color="auto" w:fill="auto"/>
            <w:noWrap/>
            <w:vAlign w:val="center"/>
            <w:hideMark/>
          </w:tcPr>
          <w:p>
            <w:pPr>
              <w:spacing w:after="0"/>
              <w:rPr>
                <w:noProof/>
                <w:sz w:val="20"/>
                <w:szCs w:val="20"/>
                <w:lang w:val="bg-BG" w:eastAsia="bg-BG" w:bidi="bg-BG"/>
              </w:rPr>
            </w:pPr>
          </w:p>
        </w:tc>
        <w:tc>
          <w:tcPr>
            <w:tcW w:w="4643" w:type="dxa"/>
            <w:tcBorders>
              <w:top w:val="nil"/>
              <w:left w:val="nil"/>
              <w:bottom w:val="nil"/>
              <w:right w:val="nil"/>
            </w:tcBorders>
            <w:shd w:val="clear" w:color="auto" w:fill="auto"/>
            <w:vAlign w:val="center"/>
            <w:hideMark/>
          </w:tcPr>
          <w:p>
            <w:pPr>
              <w:spacing w:after="0"/>
              <w:rPr>
                <w:noProof/>
                <w:sz w:val="20"/>
                <w:szCs w:val="20"/>
                <w:lang w:val="bg-BG" w:eastAsia="bg-BG" w:bidi="bg-BG"/>
              </w:rPr>
            </w:pPr>
          </w:p>
        </w:tc>
        <w:tc>
          <w:tcPr>
            <w:tcW w:w="1480" w:type="dxa"/>
            <w:tcBorders>
              <w:top w:val="nil"/>
              <w:left w:val="nil"/>
              <w:bottom w:val="nil"/>
              <w:right w:val="nil"/>
            </w:tcBorders>
            <w:shd w:val="clear" w:color="auto" w:fill="auto"/>
            <w:noWrap/>
            <w:vAlign w:val="center"/>
            <w:hideMark/>
          </w:tcPr>
          <w:p>
            <w:pPr>
              <w:spacing w:after="0"/>
              <w:rPr>
                <w:noProof/>
                <w:sz w:val="20"/>
                <w:szCs w:val="20"/>
                <w:lang w:val="bg-BG" w:eastAsia="bg-BG" w:bidi="bg-BG"/>
              </w:rPr>
            </w:pPr>
          </w:p>
        </w:tc>
        <w:tc>
          <w:tcPr>
            <w:tcW w:w="1480" w:type="dxa"/>
            <w:tcBorders>
              <w:top w:val="nil"/>
              <w:left w:val="nil"/>
              <w:bottom w:val="nil"/>
              <w:right w:val="nil"/>
            </w:tcBorders>
            <w:shd w:val="clear" w:color="auto" w:fill="auto"/>
            <w:noWrap/>
            <w:vAlign w:val="center"/>
            <w:hideMark/>
          </w:tcPr>
          <w:p>
            <w:pPr>
              <w:spacing w:after="0"/>
              <w:rPr>
                <w:noProof/>
                <w:sz w:val="20"/>
                <w:szCs w:val="20"/>
                <w:lang w:val="bg-BG" w:eastAsia="bg-BG" w:bidi="bg-BG"/>
              </w:rPr>
            </w:pPr>
          </w:p>
        </w:tc>
        <w:tc>
          <w:tcPr>
            <w:tcW w:w="1396" w:type="dxa"/>
            <w:tcBorders>
              <w:top w:val="nil"/>
              <w:left w:val="nil"/>
              <w:bottom w:val="nil"/>
              <w:right w:val="nil"/>
            </w:tcBorders>
            <w:shd w:val="clear" w:color="auto" w:fill="auto"/>
            <w:noWrap/>
            <w:vAlign w:val="center"/>
            <w:hideMark/>
          </w:tcPr>
          <w:p>
            <w:pPr>
              <w:spacing w:after="0"/>
              <w:jc w:val="right"/>
              <w:rPr>
                <w:i/>
                <w:iCs/>
                <w:noProof/>
                <w:sz w:val="20"/>
                <w:szCs w:val="20"/>
                <w:lang w:val="bg-BG" w:eastAsia="bg-BG" w:bidi="bg-BG"/>
              </w:rPr>
            </w:pPr>
            <w:r>
              <w:rPr>
                <w:i/>
                <w:noProof/>
                <w:sz w:val="20"/>
                <w:lang w:val="bg-BG" w:eastAsia="bg-BG" w:bidi="bg-BG"/>
              </w:rPr>
              <w:t>В евро</w:t>
            </w:r>
          </w:p>
        </w:tc>
      </w:tr>
      <w:tr>
        <w:trPr>
          <w:trHeight w:val="510"/>
          <w:tblHeader/>
          <w:jc w:val="center"/>
        </w:trPr>
        <w:tc>
          <w:tcPr>
            <w:tcW w:w="12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jc w:val="center"/>
              <w:rPr>
                <w:b/>
                <w:bCs/>
                <w:noProof/>
                <w:color w:val="000000"/>
                <w:sz w:val="16"/>
                <w:szCs w:val="16"/>
                <w:lang w:val="bg-BG" w:eastAsia="bg-BG" w:bidi="bg-BG"/>
              </w:rPr>
            </w:pPr>
            <w:r>
              <w:rPr>
                <w:b/>
                <w:noProof/>
                <w:color w:val="000000"/>
                <w:sz w:val="16"/>
                <w:lang w:val="bg-BG" w:eastAsia="bg-BG" w:bidi="bg-BG"/>
              </w:rPr>
              <w:t>Бюджетен ред/Програма</w:t>
            </w:r>
          </w:p>
        </w:tc>
        <w:tc>
          <w:tcPr>
            <w:tcW w:w="4643"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Наименование</w:t>
            </w:r>
          </w:p>
        </w:tc>
        <w:tc>
          <w:tcPr>
            <w:tcW w:w="1480" w:type="dxa"/>
            <w:tcBorders>
              <w:top w:val="single" w:sz="4" w:space="0" w:color="auto"/>
              <w:left w:val="nil"/>
              <w:bottom w:val="single" w:sz="4" w:space="0" w:color="auto"/>
              <w:right w:val="single" w:sz="4" w:space="0" w:color="auto"/>
            </w:tcBorders>
            <w:shd w:val="clear" w:color="DCE6F1" w:fill="DCE6F1"/>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ПБ 2019 г. (вкл. AL1)</w:t>
            </w:r>
          </w:p>
        </w:tc>
        <w:tc>
          <w:tcPr>
            <w:tcW w:w="1480"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Бюджет за 2019 г.</w:t>
            </w:r>
          </w:p>
        </w:tc>
        <w:tc>
          <w:tcPr>
            <w:tcW w:w="1396" w:type="dxa"/>
            <w:tcBorders>
              <w:top w:val="single" w:sz="4" w:space="0" w:color="auto"/>
              <w:left w:val="nil"/>
              <w:bottom w:val="single" w:sz="4" w:space="0" w:color="auto"/>
              <w:right w:val="single" w:sz="4" w:space="0" w:color="auto"/>
            </w:tcBorders>
            <w:shd w:val="clear" w:color="DCE6F1" w:fill="DCE6F1"/>
            <w:noWrap/>
            <w:vAlign w:val="center"/>
            <w:hideMark/>
          </w:tcPr>
          <w:p>
            <w:pPr>
              <w:spacing w:after="0"/>
              <w:jc w:val="center"/>
              <w:rPr>
                <w:b/>
                <w:bCs/>
                <w:noProof/>
                <w:color w:val="000000"/>
                <w:sz w:val="20"/>
                <w:szCs w:val="20"/>
                <w:lang w:val="bg-BG" w:eastAsia="bg-BG" w:bidi="bg-BG"/>
              </w:rPr>
            </w:pPr>
            <w:r>
              <w:rPr>
                <w:b/>
                <w:noProof/>
                <w:color w:val="000000"/>
                <w:sz w:val="20"/>
                <w:lang w:val="bg-BG" w:eastAsia="bg-BG" w:bidi="bg-BG"/>
              </w:rPr>
              <w:t>Разлика</w:t>
            </w:r>
          </w:p>
        </w:tc>
      </w:tr>
      <w:tr>
        <w:trPr>
          <w:trHeight w:val="409"/>
          <w:jc w:val="center"/>
        </w:trPr>
        <w:tc>
          <w:tcPr>
            <w:tcW w:w="1240" w:type="dxa"/>
            <w:tcBorders>
              <w:top w:val="single" w:sz="4" w:space="0" w:color="auto"/>
              <w:left w:val="single" w:sz="4" w:space="0" w:color="auto"/>
              <w:bottom w:val="single" w:sz="4" w:space="0" w:color="auto"/>
              <w:right w:val="nil"/>
            </w:tcBorders>
            <w:shd w:val="clear" w:color="000000" w:fill="F2F2F2"/>
            <w:noWrap/>
            <w:vAlign w:val="center"/>
            <w:hideMark/>
          </w:tcPr>
          <w:p>
            <w:pPr>
              <w:spacing w:after="0"/>
              <w:rPr>
                <w:b/>
                <w:bCs/>
                <w:i/>
                <w:iCs/>
                <w:noProof/>
                <w:sz w:val="20"/>
                <w:szCs w:val="20"/>
                <w:lang w:val="bg-BG" w:eastAsia="bg-BG" w:bidi="bg-BG"/>
              </w:rPr>
            </w:pPr>
            <w:r>
              <w:rPr>
                <w:b/>
                <w:i/>
                <w:noProof/>
                <w:sz w:val="20"/>
                <w:lang w:val="bg-BG" w:eastAsia="bg-BG" w:bidi="bg-BG"/>
              </w:rPr>
              <w:t>1.1.10</w:t>
            </w:r>
          </w:p>
        </w:tc>
        <w:tc>
          <w:tcPr>
            <w:tcW w:w="4643" w:type="dxa"/>
            <w:tcBorders>
              <w:top w:val="single" w:sz="4" w:space="0" w:color="auto"/>
              <w:left w:val="nil"/>
              <w:bottom w:val="single" w:sz="4" w:space="0" w:color="auto"/>
              <w:right w:val="nil"/>
            </w:tcBorders>
            <w:shd w:val="clear" w:color="000000" w:fill="F2F2F2"/>
            <w:vAlign w:val="center"/>
            <w:hideMark/>
          </w:tcPr>
          <w:p>
            <w:pPr>
              <w:spacing w:after="0"/>
              <w:rPr>
                <w:b/>
                <w:bCs/>
                <w:i/>
                <w:iCs/>
                <w:noProof/>
                <w:sz w:val="20"/>
                <w:szCs w:val="20"/>
                <w:lang w:val="bg-BG" w:eastAsia="bg-BG" w:bidi="bg-BG"/>
              </w:rPr>
            </w:pPr>
            <w:r>
              <w:rPr>
                <w:b/>
                <w:i/>
                <w:noProof/>
                <w:sz w:val="20"/>
                <w:lang w:val="bg-BG" w:eastAsia="bg-BG" w:bidi="bg-BG"/>
              </w:rPr>
              <w:t>Европейски фонд за стратегически инвестиции (ЕФСИ)</w:t>
            </w: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lang w:val="bg-BG" w:eastAsia="bg-BG" w:bidi="bg-BG"/>
              </w:rPr>
            </w:pPr>
          </w:p>
        </w:tc>
        <w:tc>
          <w:tcPr>
            <w:tcW w:w="1480" w:type="dxa"/>
            <w:tcBorders>
              <w:top w:val="single" w:sz="4" w:space="0" w:color="auto"/>
              <w:left w:val="nil"/>
              <w:bottom w:val="single" w:sz="4" w:space="0" w:color="auto"/>
              <w:right w:val="nil"/>
            </w:tcBorders>
            <w:shd w:val="clear" w:color="000000" w:fill="F2F2F2"/>
            <w:noWrap/>
            <w:vAlign w:val="center"/>
            <w:hideMark/>
          </w:tcPr>
          <w:p>
            <w:pPr>
              <w:spacing w:after="0"/>
              <w:jc w:val="right"/>
              <w:rPr>
                <w:b/>
                <w:bCs/>
                <w:i/>
                <w:iCs/>
                <w:noProof/>
                <w:sz w:val="20"/>
                <w:szCs w:val="20"/>
                <w:lang w:val="bg-BG" w:eastAsia="bg-BG" w:bidi="bg-BG"/>
              </w:rPr>
            </w:pPr>
          </w:p>
        </w:tc>
        <w:tc>
          <w:tcPr>
            <w:tcW w:w="1396" w:type="dxa"/>
            <w:tcBorders>
              <w:top w:val="single" w:sz="4" w:space="0" w:color="auto"/>
              <w:left w:val="nil"/>
              <w:bottom w:val="single" w:sz="4" w:space="0" w:color="auto"/>
              <w:right w:val="single" w:sz="4" w:space="0" w:color="auto"/>
            </w:tcBorders>
            <w:shd w:val="clear" w:color="000000" w:fill="F2F2F2"/>
            <w:noWrap/>
            <w:vAlign w:val="center"/>
            <w:hideMark/>
          </w:tcPr>
          <w:p>
            <w:pPr>
              <w:spacing w:after="0"/>
              <w:jc w:val="right"/>
              <w:rPr>
                <w:b/>
                <w:bCs/>
                <w:i/>
                <w:iCs/>
                <w:noProof/>
                <w:sz w:val="20"/>
                <w:szCs w:val="20"/>
                <w:lang w:val="bg-BG" w:eastAsia="bg-BG" w:bidi="bg-BG"/>
              </w:rPr>
            </w:pPr>
            <w:r>
              <w:rPr>
                <w:b/>
                <w:i/>
                <w:noProof/>
                <w:sz w:val="20"/>
                <w:lang w:val="bg-BG" w:eastAsia="bg-BG" w:bidi="bg-BG"/>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noProof/>
                <w:sz w:val="20"/>
                <w:szCs w:val="20"/>
                <w:lang w:val="bg-BG" w:eastAsia="bg-BG" w:bidi="bg-BG"/>
              </w:rPr>
            </w:pPr>
            <w:r>
              <w:rPr>
                <w:noProof/>
                <w:sz w:val="20"/>
                <w:lang w:val="bg-BG" w:eastAsia="bg-BG" w:bidi="bg-BG"/>
              </w:rPr>
              <w:t>01 04 05</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noProof/>
                <w:sz w:val="20"/>
                <w:szCs w:val="20"/>
                <w:lang w:val="bg-BG" w:eastAsia="bg-BG" w:bidi="bg-BG"/>
              </w:rPr>
            </w:pPr>
            <w:r>
              <w:rPr>
                <w:noProof/>
                <w:sz w:val="20"/>
                <w:lang w:val="bg-BG" w:eastAsia="bg-BG" w:bidi="bg-BG"/>
              </w:rPr>
              <w:t>Обезпечаване със средства на Гаранционния фонд за ЕФСИ</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1 150 000 000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1 000 000 000</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right"/>
              <w:rPr>
                <w:noProof/>
                <w:sz w:val="20"/>
                <w:szCs w:val="20"/>
                <w:lang w:val="bg-BG" w:eastAsia="bg-BG" w:bidi="bg-BG"/>
              </w:rPr>
            </w:pPr>
            <w:r>
              <w:rPr>
                <w:noProof/>
                <w:sz w:val="20"/>
                <w:lang w:val="bg-BG" w:eastAsia="bg-BG" w:bidi="bg-BG"/>
              </w:rPr>
              <w:t>-150 000 000</w:t>
            </w:r>
          </w:p>
        </w:tc>
      </w:tr>
      <w:tr>
        <w:trPr>
          <w:trHeight w:val="255"/>
          <w:jc w:val="center"/>
        </w:trPr>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rPr>
                <w:b/>
                <w:bCs/>
                <w:noProof/>
                <w:sz w:val="20"/>
                <w:szCs w:val="20"/>
                <w:lang w:val="bg-BG" w:eastAsia="bg-BG" w:bidi="bg-BG"/>
              </w:rPr>
            </w:pPr>
          </w:p>
        </w:tc>
        <w:tc>
          <w:tcPr>
            <w:tcW w:w="464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rPr>
                <w:b/>
                <w:bCs/>
                <w:noProof/>
                <w:sz w:val="20"/>
                <w:szCs w:val="20"/>
                <w:lang w:val="bg-BG" w:eastAsia="bg-BG" w:bidi="bg-BG"/>
              </w:rPr>
            </w:pPr>
            <w:r>
              <w:rPr>
                <w:b/>
                <w:noProof/>
                <w:sz w:val="20"/>
                <w:lang w:val="bg-BG" w:eastAsia="bg-BG" w:bidi="bg-BG"/>
              </w:rPr>
              <w:t>Общо</w:t>
            </w: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lang w:val="bg-BG" w:eastAsia="bg-BG" w:bidi="bg-BG"/>
              </w:rPr>
            </w:pPr>
          </w:p>
        </w:tc>
        <w:tc>
          <w:tcPr>
            <w:tcW w:w="14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lang w:val="bg-BG" w:eastAsia="bg-BG" w:bidi="bg-BG"/>
              </w:rPr>
            </w:pPr>
          </w:p>
        </w:tc>
        <w:tc>
          <w:tcPr>
            <w:tcW w:w="139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jc w:val="right"/>
              <w:rPr>
                <w:b/>
                <w:bCs/>
                <w:noProof/>
                <w:sz w:val="20"/>
                <w:szCs w:val="20"/>
                <w:lang w:val="bg-BG" w:eastAsia="bg-BG" w:bidi="bg-BG"/>
              </w:rPr>
            </w:pPr>
            <w:r>
              <w:rPr>
                <w:b/>
                <w:noProof/>
                <w:sz w:val="20"/>
                <w:lang w:val="bg-BG" w:eastAsia="bg-BG" w:bidi="bg-BG"/>
              </w:rPr>
              <w:t>-150 000 000</w:t>
            </w:r>
          </w:p>
        </w:tc>
      </w:tr>
    </w:tbl>
    <w:p>
      <w:pPr>
        <w:keepNext/>
        <w:keepLines/>
        <w:numPr>
          <w:ilvl w:val="1"/>
          <w:numId w:val="14"/>
        </w:numPr>
        <w:tabs>
          <w:tab w:val="clear" w:pos="850"/>
          <w:tab w:val="num" w:pos="360"/>
        </w:tabs>
        <w:spacing w:before="240" w:after="120" w:line="240" w:lineRule="auto"/>
        <w:ind w:left="0" w:firstLine="0"/>
        <w:jc w:val="both"/>
        <w:outlineLvl w:val="1"/>
        <w:rPr>
          <w:rFonts w:eastAsia="Times New Roman"/>
          <w:b/>
          <w:bCs/>
          <w:iCs/>
          <w:noProof/>
          <w:sz w:val="24"/>
          <w:szCs w:val="28"/>
          <w:lang w:val="bg-BG" w:eastAsia="bg-BG" w:bidi="bg-BG"/>
        </w:rPr>
      </w:pPr>
      <w:bookmarkStart w:id="58" w:name="_Toc530674111"/>
      <w:bookmarkStart w:id="59" w:name="_Toc531253457"/>
      <w:r>
        <w:rPr>
          <w:rFonts w:eastAsia="Times New Roman"/>
          <w:b/>
          <w:bCs/>
          <w:iCs/>
          <w:noProof/>
          <w:sz w:val="24"/>
          <w:szCs w:val="28"/>
          <w:lang w:val="bg-BG" w:eastAsia="bg-BG" w:bidi="bg-BG"/>
        </w:rPr>
        <w:t>Резерви</w:t>
      </w:r>
      <w:bookmarkEnd w:id="58"/>
      <w:bookmarkEnd w:id="59"/>
    </w:p>
    <w:p>
      <w:pPr>
        <w:spacing w:before="120" w:after="120"/>
        <w:jc w:val="both"/>
        <w:rPr>
          <w:noProof/>
          <w:lang w:val="bg-BG" w:eastAsia="bg-BG" w:bidi="bg-BG"/>
        </w:rPr>
      </w:pPr>
      <w:r>
        <w:rPr>
          <w:noProof/>
          <w:lang w:val="bg-BG" w:eastAsia="bg-BG" w:bidi="bg-BG"/>
        </w:rPr>
        <w:t>Предлага се да бъде определен резерв в съответствие с четенето на Съвета на първоначалния проектобюджет, като се вземат предвид промените, предложени в писмо за внасяне на корекции № 1/2019, със следните изменения:</w:t>
      </w:r>
    </w:p>
    <w:p>
      <w:pPr>
        <w:numPr>
          <w:ilvl w:val="0"/>
          <w:numId w:val="41"/>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Условията за освобождаване на резерва по бюджетен ред 18 03 01 01 са предложени, както следва:</w:t>
      </w:r>
    </w:p>
    <w:p>
      <w:pPr>
        <w:spacing w:before="120" w:after="120"/>
        <w:ind w:left="708"/>
        <w:jc w:val="both"/>
        <w:rPr>
          <w:i/>
          <w:noProof/>
          <w:szCs w:val="23"/>
          <w:lang w:val="bg-BG" w:eastAsia="bg-BG" w:bidi="bg-BG"/>
        </w:rPr>
      </w:pPr>
      <w:r>
        <w:rPr>
          <w:i/>
          <w:noProof/>
          <w:lang w:val="bg-BG" w:eastAsia="bg-BG" w:bidi="bg-BG"/>
        </w:rPr>
        <w:t>„Сума в размер на 460 милиона евро, предвидена в законодателната финансова обосновка на предложението на Комисията за преработване на Регламент „Дъблин III“ (COM(2016) 270 final от 4 май 2016 г.), се поставя в резерв, в очакване на приемането на законодателното предложение. Този резерв може да бъде освободен чрез трансфер в съответствие с член 30, параграф 2, буква а) от Финансовия регламент след приемането на основния акт.</w:t>
      </w:r>
    </w:p>
    <w:p>
      <w:pPr>
        <w:spacing w:before="120" w:after="120"/>
        <w:ind w:left="708"/>
        <w:jc w:val="both"/>
        <w:rPr>
          <w:i/>
          <w:noProof/>
          <w:szCs w:val="23"/>
          <w:lang w:val="bg-BG" w:eastAsia="bg-BG" w:bidi="bg-BG"/>
        </w:rPr>
      </w:pPr>
      <w:r>
        <w:rPr>
          <w:i/>
          <w:noProof/>
          <w:lang w:val="bg-BG" w:eastAsia="bg-BG" w:bidi="bg-BG"/>
        </w:rPr>
        <w:t>Ако актът не е приет до 1 февруари 2019 г., Комисията може да представи едно или повече предложения за трансфери в съответствие с член 31 от Финансовия регламент, за да използва по алтернативен начин тази сума в полза на бюджетен ред 18 03 01 01.“</w:t>
      </w:r>
    </w:p>
    <w:p>
      <w:pPr>
        <w:spacing w:before="120" w:after="120"/>
        <w:ind w:firstLine="708"/>
        <w:jc w:val="both"/>
        <w:rPr>
          <w:noProof/>
          <w:lang w:val="bg-BG" w:eastAsia="bg-BG" w:bidi="bg-BG"/>
        </w:rPr>
      </w:pPr>
      <w:r>
        <w:rPr>
          <w:noProof/>
          <w:lang w:val="bg-BG" w:eastAsia="bg-BG" w:bidi="bg-BG"/>
        </w:rPr>
        <w:t>Предлага се съответно изменение на бюджетната забележка на бюджетен ред 18 03 01 01.</w:t>
      </w:r>
    </w:p>
    <w:p>
      <w:pPr>
        <w:numPr>
          <w:ilvl w:val="0"/>
          <w:numId w:val="41"/>
        </w:numPr>
        <w:spacing w:before="120" w:after="120" w:line="240" w:lineRule="auto"/>
        <w:jc w:val="both"/>
        <w:rPr>
          <w:rFonts w:eastAsia="Times New Roman"/>
          <w:noProof/>
          <w:szCs w:val="23"/>
          <w:lang w:val="bg-BG" w:eastAsia="bg-BG" w:bidi="bg-BG"/>
        </w:rPr>
      </w:pPr>
      <w:r>
        <w:rPr>
          <w:rFonts w:eastAsia="Times New Roman"/>
          <w:noProof/>
          <w:szCs w:val="24"/>
          <w:lang w:val="bg-BG" w:eastAsia="bg-BG" w:bidi="bg-BG"/>
        </w:rPr>
        <w:t>Предвид приемането на 28 септември 2018 г. на правното основание на съвместното предприятие за европейски високопроизводителни изчислителни технологии</w:t>
      </w:r>
      <w:r>
        <w:rPr>
          <w:rFonts w:eastAsia="Times New Roman"/>
          <w:noProof/>
          <w:szCs w:val="24"/>
          <w:vertAlign w:val="superscript"/>
          <w:lang w:val="bg-BG" w:eastAsia="bg-BG" w:bidi="bg-BG"/>
        </w:rPr>
        <w:footnoteReference w:id="17"/>
      </w:r>
      <w:r>
        <w:rPr>
          <w:rFonts w:eastAsia="Times New Roman"/>
          <w:noProof/>
          <w:szCs w:val="24"/>
          <w:lang w:val="bg-BG" w:eastAsia="bg-BG" w:bidi="bg-BG"/>
        </w:rPr>
        <w:t xml:space="preserve"> се предлага да бъде освободен резервът по бюджетни редове 09 03 05 31, 09 04 07 33 и 09 04 07 34.</w:t>
      </w:r>
    </w:p>
    <w:p>
      <w:pPr>
        <w:keepNext/>
        <w:keepLines/>
        <w:numPr>
          <w:ilvl w:val="1"/>
          <w:numId w:val="14"/>
        </w:numPr>
        <w:tabs>
          <w:tab w:val="clear" w:pos="850"/>
          <w:tab w:val="num" w:pos="360"/>
        </w:tabs>
        <w:spacing w:before="240" w:after="120" w:line="240" w:lineRule="auto"/>
        <w:ind w:left="0" w:firstLine="0"/>
        <w:jc w:val="both"/>
        <w:outlineLvl w:val="1"/>
        <w:rPr>
          <w:rFonts w:eastAsia="Times New Roman"/>
          <w:b/>
          <w:bCs/>
          <w:iCs/>
          <w:noProof/>
          <w:sz w:val="24"/>
          <w:szCs w:val="28"/>
          <w:lang w:val="bg-BG" w:eastAsia="bg-BG" w:bidi="bg-BG"/>
        </w:rPr>
      </w:pPr>
      <w:bookmarkStart w:id="60" w:name="_Toc530674112"/>
      <w:bookmarkStart w:id="61" w:name="_Toc531253458"/>
      <w:r>
        <w:rPr>
          <w:rFonts w:eastAsia="Times New Roman"/>
          <w:b/>
          <w:bCs/>
          <w:iCs/>
          <w:noProof/>
          <w:sz w:val="24"/>
          <w:szCs w:val="28"/>
          <w:lang w:val="bg-BG" w:eastAsia="bg-BG" w:bidi="bg-BG"/>
        </w:rPr>
        <w:t>Промени на номенклатурата и бюджетните забележки</w:t>
      </w:r>
      <w:bookmarkEnd w:id="60"/>
      <w:bookmarkEnd w:id="61"/>
    </w:p>
    <w:p>
      <w:pPr>
        <w:keepNext/>
        <w:numPr>
          <w:ilvl w:val="2"/>
          <w:numId w:val="14"/>
        </w:numPr>
        <w:tabs>
          <w:tab w:val="clear" w:pos="850"/>
          <w:tab w:val="num" w:pos="360"/>
        </w:tabs>
        <w:spacing w:before="120" w:after="120" w:line="240" w:lineRule="auto"/>
        <w:ind w:left="0" w:firstLine="0"/>
        <w:jc w:val="both"/>
        <w:outlineLvl w:val="2"/>
        <w:rPr>
          <w:rFonts w:eastAsia="Times New Roman"/>
          <w:bCs/>
          <w:i/>
          <w:noProof/>
          <w:sz w:val="24"/>
          <w:szCs w:val="26"/>
          <w:lang w:val="bg-BG" w:eastAsia="bg-BG" w:bidi="bg-BG"/>
        </w:rPr>
      </w:pPr>
      <w:bookmarkStart w:id="62" w:name="_Toc530674113"/>
      <w:bookmarkStart w:id="63" w:name="_Toc531253459"/>
      <w:r>
        <w:rPr>
          <w:rFonts w:eastAsia="Times New Roman"/>
          <w:bCs/>
          <w:i/>
          <w:noProof/>
          <w:sz w:val="24"/>
          <w:szCs w:val="26"/>
          <w:lang w:val="bg-BG" w:eastAsia="bg-BG" w:bidi="bg-BG"/>
        </w:rPr>
        <w:t>Бюджетни забележки</w:t>
      </w:r>
      <w:bookmarkEnd w:id="62"/>
      <w:bookmarkEnd w:id="63"/>
    </w:p>
    <w:p>
      <w:pPr>
        <w:spacing w:before="120" w:after="120"/>
        <w:jc w:val="both"/>
        <w:rPr>
          <w:noProof/>
          <w:lang w:val="en-GB" w:eastAsia="bg-BG" w:bidi="bg-BG"/>
        </w:rPr>
      </w:pPr>
      <w:r>
        <w:rPr>
          <w:noProof/>
          <w:lang w:val="bg-BG" w:eastAsia="bg-BG" w:bidi="bg-BG"/>
        </w:rPr>
        <w:t>Освен предложеното изменение на текста на бюджетната забележка на статия 08 02 08 в раздел 3.2.1 по-горе, предлага се също така измененията, внесени от Европейския парламент в текста на бюджетните забележки при неговото четене на първоначалния проектобюджет, да бъдат включени във втория проектобюджет, с изключение на тези в бюджетните редове в таблицата по-долу. Приема се, че измененията, въведени от Европейския парламент, не могат да променят или разширяват обхвата на приложимото правно основание или да засягат административната автономност на институциите, както и че действието може да бъде финансирано с наличните ресурси.</w:t>
      </w:r>
    </w:p>
    <w:p>
      <w:pPr>
        <w:spacing w:after="0" w:line="240" w:lineRule="auto"/>
        <w:rPr>
          <w:noProof/>
          <w:lang w:val="en-GB" w:eastAsia="bg-BG" w:bidi="bg-BG"/>
        </w:rPr>
      </w:pPr>
      <w:r>
        <w:rPr>
          <w:noProof/>
          <w:lang w:val="en-GB" w:eastAsia="bg-BG" w:bidi="bg-BG"/>
        </w:rPr>
        <w:br w:type="page"/>
      </w:r>
    </w:p>
    <w:p>
      <w:pPr>
        <w:spacing w:before="120" w:after="120"/>
        <w:jc w:val="both"/>
        <w:rPr>
          <w:noProof/>
          <w:lang w:val="en-GB" w:eastAsia="bg-BG" w:bidi="bg-BG"/>
        </w:rPr>
      </w:pP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Наименование</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02 02 77 40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 xml:space="preserve">Пилотен проект — Спътников широколентов достъп до интернет с цел предоставяне на образователно мултимедийно съдържание на несвързани училища </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04 06 01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Насърчаване на социалното сближаване и облекчаване на най-тежките форми на бедност в Съюза</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15 04 02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Подпрограма Култура — подкрепа за трансгранични мерки и насърчаване на транснационалното разпространение и мобилност</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18 02 01 02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Предотвратяване на трансграничната организирана престъпност и борба с нея и по-добро управление на рисковете и кризите, свързани със сигурността</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18 03 01 01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18 03 01 02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Подкрепяне на законната миграция към Съюза, насърчаване на ефективното интегриране на граждани на трети държави и засилване на справедливите и ефикасни стратегии за връщане</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18 04 01 01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„Европа за гражданите“ — укрепване на историческата памет и повишаване на капацитета за гражданско участие на равнището на Съюза</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19 02 01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Отговор при кризи и при възникващи кризи</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21 02 01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Сътрудничество с Латинска Америка</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21 02 07 03</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Човешко развитие</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21 02 08 01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Гражданското общество в процеса на развитие</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33 02 01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Осигуряване на защитата на правата и предоставяне на гражданите на възможност за действие</w:t>
            </w:r>
          </w:p>
        </w:tc>
      </w:tr>
    </w:tbl>
    <w:p>
      <w:pPr>
        <w:keepNext/>
        <w:numPr>
          <w:ilvl w:val="2"/>
          <w:numId w:val="14"/>
        </w:numPr>
        <w:tabs>
          <w:tab w:val="clear" w:pos="850"/>
          <w:tab w:val="num" w:pos="360"/>
        </w:tabs>
        <w:spacing w:before="120" w:after="120" w:line="240" w:lineRule="auto"/>
        <w:ind w:left="0" w:firstLine="0"/>
        <w:jc w:val="both"/>
        <w:outlineLvl w:val="2"/>
        <w:rPr>
          <w:rFonts w:eastAsia="Times New Roman"/>
          <w:bCs/>
          <w:i/>
          <w:noProof/>
          <w:sz w:val="24"/>
          <w:szCs w:val="26"/>
          <w:lang w:val="bg-BG" w:eastAsia="bg-BG" w:bidi="bg-BG"/>
        </w:rPr>
      </w:pPr>
      <w:bookmarkStart w:id="64" w:name="_Toc530674114"/>
      <w:bookmarkStart w:id="65" w:name="_Toc531253460"/>
      <w:r>
        <w:rPr>
          <w:rFonts w:eastAsia="Times New Roman"/>
          <w:bCs/>
          <w:i/>
          <w:noProof/>
          <w:sz w:val="24"/>
          <w:szCs w:val="26"/>
          <w:lang w:val="bg-BG" w:eastAsia="bg-BG" w:bidi="bg-BG"/>
        </w:rPr>
        <w:t>Номенклатура</w:t>
      </w:r>
      <w:bookmarkEnd w:id="64"/>
      <w:bookmarkEnd w:id="65"/>
    </w:p>
    <w:p>
      <w:pPr>
        <w:jc w:val="both"/>
        <w:rPr>
          <w:noProof/>
          <w:lang w:val="bg-BG" w:eastAsia="bg-BG" w:bidi="bg-BG"/>
        </w:rPr>
      </w:pPr>
      <w:r>
        <w:rPr>
          <w:noProof/>
          <w:lang w:val="bg-BG" w:eastAsia="bg-BG" w:bidi="bg-BG"/>
        </w:rPr>
        <w:t xml:space="preserve">Във втория проектобюджет бюджетната номенклатура на първоначалния проектобюджет, изменен с писмо за внасяне на корекции № 1/2019, е предложена с включването на </w:t>
      </w:r>
      <w:r>
        <w:rPr>
          <w:i/>
          <w:noProof/>
          <w:lang w:val="bg-BG" w:eastAsia="bg-BG" w:bidi="bg-BG"/>
        </w:rPr>
        <w:t>нови</w:t>
      </w:r>
      <w:r>
        <w:rPr>
          <w:noProof/>
          <w:lang w:val="bg-BG" w:eastAsia="bg-BG" w:bidi="bg-BG"/>
        </w:rPr>
        <w:t xml:space="preserve"> пилотни проекти и подготвителни действия със следните изменения:</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eastAsia="Times New Roman"/>
                <w:b/>
                <w:bCs/>
                <w:noProof/>
                <w:color w:val="000000"/>
                <w:sz w:val="20"/>
                <w:szCs w:val="20"/>
                <w:lang w:val="bg-BG" w:eastAsia="bg-BG" w:bidi="bg-BG"/>
              </w:rPr>
            </w:pPr>
            <w:r>
              <w:rPr>
                <w:b/>
                <w:noProof/>
                <w:color w:val="000000"/>
                <w:sz w:val="20"/>
                <w:lang w:val="bg-BG" w:eastAsia="bg-BG" w:bidi="bg-BG"/>
              </w:rPr>
              <w:t>Наименование</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02 04 77 07</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Подготвително действие — Подготовка за новата интегрирана програма на ЕС за правителствени сателитни комуникации (GOVSATCOM)</w:t>
            </w:r>
          </w:p>
        </w:tc>
      </w:tr>
      <w:tr>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noProof/>
                <w:sz w:val="20"/>
                <w:szCs w:val="20"/>
                <w:lang w:val="bg-BG" w:eastAsia="bg-BG" w:bidi="bg-BG"/>
              </w:rPr>
            </w:pPr>
            <w:r>
              <w:rPr>
                <w:noProof/>
                <w:sz w:val="20"/>
                <w:lang w:val="bg-BG" w:eastAsia="bg-BG" w:bidi="bg-BG"/>
              </w:rPr>
              <w:t>05 08 77 18</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noProof/>
                <w:sz w:val="20"/>
                <w:szCs w:val="20"/>
                <w:lang w:val="bg-BG" w:eastAsia="bg-BG" w:bidi="bg-BG"/>
              </w:rPr>
            </w:pPr>
            <w:r>
              <w:rPr>
                <w:noProof/>
                <w:sz w:val="20"/>
                <w:lang w:val="bg-BG" w:eastAsia="bg-BG" w:bidi="bg-BG"/>
              </w:rPr>
              <w:t>Пилотен проект — Създаване на оперативна програма, структурираща хранително-вкусовите сектори с цел осигуряване на запазването на семейните стопанства и на устойчивостта на местното селско стопанство</w:t>
            </w:r>
          </w:p>
        </w:tc>
      </w:tr>
    </w:tbl>
    <w:p>
      <w:pPr>
        <w:keepNext/>
        <w:numPr>
          <w:ilvl w:val="0"/>
          <w:numId w:val="14"/>
        </w:numPr>
        <w:tabs>
          <w:tab w:val="clear" w:pos="850"/>
          <w:tab w:val="num" w:pos="360"/>
        </w:tabs>
        <w:spacing w:before="360" w:after="240" w:line="240" w:lineRule="auto"/>
        <w:ind w:left="0" w:firstLine="0"/>
        <w:jc w:val="both"/>
        <w:outlineLvl w:val="0"/>
        <w:rPr>
          <w:rFonts w:eastAsia="Times New Roman"/>
          <w:b/>
          <w:bCs/>
          <w:smallCaps/>
          <w:noProof/>
          <w:sz w:val="24"/>
          <w:szCs w:val="32"/>
          <w:lang w:val="bg-BG" w:eastAsia="bg-BG" w:bidi="bg-BG"/>
        </w:rPr>
      </w:pPr>
      <w:bookmarkStart w:id="66" w:name="_Toc530586747"/>
      <w:bookmarkStart w:id="67" w:name="_Toc530674115"/>
      <w:bookmarkStart w:id="68" w:name="_Toc531253461"/>
      <w:bookmarkEnd w:id="66"/>
      <w:r>
        <w:rPr>
          <w:rFonts w:eastAsia="Times New Roman"/>
          <w:b/>
          <w:bCs/>
          <w:smallCaps/>
          <w:noProof/>
          <w:sz w:val="24"/>
          <w:szCs w:val="32"/>
          <w:lang w:val="bg-BG" w:eastAsia="bg-BG" w:bidi="bg-BG"/>
        </w:rPr>
        <w:t>Заключителни бележки</w:t>
      </w:r>
      <w:bookmarkEnd w:id="57"/>
      <w:bookmarkEnd w:id="67"/>
      <w:bookmarkEnd w:id="68"/>
    </w:p>
    <w:p>
      <w:pPr>
        <w:spacing w:line="240" w:lineRule="auto"/>
        <w:jc w:val="both"/>
        <w:rPr>
          <w:noProof/>
          <w:lang w:val="bg-BG" w:eastAsia="bg-BG" w:bidi="bg-BG"/>
        </w:rPr>
      </w:pPr>
      <w:r>
        <w:rPr>
          <w:noProof/>
          <w:lang w:val="bg-BG" w:eastAsia="bg-BG" w:bidi="bg-BG"/>
        </w:rPr>
        <w:t xml:space="preserve">С предлагането на втори проектобюджет за 2019 г., </w:t>
      </w:r>
      <w:r>
        <w:rPr>
          <w:noProof/>
          <w:sz w:val="24"/>
          <w:lang w:val="bg-BG" w:eastAsia="bg-BG" w:bidi="bg-BG"/>
        </w:rPr>
        <w:t>основан на напредъка, постигнат в помирителния комитет</w:t>
      </w:r>
      <w:r>
        <w:rPr>
          <w:noProof/>
          <w:lang w:val="bg-BG" w:eastAsia="bg-BG" w:bidi="bg-BG"/>
        </w:rPr>
        <w:t>, Комисията се стреми да създаде условия за бързо приемане на бюджета за 2019 г. в краткото време, оставащо до края на 2018 г.</w:t>
      </w:r>
    </w:p>
    <w:p>
      <w:pPr>
        <w:spacing w:line="240" w:lineRule="auto"/>
        <w:jc w:val="both"/>
        <w:rPr>
          <w:noProof/>
          <w:lang w:val="bg-BG"/>
        </w:rPr>
      </w:pPr>
      <w:r>
        <w:rPr>
          <w:noProof/>
          <w:lang w:val="bg-BG" w:eastAsia="bg-BG" w:bidi="bg-BG"/>
        </w:rPr>
        <w:t>Навременното приемане и влизане в сила на бюджета за 2019 г. ще гарантира доброто изпълнение на политиките и програмите на Европейския съюз. Комисията ще направи всичко възможно, за да постигне тази цел.</w:t>
      </w:r>
    </w:p>
    <w:p>
      <w:pPr>
        <w:rPr>
          <w:noProof/>
          <w:lang w:val="bg-BG"/>
        </w:rPr>
        <w:sectPr>
          <w:headerReference w:type="even" r:id="rId29"/>
          <w:headerReference w:type="default" r:id="rId30"/>
          <w:footerReference w:type="even" r:id="rId31"/>
          <w:footerReference w:type="default" r:id="rId32"/>
          <w:headerReference w:type="first" r:id="rId33"/>
          <w:footerReference w:type="first" r:id="rId34"/>
          <w:pgSz w:w="11907" w:h="16839"/>
          <w:pgMar w:top="567" w:right="850" w:bottom="567" w:left="709" w:header="709" w:footer="709" w:gutter="0"/>
          <w:cols w:space="720"/>
          <w:docGrid w:linePitch="360"/>
        </w:sectPr>
      </w:pPr>
    </w:p>
    <w:p>
      <w:pPr>
        <w:pStyle w:val="ManualHeading1"/>
        <w:rPr>
          <w:noProof/>
        </w:rPr>
      </w:pPr>
      <w:bookmarkStart w:id="69" w:name="_Toc530674116"/>
      <w:bookmarkStart w:id="70" w:name="_Toc531253462"/>
      <w:r>
        <w:t>5.</w:t>
      </w:r>
      <w:r>
        <w:tab/>
      </w:r>
      <w:r>
        <w:rPr>
          <w:noProof/>
        </w:rPr>
        <w:t>Втори проектобюджет за 2019 г. по функции от финансовата рамка и основни програми</w:t>
      </w:r>
      <w:bookmarkEnd w:id="69"/>
      <w:bookmarkEnd w:id="70"/>
    </w:p>
    <w:tbl>
      <w:tblPr>
        <w:tblW w:w="10649" w:type="dxa"/>
        <w:tblInd w:w="108" w:type="dxa"/>
        <w:tblLook w:val="04A0" w:firstRow="1" w:lastRow="0" w:firstColumn="1" w:lastColumn="0" w:noHBand="0" w:noVBand="1"/>
      </w:tblPr>
      <w:tblGrid>
        <w:gridCol w:w="368"/>
        <w:gridCol w:w="2806"/>
        <w:gridCol w:w="1016"/>
        <w:gridCol w:w="1016"/>
        <w:gridCol w:w="1016"/>
        <w:gridCol w:w="1016"/>
        <w:gridCol w:w="959"/>
        <w:gridCol w:w="900"/>
        <w:gridCol w:w="776"/>
        <w:gridCol w:w="776"/>
      </w:tblGrid>
      <w:tr>
        <w:trPr>
          <w:trHeight w:val="255"/>
          <w:tblHeader/>
        </w:trPr>
        <w:tc>
          <w:tcPr>
            <w:tcW w:w="9097" w:type="dxa"/>
            <w:gridSpan w:val="8"/>
            <w:tcBorders>
              <w:top w:val="nil"/>
              <w:left w:val="nil"/>
              <w:bottom w:val="single" w:sz="4" w:space="0" w:color="auto"/>
              <w:right w:val="nil"/>
            </w:tcBorders>
            <w:shd w:val="clear" w:color="auto" w:fill="auto"/>
            <w:noWrap/>
            <w:vAlign w:val="bottom"/>
            <w:hideMark/>
          </w:tcPr>
          <w:p>
            <w:pPr>
              <w:spacing w:after="0" w:line="240" w:lineRule="auto"/>
              <w:jc w:val="right"/>
              <w:rPr>
                <w:rFonts w:eastAsia="Times New Roman"/>
                <w:i/>
                <w:iCs/>
                <w:noProof/>
                <w:color w:val="000000"/>
                <w:sz w:val="20"/>
                <w:szCs w:val="20"/>
                <w:lang w:val="ru-RU"/>
              </w:rPr>
            </w:pPr>
            <w:r>
              <w:rPr>
                <w:i/>
                <w:noProof/>
                <w:color w:val="000000"/>
                <w:sz w:val="20"/>
                <w:lang w:val="ru-RU"/>
              </w:rPr>
              <w:t>(бюджетни кредити за поети задължения (БКПЗ) и бюджетни кредити за плащания (БКП) в милиони евро, закръглени стойности по текущи цени)</w:t>
            </w: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lang w:val="ru-RU"/>
              </w:rPr>
            </w:pPr>
          </w:p>
        </w:tc>
        <w:tc>
          <w:tcPr>
            <w:tcW w:w="776" w:type="dxa"/>
            <w:tcBorders>
              <w:top w:val="nil"/>
              <w:left w:val="nil"/>
              <w:bottom w:val="nil"/>
              <w:right w:val="nil"/>
            </w:tcBorders>
            <w:shd w:val="clear" w:color="auto" w:fill="auto"/>
            <w:noWrap/>
            <w:vAlign w:val="bottom"/>
            <w:hideMark/>
          </w:tcPr>
          <w:p>
            <w:pPr>
              <w:spacing w:after="0" w:line="240" w:lineRule="auto"/>
              <w:jc w:val="right"/>
              <w:rPr>
                <w:rFonts w:eastAsia="Times New Roman"/>
                <w:i/>
                <w:iCs/>
                <w:noProof/>
                <w:color w:val="000000"/>
                <w:sz w:val="20"/>
                <w:szCs w:val="20"/>
                <w:lang w:val="ru-RU"/>
              </w:rPr>
            </w:pPr>
          </w:p>
        </w:tc>
      </w:tr>
      <w:tr>
        <w:trPr>
          <w:trHeight w:val="255"/>
          <w:tblHeader/>
        </w:trPr>
        <w:tc>
          <w:tcPr>
            <w:tcW w:w="3115"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5"/>
                <w:szCs w:val="15"/>
              </w:rPr>
            </w:pPr>
            <w:r>
              <w:rPr>
                <w:b/>
                <w:noProof/>
                <w:sz w:val="15"/>
              </w:rPr>
              <w:t>Функция</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Бюджет</w:t>
            </w:r>
          </w:p>
        </w:tc>
        <w:tc>
          <w:tcPr>
            <w:tcW w:w="2032"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Втори проектобюджет</w:t>
            </w:r>
          </w:p>
        </w:tc>
        <w:tc>
          <w:tcPr>
            <w:tcW w:w="1918" w:type="dxa"/>
            <w:gridSpan w:val="2"/>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Разлика</w:t>
            </w:r>
          </w:p>
        </w:tc>
        <w:tc>
          <w:tcPr>
            <w:tcW w:w="1552"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Разлика</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2018 г.</w:t>
            </w:r>
            <w:r>
              <w:rPr>
                <w:noProof/>
                <w:sz w:val="16"/>
                <w:vertAlign w:val="superscript"/>
              </w:rPr>
              <w:t>(1)</w:t>
            </w:r>
          </w:p>
        </w:tc>
        <w:tc>
          <w:tcPr>
            <w:tcW w:w="2032"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w:t>
            </w:r>
          </w:p>
        </w:tc>
        <w:tc>
          <w:tcPr>
            <w:tcW w:w="1918"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г./2018 г.</w:t>
            </w:r>
          </w:p>
        </w:tc>
        <w:tc>
          <w:tcPr>
            <w:tcW w:w="1552"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2019 г./2018 г.</w:t>
            </w:r>
          </w:p>
        </w:tc>
      </w:tr>
      <w:tr>
        <w:trPr>
          <w:trHeight w:val="34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(1)</w:t>
            </w:r>
          </w:p>
        </w:tc>
        <w:tc>
          <w:tcPr>
            <w:tcW w:w="203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w:t>
            </w:r>
          </w:p>
        </w:tc>
        <w:tc>
          <w:tcPr>
            <w:tcW w:w="1918"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c>
          <w:tcPr>
            <w:tcW w:w="1552" w:type="dxa"/>
            <w:gridSpan w:val="2"/>
            <w:tcBorders>
              <w:top w:val="single" w:sz="4" w:space="0" w:color="auto"/>
              <w:left w:val="nil"/>
              <w:bottom w:val="single" w:sz="4" w:space="0" w:color="auto"/>
              <w:right w:val="single" w:sz="4" w:space="0" w:color="000000"/>
            </w:tcBorders>
            <w:shd w:val="clear" w:color="000000" w:fill="D9D9D9"/>
            <w:vAlign w:val="center"/>
            <w:hideMark/>
          </w:tcPr>
          <w:p>
            <w:pPr>
              <w:spacing w:after="0" w:line="240" w:lineRule="auto"/>
              <w:jc w:val="center"/>
              <w:rPr>
                <w:rFonts w:eastAsia="Times New Roman"/>
                <w:b/>
                <w:bCs/>
                <w:noProof/>
                <w:sz w:val="16"/>
                <w:szCs w:val="16"/>
              </w:rPr>
            </w:pPr>
            <w:r>
              <w:rPr>
                <w:b/>
                <w:noProof/>
                <w:sz w:val="16"/>
              </w:rPr>
              <w:t>(2 / 1)</w:t>
            </w:r>
          </w:p>
        </w:tc>
      </w:tr>
      <w:tr>
        <w:trPr>
          <w:trHeight w:val="255"/>
          <w:tblHeader/>
        </w:trPr>
        <w:tc>
          <w:tcPr>
            <w:tcW w:w="3115"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eastAsia="Times New Roman"/>
                <w:b/>
                <w:bCs/>
                <w:noProof/>
                <w:sz w:val="15"/>
                <w:szCs w:val="15"/>
              </w:rPr>
            </w:pP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959"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БКПЗ</w:t>
            </w:r>
          </w:p>
        </w:tc>
        <w:tc>
          <w:tcPr>
            <w:tcW w:w="77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eastAsia="Times New Roman"/>
                <w:b/>
                <w:bCs/>
                <w:noProof/>
                <w:sz w:val="16"/>
                <w:szCs w:val="16"/>
              </w:rPr>
            </w:pPr>
            <w:r>
              <w:rPr>
                <w:b/>
                <w:noProof/>
                <w:sz w:val="16"/>
              </w:rPr>
              <w:t>БКП</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1. Интелигентен и приобщаващ растеж</w:t>
            </w:r>
          </w:p>
        </w:tc>
        <w:tc>
          <w:tcPr>
            <w:tcW w:w="101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77 531,8</w:t>
            </w:r>
          </w:p>
        </w:tc>
        <w:tc>
          <w:tcPr>
            <w:tcW w:w="101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66 622,6</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80 337,4</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67 556,9</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2 805,7</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934,4</w:t>
            </w:r>
          </w:p>
        </w:tc>
        <w:tc>
          <w:tcPr>
            <w:tcW w:w="776"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3,6 %</w:t>
            </w:r>
          </w:p>
        </w:tc>
        <w:tc>
          <w:tcPr>
            <w:tcW w:w="776" w:type="dxa"/>
            <w:tcBorders>
              <w:top w:val="single" w:sz="4" w:space="0" w:color="auto"/>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1,4 %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в общия марж за поетите задължения</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1 111,8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413,4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76 420,0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79 924,0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single" w:sz="4" w:space="0" w:color="auto"/>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dotted" w:sz="4" w:space="0" w:color="000000"/>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rPr>
            </w:pPr>
            <w:r>
              <w:rPr>
                <w:noProof/>
                <w:sz w:val="15"/>
              </w:rPr>
              <w:t>1а</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Конкурентоспособност за растеж и работни места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21 999,6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20 095,3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23 145,4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20 521,5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1 145,9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760,6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21 239,0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23 082,0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Големи инфраструктурни проекти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1 826,2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1 959,4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2 142,0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17,3 %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системи за спътникова навигация (</w:t>
            </w:r>
            <w:r>
              <w:rPr>
                <w:noProof/>
                <w:sz w:val="15"/>
              </w:rPr>
              <w:t>EGNOS</w:t>
            </w:r>
            <w:r>
              <w:rPr>
                <w:noProof/>
                <w:sz w:val="15"/>
                <w:lang w:val="ru-RU"/>
              </w:rPr>
              <w:t xml:space="preserve"> и „Галилео“)</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807,9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690,7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923,0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-117,1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28,6 %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Международен експериментален термоядрен реактор (</w:t>
            </w:r>
            <w:r>
              <w:rPr>
                <w:noProof/>
                <w:sz w:val="15"/>
              </w:rPr>
              <w:t>ITER</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23,2 %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Европейска програма за наблюдение на Земята („Коперник“)</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602,4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36,7 %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-0,9 %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Ядрена безопасност и извеждане от експлоатация на ядрени съоръжения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141,1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фонд за стратегически инвестиции (ЕФСИ)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2 038,3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1 828,0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1 022,3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-1 851,4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-805,7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-90,8 %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-44,1 %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Обща стратегическа рамка (ОСР) в областта на научните изследвания и иновациите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11 568,1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11 216,9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12 535,1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11 341,8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967,0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124,9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„Хоризонт 2020“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11 212,4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10 901,5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12 161,5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10 971,8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949,1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8,5 %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Програма на Евратом за научни изследвания и обучение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370,0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54,5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17,3 %</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Програма за конкурентоспособност на предприятията и малките и средните предприятия (</w:t>
            </w:r>
            <w:r>
              <w:rPr>
                <w:noProof/>
                <w:sz w:val="15"/>
              </w:rPr>
              <w:t>COSME</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253,5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367,2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251,8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Образование, обучение и спорт („Еразъм+“)</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2 314,5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2 145,6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2 726,4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2 563,1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417,5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19,5 %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Заетост и социални иновации (</w:t>
            </w:r>
            <w:r>
              <w:rPr>
                <w:noProof/>
                <w:sz w:val="15"/>
              </w:rPr>
              <w:t>EaSI</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118,4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„Митници“, „Фискалис“ и „Борба с измамите“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124,8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134,2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7,6 %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Механизъм за свързване на Европа (МСЕ)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2 748,4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1 523,0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3 764,0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1 701,2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1 015,6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178,3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11,7 %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Енергетика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326,8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268,2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50,1 %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Транспорт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1 897,6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1 163,3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2 640,2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1 222,8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5,1 %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Информационни и комуникационни технологии (ИКТ)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Енергийни проекти за подпомагане на икономическото възстановяване (</w:t>
            </w:r>
            <w:r>
              <w:rPr>
                <w:noProof/>
                <w:sz w:val="15"/>
              </w:rPr>
              <w:t>EERP</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ru-RU"/>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-71,0 %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корпус за солидарност (ЕКС)</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143,3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235,0 %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259,8 %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Европейска програма за промишлено развитие в областта на отбраната (</w:t>
            </w:r>
            <w:r>
              <w:rPr>
                <w:noProof/>
                <w:sz w:val="15"/>
              </w:rPr>
              <w:t>EDIDP</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lang w:val="ru-RU"/>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lang w:val="ru-RU"/>
              </w:rPr>
            </w:pPr>
            <w:r>
              <w:rPr>
                <w:noProof/>
                <w:sz w:val="16"/>
              </w:rPr>
              <w:t> </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245,0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147,0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xml:space="preserve">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Други дейности и програми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8,0 %</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Действия, финансирани съгласно прерогативите на Комисията и предоставените ѝ специфични правомощия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128,4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Пилотни проекти и подготвителни действия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91,7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Децентрализирани агенции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314,1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316,2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20,7 %</w:t>
            </w:r>
          </w:p>
        </w:tc>
      </w:tr>
      <w:tr>
        <w:trPr>
          <w:trHeight w:val="31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noProof/>
                <w:sz w:val="15"/>
                <w:szCs w:val="15"/>
              </w:rPr>
            </w:pPr>
            <w:r>
              <w:rPr>
                <w:noProof/>
                <w:sz w:val="15"/>
              </w:rPr>
              <w:t>1б</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Икономическо, социално и териториално сближаване</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55 532,2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46 527,3</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57 192,0</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47 035,4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1 659,8</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508,1</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3,0 %</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в общия марж за поетите задължения</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351,2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55 181,0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56 842,0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Инвестиции за растеж и работни места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50 798,0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43 447,4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52 357,5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43 736,6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1 559,5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289,2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Регионално сближаване (по-слабо развити региони)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27 012,3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23 387,6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27 875,2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24 042,3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863,0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654,7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Региони в преход</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5 738,6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4 040,5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5 848,7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4 370,1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329,6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8,2 %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Конкурентоспособност (по-силно развити региони)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8 426,8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7 394,1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8 648,9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7 441,5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Най-отдалечени и слабо населени региони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226,5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Кохезионен фонд</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9 393,8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8 456,3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9 753,6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7 706,3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-750,0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Механизъм за свързване на Европа (МСЕ) — вноска от КФ</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625,8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1 700,4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851,6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225,8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36,1 %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Европейско териториално сътрудничество</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1 934,3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1 234,7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1 973,0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1 190,6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38,7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Инициатива за младежка заетост (специални допълнителни средства)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600,0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Техническа помощ и иновационни дейности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199,6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212,7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Фонд за европейско подпомагане на най-нуждаещите се лица (ФЕПНЛ)</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556,9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401,4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0,0 %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Пилотни проекти и подготвителни действия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-52,3 %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-39,5 %</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2. Устойчив растеж: природни ресурси</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59 238,6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56 041,0</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59 642,1</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57 399,9</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403,5</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1 358,9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0,7 %</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2,4 %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60 267,0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60 344,0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1 028,4</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701,9</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435"/>
        </w:trPr>
        <w:tc>
          <w:tcPr>
            <w:tcW w:w="309" w:type="dxa"/>
            <w:tcBorders>
              <w:top w:val="single" w:sz="4" w:space="0" w:color="auto"/>
              <w:left w:val="single" w:sz="4" w:space="0" w:color="auto"/>
              <w:bottom w:val="dotted" w:sz="4" w:space="0" w:color="000000"/>
              <w:right w:val="nil"/>
            </w:tcBorders>
            <w:shd w:val="clear" w:color="auto" w:fill="auto"/>
            <w:vAlign w:val="center"/>
            <w:hideMark/>
          </w:tcPr>
          <w:p>
            <w:pPr>
              <w:spacing w:after="0" w:line="240" w:lineRule="auto"/>
              <w:rPr>
                <w:rFonts w:eastAsia="Times New Roman"/>
                <w:b/>
                <w:bCs/>
                <w:noProof/>
                <w:sz w:val="15"/>
                <w:szCs w:val="15"/>
              </w:rPr>
            </w:pPr>
            <w:r>
              <w:rPr>
                <w:b/>
                <w:noProof/>
                <w:sz w:val="15"/>
              </w:rPr>
              <w:t> </w:t>
            </w:r>
          </w:p>
        </w:tc>
        <w:tc>
          <w:tcPr>
            <w:tcW w:w="280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lang w:val="ru-RU"/>
              </w:rPr>
            </w:pPr>
            <w:r>
              <w:rPr>
                <w:b/>
                <w:noProof/>
                <w:sz w:val="15"/>
                <w:lang w:val="ru-RU"/>
              </w:rPr>
              <w:t>От които: Европейски фонд за гарантиране на земеделието (ЕФГЗ) — Разходи, свързани с пазара, и преки плащания</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43 233,1</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43 187,3</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43 191,9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43 116,4</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-41,2</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-70,9</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noProof/>
                <w:sz w:val="16"/>
                <w:szCs w:val="16"/>
              </w:rPr>
            </w:pPr>
            <w:r>
              <w:rPr>
                <w:b/>
                <w:noProof/>
                <w:sz w:val="16"/>
              </w:rPr>
              <w:t>-0,1 %</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noProof/>
                <w:sz w:val="16"/>
                <w:szCs w:val="16"/>
              </w:rPr>
            </w:pPr>
            <w:r>
              <w:rPr>
                <w:b/>
                <w:noProof/>
                <w:sz w:val="16"/>
              </w:rPr>
              <w:t>-0,2 %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Подтаван</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44 163,0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43 881,0</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r>
      <w:tr>
        <w:trPr>
          <w:trHeight w:val="450"/>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фонд за гарантиране на земеделието (ЕФГЗ) — Разходи, свързани с пазара, и преки плащания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43 233,1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43 187,3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43 191,9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43 116,4</w:t>
            </w:r>
          </w:p>
        </w:tc>
        <w:tc>
          <w:tcPr>
            <w:tcW w:w="959"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-41,2</w:t>
            </w:r>
          </w:p>
        </w:tc>
        <w:tc>
          <w:tcPr>
            <w:tcW w:w="959"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-70,9</w:t>
            </w:r>
          </w:p>
        </w:tc>
        <w:tc>
          <w:tcPr>
            <w:tcW w:w="77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-0,1 %</w:t>
            </w:r>
          </w:p>
        </w:tc>
        <w:tc>
          <w:tcPr>
            <w:tcW w:w="77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-0,2 %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земеделски фонд за развитие на селските райони (ЕЗФРСР)</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14 380,3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11 852,2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14 727,3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13 148,2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346,9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1 296,0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фонд за морско дело и рибарство (ЕФМДР)</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1 027,9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602,8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1 090,0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712,8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109,9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18,2 %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Околна среда и действия по климата (</w:t>
            </w:r>
            <w:r>
              <w:rPr>
                <w:noProof/>
                <w:sz w:val="15"/>
              </w:rPr>
              <w:t>LIFE</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316,1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558,1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341,6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Пилотни проекти и подготвителни действия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10,7 %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Децентрализирани агенции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4,3 %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4,3 %</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3. Сигурност и гражданство</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3 493,2</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2 980,7</w:t>
            </w:r>
          </w:p>
        </w:tc>
        <w:tc>
          <w:tcPr>
            <w:tcW w:w="1016"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3 786,6</w:t>
            </w:r>
          </w:p>
        </w:tc>
        <w:tc>
          <w:tcPr>
            <w:tcW w:w="1016" w:type="dxa"/>
            <w:tcBorders>
              <w:top w:val="single" w:sz="4" w:space="0" w:color="000000"/>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3 527,4</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293,4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546,7</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8,4 %</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18,3 %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по Инструмента за гъвкавост</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837,2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985,6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2 656,0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2 801,0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Фонд „Убежище, миграция и интеграция“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719,2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1 120,8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952,6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401,7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55,9 %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Фонд „Вътрешна сигурност“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481,2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533,5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663,7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-186,5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182,5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Информационни системи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13,2</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-100,0 %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Правосъдие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47,1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Права, равенство и гражданство</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24,4 %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Механизъм на Съюза за гражданска защита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149,6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349,8 %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138,3 %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„Европа за гражданите“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Храни и фуражи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248,4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289,7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-3,7 %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Здравеопазване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66,4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55,9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Потребители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„Творческа Европа“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244,8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7,8 %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Инструмент за спешна подкрепа в рамките на Съюза (ИСП)</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220,6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-199,8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-68,5 %</w:t>
            </w:r>
          </w:p>
        </w:tc>
      </w:tr>
      <w:tr>
        <w:trPr>
          <w:trHeight w:val="420"/>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Действия, финансирани съгласно прерогативите на Комисията и предоставените ѝ специфични правомощия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105,8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От които комуникационни дейности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73,4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72,3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77,1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74,0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Пилотни проекти и подготвителни действия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12,7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Децентрализирани агенции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940,1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908,3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1 090,4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997,6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150,3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89,3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9,8 %</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4. Глобална Европа</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10 068,8</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8 906,1</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11 319,3</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9 358,3</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1 250,4</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452,2</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12,4 %</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5,1 %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в общия марж за поетите задължения</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243,8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1 051,3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9 825,0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10 268,0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 xml:space="preserve">Инструмент за предприсъединителна помощ (ИПП </w:t>
            </w:r>
            <w:r>
              <w:rPr>
                <w:noProof/>
                <w:sz w:val="15"/>
              </w:rPr>
              <w:t>II</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2 078,8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1 451,6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2 423,4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1 707,5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255,9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17,6 %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инструмент за съседство (ЕИС)</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2 436,6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2 278,0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2 677,3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2 060,3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240,6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-217,7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Инструмент за сътрудничество за развитие (ИСР)</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2 976,0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2 734,5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3 189,9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2 796,3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2,3 %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Инструмент за партньорство за сътрудничество с трети държави (ИП)</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154,0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99,6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инструмент за демокрация и права на човека (ЕИДПЧ)</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159,3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Инструмент, допринасящ за стабилността и мира (</w:t>
            </w:r>
            <w:r>
              <w:rPr>
                <w:noProof/>
                <w:sz w:val="15"/>
              </w:rPr>
              <w:t>IcSP</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325,3</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376,7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321,3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-1,2 %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Хуманитарна помощ (HUMA)</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1 085,4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1 095,0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1 651,8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1 603,0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566,4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508,1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52,2 %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46,4 %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Обща външна политика и политика на сигурност (ОВППС)</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328,0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292,0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334,9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305,5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Инструмент за сътрудничество в областта на ядрената безопасност (</w:t>
            </w:r>
            <w:r>
              <w:rPr>
                <w:noProof/>
                <w:sz w:val="15"/>
              </w:rPr>
              <w:t>INSC</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-8,8 %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Макрофинансова помощ (МФП)</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27,0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-35,8 %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Гаранционен фонд за външни дейности (ГФ)</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-137,8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-100,0 %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-100,0 %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Механизъм на Съюза за гражданска защита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15,5</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33,6 %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Инициатива „Доброволци на ЕС за хуманитарна помощ“ (</w:t>
            </w:r>
            <w:r>
              <w:rPr>
                <w:noProof/>
                <w:sz w:val="15"/>
              </w:rPr>
              <w:t>EUAV</w:t>
            </w:r>
            <w:r>
              <w:rPr>
                <w:noProof/>
                <w:sz w:val="15"/>
                <w:lang w:val="ru-RU"/>
              </w:rPr>
              <w:t>)</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-4,9 %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фонд за устойчиво развитие (ЕФУР)</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Други дейности и програми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83,5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74,9</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83,6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73,0</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-2,6 %</w:t>
            </w:r>
          </w:p>
        </w:tc>
      </w:tr>
      <w:tr>
        <w:trPr>
          <w:trHeight w:val="40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Действия, финансирани съгласно прерогативите на Комисията и предоставените ѝ специфични правомощия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67,6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73,7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9,1 %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Пилотни проекти и подготвителни действия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8,9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8,1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-2,6</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-43,7 %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Децентрализирани агенции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20,1</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2,2 %</w:t>
            </w:r>
          </w:p>
        </w:tc>
      </w:tr>
      <w:tr>
        <w:trPr>
          <w:trHeight w:val="255"/>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5. Администрация</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9 665,5</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9 666,3</w:t>
            </w:r>
          </w:p>
        </w:tc>
        <w:tc>
          <w:tcPr>
            <w:tcW w:w="101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9 943,0</w:t>
            </w:r>
          </w:p>
        </w:tc>
        <w:tc>
          <w:tcPr>
            <w:tcW w:w="101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9 944,9</w:t>
            </w:r>
          </w:p>
        </w:tc>
        <w:tc>
          <w:tcPr>
            <w:tcW w:w="959"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277,5</w:t>
            </w:r>
          </w:p>
        </w:tc>
        <w:tc>
          <w:tcPr>
            <w:tcW w:w="959"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278,6</w:t>
            </w:r>
          </w:p>
        </w:tc>
        <w:tc>
          <w:tcPr>
            <w:tcW w:w="776"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2,9 %</w:t>
            </w:r>
          </w:p>
        </w:tc>
        <w:tc>
          <w:tcPr>
            <w:tcW w:w="776" w:type="dxa"/>
            <w:tcBorders>
              <w:top w:val="single" w:sz="4" w:space="0" w:color="000000"/>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2,9 %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10 346,0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10 786,0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компенсирани от маржа за непредвидени обстоятелства</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i/>
                <w:iCs/>
                <w:noProof/>
                <w:sz w:val="16"/>
                <w:szCs w:val="16"/>
              </w:rPr>
            </w:pPr>
            <w:r>
              <w:rPr>
                <w:b/>
                <w:i/>
                <w:noProof/>
                <w:sz w:val="16"/>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nil"/>
              <w:right w:val="single" w:sz="4" w:space="0" w:color="000000"/>
            </w:tcBorders>
            <w:shd w:val="clear" w:color="auto" w:fill="auto"/>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362,5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nil"/>
              <w:right w:val="single" w:sz="4" w:space="0" w:color="000000"/>
            </w:tcBorders>
            <w:shd w:val="clear" w:color="000000" w:fill="FFFFFF"/>
            <w:vAlign w:val="center"/>
            <w:hideMark/>
          </w:tcPr>
          <w:p>
            <w:pPr>
              <w:spacing w:after="0" w:line="240" w:lineRule="auto"/>
              <w:jc w:val="right"/>
              <w:rPr>
                <w:rFonts w:eastAsia="Times New Roman"/>
                <w:b/>
                <w:bCs/>
                <w:i/>
                <w:iCs/>
                <w:noProof/>
                <w:sz w:val="16"/>
                <w:szCs w:val="16"/>
              </w:rPr>
            </w:pPr>
            <w:r>
              <w:rPr>
                <w:b/>
                <w:i/>
                <w:noProof/>
                <w:sz w:val="16"/>
              </w:rPr>
              <w:t>589,1</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От които: Административни разходи на институциите</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7 579,9</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7 580,7</w:t>
            </w:r>
          </w:p>
        </w:tc>
        <w:tc>
          <w:tcPr>
            <w:tcW w:w="101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7 747,3</w:t>
            </w:r>
          </w:p>
        </w:tc>
        <w:tc>
          <w:tcPr>
            <w:tcW w:w="101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7 749,2</w:t>
            </w:r>
          </w:p>
        </w:tc>
        <w:tc>
          <w:tcPr>
            <w:tcW w:w="959"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167,4</w:t>
            </w:r>
          </w:p>
        </w:tc>
        <w:tc>
          <w:tcPr>
            <w:tcW w:w="959"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168,5</w:t>
            </w:r>
          </w:p>
        </w:tc>
        <w:tc>
          <w:tcPr>
            <w:tcW w:w="776" w:type="dxa"/>
            <w:tcBorders>
              <w:top w:val="single" w:sz="4" w:space="0" w:color="auto"/>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2,2 %</w:t>
            </w:r>
          </w:p>
        </w:tc>
        <w:tc>
          <w:tcPr>
            <w:tcW w:w="776" w:type="dxa"/>
            <w:tcBorders>
              <w:top w:val="single" w:sz="4" w:space="0" w:color="auto"/>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Подтаван</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8 360,0</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8 700,0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5"/>
                <w:szCs w:val="15"/>
                <w:lang w:val="ru-RU"/>
              </w:rPr>
            </w:pPr>
            <w:r>
              <w:rPr>
                <w:i/>
                <w:noProof/>
                <w:sz w:val="15"/>
                <w:lang w:val="ru-RU"/>
              </w:rPr>
              <w:t>От които компенсирани от маржа за непредвидени обстоятелства</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-318,0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i/>
                <w:iCs/>
                <w:noProof/>
                <w:sz w:val="16"/>
                <w:szCs w:val="16"/>
              </w:rPr>
            </w:pPr>
            <w:r>
              <w:rPr>
                <w:i/>
                <w:noProof/>
                <w:sz w:val="16"/>
              </w:rPr>
              <w:t>-253,9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5"/>
                <w:szCs w:val="15"/>
              </w:rPr>
            </w:pPr>
            <w:r>
              <w:rPr>
                <w:i/>
                <w:noProof/>
                <w:sz w:val="15"/>
              </w:rPr>
              <w:t>Марж</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462,1</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1016" w:type="dxa"/>
            <w:tcBorders>
              <w:top w:val="nil"/>
              <w:left w:val="nil"/>
              <w:bottom w:val="single" w:sz="4" w:space="0" w:color="auto"/>
              <w:right w:val="single" w:sz="4" w:space="0" w:color="000000"/>
            </w:tcBorders>
            <w:shd w:val="clear" w:color="000000" w:fill="FFFFFF"/>
            <w:vAlign w:val="center"/>
            <w:hideMark/>
          </w:tcPr>
          <w:p>
            <w:pPr>
              <w:spacing w:after="0" w:line="240" w:lineRule="auto"/>
              <w:jc w:val="right"/>
              <w:rPr>
                <w:rFonts w:eastAsia="Times New Roman"/>
                <w:i/>
                <w:iCs/>
                <w:noProof/>
                <w:sz w:val="16"/>
                <w:szCs w:val="16"/>
              </w:rPr>
            </w:pPr>
            <w:r>
              <w:rPr>
                <w:i/>
                <w:noProof/>
                <w:sz w:val="16"/>
              </w:rPr>
              <w:t>698,8</w:t>
            </w:r>
          </w:p>
        </w:tc>
        <w:tc>
          <w:tcPr>
            <w:tcW w:w="10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959"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000000"/>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c>
          <w:tcPr>
            <w:tcW w:w="77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eastAsia="Times New Roman"/>
                <w:i/>
                <w:iCs/>
                <w:noProof/>
                <w:sz w:val="16"/>
                <w:szCs w:val="16"/>
              </w:rPr>
            </w:pPr>
            <w:r>
              <w:rPr>
                <w:i/>
                <w:noProof/>
                <w:sz w:val="16"/>
              </w:rPr>
              <w:t> </w:t>
            </w:r>
          </w:p>
        </w:tc>
      </w:tr>
      <w:tr>
        <w:trPr>
          <w:trHeight w:val="255"/>
        </w:trPr>
        <w:tc>
          <w:tcPr>
            <w:tcW w:w="3115" w:type="dxa"/>
            <w:gridSpan w:val="2"/>
            <w:tcBorders>
              <w:top w:val="nil"/>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Пенсии и европейски училища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2 085,6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2 085,6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2 195,7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2 195,7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110,1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5,3 %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5,3 %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Пенсии</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1 892,8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1 892,8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2 003,6</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2 003,6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110,8</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110,8</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5,9 %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Европейски училища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192,8</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192,1</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192,1</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-0,4 %</w:t>
            </w:r>
          </w:p>
        </w:tc>
      </w:tr>
      <w:tr>
        <w:trPr>
          <w:trHeight w:val="255"/>
        </w:trPr>
        <w:tc>
          <w:tcPr>
            <w:tcW w:w="3115" w:type="dxa"/>
            <w:gridSpan w:val="2"/>
            <w:tcBorders>
              <w:top w:val="dotted" w:sz="4" w:space="0" w:color="000000"/>
              <w:left w:val="single" w:sz="4" w:space="0" w:color="auto"/>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Административни разходи на институциите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7 579,9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7 580,7</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7 747,3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7 749,2</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167,4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168,5</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Европейски парламент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1 950,2</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1 950,2</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1 996,4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1 996,4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46,1</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46,1</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Европейски съвет и Съвет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572,9</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572,9</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581,9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581,9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Европейска комисия</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3 565,5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3 566,3</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3 632,7</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3 634,7</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68,4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Съд на Европейския съюз</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410,0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410,0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429,4</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429,4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19,4</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19,4</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4,7 %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4,7 %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Европейска сметна палата</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146,0</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146,0</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146,9</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0,6 %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0,6 %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икономически и социален комитет</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135,6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135,6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138,5</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138,5</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2,9</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2,1 %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Европейски комитет на регионите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96,1</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96,1</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98,8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2,8 %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2,8 %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rPr>
            </w:pPr>
            <w:r>
              <w:rPr>
                <w:noProof/>
                <w:sz w:val="15"/>
              </w:rPr>
              <w:t>Европейски омбудсман</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10,6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10,6</w:t>
            </w:r>
          </w:p>
        </w:tc>
        <w:tc>
          <w:tcPr>
            <w:tcW w:w="1016" w:type="dxa"/>
            <w:tcBorders>
              <w:top w:val="nil"/>
              <w:left w:val="nil"/>
              <w:bottom w:val="dotted" w:sz="4" w:space="0" w:color="auto"/>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11,3</w:t>
            </w:r>
          </w:p>
        </w:tc>
        <w:tc>
          <w:tcPr>
            <w:tcW w:w="10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11,3</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0,7</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6,1 %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6,1 %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надзорен орган по защита на данните</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14,4</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16,6</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2,2</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15,2 %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15,2 %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nil"/>
              <w:left w:val="nil"/>
              <w:bottom w:val="dotted" w:sz="4" w:space="0" w:color="000000"/>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Европейска служба за външна дейност</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678,5</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678,5</w:t>
            </w:r>
          </w:p>
        </w:tc>
        <w:tc>
          <w:tcPr>
            <w:tcW w:w="1016"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694,8</w:t>
            </w:r>
          </w:p>
        </w:tc>
        <w:tc>
          <w:tcPr>
            <w:tcW w:w="1016" w:type="dxa"/>
            <w:tcBorders>
              <w:top w:val="nil"/>
              <w:left w:val="nil"/>
              <w:bottom w:val="single"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694,8</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16,3</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16,3</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2,4 %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2,4 %</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Бюджетни кредити за функции</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159 998,0</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144 216,7</w:t>
            </w:r>
          </w:p>
        </w:tc>
        <w:tc>
          <w:tcPr>
            <w:tcW w:w="101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165 028,4</w:t>
            </w:r>
          </w:p>
        </w:tc>
        <w:tc>
          <w:tcPr>
            <w:tcW w:w="101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147 787,4</w:t>
            </w:r>
          </w:p>
        </w:tc>
        <w:tc>
          <w:tcPr>
            <w:tcW w:w="959"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5 030,4</w:t>
            </w:r>
          </w:p>
        </w:tc>
        <w:tc>
          <w:tcPr>
            <w:tcW w:w="959"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3 570,8</w:t>
            </w:r>
          </w:p>
        </w:tc>
        <w:tc>
          <w:tcPr>
            <w:tcW w:w="776" w:type="dxa"/>
            <w:tcBorders>
              <w:top w:val="single" w:sz="4" w:space="0" w:color="auto"/>
              <w:left w:val="nil"/>
              <w:bottom w:val="dotted" w:sz="4" w:space="0" w:color="000000"/>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3,1 %</w:t>
            </w:r>
          </w:p>
        </w:tc>
        <w:tc>
          <w:tcPr>
            <w:tcW w:w="776" w:type="dxa"/>
            <w:tcBorders>
              <w:top w:val="single" w:sz="4" w:space="0" w:color="auto"/>
              <w:left w:val="nil"/>
              <w:bottom w:val="dotted" w:sz="4" w:space="0" w:color="000000"/>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2,5 %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по Инструмента за гъвкавост</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837,2</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678,3</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985,6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909,8</w:t>
            </w:r>
          </w:p>
        </w:tc>
        <w:tc>
          <w:tcPr>
            <w:tcW w:w="959"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nil"/>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в общия марж за поетите задължения</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1 355,6</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1 464,7</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Таван</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159 514,0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154 565,0</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164 123,0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166 709,0</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lang w:val="ru-RU"/>
              </w:rPr>
            </w:pPr>
            <w:r>
              <w:rPr>
                <w:b/>
                <w:i/>
                <w:noProof/>
                <w:sz w:val="15"/>
                <w:lang w:val="ru-RU"/>
              </w:rPr>
              <w:t>От които компенсирани от маржа за непредвидени обстоятелства</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-318,0</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-253,9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5"/>
                <w:szCs w:val="15"/>
              </w:rPr>
            </w:pPr>
            <w:r>
              <w:rPr>
                <w:b/>
                <w:i/>
                <w:noProof/>
                <w:sz w:val="15"/>
              </w:rPr>
              <w:t>Марж</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1 390,9</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11 026,7</w:t>
            </w:r>
          </w:p>
        </w:tc>
        <w:tc>
          <w:tcPr>
            <w:tcW w:w="1016" w:type="dxa"/>
            <w:tcBorders>
              <w:top w:val="nil"/>
              <w:left w:val="nil"/>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1 291,1</w:t>
            </w:r>
          </w:p>
        </w:tc>
        <w:tc>
          <w:tcPr>
            <w:tcW w:w="1016" w:type="dxa"/>
            <w:tcBorders>
              <w:top w:val="nil"/>
              <w:left w:val="nil"/>
              <w:bottom w:val="dotted" w:sz="4" w:space="0" w:color="000000"/>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19 831,4</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i/>
                <w:iCs/>
                <w:noProof/>
                <w:sz w:val="16"/>
                <w:szCs w:val="16"/>
              </w:rPr>
            </w:pPr>
            <w:r>
              <w:rPr>
                <w:b/>
                <w:i/>
                <w:noProof/>
                <w:sz w:val="16"/>
              </w:rPr>
              <w:t> </w:t>
            </w:r>
          </w:p>
        </w:tc>
      </w:tr>
      <w:tr>
        <w:trPr>
          <w:trHeight w:val="255"/>
        </w:trPr>
        <w:tc>
          <w:tcPr>
            <w:tcW w:w="3115" w:type="dxa"/>
            <w:gridSpan w:val="2"/>
            <w:tcBorders>
              <w:top w:val="dotted" w:sz="4" w:space="0" w:color="000000"/>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ru-RU"/>
              </w:rPr>
            </w:pPr>
            <w:r>
              <w:rPr>
                <w:b/>
                <w:noProof/>
                <w:sz w:val="15"/>
                <w:lang w:val="ru-RU"/>
              </w:rPr>
              <w:t>Бюджетни кредити като % от БНД (2)</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1,02 %</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0,92 %</w:t>
            </w:r>
          </w:p>
        </w:tc>
        <w:tc>
          <w:tcPr>
            <w:tcW w:w="1016" w:type="dxa"/>
            <w:tcBorders>
              <w:top w:val="nil"/>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1,00 %</w:t>
            </w:r>
          </w:p>
        </w:tc>
        <w:tc>
          <w:tcPr>
            <w:tcW w:w="10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0,90 %</w:t>
            </w:r>
          </w:p>
        </w:tc>
        <w:tc>
          <w:tcPr>
            <w:tcW w:w="959"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959"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single" w:sz="4" w:space="0" w:color="auto"/>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single" w:sz="4" w:space="0" w:color="auto"/>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r>
      <w:tr>
        <w:trPr>
          <w:trHeight w:val="270"/>
        </w:trPr>
        <w:tc>
          <w:tcPr>
            <w:tcW w:w="3115" w:type="dxa"/>
            <w:gridSpan w:val="2"/>
            <w:tcBorders>
              <w:top w:val="single" w:sz="4" w:space="0" w:color="auto"/>
              <w:left w:val="single" w:sz="4" w:space="0" w:color="auto"/>
              <w:bottom w:val="dotted" w:sz="4" w:space="0" w:color="000000"/>
              <w:right w:val="single" w:sz="4" w:space="0" w:color="000000"/>
            </w:tcBorders>
            <w:shd w:val="clear" w:color="auto" w:fill="auto"/>
            <w:vAlign w:val="center"/>
            <w:hideMark/>
          </w:tcPr>
          <w:p>
            <w:pPr>
              <w:spacing w:after="0" w:line="240" w:lineRule="auto"/>
              <w:rPr>
                <w:rFonts w:eastAsia="Times New Roman"/>
                <w:b/>
                <w:bCs/>
                <w:noProof/>
                <w:sz w:val="15"/>
                <w:szCs w:val="15"/>
              </w:rPr>
            </w:pPr>
            <w:r>
              <w:rPr>
                <w:b/>
                <w:noProof/>
                <w:sz w:val="15"/>
              </w:rPr>
              <w:t>Други специални инструменти (3)</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698,5</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551,2</w:t>
            </w:r>
          </w:p>
        </w:tc>
        <w:tc>
          <w:tcPr>
            <w:tcW w:w="101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577,2</w:t>
            </w:r>
          </w:p>
        </w:tc>
        <w:tc>
          <w:tcPr>
            <w:tcW w:w="101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411,5</w:t>
            </w:r>
          </w:p>
        </w:tc>
        <w:tc>
          <w:tcPr>
            <w:tcW w:w="959"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-121,3</w:t>
            </w:r>
          </w:p>
        </w:tc>
        <w:tc>
          <w:tcPr>
            <w:tcW w:w="959"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-139,7</w:t>
            </w:r>
          </w:p>
        </w:tc>
        <w:tc>
          <w:tcPr>
            <w:tcW w:w="776" w:type="dxa"/>
            <w:tcBorders>
              <w:top w:val="nil"/>
              <w:left w:val="nil"/>
              <w:bottom w:val="dotted" w:sz="4" w:space="0" w:color="000000"/>
              <w:right w:val="single" w:sz="4" w:space="0" w:color="000000"/>
            </w:tcBorders>
            <w:shd w:val="clear" w:color="auto" w:fill="auto"/>
            <w:hideMark/>
          </w:tcPr>
          <w:p>
            <w:pPr>
              <w:spacing w:after="0" w:line="240" w:lineRule="auto"/>
              <w:jc w:val="right"/>
              <w:rPr>
                <w:rFonts w:eastAsia="Times New Roman"/>
                <w:b/>
                <w:bCs/>
                <w:noProof/>
                <w:sz w:val="16"/>
                <w:szCs w:val="16"/>
              </w:rPr>
            </w:pPr>
            <w:r>
              <w:rPr>
                <w:b/>
                <w:noProof/>
                <w:sz w:val="16"/>
              </w:rPr>
              <w:t>-17,4 %</w:t>
            </w:r>
          </w:p>
        </w:tc>
        <w:tc>
          <w:tcPr>
            <w:tcW w:w="776" w:type="dxa"/>
            <w:tcBorders>
              <w:top w:val="nil"/>
              <w:left w:val="nil"/>
              <w:bottom w:val="dotted" w:sz="4" w:space="0" w:color="000000"/>
              <w:right w:val="single" w:sz="4" w:space="0" w:color="auto"/>
            </w:tcBorders>
            <w:shd w:val="clear" w:color="auto" w:fill="auto"/>
            <w:hideMark/>
          </w:tcPr>
          <w:p>
            <w:pPr>
              <w:spacing w:after="0" w:line="240" w:lineRule="auto"/>
              <w:jc w:val="right"/>
              <w:rPr>
                <w:rFonts w:eastAsia="Times New Roman"/>
                <w:b/>
                <w:bCs/>
                <w:noProof/>
                <w:sz w:val="16"/>
                <w:szCs w:val="16"/>
              </w:rPr>
            </w:pPr>
            <w:r>
              <w:rPr>
                <w:b/>
                <w:noProof/>
                <w:sz w:val="16"/>
              </w:rPr>
              <w:t>-25,3 %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Резерв за спешна помощ (РСП)</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344,6</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351,5</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351,5</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6,9</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6,9</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2,0 %</w:t>
            </w:r>
          </w:p>
        </w:tc>
      </w:tr>
      <w:tr>
        <w:trPr>
          <w:trHeight w:val="255"/>
        </w:trPr>
        <w:tc>
          <w:tcPr>
            <w:tcW w:w="309" w:type="dxa"/>
            <w:tcBorders>
              <w:top w:val="nil"/>
              <w:left w:val="single" w:sz="4" w:space="0" w:color="auto"/>
              <w:bottom w:val="dotted" w:sz="4" w:space="0" w:color="000000"/>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Европейски фонд за приспособяване към глобализацията (ЕФПГ)</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172,3</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25,0</w:t>
            </w:r>
          </w:p>
        </w:tc>
        <w:tc>
          <w:tcPr>
            <w:tcW w:w="101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175,7</w:t>
            </w:r>
          </w:p>
        </w:tc>
        <w:tc>
          <w:tcPr>
            <w:tcW w:w="101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10,0</w:t>
            </w:r>
          </w:p>
        </w:tc>
        <w:tc>
          <w:tcPr>
            <w:tcW w:w="959"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3,4</w:t>
            </w:r>
          </w:p>
        </w:tc>
        <w:tc>
          <w:tcPr>
            <w:tcW w:w="959"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-15,0</w:t>
            </w:r>
          </w:p>
        </w:tc>
        <w:tc>
          <w:tcPr>
            <w:tcW w:w="776"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2,0 %</w:t>
            </w:r>
          </w:p>
        </w:tc>
        <w:tc>
          <w:tcPr>
            <w:tcW w:w="776" w:type="dxa"/>
            <w:tcBorders>
              <w:top w:val="nil"/>
              <w:left w:val="nil"/>
              <w:bottom w:val="dotted" w:sz="4" w:space="0" w:color="000000"/>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-60,0 %</w:t>
            </w:r>
          </w:p>
        </w:tc>
      </w:tr>
      <w:tr>
        <w:trPr>
          <w:trHeight w:val="270"/>
        </w:trPr>
        <w:tc>
          <w:tcPr>
            <w:tcW w:w="309" w:type="dxa"/>
            <w:tcBorders>
              <w:top w:val="nil"/>
              <w:left w:val="single" w:sz="4" w:space="0" w:color="auto"/>
              <w:bottom w:val="single" w:sz="4" w:space="0" w:color="auto"/>
              <w:right w:val="nil"/>
            </w:tcBorders>
            <w:shd w:val="clear" w:color="auto" w:fill="auto"/>
            <w:vAlign w:val="center"/>
            <w:hideMark/>
          </w:tcPr>
          <w:p>
            <w:pPr>
              <w:spacing w:after="0" w:line="240" w:lineRule="auto"/>
              <w:jc w:val="right"/>
              <w:rPr>
                <w:rFonts w:eastAsia="Times New Roman"/>
                <w:i/>
                <w:iCs/>
                <w:noProof/>
                <w:sz w:val="15"/>
                <w:szCs w:val="15"/>
              </w:rPr>
            </w:pPr>
            <w:r>
              <w:rPr>
                <w:i/>
                <w:noProof/>
                <w:sz w:val="15"/>
              </w:rPr>
              <w:t> </w:t>
            </w:r>
          </w:p>
        </w:tc>
        <w:tc>
          <w:tcPr>
            <w:tcW w:w="2806" w:type="dxa"/>
            <w:tcBorders>
              <w:top w:val="dotted" w:sz="4" w:space="0" w:color="auto"/>
              <w:left w:val="nil"/>
              <w:bottom w:val="dotted" w:sz="4" w:space="0" w:color="auto"/>
              <w:right w:val="single" w:sz="4" w:space="0" w:color="000000"/>
            </w:tcBorders>
            <w:shd w:val="clear" w:color="auto" w:fill="auto"/>
            <w:vAlign w:val="center"/>
            <w:hideMark/>
          </w:tcPr>
          <w:p>
            <w:pPr>
              <w:spacing w:after="0" w:line="240" w:lineRule="auto"/>
              <w:rPr>
                <w:rFonts w:eastAsia="Times New Roman"/>
                <w:noProof/>
                <w:sz w:val="15"/>
                <w:szCs w:val="15"/>
                <w:lang w:val="ru-RU"/>
              </w:rPr>
            </w:pPr>
            <w:r>
              <w:rPr>
                <w:noProof/>
                <w:sz w:val="15"/>
                <w:lang w:val="ru-RU"/>
              </w:rPr>
              <w:t>Фонд „Солидарност“ на Европейския съюз (ФСЕС)</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181,6</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181,6</w:t>
            </w:r>
          </w:p>
        </w:tc>
        <w:tc>
          <w:tcPr>
            <w:tcW w:w="101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50,0</w:t>
            </w:r>
          </w:p>
        </w:tc>
        <w:tc>
          <w:tcPr>
            <w:tcW w:w="101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50,0</w:t>
            </w:r>
          </w:p>
        </w:tc>
        <w:tc>
          <w:tcPr>
            <w:tcW w:w="959"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-131,6</w:t>
            </w:r>
          </w:p>
        </w:tc>
        <w:tc>
          <w:tcPr>
            <w:tcW w:w="959"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-131,6</w:t>
            </w:r>
          </w:p>
        </w:tc>
        <w:tc>
          <w:tcPr>
            <w:tcW w:w="776" w:type="dxa"/>
            <w:tcBorders>
              <w:top w:val="nil"/>
              <w:left w:val="nil"/>
              <w:bottom w:val="nil"/>
              <w:right w:val="single" w:sz="4" w:space="0" w:color="000000"/>
            </w:tcBorders>
            <w:shd w:val="clear" w:color="auto" w:fill="auto"/>
            <w:vAlign w:val="center"/>
            <w:hideMark/>
          </w:tcPr>
          <w:p>
            <w:pPr>
              <w:spacing w:after="0" w:line="240" w:lineRule="auto"/>
              <w:jc w:val="right"/>
              <w:rPr>
                <w:rFonts w:eastAsia="Times New Roman"/>
                <w:noProof/>
                <w:sz w:val="16"/>
                <w:szCs w:val="16"/>
              </w:rPr>
            </w:pPr>
            <w:r>
              <w:rPr>
                <w:noProof/>
                <w:sz w:val="16"/>
              </w:rPr>
              <w:t>-72,5 %</w:t>
            </w:r>
          </w:p>
        </w:tc>
        <w:tc>
          <w:tcPr>
            <w:tcW w:w="776" w:type="dxa"/>
            <w:tcBorders>
              <w:top w:val="nil"/>
              <w:left w:val="nil"/>
              <w:bottom w:val="nil"/>
              <w:right w:val="single" w:sz="4" w:space="0" w:color="auto"/>
            </w:tcBorders>
            <w:shd w:val="clear" w:color="auto" w:fill="auto"/>
            <w:vAlign w:val="center"/>
            <w:hideMark/>
          </w:tcPr>
          <w:p>
            <w:pPr>
              <w:spacing w:after="0" w:line="240" w:lineRule="auto"/>
              <w:jc w:val="right"/>
              <w:rPr>
                <w:rFonts w:eastAsia="Times New Roman"/>
                <w:noProof/>
                <w:sz w:val="16"/>
                <w:szCs w:val="16"/>
              </w:rPr>
            </w:pPr>
            <w:r>
              <w:rPr>
                <w:noProof/>
                <w:sz w:val="16"/>
              </w:rPr>
              <w:t>-72,5 %</w:t>
            </w:r>
          </w:p>
        </w:tc>
      </w:tr>
      <w:tr>
        <w:trPr>
          <w:trHeight w:val="285"/>
        </w:trPr>
        <w:tc>
          <w:tcPr>
            <w:tcW w:w="3115" w:type="dxa"/>
            <w:gridSpan w:val="2"/>
            <w:tcBorders>
              <w:top w:val="single" w:sz="4" w:space="0" w:color="auto"/>
              <w:left w:val="single" w:sz="4" w:space="0" w:color="auto"/>
              <w:bottom w:val="dotted" w:sz="4" w:space="0" w:color="000000"/>
              <w:right w:val="single" w:sz="4" w:space="0" w:color="000000"/>
            </w:tcBorders>
            <w:shd w:val="clear" w:color="000000" w:fill="D9D9D9"/>
            <w:vAlign w:val="center"/>
            <w:hideMark/>
          </w:tcPr>
          <w:p>
            <w:pPr>
              <w:spacing w:after="0" w:line="240" w:lineRule="auto"/>
              <w:jc w:val="right"/>
              <w:rPr>
                <w:rFonts w:eastAsia="Times New Roman"/>
                <w:b/>
                <w:bCs/>
                <w:noProof/>
                <w:sz w:val="15"/>
                <w:szCs w:val="15"/>
              </w:rPr>
            </w:pPr>
            <w:r>
              <w:rPr>
                <w:b/>
                <w:noProof/>
                <w:sz w:val="15"/>
              </w:rPr>
              <w:t>ОБЩО бюджетни кредити</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160 696,5</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144 767,9</w:t>
            </w:r>
          </w:p>
        </w:tc>
        <w:tc>
          <w:tcPr>
            <w:tcW w:w="101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165 605,6</w:t>
            </w:r>
          </w:p>
        </w:tc>
        <w:tc>
          <w:tcPr>
            <w:tcW w:w="101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148 198,9</w:t>
            </w:r>
          </w:p>
        </w:tc>
        <w:tc>
          <w:tcPr>
            <w:tcW w:w="959"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4 909,2</w:t>
            </w:r>
          </w:p>
        </w:tc>
        <w:tc>
          <w:tcPr>
            <w:tcW w:w="959"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3 431,0</w:t>
            </w:r>
          </w:p>
        </w:tc>
        <w:tc>
          <w:tcPr>
            <w:tcW w:w="776" w:type="dxa"/>
            <w:tcBorders>
              <w:top w:val="single" w:sz="4" w:space="0" w:color="auto"/>
              <w:left w:val="nil"/>
              <w:bottom w:val="nil"/>
              <w:right w:val="single" w:sz="4" w:space="0" w:color="000000"/>
            </w:tcBorders>
            <w:shd w:val="clear" w:color="000000" w:fill="D9D9D9"/>
            <w:hideMark/>
          </w:tcPr>
          <w:p>
            <w:pPr>
              <w:spacing w:after="0" w:line="240" w:lineRule="auto"/>
              <w:jc w:val="right"/>
              <w:rPr>
                <w:rFonts w:eastAsia="Times New Roman"/>
                <w:b/>
                <w:bCs/>
                <w:noProof/>
                <w:sz w:val="16"/>
                <w:szCs w:val="16"/>
              </w:rPr>
            </w:pPr>
            <w:r>
              <w:rPr>
                <w:b/>
                <w:noProof/>
                <w:sz w:val="16"/>
              </w:rPr>
              <w:t>3,1 %</w:t>
            </w:r>
          </w:p>
        </w:tc>
        <w:tc>
          <w:tcPr>
            <w:tcW w:w="776" w:type="dxa"/>
            <w:tcBorders>
              <w:top w:val="single" w:sz="4" w:space="0" w:color="auto"/>
              <w:left w:val="nil"/>
              <w:bottom w:val="nil"/>
              <w:right w:val="single" w:sz="4" w:space="0" w:color="auto"/>
            </w:tcBorders>
            <w:shd w:val="clear" w:color="000000" w:fill="D9D9D9"/>
            <w:hideMark/>
          </w:tcPr>
          <w:p>
            <w:pPr>
              <w:spacing w:after="0" w:line="240" w:lineRule="auto"/>
              <w:jc w:val="right"/>
              <w:rPr>
                <w:rFonts w:eastAsia="Times New Roman"/>
                <w:b/>
                <w:bCs/>
                <w:noProof/>
                <w:sz w:val="16"/>
                <w:szCs w:val="16"/>
              </w:rPr>
            </w:pPr>
            <w:r>
              <w:rPr>
                <w:b/>
                <w:noProof/>
                <w:sz w:val="16"/>
              </w:rPr>
              <w:t>2,4 %</w:t>
            </w:r>
          </w:p>
        </w:tc>
      </w:tr>
      <w:tr>
        <w:trPr>
          <w:trHeight w:val="270"/>
        </w:trPr>
        <w:tc>
          <w:tcPr>
            <w:tcW w:w="3115" w:type="dxa"/>
            <w:gridSpan w:val="2"/>
            <w:tcBorders>
              <w:top w:val="dotted" w:sz="4" w:space="0" w:color="000000"/>
              <w:left w:val="single" w:sz="4" w:space="0" w:color="auto"/>
              <w:bottom w:val="nil"/>
              <w:right w:val="single" w:sz="4" w:space="0" w:color="000000"/>
            </w:tcBorders>
            <w:shd w:val="clear" w:color="000000" w:fill="D9D9D9"/>
            <w:vAlign w:val="center"/>
            <w:hideMark/>
          </w:tcPr>
          <w:p>
            <w:pPr>
              <w:spacing w:after="0" w:line="240" w:lineRule="auto"/>
              <w:jc w:val="right"/>
              <w:rPr>
                <w:rFonts w:eastAsia="Times New Roman"/>
                <w:b/>
                <w:bCs/>
                <w:noProof/>
                <w:sz w:val="15"/>
                <w:szCs w:val="15"/>
                <w:lang w:val="ru-RU"/>
              </w:rPr>
            </w:pPr>
            <w:r>
              <w:rPr>
                <w:b/>
                <w:noProof/>
                <w:sz w:val="15"/>
                <w:lang w:val="ru-RU"/>
              </w:rPr>
              <w:t>Бюджетни кредити като % от БНД (2)</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1,02 %</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0,92 %</w:t>
            </w:r>
          </w:p>
        </w:tc>
        <w:tc>
          <w:tcPr>
            <w:tcW w:w="101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1,00 %</w:t>
            </w:r>
          </w:p>
        </w:tc>
        <w:tc>
          <w:tcPr>
            <w:tcW w:w="101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0,90 %</w:t>
            </w:r>
          </w:p>
        </w:tc>
        <w:tc>
          <w:tcPr>
            <w:tcW w:w="959"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959"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nil"/>
              <w:right w:val="single" w:sz="4" w:space="0" w:color="000000"/>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c>
          <w:tcPr>
            <w:tcW w:w="776" w:type="dxa"/>
            <w:tcBorders>
              <w:top w:val="dotted" w:sz="4" w:space="0" w:color="000000"/>
              <w:left w:val="nil"/>
              <w:bottom w:val="nil"/>
              <w:right w:val="single" w:sz="4" w:space="0" w:color="auto"/>
            </w:tcBorders>
            <w:shd w:val="clear" w:color="000000" w:fill="D9D9D9"/>
            <w:vAlign w:val="center"/>
            <w:hideMark/>
          </w:tcPr>
          <w:p>
            <w:pPr>
              <w:spacing w:after="0" w:line="240" w:lineRule="auto"/>
              <w:jc w:val="right"/>
              <w:rPr>
                <w:rFonts w:eastAsia="Times New Roman"/>
                <w:b/>
                <w:bCs/>
                <w:noProof/>
                <w:sz w:val="16"/>
                <w:szCs w:val="16"/>
              </w:rPr>
            </w:pPr>
            <w:r>
              <w:rPr>
                <w:b/>
                <w:noProof/>
                <w:sz w:val="16"/>
              </w:rPr>
              <w:t> </w:t>
            </w:r>
          </w:p>
        </w:tc>
      </w:tr>
      <w:tr>
        <w:trPr>
          <w:trHeight w:val="255"/>
        </w:trPr>
        <w:tc>
          <w:tcPr>
            <w:tcW w:w="10649" w:type="dxa"/>
            <w:gridSpan w:val="10"/>
            <w:tcBorders>
              <w:top w:val="single" w:sz="4" w:space="0" w:color="auto"/>
              <w:left w:val="single" w:sz="4" w:space="0" w:color="auto"/>
              <w:bottom w:val="nil"/>
              <w:right w:val="single" w:sz="4" w:space="0" w:color="000000"/>
            </w:tcBorders>
            <w:shd w:val="clear" w:color="auto" w:fill="auto"/>
            <w:vAlign w:val="center"/>
            <w:hideMark/>
          </w:tcPr>
          <w:p>
            <w:pPr>
              <w:spacing w:after="0" w:line="240" w:lineRule="auto"/>
              <w:rPr>
                <w:rFonts w:eastAsia="Times New Roman"/>
                <w:noProof/>
                <w:sz w:val="16"/>
                <w:szCs w:val="16"/>
                <w:lang w:val="ru-RU"/>
              </w:rPr>
            </w:pPr>
            <w:r>
              <w:rPr>
                <w:noProof/>
                <w:sz w:val="16"/>
                <w:lang w:val="ru-RU"/>
              </w:rPr>
              <w:t>(1) Бюджетът за 2018 г. включва коригиращи бюджети 1—5 и проект на коригиращ бюджет 6.</w:t>
            </w:r>
          </w:p>
        </w:tc>
      </w:tr>
      <w:tr>
        <w:trPr>
          <w:trHeight w:val="255"/>
        </w:trPr>
        <w:tc>
          <w:tcPr>
            <w:tcW w:w="10649" w:type="dxa"/>
            <w:gridSpan w:val="10"/>
            <w:tcBorders>
              <w:top w:val="nil"/>
              <w:left w:val="single" w:sz="4" w:space="0" w:color="auto"/>
              <w:bottom w:val="single" w:sz="4" w:space="0" w:color="auto"/>
              <w:right w:val="single" w:sz="4" w:space="0" w:color="000000"/>
            </w:tcBorders>
            <w:shd w:val="clear" w:color="auto" w:fill="auto"/>
            <w:vAlign w:val="center"/>
            <w:hideMark/>
          </w:tcPr>
          <w:p>
            <w:pPr>
              <w:spacing w:after="0" w:line="240" w:lineRule="auto"/>
              <w:rPr>
                <w:rFonts w:eastAsia="Times New Roman"/>
                <w:noProof/>
                <w:sz w:val="16"/>
                <w:szCs w:val="16"/>
                <w:lang w:val="ru-RU"/>
              </w:rPr>
            </w:pPr>
            <w:r>
              <w:rPr>
                <w:noProof/>
                <w:sz w:val="16"/>
                <w:lang w:val="ru-RU"/>
              </w:rPr>
              <w:t>(2) Вторият проектобюджет за 2019 г. се основава на прогнозата за БНД, включена в техническата корекция на МФР, приета на 23 май 2018</w:t>
            </w:r>
            <w:r>
              <w:rPr>
                <w:noProof/>
                <w:sz w:val="16"/>
              </w:rPr>
              <w:t> </w:t>
            </w:r>
            <w:r>
              <w:rPr>
                <w:noProof/>
                <w:sz w:val="16"/>
                <w:lang w:val="ru-RU"/>
              </w:rPr>
              <w:t>г. (</w:t>
            </w:r>
            <w:r>
              <w:rPr>
                <w:noProof/>
                <w:sz w:val="16"/>
              </w:rPr>
              <w:t>COM</w:t>
            </w:r>
            <w:r>
              <w:rPr>
                <w:noProof/>
                <w:sz w:val="16"/>
                <w:lang w:val="ru-RU"/>
              </w:rPr>
              <w:t>(2018) 282).</w:t>
            </w:r>
          </w:p>
        </w:tc>
      </w:tr>
    </w:tbl>
    <w:p>
      <w:pPr>
        <w:rPr>
          <w:noProof/>
          <w:lang w:val="ru-RU"/>
        </w:rPr>
      </w:pPr>
    </w:p>
    <w:sectPr>
      <w:headerReference w:type="even" r:id="rId35"/>
      <w:headerReference w:type="default" r:id="rId36"/>
      <w:footerReference w:type="even" r:id="rId37"/>
      <w:footerReference w:type="default" r:id="rId38"/>
      <w:headerReference w:type="first" r:id="rId39"/>
      <w:footerReference w:type="first" r:id="rId40"/>
      <w:pgSz w:w="11907" w:h="16839"/>
      <w:pgMar w:top="567" w:right="850" w:bottom="567" w:left="709"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FMKN P+ Adv T T 5843c 571">
    <w:altName w:val="Adv TT 584 3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tabs>
        <w:tab w:val="clear" w:pos="15137"/>
        <w:tab w:val="left" w:pos="4815"/>
        <w:tab w:val="left" w:pos="5565"/>
        <w:tab w:val="right" w:pos="15735"/>
      </w:tabs>
      <w:ind w:left="0"/>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533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right" w:pos="9639"/>
        <w:tab w:val="left" w:pos="10065"/>
      </w:tabs>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ru-RU"/>
        </w:rPr>
      </w:pPr>
      <w:r>
        <w:rPr>
          <w:rStyle w:val="FootnoteReference"/>
        </w:rPr>
        <w:footnoteRef/>
      </w:r>
      <w:r>
        <w:rPr>
          <w:sz w:val="19"/>
          <w:lang w:val="ru-RU"/>
        </w:rPr>
        <w:t xml:space="preserve"> </w:t>
      </w:r>
      <w:r>
        <w:rPr>
          <w:lang w:val="ru-RU"/>
        </w:rPr>
        <w:tab/>
        <w:t xml:space="preserve">ОВ </w:t>
      </w:r>
      <w:r>
        <w:t>L</w:t>
      </w:r>
      <w:r>
        <w:rPr>
          <w:lang w:val="ru-RU"/>
        </w:rPr>
        <w:t xml:space="preserve"> 347, 20.12.2013</w:t>
      </w:r>
      <w:r>
        <w:t> </w:t>
      </w:r>
      <w:r>
        <w:rPr>
          <w:lang w:val="ru-RU"/>
        </w:rPr>
        <w:t>г.</w:t>
      </w:r>
    </w:p>
  </w:footnote>
  <w:footnote w:id="2">
    <w:p>
      <w:pPr>
        <w:pStyle w:val="FootnoteText"/>
        <w:rPr>
          <w:lang w:val="ru-RU"/>
        </w:rPr>
      </w:pPr>
      <w:r>
        <w:rPr>
          <w:rStyle w:val="FootnoteReference"/>
        </w:rPr>
        <w:footnoteRef/>
      </w:r>
      <w:r>
        <w:rPr>
          <w:lang w:val="ru-RU"/>
        </w:rPr>
        <w:t xml:space="preserve"> </w:t>
      </w:r>
      <w:r>
        <w:rPr>
          <w:lang w:val="ru-RU"/>
        </w:rPr>
        <w:tab/>
      </w:r>
      <w:r>
        <w:t>O</w:t>
      </w:r>
      <w:r>
        <w:rPr>
          <w:lang w:val="ru-RU"/>
        </w:rPr>
        <w:t xml:space="preserve">В </w:t>
      </w:r>
      <w:r>
        <w:t>C</w:t>
      </w:r>
      <w:r>
        <w:rPr>
          <w:lang w:val="ru-RU"/>
        </w:rPr>
        <w:t xml:space="preserve"> 373, 20.12.2013 г.</w:t>
      </w:r>
    </w:p>
  </w:footnote>
  <w:footnote w:id="3">
    <w:p>
      <w:pPr>
        <w:pStyle w:val="FootnoteText"/>
        <w:rPr>
          <w:lang w:val="ru-RU"/>
        </w:rPr>
      </w:pPr>
      <w:r>
        <w:rPr>
          <w:rStyle w:val="FootnoteReference"/>
        </w:rPr>
        <w:footnoteRef/>
      </w:r>
      <w:r>
        <w:rPr>
          <w:lang w:val="ru-RU"/>
        </w:rPr>
        <w:t xml:space="preserve"> </w:t>
      </w:r>
      <w:r>
        <w:rPr>
          <w:lang w:val="ru-RU"/>
        </w:rPr>
        <w:tab/>
        <w:t xml:space="preserve">ОВ </w:t>
      </w:r>
      <w:r>
        <w:t>L</w:t>
      </w:r>
      <w:r>
        <w:rPr>
          <w:lang w:val="ru-RU"/>
        </w:rPr>
        <w:t xml:space="preserve"> 160, 7.6.2014</w:t>
      </w:r>
      <w:r>
        <w:t> </w:t>
      </w:r>
      <w:r>
        <w:rPr>
          <w:lang w:val="ru-RU"/>
        </w:rPr>
        <w:t>г.</w:t>
      </w:r>
    </w:p>
  </w:footnote>
  <w:footnote w:id="4">
    <w:p>
      <w:pPr>
        <w:pStyle w:val="FootnoteText"/>
        <w:ind w:left="709" w:hanging="709"/>
        <w:rPr>
          <w:lang w:val="pt-PT"/>
        </w:rPr>
      </w:pPr>
      <w:r>
        <w:rPr>
          <w:rStyle w:val="FootnoteReference"/>
        </w:rPr>
        <w:footnoteRef/>
      </w:r>
      <w:r>
        <w:rPr>
          <w:sz w:val="19"/>
          <w:lang w:val="pt-PT"/>
        </w:rPr>
        <w:t xml:space="preserve"> </w:t>
      </w:r>
      <w:r>
        <w:rPr>
          <w:lang w:val="pt-PT"/>
        </w:rPr>
        <w:tab/>
      </w:r>
      <w:r>
        <w:t>ОВ</w:t>
      </w:r>
      <w:r>
        <w:rPr>
          <w:lang w:val="pt-PT"/>
        </w:rPr>
        <w:t xml:space="preserve"> L 193, 30.7.2018 </w:t>
      </w:r>
      <w:r>
        <w:t>г</w:t>
      </w:r>
      <w:r>
        <w:rPr>
          <w:lang w:val="pt-PT"/>
        </w:rPr>
        <w:t>.</w:t>
      </w:r>
    </w:p>
  </w:footnote>
  <w:footnote w:id="5">
    <w:p>
      <w:pPr>
        <w:pStyle w:val="FootnoteText"/>
        <w:ind w:left="709" w:hanging="709"/>
        <w:rPr>
          <w:lang w:val="pt-PT"/>
        </w:rPr>
      </w:pPr>
      <w:r>
        <w:rPr>
          <w:rStyle w:val="FootnoteReference"/>
        </w:rPr>
        <w:footnoteRef/>
      </w:r>
      <w:r>
        <w:rPr>
          <w:lang w:val="pt-PT"/>
        </w:rPr>
        <w:t xml:space="preserve"> </w:t>
      </w:r>
      <w:r>
        <w:rPr>
          <w:lang w:val="pt-PT"/>
        </w:rPr>
        <w:tab/>
        <w:t>COM(2018) 600.</w:t>
      </w:r>
    </w:p>
  </w:footnote>
  <w:footnote w:id="6">
    <w:p>
      <w:pPr>
        <w:pStyle w:val="FootnoteText"/>
        <w:rPr>
          <w:lang w:val="pt-PT"/>
        </w:rPr>
      </w:pPr>
      <w:r>
        <w:rPr>
          <w:rStyle w:val="FootnoteReference"/>
        </w:rPr>
        <w:footnoteRef/>
      </w:r>
      <w:r>
        <w:rPr>
          <w:lang w:val="pt-PT"/>
        </w:rPr>
        <w:t xml:space="preserve"> </w:t>
      </w:r>
      <w:r>
        <w:rPr>
          <w:lang w:val="pt-PT"/>
        </w:rPr>
        <w:tab/>
        <w:t>11737-C8-0410/2018.</w:t>
      </w:r>
    </w:p>
  </w:footnote>
  <w:footnote w:id="7">
    <w:p>
      <w:pPr>
        <w:pStyle w:val="FootnoteText"/>
        <w:ind w:left="709" w:hanging="709"/>
        <w:rPr>
          <w:lang w:val="pt-PT"/>
        </w:rPr>
      </w:pPr>
      <w:r>
        <w:rPr>
          <w:rStyle w:val="FootnoteReference"/>
        </w:rPr>
        <w:footnoteRef/>
      </w:r>
      <w:r>
        <w:rPr>
          <w:lang w:val="pt-PT"/>
        </w:rPr>
        <w:t xml:space="preserve"> </w:t>
      </w:r>
      <w:r>
        <w:rPr>
          <w:lang w:val="pt-PT"/>
        </w:rPr>
        <w:tab/>
        <w:t>COM(2018) 709.</w:t>
      </w:r>
    </w:p>
  </w:footnote>
  <w:footnote w:id="8">
    <w:p>
      <w:pPr>
        <w:pStyle w:val="FootnoteText"/>
        <w:rPr>
          <w:lang w:val="pt-PT"/>
        </w:rPr>
      </w:pPr>
      <w:r>
        <w:rPr>
          <w:rStyle w:val="FootnoteReference"/>
        </w:rPr>
        <w:footnoteRef/>
      </w:r>
      <w:r>
        <w:rPr>
          <w:lang w:val="pt-PT"/>
        </w:rPr>
        <w:t xml:space="preserve"> </w:t>
      </w:r>
      <w:r>
        <w:rPr>
          <w:lang w:val="pt-PT"/>
        </w:rPr>
        <w:tab/>
        <w:t>P8_TA(2018)404.</w:t>
      </w:r>
    </w:p>
  </w:footnote>
  <w:footnote w:id="9">
    <w:p>
      <w:pPr>
        <w:pStyle w:val="FootnoteText"/>
        <w:ind w:left="709" w:hanging="709"/>
        <w:rPr>
          <w:lang w:val="pt-PT"/>
        </w:rPr>
      </w:pPr>
      <w:r>
        <w:rPr>
          <w:rStyle w:val="FootnoteReference"/>
        </w:rPr>
        <w:footnoteRef/>
      </w:r>
      <w:r>
        <w:rPr>
          <w:lang w:val="pt-PT"/>
        </w:rPr>
        <w:t xml:space="preserve"> </w:t>
      </w:r>
      <w:r>
        <w:rPr>
          <w:lang w:val="pt-PT"/>
        </w:rPr>
        <w:tab/>
        <w:t>COM(2018) 600.</w:t>
      </w:r>
    </w:p>
  </w:footnote>
  <w:footnote w:id="10">
    <w:p>
      <w:pPr>
        <w:pStyle w:val="FootnoteText"/>
        <w:rPr>
          <w:lang w:val="pt-PT"/>
        </w:rPr>
      </w:pPr>
      <w:r>
        <w:rPr>
          <w:rStyle w:val="FootnoteReference"/>
        </w:rPr>
        <w:footnoteRef/>
      </w:r>
      <w:r>
        <w:rPr>
          <w:lang w:val="pt-PT"/>
        </w:rPr>
        <w:t xml:space="preserve"> </w:t>
      </w:r>
      <w:r>
        <w:rPr>
          <w:lang w:val="pt-PT"/>
        </w:rPr>
        <w:tab/>
        <w:t xml:space="preserve">COM(2018) 704, 12.10.2018 </w:t>
      </w:r>
      <w:r>
        <w:t>г</w:t>
      </w:r>
      <w:r>
        <w:rPr>
          <w:lang w:val="pt-PT"/>
        </w:rPr>
        <w:t>.</w:t>
      </w:r>
    </w:p>
  </w:footnote>
  <w:footnote w:id="11">
    <w:p>
      <w:pPr>
        <w:pStyle w:val="FootnoteText"/>
        <w:rPr>
          <w:lang w:val="ru-RU"/>
        </w:rPr>
      </w:pPr>
      <w:r>
        <w:rPr>
          <w:rStyle w:val="FootnoteReference"/>
        </w:rPr>
        <w:footnoteRef/>
      </w:r>
      <w:r>
        <w:rPr>
          <w:lang w:val="ru-RU"/>
        </w:rPr>
        <w:t xml:space="preserve"> </w:t>
      </w:r>
      <w:r>
        <w:rPr>
          <w:lang w:val="ru-RU"/>
        </w:rPr>
        <w:tab/>
        <w:t>Проект на коригиращ бюджет № 6/2018 също беше част от пакета, обсъден в помирителния комитет, но беше предвидено той да бъде приет през ноември, за да може да отрази необходимите корекции на собствените ресурси, по-специално по отношение на размера на салдата по ДДС и по БНД, отразяващи се на сумите, които трябва да бъдат предоставени в първия работен ден на декември 2018 г.</w:t>
      </w:r>
    </w:p>
  </w:footnote>
  <w:footnote w:id="12">
    <w:p>
      <w:pPr>
        <w:pStyle w:val="FootnoteText"/>
        <w:ind w:left="709" w:hanging="709"/>
        <w:rPr>
          <w:lang w:val="ru-RU"/>
        </w:rPr>
      </w:pPr>
      <w:r>
        <w:rPr>
          <w:rStyle w:val="FootnoteReference"/>
        </w:rPr>
        <w:footnoteRef/>
      </w:r>
      <w:r>
        <w:rPr>
          <w:lang w:val="ru-RU"/>
        </w:rPr>
        <w:t xml:space="preserve"> </w:t>
      </w:r>
      <w:r>
        <w:rPr>
          <w:lang w:val="ru-RU"/>
        </w:rPr>
        <w:tab/>
      </w:r>
      <w:r>
        <w:t>COM</w:t>
      </w:r>
      <w:r>
        <w:rPr>
          <w:lang w:val="ru-RU"/>
        </w:rPr>
        <w:t>(2018) 709, 16.10.2018 г.</w:t>
      </w:r>
    </w:p>
  </w:footnote>
  <w:footnote w:id="13">
    <w:p>
      <w:pPr>
        <w:pStyle w:val="FootnoteText"/>
        <w:rPr>
          <w:lang w:val="ru-RU"/>
        </w:rPr>
      </w:pPr>
      <w:r>
        <w:rPr>
          <w:rStyle w:val="FootnoteReference"/>
        </w:rPr>
        <w:footnoteRef/>
      </w:r>
      <w:r>
        <w:rPr>
          <w:lang w:val="ru-RU"/>
        </w:rPr>
        <w:t xml:space="preserve"> </w:t>
      </w:r>
      <w:r>
        <w:rPr>
          <w:lang w:val="ru-RU"/>
        </w:rPr>
        <w:tab/>
        <w:t>Данните се основават на техническата корекция на финансовата рамка за 2019</w:t>
      </w:r>
      <w:r>
        <w:t> </w:t>
      </w:r>
      <w:r>
        <w:rPr>
          <w:lang w:val="ru-RU"/>
        </w:rPr>
        <w:t>г. в съответствие с промените в БНД, приета от Комисията на 23.5.2018</w:t>
      </w:r>
      <w:r>
        <w:t> </w:t>
      </w:r>
      <w:r>
        <w:rPr>
          <w:lang w:val="ru-RU"/>
        </w:rPr>
        <w:t>г. (</w:t>
      </w:r>
      <w:r>
        <w:t>COM</w:t>
      </w:r>
      <w:r>
        <w:rPr>
          <w:lang w:val="ru-RU"/>
        </w:rPr>
        <w:t>(2018) 282).</w:t>
      </w:r>
    </w:p>
  </w:footnote>
  <w:footnote w:id="14">
    <w:p>
      <w:pPr>
        <w:pStyle w:val="FootnoteText"/>
        <w:rPr>
          <w:lang w:val="ru-RU"/>
        </w:rPr>
      </w:pPr>
      <w:r>
        <w:rPr>
          <w:rStyle w:val="FootnoteReference"/>
        </w:rPr>
        <w:footnoteRef/>
      </w:r>
      <w:r>
        <w:rPr>
          <w:lang w:val="ru-RU"/>
        </w:rPr>
        <w:t xml:space="preserve"> </w:t>
      </w:r>
      <w:r>
        <w:rPr>
          <w:lang w:val="ru-RU"/>
        </w:rPr>
        <w:tab/>
        <w:t xml:space="preserve">Регламент (ЕС, Евратом) 2018/1046 на Европейския парламент и на Съвета от 18 юли 2018 г. за финансовите правила, приложими за общия бюджет на Съюза (ОВ </w:t>
      </w:r>
      <w:r>
        <w:t>L </w:t>
      </w:r>
      <w:r>
        <w:rPr>
          <w:lang w:val="ru-RU"/>
        </w:rPr>
        <w:t>193, 30.7.2018</w:t>
      </w:r>
      <w:r>
        <w:t> </w:t>
      </w:r>
      <w:r>
        <w:rPr>
          <w:lang w:val="ru-RU"/>
        </w:rPr>
        <w:t>г., стр.</w:t>
      </w:r>
      <w:r>
        <w:t> </w:t>
      </w:r>
      <w:r>
        <w:rPr>
          <w:lang w:val="ru-RU"/>
        </w:rPr>
        <w:t>1).</w:t>
      </w:r>
    </w:p>
  </w:footnote>
  <w:footnote w:id="15">
    <w:p>
      <w:pPr>
        <w:pStyle w:val="FootnoteText"/>
        <w:rPr>
          <w:lang w:val="ru-RU"/>
        </w:rPr>
      </w:pPr>
      <w:r>
        <w:rPr>
          <w:rStyle w:val="FootnoteReference"/>
        </w:rPr>
        <w:footnoteRef/>
      </w:r>
      <w:r>
        <w:rPr>
          <w:lang w:val="ru-RU"/>
        </w:rPr>
        <w:t xml:space="preserve"> </w:t>
      </w:r>
      <w:r>
        <w:rPr>
          <w:lang w:val="ru-RU"/>
        </w:rPr>
        <w:tab/>
        <w:t>През юни 2018 г. Европейският съвет прикани Комисията да започне нова пилотна инициатива за авангардните иновации през оставащия период на действие на програма „Хоризонт 2020“. Заключенията на Съвета гласят:</w:t>
      </w:r>
      <w:r>
        <w:rPr>
          <w:i/>
          <w:lang w:val="ru-RU"/>
        </w:rPr>
        <w:t xml:space="preserve"> „Нужна ни е по-силна, приобщаваща екосистема за иновациите, която да стимулира авангардните иновации и иновациите, създаващи пазари, и да предоставя всеобхватна подкрепа за предприятията, включително МСП, с потенциал за пробив, така че да навлязат успешно на световните пазари.“</w:t>
      </w:r>
    </w:p>
  </w:footnote>
  <w:footnote w:id="16">
    <w:p>
      <w:pPr>
        <w:pStyle w:val="FootnoteText"/>
        <w:rPr>
          <w:b/>
          <w:lang w:val="ru-RU"/>
        </w:rPr>
      </w:pPr>
      <w:r>
        <w:rPr>
          <w:rStyle w:val="FootnoteReference"/>
        </w:rPr>
        <w:footnoteRef/>
      </w:r>
      <w:r>
        <w:rPr>
          <w:b/>
          <w:lang w:val="ru-RU"/>
        </w:rPr>
        <w:t xml:space="preserve"> </w:t>
      </w:r>
      <w:r>
        <w:rPr>
          <w:lang w:val="ru-RU"/>
        </w:rPr>
        <w:tab/>
        <w:t>1 щатна бройка от групата за администратори за защита на данните и 4 щатни бройки от групата за администратори за ИТ.</w:t>
      </w:r>
    </w:p>
  </w:footnote>
  <w:footnote w:id="17">
    <w:p>
      <w:pPr>
        <w:pStyle w:val="CM1"/>
        <w:spacing w:before="200" w:after="200"/>
        <w:ind w:left="709" w:hanging="709"/>
        <w:jc w:val="both"/>
        <w:rPr>
          <w:lang w:val="ru-RU"/>
        </w:rPr>
      </w:pPr>
      <w:r>
        <w:rPr>
          <w:rStyle w:val="FootnoteReference"/>
        </w:rPr>
        <w:footnoteRef/>
      </w:r>
      <w:r>
        <w:rPr>
          <w:lang w:val="ru-RU"/>
        </w:rPr>
        <w:t xml:space="preserve"> </w:t>
      </w:r>
      <w:r>
        <w:rPr>
          <w:lang w:val="ru-RU"/>
        </w:rPr>
        <w:tab/>
      </w:r>
      <w:r>
        <w:rPr>
          <w:rFonts w:ascii="OFMKN P+ Adv T T 5843c 571" w:hAnsi="OFMKN P+ Adv T T 5843c 571"/>
          <w:color w:val="000000"/>
          <w:sz w:val="19"/>
          <w:lang w:val="ru-RU"/>
        </w:rPr>
        <w:t>Предложение за Регламент на Съвета, представено от Комисията на 11 януари 2018</w:t>
      </w:r>
      <w:r>
        <w:rPr>
          <w:rFonts w:ascii="OFMKN P+ Adv T T 5843c 571" w:hAnsi="OFMKN P+ Adv T T 5843c 571"/>
          <w:color w:val="000000"/>
          <w:sz w:val="19"/>
        </w:rPr>
        <w:t> </w:t>
      </w:r>
      <w:r>
        <w:rPr>
          <w:rFonts w:ascii="OFMKN P+ Adv T T 5843c 571" w:hAnsi="OFMKN P+ Adv T T 5843c 571"/>
          <w:color w:val="000000"/>
          <w:sz w:val="19"/>
          <w:lang w:val="ru-RU"/>
        </w:rPr>
        <w:t>г., за създаване на съвместното предприятие за европейски високопроизводителни изчислителни технологии (</w:t>
      </w:r>
      <w:r>
        <w:rPr>
          <w:rFonts w:ascii="OFMKN P+ Adv T T 5843c 571" w:hAnsi="OFMKN P+ Adv T T 5843c 571"/>
          <w:color w:val="000000"/>
          <w:sz w:val="19"/>
        </w:rPr>
        <w:t>COM</w:t>
      </w:r>
      <w:r>
        <w:rPr>
          <w:rFonts w:ascii="OFMKN P+ Adv T T 5843c 571" w:hAnsi="OFMKN P+ Adv T T 5843c 571"/>
          <w:color w:val="000000"/>
          <w:sz w:val="19"/>
          <w:lang w:val="ru-RU"/>
        </w:rPr>
        <w:t>(2018)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6">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2">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5">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8">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19">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C7760D"/>
    <w:multiLevelType w:val="singleLevel"/>
    <w:tmpl w:val="BB505DFC"/>
    <w:name w:val="Considérant__1"/>
    <w:lvl w:ilvl="0">
      <w:start w:val="1"/>
      <w:numFmt w:val="decimal"/>
      <w:lvlRestart w:val="0"/>
      <w:pStyle w:val="Considrant"/>
      <w:lvlText w:val="(%1)"/>
      <w:lvlJc w:val="left"/>
      <w:pPr>
        <w:tabs>
          <w:tab w:val="num" w:pos="709"/>
        </w:tabs>
        <w:ind w:left="709" w:hanging="709"/>
      </w:pPr>
    </w:lvl>
  </w:abstractNum>
  <w:abstractNum w:abstractNumId="22">
    <w:nsid w:val="537C030B"/>
    <w:multiLevelType w:val="hybridMultilevel"/>
    <w:tmpl w:val="F042C4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3F47367"/>
    <w:multiLevelType w:val="singleLevel"/>
    <w:tmpl w:val="B4E8C9F0"/>
    <w:name w:val="Tiret 0"/>
    <w:lvl w:ilvl="0">
      <w:start w:val="1"/>
      <w:numFmt w:val="bullet"/>
      <w:lvlRestart w:val="0"/>
      <w:pStyle w:val="Tiret1"/>
      <w:lvlText w:val="–"/>
      <w:lvlJc w:val="left"/>
      <w:pPr>
        <w:tabs>
          <w:tab w:val="num" w:pos="1417"/>
        </w:tabs>
        <w:ind w:left="1417"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BF90535"/>
    <w:multiLevelType w:val="hybridMultilevel"/>
    <w:tmpl w:val="5A14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8C56337"/>
    <w:multiLevelType w:val="multilevel"/>
    <w:tmpl w:val="D57A2C42"/>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1"/>
  </w:num>
  <w:num w:numId="2">
    <w:abstractNumId w:val="23"/>
  </w:num>
  <w:num w:numId="3">
    <w:abstractNumId w:val="14"/>
  </w:num>
  <w:num w:numId="4">
    <w:abstractNumId w:val="17"/>
  </w:num>
  <w:num w:numId="5">
    <w:abstractNumId w:val="18"/>
  </w:num>
  <w:num w:numId="6">
    <w:abstractNumId w:val="34"/>
  </w:num>
  <w:num w:numId="7">
    <w:abstractNumId w:val="26"/>
  </w:num>
  <w:num w:numId="8">
    <w:abstractNumId w:val="16"/>
  </w:num>
  <w:num w:numId="9">
    <w:abstractNumId w:val="25"/>
  </w:num>
  <w:num w:numId="10">
    <w:abstractNumId w:val="24"/>
  </w:num>
  <w:num w:numId="11">
    <w:abstractNumId w:val="31"/>
  </w:num>
  <w:num w:numId="12">
    <w:abstractNumId w:val="37"/>
  </w:num>
  <w:num w:numId="13">
    <w:abstractNumId w:val="33"/>
  </w:num>
  <w:num w:numId="14">
    <w:abstractNumId w:val="32"/>
  </w:num>
  <w:num w:numId="15">
    <w:abstractNumId w:val="21"/>
  </w:num>
  <w:num w:numId="16">
    <w:abstractNumId w:val="30"/>
  </w:num>
  <w:num w:numId="17">
    <w:abstractNumId w:val="27"/>
  </w:num>
  <w:num w:numId="18">
    <w:abstractNumId w:val="6"/>
  </w:num>
  <w:num w:numId="19">
    <w:abstractNumId w:val="3"/>
  </w:num>
  <w:num w:numId="20">
    <w:abstractNumId w:val="5"/>
  </w:num>
  <w:num w:numId="21">
    <w:abstractNumId w:val="0"/>
  </w:num>
  <w:num w:numId="22">
    <w:abstractNumId w:val="36"/>
  </w:num>
  <w:num w:numId="23">
    <w:abstractNumId w:val="19"/>
  </w:num>
  <w:num w:numId="24">
    <w:abstractNumId w:val="15"/>
  </w:num>
  <w:num w:numId="25">
    <w:abstractNumId w:val="10"/>
  </w:num>
  <w:num w:numId="26">
    <w:abstractNumId w:val="29"/>
  </w:num>
  <w:num w:numId="27">
    <w:abstractNumId w:val="7"/>
  </w:num>
  <w:num w:numId="28">
    <w:abstractNumId w:val="4"/>
  </w:num>
  <w:num w:numId="29">
    <w:abstractNumId w:val="20"/>
  </w:num>
  <w:num w:numId="30">
    <w:abstractNumId w:val="12"/>
  </w:num>
  <w:num w:numId="31">
    <w:abstractNumId w:val="2"/>
  </w:num>
  <w:num w:numId="32">
    <w:abstractNumId w:val="32"/>
  </w:num>
  <w:num w:numId="33">
    <w:abstractNumId w:val="32"/>
  </w:num>
  <w:num w:numId="34">
    <w:abstractNumId w:val="32"/>
  </w:num>
  <w:num w:numId="35">
    <w:abstractNumId w:val="32"/>
  </w:num>
  <w:num w:numId="36">
    <w:abstractNumId w:val="32"/>
  </w:num>
  <w:num w:numId="37">
    <w:abstractNumId w:val="35"/>
  </w:num>
  <w:num w:numId="38">
    <w:abstractNumId w:val="22"/>
  </w:num>
  <w:num w:numId="39">
    <w:abstractNumId w:val="9"/>
  </w:num>
  <w:num w:numId="40">
    <w:abstractNumId w:val="28"/>
  </w:num>
  <w:num w:numId="41">
    <w:abstractNumId w:val="13"/>
  </w:num>
  <w:num w:numId="42">
    <w:abstractNumId w:val="32"/>
  </w:num>
  <w:num w:numId="43">
    <w:abstractNumId w:val="32"/>
  </w:num>
  <w:num w:numId="44">
    <w:abstractNumId w:val="8"/>
  </w:num>
  <w:num w:numId="45">
    <w:abstractNumId w:val="32"/>
  </w:num>
  <w:num w:numId="46">
    <w:abstractNumId w:val="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FC6E85A0-FBAD-4204-B60F-896C1EFE5401"/>
    <w:docVar w:name="LW_COVERPAGE_TYPE" w:val="1"/>
    <w:docVar w:name="LW_CROSSREFERENCE" w:val="&lt;UNUSED&gt;"/>
    <w:docVar w:name="LW_DATE.ADOPT.CP_ISODATE" w:val="&lt;EMPTY&gt;"/>
    <w:docVar w:name="LW_DocType" w:val="NORMAL"/>
    <w:docVar w:name="LW_EMISSION" w:val="30.11.2018"/>
    <w:docVar w:name="LW_EMISSION_ISODATE" w:val="2018-11-30"/>
    <w:docVar w:name="LW_EMISSION_LOCATION" w:val="BRX"/>
    <w:docVar w:name="LW_EMISSION_PREFIX" w:val="Брюксел, "/>
    <w:docVar w:name="LW_EMISSION_SUFFIX" w:val=" \u1075?."/>
    <w:docVar w:name="LW_ID_DOCTYPE_NONLW" w:val="CP-035"/>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9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4?\u1041?\u1065?\u1054? \u1042?\u1066?\u1042?\u1045?\u1044?\u1045?\u1053?\u1048?\u1045?&lt;/FMT&gt;"/>
    <w:docVar w:name="LW_TYPE.DOC.CP" w:val="\u1042?\u1090?\u1086?\u1088?\u1080? \u1055?\u1056?\u1054?\u1045?\u1050?\u1058? \u1085?\u1072? \u1086?\u1073?\u1097? \u1073?\u1102?\u1076?\u1078?\u1077?\u1090?_x000b_\u1085?\u1072? \u1045?\u1074?\u1088?\u1086?\u1087?\u1077?\u1081?\u1089?\u1082?\u1080?\u1103? \u1089?\u1098?\u1102?\u1079?_x000b_\u1079?\u1072? \u1092?\u1080?\u1085?\u1072?\u1085?\u1089?\u1086?\u1074?\u1072?\u1090?\u1072? 2019 \u1075?\u1086?\u1076?\u1080?\u1085?\u1072?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Times New Roman" w:hAnsi="Times New Roman"/>
      <w:sz w:val="23"/>
      <w:szCs w:val="22"/>
      <w:lang w:val="fr-BE" w:eastAsia="en-US"/>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lang w:val="en-GB" w:eastAsia="de-DE"/>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lang w:val="en-GB" w:eastAsia="de-DE"/>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lang w:val="en-GB" w:eastAsia="de-DE"/>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lang w:val="en-GB" w:eastAsia="de-DE"/>
    </w:rPr>
  </w:style>
  <w:style w:type="character" w:customStyle="1" w:styleId="Heading1Char">
    <w:name w:val="Heading 1 Char"/>
    <w:link w:val="Heading1"/>
    <w:uiPriority w:val="99"/>
    <w:rPr>
      <w:rFonts w:ascii="Times New Roman" w:eastAsia="Times New Roman" w:hAnsi="Times New Roman"/>
      <w:b/>
      <w:bCs/>
      <w:smallCaps/>
      <w:sz w:val="24"/>
      <w:szCs w:val="32"/>
      <w:lang w:eastAsia="de-DE"/>
    </w:rPr>
  </w:style>
  <w:style w:type="paragraph" w:customStyle="1" w:styleId="Text2">
    <w:name w:val="Text 2"/>
    <w:basedOn w:val="Normal"/>
    <w:pPr>
      <w:spacing w:before="120" w:after="120" w:line="240" w:lineRule="auto"/>
      <w:ind w:left="850"/>
      <w:jc w:val="both"/>
    </w:pPr>
    <w:rPr>
      <w:rFonts w:eastAsia="Times New Roman"/>
      <w:sz w:val="24"/>
      <w:szCs w:val="24"/>
      <w:lang w:val="en-GB" w:eastAsia="de-DE"/>
    </w:rPr>
  </w:style>
  <w:style w:type="character" w:customStyle="1" w:styleId="Heading2Char">
    <w:name w:val="Heading 2 Char"/>
    <w:link w:val="Heading2"/>
    <w:uiPriority w:val="99"/>
    <w:rPr>
      <w:rFonts w:ascii="Times New Roman" w:eastAsia="Times New Roman" w:hAnsi="Times New Roman"/>
      <w:b/>
      <w:bCs/>
      <w:iCs/>
      <w:sz w:val="24"/>
      <w:szCs w:val="28"/>
      <w:lang w:eastAsia="de-DE"/>
    </w:rPr>
  </w:style>
  <w:style w:type="paragraph" w:customStyle="1" w:styleId="Text3">
    <w:name w:val="Text 3"/>
    <w:basedOn w:val="Normal"/>
    <w:pPr>
      <w:spacing w:before="120" w:after="120" w:line="240" w:lineRule="auto"/>
      <w:ind w:left="850"/>
      <w:jc w:val="both"/>
    </w:pPr>
    <w:rPr>
      <w:rFonts w:eastAsia="Times New Roman"/>
      <w:sz w:val="24"/>
      <w:szCs w:val="24"/>
      <w:lang w:val="en-GB" w:eastAsia="de-DE"/>
    </w:rPr>
  </w:style>
  <w:style w:type="character" w:customStyle="1" w:styleId="Heading3Char">
    <w:name w:val="Heading 3 Char"/>
    <w:link w:val="Heading3"/>
    <w:uiPriority w:val="99"/>
    <w:rPr>
      <w:rFonts w:ascii="Times New Roman" w:eastAsia="Times New Roman" w:hAnsi="Times New Roman"/>
      <w:bCs/>
      <w:i/>
      <w:sz w:val="24"/>
      <w:szCs w:val="26"/>
      <w:lang w:eastAsia="de-DE"/>
    </w:rPr>
  </w:style>
  <w:style w:type="paragraph" w:customStyle="1" w:styleId="Text4">
    <w:name w:val="Text 4"/>
    <w:basedOn w:val="Normal"/>
    <w:pPr>
      <w:spacing w:before="120" w:after="120" w:line="240" w:lineRule="auto"/>
      <w:ind w:left="850"/>
      <w:jc w:val="both"/>
    </w:pPr>
    <w:rPr>
      <w:rFonts w:eastAsia="Times New Roman"/>
      <w:sz w:val="24"/>
      <w:szCs w:val="24"/>
      <w:lang w:val="en-GB" w:eastAsia="de-DE"/>
    </w:rPr>
  </w:style>
  <w:style w:type="character" w:customStyle="1" w:styleId="Heading4Char">
    <w:name w:val="Heading 4 Char"/>
    <w:link w:val="Heading4"/>
    <w:uiPriority w:val="99"/>
    <w:rPr>
      <w:rFonts w:ascii="Times New Roman" w:eastAsia="Times New Roman" w:hAnsi="Times New Roman"/>
      <w:bCs/>
      <w:sz w:val="24"/>
      <w:szCs w:val="28"/>
      <w:lang w:eastAsia="de-DE"/>
    </w:rPr>
  </w:style>
  <w:style w:type="character" w:customStyle="1" w:styleId="Heading5Char">
    <w:name w:val="Heading 5 Char"/>
    <w:link w:val="Heading5"/>
    <w:uiPriority w:val="99"/>
    <w:rPr>
      <w:rFonts w:ascii="Times New Roman" w:eastAsia="Times New Roman" w:hAnsi="Times New Roman" w:cs="Times New Roman"/>
      <w:sz w:val="24"/>
      <w:szCs w:val="24"/>
      <w:lang w:val="en-GB" w:eastAsia="en-GB"/>
    </w:rPr>
  </w:style>
  <w:style w:type="character" w:customStyle="1" w:styleId="Heading6Char">
    <w:name w:val="Heading 6 Char"/>
    <w:link w:val="Heading6"/>
    <w:uiPriority w:val="99"/>
    <w:rPr>
      <w:rFonts w:ascii="Times New Roman" w:eastAsia="Times New Roman" w:hAnsi="Times New Roman" w:cs="Times New Roman"/>
      <w:sz w:val="24"/>
      <w:szCs w:val="24"/>
      <w:lang w:val="en-GB" w:eastAsia="en-GB"/>
    </w:rPr>
  </w:style>
  <w:style w:type="character" w:customStyle="1" w:styleId="Heading7Char">
    <w:name w:val="Heading 7 Char"/>
    <w:link w:val="Heading7"/>
    <w:uiPriority w:val="99"/>
    <w:rPr>
      <w:rFonts w:ascii="Times New Roman" w:eastAsia="Times New Roman" w:hAnsi="Times New Roman" w:cs="Times New Roman"/>
      <w:sz w:val="24"/>
      <w:szCs w:val="24"/>
      <w:lang w:val="en-GB" w:eastAsia="en-GB"/>
    </w:rPr>
  </w:style>
  <w:style w:type="character" w:customStyle="1" w:styleId="Heading8Char">
    <w:name w:val="Heading 8 Char"/>
    <w:link w:val="Heading8"/>
    <w:uiPriority w:val="99"/>
    <w:rPr>
      <w:rFonts w:ascii="Times New Roman" w:eastAsia="Times New Roman" w:hAnsi="Times New Roman" w:cs="Times New Roman"/>
      <w:sz w:val="24"/>
      <w:szCs w:val="24"/>
      <w:lang w:val="en-GB" w:eastAsia="en-GB"/>
    </w:rPr>
  </w:style>
  <w:style w:type="character" w:customStyle="1" w:styleId="Heading9Char">
    <w:name w:val="Heading 9 Char"/>
    <w:link w:val="Heading9"/>
    <w:uiPriority w:val="99"/>
    <w:rPr>
      <w:rFonts w:ascii="Times New Roman" w:eastAsia="Times New Roman" w:hAnsi="Times New Roman" w:cs="Times New Roman"/>
      <w:sz w:val="24"/>
      <w:szCs w:val="24"/>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lang w:val="en-GB" w:eastAsia="de-D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en-GB" w:eastAsia="de-DE"/>
    </w:rPr>
  </w:style>
  <w:style w:type="paragraph" w:styleId="ListBullet">
    <w:name w:val="List Bullet"/>
    <w:basedOn w:val="Normal"/>
    <w:pPr>
      <w:numPr>
        <w:numId w:val="23"/>
      </w:numPr>
      <w:spacing w:before="120" w:after="120" w:line="240" w:lineRule="auto"/>
      <w:jc w:val="both"/>
    </w:pPr>
    <w:rPr>
      <w:rFonts w:eastAsia="Times New Roman"/>
      <w:sz w:val="24"/>
      <w:szCs w:val="24"/>
      <w:lang w:val="en-GB" w:eastAsia="de-DE"/>
    </w:rPr>
  </w:style>
  <w:style w:type="paragraph" w:styleId="ListBullet2">
    <w:name w:val="List Bullet 2"/>
    <w:basedOn w:val="Normal"/>
    <w:pPr>
      <w:numPr>
        <w:numId w:val="22"/>
      </w:numPr>
      <w:spacing w:before="120" w:after="120" w:line="240" w:lineRule="auto"/>
      <w:jc w:val="both"/>
    </w:pPr>
    <w:rPr>
      <w:rFonts w:eastAsia="Times New Roman"/>
      <w:sz w:val="24"/>
      <w:szCs w:val="24"/>
      <w:lang w:val="en-GB" w:eastAsia="de-DE"/>
    </w:rPr>
  </w:style>
  <w:style w:type="paragraph" w:styleId="ListBullet3">
    <w:name w:val="List Bullet 3"/>
    <w:basedOn w:val="Normal"/>
    <w:pPr>
      <w:numPr>
        <w:numId w:val="21"/>
      </w:numPr>
      <w:spacing w:before="120" w:after="120" w:line="240" w:lineRule="auto"/>
      <w:jc w:val="both"/>
    </w:pPr>
    <w:rPr>
      <w:rFonts w:eastAsia="Times New Roman"/>
      <w:sz w:val="24"/>
      <w:szCs w:val="24"/>
      <w:lang w:val="en-GB" w:eastAsia="de-DE"/>
    </w:rPr>
  </w:style>
  <w:style w:type="paragraph" w:styleId="ListBullet4">
    <w:name w:val="List Bullet 4"/>
    <w:basedOn w:val="Normal"/>
    <w:pPr>
      <w:numPr>
        <w:numId w:val="20"/>
      </w:numPr>
      <w:spacing w:before="120" w:after="120" w:line="240" w:lineRule="auto"/>
      <w:jc w:val="both"/>
    </w:pPr>
    <w:rPr>
      <w:rFonts w:eastAsia="Times New Roman"/>
      <w:sz w:val="24"/>
      <w:szCs w:val="24"/>
      <w:lang w:val="en-GB" w:eastAsia="de-DE"/>
    </w:rPr>
  </w:style>
  <w:style w:type="paragraph" w:styleId="ListNumber">
    <w:name w:val="List Number"/>
    <w:basedOn w:val="Normal"/>
    <w:pPr>
      <w:numPr>
        <w:numId w:val="19"/>
      </w:numPr>
      <w:spacing w:before="120" w:after="120" w:line="240" w:lineRule="auto"/>
      <w:jc w:val="both"/>
    </w:pPr>
    <w:rPr>
      <w:rFonts w:eastAsia="Times New Roman"/>
      <w:sz w:val="24"/>
      <w:szCs w:val="24"/>
      <w:lang w:val="en-GB" w:eastAsia="de-DE"/>
    </w:rPr>
  </w:style>
  <w:style w:type="paragraph" w:styleId="ListNumber2">
    <w:name w:val="List Number 2"/>
    <w:basedOn w:val="Normal"/>
    <w:pPr>
      <w:numPr>
        <w:numId w:val="18"/>
      </w:numPr>
      <w:spacing w:before="120" w:after="120" w:line="240" w:lineRule="auto"/>
      <w:jc w:val="both"/>
    </w:pPr>
    <w:rPr>
      <w:rFonts w:eastAsia="Times New Roman"/>
      <w:sz w:val="24"/>
      <w:szCs w:val="24"/>
      <w:lang w:val="en-GB" w:eastAsia="de-DE"/>
    </w:rPr>
  </w:style>
  <w:style w:type="paragraph" w:styleId="ListNumber3">
    <w:name w:val="List Number 3"/>
    <w:basedOn w:val="Normal"/>
    <w:pPr>
      <w:numPr>
        <w:numId w:val="17"/>
      </w:numPr>
      <w:spacing w:before="120" w:after="120" w:line="240" w:lineRule="auto"/>
      <w:jc w:val="both"/>
    </w:pPr>
    <w:rPr>
      <w:rFonts w:eastAsia="Times New Roman"/>
      <w:sz w:val="24"/>
      <w:szCs w:val="24"/>
      <w:lang w:val="en-GB" w:eastAsia="de-DE"/>
    </w:rPr>
  </w:style>
  <w:style w:type="paragraph" w:styleId="ListNumber4">
    <w:name w:val="List Number 4"/>
    <w:basedOn w:val="Normal"/>
    <w:pPr>
      <w:numPr>
        <w:numId w:val="16"/>
      </w:numPr>
      <w:spacing w:before="120" w:after="120" w:line="240" w:lineRule="auto"/>
      <w:jc w:val="both"/>
    </w:pPr>
    <w:rPr>
      <w:rFonts w:eastAsia="Times New Roman"/>
      <w:sz w:val="24"/>
      <w:szCs w:val="24"/>
      <w:lang w:val="en-GB" w:eastAsia="de-DE"/>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lang w:val="en-GB" w:eastAsia="de-DE"/>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lang w:val="en-GB" w:eastAsia="de-DE"/>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lang w:val="en-GB" w:eastAsia="de-DE"/>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lang w:val="en-GB" w:eastAsia="de-DE"/>
    </w:rPr>
  </w:style>
  <w:style w:type="paragraph" w:styleId="TOC5">
    <w:name w:val="toc 5"/>
    <w:basedOn w:val="Normal"/>
    <w:next w:val="Normal"/>
    <w:semiHidden/>
    <w:pPr>
      <w:spacing w:after="0" w:line="240" w:lineRule="auto"/>
      <w:ind w:left="960"/>
    </w:pPr>
    <w:rPr>
      <w:rFonts w:ascii="Calibri" w:eastAsia="Times New Roman" w:hAnsi="Calibri" w:cs="Calibri"/>
      <w:sz w:val="18"/>
      <w:szCs w:val="18"/>
      <w:lang w:val="en-GB" w:eastAsia="de-DE"/>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lang w:val="en-GB" w:eastAsia="de-DE"/>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lang w:val="en-GB" w:eastAsia="de-DE"/>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lang w:val="en-GB" w:eastAsia="de-DE"/>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lang w:val="en-GB" w:eastAsia="de-DE"/>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lang w:val="en-GB" w:eastAsia="de-DE"/>
    </w:rPr>
  </w:style>
  <w:style w:type="paragraph" w:customStyle="1" w:styleId="NormalLeft">
    <w:name w:val="Normal Left"/>
    <w:basedOn w:val="Normal"/>
    <w:uiPriority w:val="99"/>
    <w:pPr>
      <w:spacing w:before="120" w:after="120" w:line="240" w:lineRule="auto"/>
    </w:pPr>
    <w:rPr>
      <w:rFonts w:eastAsia="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eastAsia="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lang w:val="en-GB" w:eastAsia="de-DE"/>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lang w:val="en-GB" w:eastAsia="de-DE"/>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lang w:val="en-GB" w:eastAsia="de-DE"/>
    </w:rPr>
  </w:style>
  <w:style w:type="paragraph" w:customStyle="1" w:styleId="ListBullet1">
    <w:name w:val="List Bullet 1"/>
    <w:basedOn w:val="Normal"/>
    <w:pPr>
      <w:numPr>
        <w:numId w:val="7"/>
      </w:numPr>
      <w:spacing w:before="120" w:after="120" w:line="240" w:lineRule="auto"/>
      <w:jc w:val="both"/>
    </w:pPr>
    <w:rPr>
      <w:rFonts w:eastAsia="Times New Roman"/>
      <w:sz w:val="24"/>
      <w:szCs w:val="24"/>
      <w:lang w:val="en-GB" w:eastAsia="de-DE"/>
    </w:rPr>
  </w:style>
  <w:style w:type="paragraph" w:customStyle="1" w:styleId="ListDash">
    <w:name w:val="List Dash"/>
    <w:basedOn w:val="Normal"/>
    <w:pPr>
      <w:numPr>
        <w:numId w:val="8"/>
      </w:numPr>
      <w:spacing w:before="120" w:after="120" w:line="240" w:lineRule="auto"/>
      <w:jc w:val="both"/>
    </w:pPr>
    <w:rPr>
      <w:rFonts w:eastAsia="Times New Roman"/>
      <w:sz w:val="24"/>
      <w:szCs w:val="24"/>
      <w:lang w:val="en-GB" w:eastAsia="de-DE"/>
    </w:rPr>
  </w:style>
  <w:style w:type="paragraph" w:customStyle="1" w:styleId="ListDash1">
    <w:name w:val="List Dash 1"/>
    <w:basedOn w:val="Normal"/>
    <w:pPr>
      <w:numPr>
        <w:numId w:val="9"/>
      </w:numPr>
      <w:spacing w:before="120" w:after="120" w:line="240" w:lineRule="auto"/>
      <w:jc w:val="both"/>
    </w:pPr>
    <w:rPr>
      <w:rFonts w:eastAsia="Times New Roman"/>
      <w:sz w:val="24"/>
      <w:szCs w:val="24"/>
      <w:lang w:val="en-GB" w:eastAsia="de-DE"/>
    </w:rPr>
  </w:style>
  <w:style w:type="paragraph" w:customStyle="1" w:styleId="ListDash2">
    <w:name w:val="List Dash 2"/>
    <w:basedOn w:val="Normal"/>
    <w:pPr>
      <w:numPr>
        <w:numId w:val="10"/>
      </w:numPr>
      <w:spacing w:before="120" w:after="120" w:line="240" w:lineRule="auto"/>
      <w:jc w:val="both"/>
    </w:pPr>
    <w:rPr>
      <w:rFonts w:eastAsia="Times New Roman"/>
      <w:sz w:val="24"/>
      <w:szCs w:val="24"/>
      <w:lang w:val="en-GB" w:eastAsia="de-DE"/>
    </w:rPr>
  </w:style>
  <w:style w:type="paragraph" w:customStyle="1" w:styleId="ListDash3">
    <w:name w:val="List Dash 3"/>
    <w:basedOn w:val="Normal"/>
    <w:pPr>
      <w:numPr>
        <w:numId w:val="11"/>
      </w:numPr>
      <w:spacing w:before="120" w:after="120" w:line="240" w:lineRule="auto"/>
      <w:jc w:val="both"/>
    </w:pPr>
    <w:rPr>
      <w:rFonts w:eastAsia="Times New Roman"/>
      <w:sz w:val="24"/>
      <w:szCs w:val="24"/>
      <w:lang w:val="en-GB" w:eastAsia="de-DE"/>
    </w:rPr>
  </w:style>
  <w:style w:type="paragraph" w:customStyle="1" w:styleId="ListDash4">
    <w:name w:val="List Dash 4"/>
    <w:basedOn w:val="Normal"/>
    <w:pPr>
      <w:numPr>
        <w:numId w:val="12"/>
      </w:numPr>
      <w:spacing w:before="120" w:after="120" w:line="240" w:lineRule="auto"/>
      <w:jc w:val="both"/>
    </w:pPr>
    <w:rPr>
      <w:rFonts w:eastAsia="Times New Roman"/>
      <w:sz w:val="24"/>
      <w:szCs w:val="24"/>
      <w:lang w:val="en-GB" w:eastAsia="de-DE"/>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lang w:val="en-GB" w:eastAsia="de-DE"/>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lang w:val="en-GB" w:eastAsia="de-DE"/>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lang w:val="en-GB" w:eastAsia="de-DE"/>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lang w:val="en-GB" w:eastAsia="de-DE"/>
    </w:rPr>
  </w:style>
  <w:style w:type="paragraph" w:customStyle="1" w:styleId="Fait">
    <w:name w:val="Fait à"/>
    <w:basedOn w:val="Normal"/>
    <w:next w:val="Institutionquisigne"/>
    <w:pPr>
      <w:keepNext/>
      <w:spacing w:before="120" w:after="0" w:line="240" w:lineRule="auto"/>
      <w:jc w:val="both"/>
    </w:pPr>
    <w:rPr>
      <w:rFonts w:eastAsia="Times New Roman"/>
      <w:sz w:val="24"/>
      <w:szCs w:val="24"/>
      <w:lang w:val="en-GB" w:eastAsia="de-D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lang w:val="en-GB" w:eastAsia="de-DE"/>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lang w:val="en-GB" w:eastAsia="de-DE"/>
    </w:rPr>
  </w:style>
  <w:style w:type="paragraph" w:customStyle="1" w:styleId="Statut">
    <w:name w:val="Statut"/>
    <w:basedOn w:val="Normal"/>
    <w:next w:val="Typedudocument"/>
    <w:pPr>
      <w:spacing w:before="360" w:after="0" w:line="240" w:lineRule="auto"/>
      <w:jc w:val="center"/>
    </w:pPr>
    <w:rPr>
      <w:rFonts w:eastAsia="Times New Roman"/>
      <w:sz w:val="24"/>
      <w:szCs w:val="24"/>
      <w:lang w:val="en-GB" w:eastAsia="de-DE"/>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lang w:val="en-GB" w:eastAsia="de-DE"/>
    </w:rPr>
  </w:style>
  <w:style w:type="paragraph" w:customStyle="1" w:styleId="Datedadoption">
    <w:name w:val="Date d'adoption"/>
    <w:basedOn w:val="Normal"/>
    <w:next w:val="Titreobjet"/>
    <w:pPr>
      <w:spacing w:before="360" w:after="0" w:line="240" w:lineRule="auto"/>
      <w:jc w:val="center"/>
    </w:pPr>
    <w:rPr>
      <w:rFonts w:eastAsia="Times New Roman"/>
      <w:b/>
      <w:sz w:val="24"/>
      <w:szCs w:val="24"/>
      <w:lang w:val="en-GB" w:eastAsia="de-DE"/>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lang w:val="en-GB" w:eastAsia="de-DE"/>
    </w:rPr>
  </w:style>
  <w:style w:type="paragraph" w:customStyle="1" w:styleId="Considrant">
    <w:name w:val="Considérant"/>
    <w:basedOn w:val="Normal"/>
    <w:pPr>
      <w:numPr>
        <w:numId w:val="15"/>
      </w:numPr>
      <w:spacing w:before="120" w:after="120" w:line="240" w:lineRule="auto"/>
      <w:jc w:val="both"/>
    </w:pPr>
    <w:rPr>
      <w:rFonts w:eastAsia="Times New Roman"/>
      <w:sz w:val="24"/>
      <w:szCs w:val="24"/>
      <w:lang w:val="en-GB" w:eastAsia="de-DE"/>
    </w:rPr>
  </w:style>
  <w:style w:type="paragraph" w:customStyle="1" w:styleId="Corrigendum">
    <w:name w:val="Corrigendum"/>
    <w:basedOn w:val="Normal"/>
    <w:next w:val="Normal"/>
    <w:pPr>
      <w:spacing w:after="240" w:line="240" w:lineRule="auto"/>
    </w:pPr>
    <w:rPr>
      <w:rFonts w:eastAsia="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eastAsia="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lang w:val="en-GB" w:eastAsia="de-DE"/>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eastAsia="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eastAsia="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lang w:val="en-GB" w:eastAsia="de-DE"/>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lang w:val="en-GB" w:eastAsia="de-DE"/>
    </w:rPr>
  </w:style>
  <w:style w:type="character" w:customStyle="1" w:styleId="CommentTextChar">
    <w:name w:val="Comment Text Char"/>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GB" w:eastAsia="de-DE"/>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lang w:val="en-GB" w:eastAsia="en-GB"/>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lang w:val="en-GB" w:eastAsia="en-GB"/>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lang w:val="en-GB" w:eastAsia="en-GB"/>
    </w:rPr>
  </w:style>
  <w:style w:type="paragraph" w:styleId="Revision">
    <w:name w:val="Revision"/>
    <w:hidden/>
    <w:uiPriority w:val="99"/>
    <w:semiHidden/>
    <w:rPr>
      <w:rFonts w:ascii="Times New Roman" w:hAnsi="Times New Roman"/>
      <w:sz w:val="23"/>
      <w:szCs w:val="22"/>
      <w:lang w:val="fr-BE" w:eastAsia="en-US"/>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Times New Roman" w:hAnsi="Times New Roman"/>
      <w:sz w:val="23"/>
      <w:szCs w:val="22"/>
      <w:lang w:val="fr-BE" w:eastAsia="en-US"/>
    </w:rPr>
  </w:style>
  <w:style w:type="paragraph" w:styleId="Heading1">
    <w:name w:val="heading 1"/>
    <w:basedOn w:val="Normal"/>
    <w:next w:val="Text1"/>
    <w:link w:val="Heading1Char"/>
    <w:autoRedefine/>
    <w:uiPriority w:val="99"/>
    <w:qFormat/>
    <w:pPr>
      <w:keepNext/>
      <w:numPr>
        <w:numId w:val="14"/>
      </w:numPr>
      <w:spacing w:before="360" w:after="240" w:line="240" w:lineRule="auto"/>
      <w:jc w:val="both"/>
      <w:outlineLvl w:val="0"/>
    </w:pPr>
    <w:rPr>
      <w:rFonts w:eastAsia="Times New Roman"/>
      <w:b/>
      <w:bCs/>
      <w:smallCaps/>
      <w:sz w:val="24"/>
      <w:szCs w:val="32"/>
      <w:lang w:val="en-GB" w:eastAsia="de-DE"/>
    </w:rPr>
  </w:style>
  <w:style w:type="paragraph" w:styleId="Heading2">
    <w:name w:val="heading 2"/>
    <w:basedOn w:val="Normal"/>
    <w:next w:val="Text2"/>
    <w:link w:val="Heading2Char"/>
    <w:autoRedefine/>
    <w:uiPriority w:val="99"/>
    <w:qFormat/>
    <w:pPr>
      <w:keepNext/>
      <w:keepLines/>
      <w:numPr>
        <w:ilvl w:val="1"/>
        <w:numId w:val="14"/>
      </w:numPr>
      <w:spacing w:before="240" w:after="120" w:line="240" w:lineRule="auto"/>
      <w:jc w:val="both"/>
      <w:outlineLvl w:val="1"/>
    </w:pPr>
    <w:rPr>
      <w:rFonts w:eastAsia="Times New Roman"/>
      <w:b/>
      <w:bCs/>
      <w:iCs/>
      <w:sz w:val="24"/>
      <w:szCs w:val="28"/>
      <w:lang w:val="en-GB" w:eastAsia="de-DE"/>
    </w:rPr>
  </w:style>
  <w:style w:type="paragraph" w:styleId="Heading3">
    <w:name w:val="heading 3"/>
    <w:basedOn w:val="Normal"/>
    <w:next w:val="Text3"/>
    <w:link w:val="Heading3Char"/>
    <w:uiPriority w:val="99"/>
    <w:qFormat/>
    <w:pPr>
      <w:keepNext/>
      <w:numPr>
        <w:ilvl w:val="2"/>
        <w:numId w:val="14"/>
      </w:numPr>
      <w:spacing w:before="120" w:after="120" w:line="240" w:lineRule="auto"/>
      <w:jc w:val="both"/>
      <w:outlineLvl w:val="2"/>
    </w:pPr>
    <w:rPr>
      <w:rFonts w:eastAsia="Times New Roman"/>
      <w:bCs/>
      <w:i/>
      <w:sz w:val="24"/>
      <w:szCs w:val="26"/>
      <w:lang w:val="en-GB" w:eastAsia="de-DE"/>
    </w:rPr>
  </w:style>
  <w:style w:type="paragraph" w:styleId="Heading4">
    <w:name w:val="heading 4"/>
    <w:basedOn w:val="Normal"/>
    <w:next w:val="Text4"/>
    <w:link w:val="Heading4Char"/>
    <w:uiPriority w:val="99"/>
    <w:qFormat/>
    <w:pPr>
      <w:keepNext/>
      <w:numPr>
        <w:ilvl w:val="3"/>
        <w:numId w:val="14"/>
      </w:numPr>
      <w:spacing w:before="120" w:after="120" w:line="240" w:lineRule="auto"/>
      <w:jc w:val="both"/>
      <w:outlineLvl w:val="3"/>
    </w:pPr>
    <w:rPr>
      <w:rFonts w:eastAsia="Times New Roman"/>
      <w:bCs/>
      <w:sz w:val="24"/>
      <w:szCs w:val="28"/>
      <w:lang w:val="en-GB"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eastAsia="Times New Roman"/>
      <w:sz w:val="24"/>
      <w:szCs w:val="24"/>
      <w:lang w:val="en-GB"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eastAsia="Times New Roman"/>
      <w:sz w:val="24"/>
      <w:szCs w:val="24"/>
      <w:lang w:val="en-GB"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eastAsia="Times New Roman"/>
      <w:sz w:val="24"/>
      <w:szCs w:val="24"/>
      <w:lang w:val="en-GB"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eastAsia="Times New Roman"/>
      <w:sz w:val="24"/>
      <w:szCs w:val="24"/>
      <w:lang w:val="en-GB"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eastAsia="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spacing w:before="120" w:after="120" w:line="240" w:lineRule="auto"/>
      <w:ind w:left="850"/>
      <w:jc w:val="both"/>
    </w:pPr>
    <w:rPr>
      <w:rFonts w:eastAsia="Times New Roman"/>
      <w:sz w:val="24"/>
      <w:szCs w:val="24"/>
      <w:lang w:val="en-GB" w:eastAsia="de-DE"/>
    </w:rPr>
  </w:style>
  <w:style w:type="character" w:customStyle="1" w:styleId="Heading1Char">
    <w:name w:val="Heading 1 Char"/>
    <w:link w:val="Heading1"/>
    <w:uiPriority w:val="99"/>
    <w:rPr>
      <w:rFonts w:ascii="Times New Roman" w:eastAsia="Times New Roman" w:hAnsi="Times New Roman"/>
      <w:b/>
      <w:bCs/>
      <w:smallCaps/>
      <w:sz w:val="24"/>
      <w:szCs w:val="32"/>
      <w:lang w:eastAsia="de-DE"/>
    </w:rPr>
  </w:style>
  <w:style w:type="paragraph" w:customStyle="1" w:styleId="Text2">
    <w:name w:val="Text 2"/>
    <w:basedOn w:val="Normal"/>
    <w:pPr>
      <w:spacing w:before="120" w:after="120" w:line="240" w:lineRule="auto"/>
      <w:ind w:left="850"/>
      <w:jc w:val="both"/>
    </w:pPr>
    <w:rPr>
      <w:rFonts w:eastAsia="Times New Roman"/>
      <w:sz w:val="24"/>
      <w:szCs w:val="24"/>
      <w:lang w:val="en-GB" w:eastAsia="de-DE"/>
    </w:rPr>
  </w:style>
  <w:style w:type="character" w:customStyle="1" w:styleId="Heading2Char">
    <w:name w:val="Heading 2 Char"/>
    <w:link w:val="Heading2"/>
    <w:uiPriority w:val="99"/>
    <w:rPr>
      <w:rFonts w:ascii="Times New Roman" w:eastAsia="Times New Roman" w:hAnsi="Times New Roman"/>
      <w:b/>
      <w:bCs/>
      <w:iCs/>
      <w:sz w:val="24"/>
      <w:szCs w:val="28"/>
      <w:lang w:eastAsia="de-DE"/>
    </w:rPr>
  </w:style>
  <w:style w:type="paragraph" w:customStyle="1" w:styleId="Text3">
    <w:name w:val="Text 3"/>
    <w:basedOn w:val="Normal"/>
    <w:pPr>
      <w:spacing w:before="120" w:after="120" w:line="240" w:lineRule="auto"/>
      <w:ind w:left="850"/>
      <w:jc w:val="both"/>
    </w:pPr>
    <w:rPr>
      <w:rFonts w:eastAsia="Times New Roman"/>
      <w:sz w:val="24"/>
      <w:szCs w:val="24"/>
      <w:lang w:val="en-GB" w:eastAsia="de-DE"/>
    </w:rPr>
  </w:style>
  <w:style w:type="character" w:customStyle="1" w:styleId="Heading3Char">
    <w:name w:val="Heading 3 Char"/>
    <w:link w:val="Heading3"/>
    <w:uiPriority w:val="99"/>
    <w:rPr>
      <w:rFonts w:ascii="Times New Roman" w:eastAsia="Times New Roman" w:hAnsi="Times New Roman"/>
      <w:bCs/>
      <w:i/>
      <w:sz w:val="24"/>
      <w:szCs w:val="26"/>
      <w:lang w:eastAsia="de-DE"/>
    </w:rPr>
  </w:style>
  <w:style w:type="paragraph" w:customStyle="1" w:styleId="Text4">
    <w:name w:val="Text 4"/>
    <w:basedOn w:val="Normal"/>
    <w:pPr>
      <w:spacing w:before="120" w:after="120" w:line="240" w:lineRule="auto"/>
      <w:ind w:left="850"/>
      <w:jc w:val="both"/>
    </w:pPr>
    <w:rPr>
      <w:rFonts w:eastAsia="Times New Roman"/>
      <w:sz w:val="24"/>
      <w:szCs w:val="24"/>
      <w:lang w:val="en-GB" w:eastAsia="de-DE"/>
    </w:rPr>
  </w:style>
  <w:style w:type="character" w:customStyle="1" w:styleId="Heading4Char">
    <w:name w:val="Heading 4 Char"/>
    <w:link w:val="Heading4"/>
    <w:uiPriority w:val="99"/>
    <w:rPr>
      <w:rFonts w:ascii="Times New Roman" w:eastAsia="Times New Roman" w:hAnsi="Times New Roman"/>
      <w:bCs/>
      <w:sz w:val="24"/>
      <w:szCs w:val="28"/>
      <w:lang w:eastAsia="de-DE"/>
    </w:rPr>
  </w:style>
  <w:style w:type="character" w:customStyle="1" w:styleId="Heading5Char">
    <w:name w:val="Heading 5 Char"/>
    <w:link w:val="Heading5"/>
    <w:uiPriority w:val="99"/>
    <w:rPr>
      <w:rFonts w:ascii="Times New Roman" w:eastAsia="Times New Roman" w:hAnsi="Times New Roman" w:cs="Times New Roman"/>
      <w:sz w:val="24"/>
      <w:szCs w:val="24"/>
      <w:lang w:val="en-GB" w:eastAsia="en-GB"/>
    </w:rPr>
  </w:style>
  <w:style w:type="character" w:customStyle="1" w:styleId="Heading6Char">
    <w:name w:val="Heading 6 Char"/>
    <w:link w:val="Heading6"/>
    <w:uiPriority w:val="99"/>
    <w:rPr>
      <w:rFonts w:ascii="Times New Roman" w:eastAsia="Times New Roman" w:hAnsi="Times New Roman" w:cs="Times New Roman"/>
      <w:sz w:val="24"/>
      <w:szCs w:val="24"/>
      <w:lang w:val="en-GB" w:eastAsia="en-GB"/>
    </w:rPr>
  </w:style>
  <w:style w:type="character" w:customStyle="1" w:styleId="Heading7Char">
    <w:name w:val="Heading 7 Char"/>
    <w:link w:val="Heading7"/>
    <w:uiPriority w:val="99"/>
    <w:rPr>
      <w:rFonts w:ascii="Times New Roman" w:eastAsia="Times New Roman" w:hAnsi="Times New Roman" w:cs="Times New Roman"/>
      <w:sz w:val="24"/>
      <w:szCs w:val="24"/>
      <w:lang w:val="en-GB" w:eastAsia="en-GB"/>
    </w:rPr>
  </w:style>
  <w:style w:type="character" w:customStyle="1" w:styleId="Heading8Char">
    <w:name w:val="Heading 8 Char"/>
    <w:link w:val="Heading8"/>
    <w:uiPriority w:val="99"/>
    <w:rPr>
      <w:rFonts w:ascii="Times New Roman" w:eastAsia="Times New Roman" w:hAnsi="Times New Roman" w:cs="Times New Roman"/>
      <w:sz w:val="24"/>
      <w:szCs w:val="24"/>
      <w:lang w:val="en-GB" w:eastAsia="en-GB"/>
    </w:rPr>
  </w:style>
  <w:style w:type="character" w:customStyle="1" w:styleId="Heading9Char">
    <w:name w:val="Heading 9 Char"/>
    <w:link w:val="Heading9"/>
    <w:uiPriority w:val="99"/>
    <w:rPr>
      <w:rFonts w:ascii="Times New Roman" w:eastAsia="Times New Roman" w:hAnsi="Times New Roman" w:cs="Times New Roman"/>
      <w:sz w:val="24"/>
      <w:szCs w:val="24"/>
      <w:lang w:val="en-GB"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link w:val="FooterCoverPage"/>
    <w:rPr>
      <w:rFonts w:ascii="Times New Roman" w:hAnsi="Times New Roman"/>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link w:val="HeaderCoverPage"/>
    <w:rPr>
      <w:rFonts w:ascii="Times New Roman" w:hAnsi="Times New Roman"/>
      <w:sz w:val="24"/>
      <w:szCs w:val="22"/>
      <w:lang w:val="fr-BE"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
    <w:basedOn w:val="Normal"/>
    <w:link w:val="FootnoteTextChar"/>
    <w:uiPriority w:val="99"/>
    <w:qFormat/>
    <w:pPr>
      <w:spacing w:after="0" w:line="240" w:lineRule="auto"/>
      <w:ind w:left="720" w:hanging="720"/>
      <w:jc w:val="both"/>
    </w:pPr>
    <w:rPr>
      <w:rFonts w:eastAsia="Times New Roman"/>
      <w:sz w:val="20"/>
      <w:szCs w:val="20"/>
      <w:lang w:val="en-GB" w:eastAsia="de-D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
    <w:link w:val="FootnoteText"/>
    <w:uiPriority w:val="99"/>
    <w:rPr>
      <w:rFonts w:ascii="Times New Roman" w:eastAsia="Times New Roman" w:hAnsi="Times New Roman" w:cs="Times New Roman"/>
      <w:sz w:val="20"/>
      <w:szCs w:val="20"/>
      <w:lang w:val="en-GB" w:eastAsia="de-DE"/>
    </w:rPr>
  </w:style>
  <w:style w:type="paragraph" w:styleId="ListBullet">
    <w:name w:val="List Bullet"/>
    <w:basedOn w:val="Normal"/>
    <w:pPr>
      <w:numPr>
        <w:numId w:val="23"/>
      </w:numPr>
      <w:spacing w:before="120" w:after="120" w:line="240" w:lineRule="auto"/>
      <w:jc w:val="both"/>
    </w:pPr>
    <w:rPr>
      <w:rFonts w:eastAsia="Times New Roman"/>
      <w:sz w:val="24"/>
      <w:szCs w:val="24"/>
      <w:lang w:val="en-GB" w:eastAsia="de-DE"/>
    </w:rPr>
  </w:style>
  <w:style w:type="paragraph" w:styleId="ListBullet2">
    <w:name w:val="List Bullet 2"/>
    <w:basedOn w:val="Normal"/>
    <w:pPr>
      <w:numPr>
        <w:numId w:val="22"/>
      </w:numPr>
      <w:spacing w:before="120" w:after="120" w:line="240" w:lineRule="auto"/>
      <w:jc w:val="both"/>
    </w:pPr>
    <w:rPr>
      <w:rFonts w:eastAsia="Times New Roman"/>
      <w:sz w:val="24"/>
      <w:szCs w:val="24"/>
      <w:lang w:val="en-GB" w:eastAsia="de-DE"/>
    </w:rPr>
  </w:style>
  <w:style w:type="paragraph" w:styleId="ListBullet3">
    <w:name w:val="List Bullet 3"/>
    <w:basedOn w:val="Normal"/>
    <w:pPr>
      <w:numPr>
        <w:numId w:val="21"/>
      </w:numPr>
      <w:spacing w:before="120" w:after="120" w:line="240" w:lineRule="auto"/>
      <w:jc w:val="both"/>
    </w:pPr>
    <w:rPr>
      <w:rFonts w:eastAsia="Times New Roman"/>
      <w:sz w:val="24"/>
      <w:szCs w:val="24"/>
      <w:lang w:val="en-GB" w:eastAsia="de-DE"/>
    </w:rPr>
  </w:style>
  <w:style w:type="paragraph" w:styleId="ListBullet4">
    <w:name w:val="List Bullet 4"/>
    <w:basedOn w:val="Normal"/>
    <w:pPr>
      <w:numPr>
        <w:numId w:val="20"/>
      </w:numPr>
      <w:spacing w:before="120" w:after="120" w:line="240" w:lineRule="auto"/>
      <w:jc w:val="both"/>
    </w:pPr>
    <w:rPr>
      <w:rFonts w:eastAsia="Times New Roman"/>
      <w:sz w:val="24"/>
      <w:szCs w:val="24"/>
      <w:lang w:val="en-GB" w:eastAsia="de-DE"/>
    </w:rPr>
  </w:style>
  <w:style w:type="paragraph" w:styleId="ListNumber">
    <w:name w:val="List Number"/>
    <w:basedOn w:val="Normal"/>
    <w:pPr>
      <w:numPr>
        <w:numId w:val="19"/>
      </w:numPr>
      <w:spacing w:before="120" w:after="120" w:line="240" w:lineRule="auto"/>
      <w:jc w:val="both"/>
    </w:pPr>
    <w:rPr>
      <w:rFonts w:eastAsia="Times New Roman"/>
      <w:sz w:val="24"/>
      <w:szCs w:val="24"/>
      <w:lang w:val="en-GB" w:eastAsia="de-DE"/>
    </w:rPr>
  </w:style>
  <w:style w:type="paragraph" w:styleId="ListNumber2">
    <w:name w:val="List Number 2"/>
    <w:basedOn w:val="Normal"/>
    <w:pPr>
      <w:numPr>
        <w:numId w:val="18"/>
      </w:numPr>
      <w:spacing w:before="120" w:after="120" w:line="240" w:lineRule="auto"/>
      <w:jc w:val="both"/>
    </w:pPr>
    <w:rPr>
      <w:rFonts w:eastAsia="Times New Roman"/>
      <w:sz w:val="24"/>
      <w:szCs w:val="24"/>
      <w:lang w:val="en-GB" w:eastAsia="de-DE"/>
    </w:rPr>
  </w:style>
  <w:style w:type="paragraph" w:styleId="ListNumber3">
    <w:name w:val="List Number 3"/>
    <w:basedOn w:val="Normal"/>
    <w:pPr>
      <w:numPr>
        <w:numId w:val="17"/>
      </w:numPr>
      <w:spacing w:before="120" w:after="120" w:line="240" w:lineRule="auto"/>
      <w:jc w:val="both"/>
    </w:pPr>
    <w:rPr>
      <w:rFonts w:eastAsia="Times New Roman"/>
      <w:sz w:val="24"/>
      <w:szCs w:val="24"/>
      <w:lang w:val="en-GB" w:eastAsia="de-DE"/>
    </w:rPr>
  </w:style>
  <w:style w:type="paragraph" w:styleId="ListNumber4">
    <w:name w:val="List Number 4"/>
    <w:basedOn w:val="Normal"/>
    <w:pPr>
      <w:numPr>
        <w:numId w:val="16"/>
      </w:numPr>
      <w:spacing w:before="120" w:after="120" w:line="240" w:lineRule="auto"/>
      <w:jc w:val="both"/>
    </w:pPr>
    <w:rPr>
      <w:rFonts w:eastAsia="Times New Roman"/>
      <w:sz w:val="24"/>
      <w:szCs w:val="24"/>
      <w:lang w:val="en-GB" w:eastAsia="de-DE"/>
    </w:rPr>
  </w:style>
  <w:style w:type="paragraph" w:styleId="TOC1">
    <w:name w:val="toc 1"/>
    <w:basedOn w:val="Normal"/>
    <w:next w:val="Normal"/>
    <w:uiPriority w:val="39"/>
    <w:pPr>
      <w:spacing w:before="120" w:after="120" w:line="240" w:lineRule="auto"/>
    </w:pPr>
    <w:rPr>
      <w:rFonts w:ascii="Calibri" w:eastAsia="Times New Roman" w:hAnsi="Calibri" w:cs="Calibri"/>
      <w:b/>
      <w:bCs/>
      <w:caps/>
      <w:sz w:val="20"/>
      <w:szCs w:val="20"/>
      <w:lang w:val="en-GB" w:eastAsia="de-DE"/>
    </w:rPr>
  </w:style>
  <w:style w:type="paragraph" w:styleId="TOC2">
    <w:name w:val="toc 2"/>
    <w:basedOn w:val="Normal"/>
    <w:next w:val="Normal"/>
    <w:uiPriority w:val="39"/>
    <w:pPr>
      <w:spacing w:after="0" w:line="240" w:lineRule="auto"/>
      <w:ind w:left="240"/>
    </w:pPr>
    <w:rPr>
      <w:rFonts w:ascii="Calibri" w:eastAsia="Times New Roman" w:hAnsi="Calibri" w:cs="Calibri"/>
      <w:smallCaps/>
      <w:sz w:val="20"/>
      <w:szCs w:val="20"/>
      <w:lang w:val="en-GB" w:eastAsia="de-DE"/>
    </w:rPr>
  </w:style>
  <w:style w:type="paragraph" w:styleId="TOC3">
    <w:name w:val="toc 3"/>
    <w:basedOn w:val="Normal"/>
    <w:next w:val="Normal"/>
    <w:uiPriority w:val="39"/>
    <w:pPr>
      <w:spacing w:after="0" w:line="240" w:lineRule="auto"/>
      <w:ind w:left="480"/>
    </w:pPr>
    <w:rPr>
      <w:rFonts w:ascii="Calibri" w:eastAsia="Times New Roman" w:hAnsi="Calibri" w:cs="Calibri"/>
      <w:i/>
      <w:iCs/>
      <w:sz w:val="20"/>
      <w:szCs w:val="20"/>
      <w:lang w:val="en-GB" w:eastAsia="de-DE"/>
    </w:rPr>
  </w:style>
  <w:style w:type="paragraph" w:styleId="TOC4">
    <w:name w:val="toc 4"/>
    <w:basedOn w:val="Normal"/>
    <w:next w:val="Normal"/>
    <w:uiPriority w:val="99"/>
    <w:semiHidden/>
    <w:pPr>
      <w:spacing w:after="0" w:line="240" w:lineRule="auto"/>
      <w:ind w:left="720"/>
    </w:pPr>
    <w:rPr>
      <w:rFonts w:ascii="Calibri" w:eastAsia="Times New Roman" w:hAnsi="Calibri" w:cs="Calibri"/>
      <w:sz w:val="18"/>
      <w:szCs w:val="18"/>
      <w:lang w:val="en-GB" w:eastAsia="de-DE"/>
    </w:rPr>
  </w:style>
  <w:style w:type="paragraph" w:styleId="TOC5">
    <w:name w:val="toc 5"/>
    <w:basedOn w:val="Normal"/>
    <w:next w:val="Normal"/>
    <w:semiHidden/>
    <w:pPr>
      <w:spacing w:after="0" w:line="240" w:lineRule="auto"/>
      <w:ind w:left="960"/>
    </w:pPr>
    <w:rPr>
      <w:rFonts w:ascii="Calibri" w:eastAsia="Times New Roman" w:hAnsi="Calibri" w:cs="Calibri"/>
      <w:sz w:val="18"/>
      <w:szCs w:val="18"/>
      <w:lang w:val="en-GB" w:eastAsia="de-DE"/>
    </w:rPr>
  </w:style>
  <w:style w:type="paragraph" w:styleId="TOC6">
    <w:name w:val="toc 6"/>
    <w:basedOn w:val="Normal"/>
    <w:next w:val="Normal"/>
    <w:semiHidden/>
    <w:pPr>
      <w:spacing w:after="0" w:line="240" w:lineRule="auto"/>
      <w:ind w:left="1200"/>
    </w:pPr>
    <w:rPr>
      <w:rFonts w:ascii="Calibri" w:eastAsia="Times New Roman" w:hAnsi="Calibri" w:cs="Calibri"/>
      <w:sz w:val="18"/>
      <w:szCs w:val="18"/>
      <w:lang w:val="en-GB" w:eastAsia="de-DE"/>
    </w:rPr>
  </w:style>
  <w:style w:type="paragraph" w:styleId="TOC7">
    <w:name w:val="toc 7"/>
    <w:basedOn w:val="Normal"/>
    <w:next w:val="Normal"/>
    <w:semiHidden/>
    <w:pPr>
      <w:spacing w:after="0" w:line="240" w:lineRule="auto"/>
      <w:ind w:left="1440"/>
    </w:pPr>
    <w:rPr>
      <w:rFonts w:ascii="Calibri" w:eastAsia="Times New Roman" w:hAnsi="Calibri" w:cs="Calibri"/>
      <w:sz w:val="18"/>
      <w:szCs w:val="18"/>
      <w:lang w:val="en-GB" w:eastAsia="de-DE"/>
    </w:rPr>
  </w:style>
  <w:style w:type="paragraph" w:styleId="TOC8">
    <w:name w:val="toc 8"/>
    <w:basedOn w:val="Normal"/>
    <w:next w:val="Normal"/>
    <w:semiHidden/>
    <w:pPr>
      <w:numPr>
        <w:numId w:val="24"/>
      </w:numPr>
      <w:tabs>
        <w:tab w:val="clear" w:pos="850"/>
      </w:tabs>
      <w:spacing w:after="0" w:line="240" w:lineRule="auto"/>
      <w:ind w:left="1680" w:firstLine="0"/>
    </w:pPr>
    <w:rPr>
      <w:rFonts w:ascii="Calibri" w:eastAsia="Times New Roman" w:hAnsi="Calibri" w:cs="Calibri"/>
      <w:sz w:val="18"/>
      <w:szCs w:val="18"/>
      <w:lang w:val="en-GB" w:eastAsia="de-DE"/>
    </w:rPr>
  </w:style>
  <w:style w:type="paragraph" w:styleId="TOC9">
    <w:name w:val="toc 9"/>
    <w:basedOn w:val="Normal"/>
    <w:next w:val="Normal"/>
    <w:semiHidden/>
    <w:pPr>
      <w:spacing w:after="0" w:line="240" w:lineRule="auto"/>
      <w:ind w:left="1920"/>
    </w:pPr>
    <w:rPr>
      <w:rFonts w:ascii="Calibri" w:eastAsia="Times New Roman" w:hAnsi="Calibri" w:cs="Calibri"/>
      <w:sz w:val="18"/>
      <w:szCs w:val="18"/>
      <w:lang w:val="en-GB" w:eastAsia="de-DE"/>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sz w:val="24"/>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rFonts w:cs="Times New Roman"/>
      <w:vertAlign w:val="superscript"/>
    </w:rPr>
  </w:style>
  <w:style w:type="paragraph" w:customStyle="1" w:styleId="NormalCentered">
    <w:name w:val="Normal Centered"/>
    <w:basedOn w:val="Normal"/>
    <w:uiPriority w:val="99"/>
    <w:pPr>
      <w:spacing w:before="120" w:after="120" w:line="240" w:lineRule="auto"/>
      <w:jc w:val="center"/>
    </w:pPr>
    <w:rPr>
      <w:rFonts w:eastAsia="Times New Roman"/>
      <w:sz w:val="24"/>
      <w:szCs w:val="24"/>
      <w:lang w:val="en-GB" w:eastAsia="de-DE"/>
    </w:rPr>
  </w:style>
  <w:style w:type="paragraph" w:customStyle="1" w:styleId="NormalLeft">
    <w:name w:val="Normal Left"/>
    <w:basedOn w:val="Normal"/>
    <w:uiPriority w:val="99"/>
    <w:pPr>
      <w:spacing w:before="120" w:after="120" w:line="240" w:lineRule="auto"/>
    </w:pPr>
    <w:rPr>
      <w:rFonts w:eastAsia="Times New Roman"/>
      <w:sz w:val="24"/>
      <w:szCs w:val="24"/>
      <w:lang w:val="en-GB" w:eastAsia="de-DE"/>
    </w:rPr>
  </w:style>
  <w:style w:type="paragraph" w:customStyle="1" w:styleId="NormalRight">
    <w:name w:val="Normal Right"/>
    <w:basedOn w:val="Normal"/>
    <w:uiPriority w:val="99"/>
    <w:pPr>
      <w:spacing w:before="120" w:after="120" w:line="240" w:lineRule="auto"/>
      <w:jc w:val="right"/>
    </w:pPr>
    <w:rPr>
      <w:rFonts w:eastAsia="Times New Roman"/>
      <w:sz w:val="24"/>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sz w:val="24"/>
      <w:szCs w:val="24"/>
      <w:lang w:val="en-GB" w:eastAsia="de-DE"/>
    </w:rPr>
  </w:style>
  <w:style w:type="paragraph" w:customStyle="1" w:styleId="Point0">
    <w:name w:val="Point 0"/>
    <w:basedOn w:val="Normal"/>
    <w:uiPriority w:val="99"/>
    <w:pPr>
      <w:spacing w:before="120" w:after="120" w:line="240" w:lineRule="auto"/>
      <w:ind w:left="850" w:hanging="850"/>
      <w:jc w:val="both"/>
    </w:pPr>
    <w:rPr>
      <w:rFonts w:eastAsia="Times New Roman"/>
      <w:sz w:val="24"/>
      <w:szCs w:val="24"/>
      <w:lang w:val="en-GB" w:eastAsia="de-DE"/>
    </w:rPr>
  </w:style>
  <w:style w:type="paragraph" w:customStyle="1" w:styleId="Point1">
    <w:name w:val="Point 1"/>
    <w:basedOn w:val="Normal"/>
    <w:uiPriority w:val="99"/>
    <w:pPr>
      <w:spacing w:before="120" w:after="120" w:line="240" w:lineRule="auto"/>
      <w:ind w:left="1417" w:hanging="567"/>
      <w:jc w:val="both"/>
    </w:pPr>
    <w:rPr>
      <w:rFonts w:eastAsia="Times New Roman"/>
      <w:sz w:val="24"/>
      <w:szCs w:val="24"/>
      <w:lang w:val="en-GB" w:eastAsia="de-DE"/>
    </w:rPr>
  </w:style>
  <w:style w:type="paragraph" w:customStyle="1" w:styleId="Point2">
    <w:name w:val="Point 2"/>
    <w:basedOn w:val="Normal"/>
    <w:uiPriority w:val="99"/>
    <w:pPr>
      <w:spacing w:before="120" w:after="120" w:line="240" w:lineRule="auto"/>
      <w:ind w:left="1984" w:hanging="567"/>
      <w:jc w:val="both"/>
    </w:pPr>
    <w:rPr>
      <w:rFonts w:eastAsia="Times New Roman"/>
      <w:sz w:val="24"/>
      <w:szCs w:val="24"/>
      <w:lang w:val="en-GB" w:eastAsia="de-DE"/>
    </w:rPr>
  </w:style>
  <w:style w:type="paragraph" w:customStyle="1" w:styleId="Point3">
    <w:name w:val="Point 3"/>
    <w:basedOn w:val="Normal"/>
    <w:uiPriority w:val="99"/>
    <w:pPr>
      <w:spacing w:before="120" w:after="120" w:line="240" w:lineRule="auto"/>
      <w:ind w:left="2551" w:hanging="567"/>
      <w:jc w:val="both"/>
    </w:pPr>
    <w:rPr>
      <w:rFonts w:eastAsia="Times New Roman"/>
      <w:sz w:val="24"/>
      <w:szCs w:val="24"/>
      <w:lang w:val="en-GB" w:eastAsia="de-DE"/>
    </w:rPr>
  </w:style>
  <w:style w:type="paragraph" w:customStyle="1" w:styleId="Point4">
    <w:name w:val="Point 4"/>
    <w:basedOn w:val="Normal"/>
    <w:uiPriority w:val="99"/>
    <w:pPr>
      <w:spacing w:before="120" w:after="120" w:line="240" w:lineRule="auto"/>
      <w:ind w:left="3118" w:hanging="567"/>
      <w:jc w:val="both"/>
    </w:pPr>
    <w:rPr>
      <w:rFonts w:eastAsia="Times New Roman"/>
      <w:sz w:val="24"/>
      <w:szCs w:val="24"/>
      <w:lang w:val="en-GB" w:eastAsia="de-DE"/>
    </w:rPr>
  </w:style>
  <w:style w:type="paragraph" w:customStyle="1" w:styleId="Tiret0">
    <w:name w:val="Tiret 0"/>
    <w:basedOn w:val="Point0"/>
    <w:pPr>
      <w:numPr>
        <w:numId w:val="1"/>
      </w:numPr>
    </w:pPr>
  </w:style>
  <w:style w:type="paragraph" w:customStyle="1" w:styleId="Tiret1">
    <w:name w:val="Tiret 1"/>
    <w:basedOn w:val="Point1"/>
    <w:uiPriority w:val="99"/>
    <w:pPr>
      <w:numPr>
        <w:numId w:val="2"/>
      </w:numPr>
    </w:pPr>
  </w:style>
  <w:style w:type="paragraph" w:customStyle="1" w:styleId="Tiret2">
    <w:name w:val="Tiret 2"/>
    <w:basedOn w:val="Point2"/>
    <w:uiPriority w:val="99"/>
    <w:pPr>
      <w:numPr>
        <w:numId w:val="3"/>
      </w:numPr>
    </w:pPr>
  </w:style>
  <w:style w:type="paragraph" w:customStyle="1" w:styleId="Tiret3">
    <w:name w:val="Tiret 3"/>
    <w:basedOn w:val="Point3"/>
    <w:uiPriority w:val="99"/>
    <w:pPr>
      <w:numPr>
        <w:numId w:val="4"/>
      </w:numPr>
    </w:pPr>
  </w:style>
  <w:style w:type="paragraph" w:customStyle="1" w:styleId="Tiret4">
    <w:name w:val="Tiret 4"/>
    <w:basedOn w:val="Point4"/>
    <w:uiPriority w:val="99"/>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sz w:val="24"/>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sz w:val="24"/>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sz w:val="24"/>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sz w:val="24"/>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sz w:val="24"/>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sz w:val="24"/>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sz w:val="24"/>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sz w:val="24"/>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sz w:val="24"/>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sz w:val="24"/>
      <w:szCs w:val="24"/>
      <w:lang w:val="en-GB" w:eastAsia="de-DE"/>
    </w:rPr>
  </w:style>
  <w:style w:type="paragraph" w:customStyle="1" w:styleId="NumPar1">
    <w:name w:val="NumPar 1"/>
    <w:basedOn w:val="Normal"/>
    <w:next w:val="Text1"/>
    <w:pPr>
      <w:numPr>
        <w:numId w:val="6"/>
      </w:numPr>
      <w:spacing w:before="120" w:after="120" w:line="240" w:lineRule="auto"/>
      <w:jc w:val="both"/>
    </w:pPr>
    <w:rPr>
      <w:rFonts w:eastAsia="Times New Roman"/>
      <w:sz w:val="24"/>
      <w:szCs w:val="24"/>
      <w:lang w:val="en-GB"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eastAsia="Times New Roman"/>
      <w:sz w:val="24"/>
      <w:szCs w:val="24"/>
      <w:lang w:val="en-GB" w:eastAsia="de-DE"/>
    </w:rPr>
  </w:style>
  <w:style w:type="paragraph" w:customStyle="1" w:styleId="ManualNumPar1">
    <w:name w:val="Manual NumPar 1"/>
    <w:basedOn w:val="Normal"/>
    <w:next w:val="Text1"/>
    <w:pPr>
      <w:spacing w:before="120" w:after="120" w:line="240" w:lineRule="auto"/>
      <w:ind w:left="850" w:hanging="850"/>
      <w:jc w:val="both"/>
    </w:pPr>
    <w:rPr>
      <w:rFonts w:eastAsia="Times New Roman"/>
      <w:sz w:val="24"/>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sz w:val="24"/>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sz w:val="24"/>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sz w:val="24"/>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sz w:val="24"/>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b/>
      <w:smallCaps/>
      <w:sz w:val="24"/>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b/>
      <w:sz w:val="24"/>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i/>
      <w:sz w:val="24"/>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sz w:val="24"/>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b/>
      <w:sz w:val="36"/>
      <w:szCs w:val="24"/>
      <w:lang w:val="en-GB" w:eastAsia="de-DE"/>
    </w:rPr>
  </w:style>
  <w:style w:type="paragraph" w:customStyle="1" w:styleId="SectionTitle">
    <w:name w:val="SectionTitle"/>
    <w:basedOn w:val="Normal"/>
    <w:next w:val="Heading1"/>
    <w:uiPriority w:val="99"/>
    <w:pPr>
      <w:keepNext/>
      <w:spacing w:before="120" w:after="360" w:line="240" w:lineRule="auto"/>
      <w:jc w:val="center"/>
    </w:pPr>
    <w:rPr>
      <w:rFonts w:eastAsia="Times New Roman"/>
      <w:b/>
      <w:smallCaps/>
      <w:sz w:val="28"/>
      <w:szCs w:val="24"/>
      <w:lang w:val="en-GB" w:eastAsia="de-DE"/>
    </w:rPr>
  </w:style>
  <w:style w:type="paragraph" w:customStyle="1" w:styleId="ListBullet1">
    <w:name w:val="List Bullet 1"/>
    <w:basedOn w:val="Normal"/>
    <w:pPr>
      <w:numPr>
        <w:numId w:val="7"/>
      </w:numPr>
      <w:spacing w:before="120" w:after="120" w:line="240" w:lineRule="auto"/>
      <w:jc w:val="both"/>
    </w:pPr>
    <w:rPr>
      <w:rFonts w:eastAsia="Times New Roman"/>
      <w:sz w:val="24"/>
      <w:szCs w:val="24"/>
      <w:lang w:val="en-GB" w:eastAsia="de-DE"/>
    </w:rPr>
  </w:style>
  <w:style w:type="paragraph" w:customStyle="1" w:styleId="ListDash">
    <w:name w:val="List Dash"/>
    <w:basedOn w:val="Normal"/>
    <w:pPr>
      <w:numPr>
        <w:numId w:val="8"/>
      </w:numPr>
      <w:spacing w:before="120" w:after="120" w:line="240" w:lineRule="auto"/>
      <w:jc w:val="both"/>
    </w:pPr>
    <w:rPr>
      <w:rFonts w:eastAsia="Times New Roman"/>
      <w:sz w:val="24"/>
      <w:szCs w:val="24"/>
      <w:lang w:val="en-GB" w:eastAsia="de-DE"/>
    </w:rPr>
  </w:style>
  <w:style w:type="paragraph" w:customStyle="1" w:styleId="ListDash1">
    <w:name w:val="List Dash 1"/>
    <w:basedOn w:val="Normal"/>
    <w:pPr>
      <w:numPr>
        <w:numId w:val="9"/>
      </w:numPr>
      <w:spacing w:before="120" w:after="120" w:line="240" w:lineRule="auto"/>
      <w:jc w:val="both"/>
    </w:pPr>
    <w:rPr>
      <w:rFonts w:eastAsia="Times New Roman"/>
      <w:sz w:val="24"/>
      <w:szCs w:val="24"/>
      <w:lang w:val="en-GB" w:eastAsia="de-DE"/>
    </w:rPr>
  </w:style>
  <w:style w:type="paragraph" w:customStyle="1" w:styleId="ListDash2">
    <w:name w:val="List Dash 2"/>
    <w:basedOn w:val="Normal"/>
    <w:pPr>
      <w:numPr>
        <w:numId w:val="10"/>
      </w:numPr>
      <w:spacing w:before="120" w:after="120" w:line="240" w:lineRule="auto"/>
      <w:jc w:val="both"/>
    </w:pPr>
    <w:rPr>
      <w:rFonts w:eastAsia="Times New Roman"/>
      <w:sz w:val="24"/>
      <w:szCs w:val="24"/>
      <w:lang w:val="en-GB" w:eastAsia="de-DE"/>
    </w:rPr>
  </w:style>
  <w:style w:type="paragraph" w:customStyle="1" w:styleId="ListDash3">
    <w:name w:val="List Dash 3"/>
    <w:basedOn w:val="Normal"/>
    <w:pPr>
      <w:numPr>
        <w:numId w:val="11"/>
      </w:numPr>
      <w:spacing w:before="120" w:after="120" w:line="240" w:lineRule="auto"/>
      <w:jc w:val="both"/>
    </w:pPr>
    <w:rPr>
      <w:rFonts w:eastAsia="Times New Roman"/>
      <w:sz w:val="24"/>
      <w:szCs w:val="24"/>
      <w:lang w:val="en-GB" w:eastAsia="de-DE"/>
    </w:rPr>
  </w:style>
  <w:style w:type="paragraph" w:customStyle="1" w:styleId="ListDash4">
    <w:name w:val="List Dash 4"/>
    <w:basedOn w:val="Normal"/>
    <w:pPr>
      <w:numPr>
        <w:numId w:val="12"/>
      </w:numPr>
      <w:spacing w:before="120" w:after="120" w:line="240" w:lineRule="auto"/>
      <w:jc w:val="both"/>
    </w:pPr>
    <w:rPr>
      <w:rFonts w:eastAsia="Times New Roman"/>
      <w:sz w:val="24"/>
      <w:szCs w:val="24"/>
      <w:lang w:val="en-GB" w:eastAsia="de-DE"/>
    </w:rPr>
  </w:style>
  <w:style w:type="paragraph" w:customStyle="1" w:styleId="ListNumber1">
    <w:name w:val="List Number 1"/>
    <w:basedOn w:val="Text1"/>
    <w:pPr>
      <w:numPr>
        <w:numId w:val="13"/>
      </w:numPr>
    </w:pPr>
  </w:style>
  <w:style w:type="paragraph" w:customStyle="1" w:styleId="ListNumberLevel2">
    <w:name w:val="List Number (Level 2)"/>
    <w:basedOn w:val="Normal"/>
    <w:pPr>
      <w:numPr>
        <w:ilvl w:val="1"/>
        <w:numId w:val="19"/>
      </w:numPr>
      <w:spacing w:before="120" w:after="120" w:line="240" w:lineRule="auto"/>
      <w:jc w:val="both"/>
    </w:pPr>
    <w:rPr>
      <w:rFonts w:eastAsia="Times New Roman"/>
      <w:sz w:val="24"/>
      <w:szCs w:val="24"/>
      <w:lang w:val="en-GB" w:eastAsia="de-DE"/>
    </w:rPr>
  </w:style>
  <w:style w:type="paragraph" w:customStyle="1" w:styleId="ListNumber1Level2">
    <w:name w:val="List Number 1 (Level 2)"/>
    <w:basedOn w:val="Text1"/>
    <w:pPr>
      <w:numPr>
        <w:ilvl w:val="1"/>
        <w:numId w:val="13"/>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7"/>
      </w:numPr>
    </w:pPr>
  </w:style>
  <w:style w:type="paragraph" w:customStyle="1" w:styleId="ListNumber4Level2">
    <w:name w:val="List Number 4 (Level 2)"/>
    <w:basedOn w:val="Text4"/>
    <w:pPr>
      <w:numPr>
        <w:ilvl w:val="1"/>
        <w:numId w:val="16"/>
      </w:numPr>
    </w:pPr>
  </w:style>
  <w:style w:type="paragraph" w:customStyle="1" w:styleId="ListNumberLevel3">
    <w:name w:val="List Number (Level 3)"/>
    <w:basedOn w:val="Normal"/>
    <w:pPr>
      <w:numPr>
        <w:ilvl w:val="2"/>
        <w:numId w:val="19"/>
      </w:numPr>
      <w:spacing w:before="120" w:after="120" w:line="240" w:lineRule="auto"/>
      <w:jc w:val="both"/>
    </w:pPr>
    <w:rPr>
      <w:rFonts w:eastAsia="Times New Roman"/>
      <w:sz w:val="24"/>
      <w:szCs w:val="24"/>
      <w:lang w:val="en-GB" w:eastAsia="de-DE"/>
    </w:rPr>
  </w:style>
  <w:style w:type="paragraph" w:customStyle="1" w:styleId="ListNumber1Level3">
    <w:name w:val="List Number 1 (Level 3)"/>
    <w:basedOn w:val="Text1"/>
    <w:pPr>
      <w:numPr>
        <w:ilvl w:val="2"/>
        <w:numId w:val="13"/>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7"/>
      </w:numPr>
    </w:pPr>
  </w:style>
  <w:style w:type="paragraph" w:customStyle="1" w:styleId="ListNumber4Level3">
    <w:name w:val="List Number 4 (Level 3)"/>
    <w:basedOn w:val="Text4"/>
    <w:pPr>
      <w:numPr>
        <w:ilvl w:val="2"/>
        <w:numId w:val="16"/>
      </w:numPr>
    </w:pPr>
  </w:style>
  <w:style w:type="paragraph" w:customStyle="1" w:styleId="ListNumberLevel4">
    <w:name w:val="List Number (Level 4)"/>
    <w:basedOn w:val="Normal"/>
    <w:pPr>
      <w:numPr>
        <w:ilvl w:val="3"/>
        <w:numId w:val="19"/>
      </w:numPr>
      <w:spacing w:before="120" w:after="120" w:line="240" w:lineRule="auto"/>
      <w:jc w:val="both"/>
    </w:pPr>
    <w:rPr>
      <w:rFonts w:eastAsia="Times New Roman"/>
      <w:sz w:val="24"/>
      <w:szCs w:val="24"/>
      <w:lang w:val="en-GB" w:eastAsia="de-DE"/>
    </w:rPr>
  </w:style>
  <w:style w:type="paragraph" w:customStyle="1" w:styleId="ListNumber1Level4">
    <w:name w:val="List Number 1 (Level 4)"/>
    <w:basedOn w:val="Text1"/>
    <w:pPr>
      <w:numPr>
        <w:ilvl w:val="3"/>
        <w:numId w:val="13"/>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7"/>
      </w:numPr>
    </w:pPr>
  </w:style>
  <w:style w:type="paragraph" w:customStyle="1" w:styleId="ListNumber4Level4">
    <w:name w:val="List Number 4 (Level 4)"/>
    <w:basedOn w:val="Text4"/>
    <w:pPr>
      <w:numPr>
        <w:ilvl w:val="3"/>
        <w:numId w:val="16"/>
      </w:numPr>
    </w:pPr>
  </w:style>
  <w:style w:type="paragraph" w:customStyle="1" w:styleId="TableTitle">
    <w:name w:val="Table Title"/>
    <w:basedOn w:val="Normal"/>
    <w:next w:val="Normal"/>
    <w:uiPriority w:val="99"/>
    <w:pPr>
      <w:spacing w:before="120" w:after="120" w:line="240" w:lineRule="auto"/>
      <w:jc w:val="center"/>
    </w:pPr>
    <w:rPr>
      <w:rFonts w:eastAsia="Times New Roman"/>
      <w:b/>
      <w:sz w:val="24"/>
      <w:szCs w:val="24"/>
      <w:lang w:val="en-GB"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uiPriority w:val="99"/>
    <w:qFormat/>
    <w:pPr>
      <w:spacing w:before="120" w:after="240" w:line="240" w:lineRule="auto"/>
      <w:jc w:val="center"/>
    </w:pPr>
    <w:rPr>
      <w:rFonts w:eastAsia="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Annexetitreglobale">
    <w:name w:val="Annexe titre (globale)"/>
    <w:basedOn w:val="Normal"/>
    <w:next w:val="Normal"/>
    <w:uiPriority w:val="99"/>
    <w:pPr>
      <w:spacing w:before="120" w:after="120" w:line="240" w:lineRule="auto"/>
      <w:jc w:val="center"/>
    </w:pPr>
    <w:rPr>
      <w:rFonts w:eastAsia="Times New Roman"/>
      <w:b/>
      <w:sz w:val="24"/>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sz w:val="24"/>
      <w:szCs w:val="24"/>
      <w:lang w:val="en-GB" w:eastAsia="de-DE"/>
    </w:rPr>
  </w:style>
  <w:style w:type="paragraph" w:customStyle="1" w:styleId="Fait">
    <w:name w:val="Fait à"/>
    <w:basedOn w:val="Normal"/>
    <w:next w:val="Institutionquisigne"/>
    <w:pPr>
      <w:keepNext/>
      <w:spacing w:before="120" w:after="0" w:line="240" w:lineRule="auto"/>
      <w:jc w:val="both"/>
    </w:pPr>
    <w:rPr>
      <w:rFonts w:eastAsia="Times New Roman"/>
      <w:sz w:val="24"/>
      <w:szCs w:val="24"/>
      <w:lang w:val="en-GB" w:eastAsia="de-DE"/>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i/>
      <w:sz w:val="24"/>
      <w:szCs w:val="24"/>
      <w:lang w:val="en-GB" w:eastAsia="de-DE"/>
    </w:rPr>
  </w:style>
  <w:style w:type="paragraph" w:customStyle="1" w:styleId="Personnequisigne">
    <w:name w:val="Personne qui signe"/>
    <w:basedOn w:val="Normal"/>
    <w:next w:val="Institutionquisigne"/>
    <w:pPr>
      <w:tabs>
        <w:tab w:val="left" w:pos="4252"/>
      </w:tabs>
      <w:spacing w:after="0" w:line="240" w:lineRule="auto"/>
    </w:pPr>
    <w:rPr>
      <w:rFonts w:eastAsia="Times New Roman"/>
      <w:i/>
      <w:sz w:val="24"/>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sz w:val="24"/>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sz w:val="24"/>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sz w:val="24"/>
      <w:szCs w:val="24"/>
      <w:u w:val="single"/>
      <w:lang w:val="en-GB" w:eastAsia="de-DE"/>
    </w:rPr>
  </w:style>
  <w:style w:type="paragraph" w:customStyle="1" w:styleId="Statut">
    <w:name w:val="Statut"/>
    <w:basedOn w:val="Normal"/>
    <w:next w:val="Typedudocument"/>
    <w:pPr>
      <w:spacing w:before="360" w:after="0" w:line="240" w:lineRule="auto"/>
      <w:jc w:val="center"/>
    </w:pPr>
    <w:rPr>
      <w:rFonts w:eastAsia="Times New Roman"/>
      <w:sz w:val="24"/>
      <w:szCs w:val="24"/>
      <w:lang w:val="en-GB" w:eastAsia="de-DE"/>
    </w:rPr>
  </w:style>
  <w:style w:type="paragraph" w:customStyle="1" w:styleId="Typedudocument">
    <w:name w:val="Type du document"/>
    <w:basedOn w:val="Normal"/>
    <w:next w:val="Datedadoption"/>
    <w:pPr>
      <w:spacing w:before="360" w:after="0" w:line="240" w:lineRule="auto"/>
      <w:jc w:val="center"/>
    </w:pPr>
    <w:rPr>
      <w:rFonts w:eastAsia="Times New Roman"/>
      <w:b/>
      <w:sz w:val="24"/>
      <w:szCs w:val="24"/>
      <w:lang w:val="en-GB" w:eastAsia="de-DE"/>
    </w:rPr>
  </w:style>
  <w:style w:type="paragraph" w:customStyle="1" w:styleId="Datedadoption">
    <w:name w:val="Date d'adoption"/>
    <w:basedOn w:val="Normal"/>
    <w:next w:val="Titreobjet"/>
    <w:pPr>
      <w:spacing w:before="360" w:after="0" w:line="240" w:lineRule="auto"/>
      <w:jc w:val="center"/>
    </w:pPr>
    <w:rPr>
      <w:rFonts w:eastAsia="Times New Roman"/>
      <w:b/>
      <w:sz w:val="24"/>
      <w:szCs w:val="24"/>
      <w:lang w:val="en-GB" w:eastAsia="de-DE"/>
    </w:rPr>
  </w:style>
  <w:style w:type="paragraph" w:customStyle="1" w:styleId="Titreobjet">
    <w:name w:val="Titre objet"/>
    <w:basedOn w:val="Normal"/>
    <w:next w:val="Normal"/>
    <w:pPr>
      <w:spacing w:before="360" w:after="360" w:line="240" w:lineRule="auto"/>
      <w:jc w:val="center"/>
    </w:pPr>
    <w:rPr>
      <w:rFonts w:eastAsiaTheme="minorHAnsi"/>
      <w:b/>
      <w:sz w:val="24"/>
    </w:rPr>
  </w:style>
  <w:style w:type="paragraph" w:customStyle="1" w:styleId="Sous-titreobjet">
    <w:name w:val="Sous-titre objet"/>
    <w:basedOn w:val="Normal"/>
    <w:uiPriority w:val="99"/>
    <w:pPr>
      <w:spacing w:after="0" w:line="240" w:lineRule="auto"/>
      <w:jc w:val="center"/>
    </w:pPr>
    <w:rPr>
      <w:rFonts w:eastAsia="Times New Roman"/>
      <w:b/>
      <w:sz w:val="24"/>
      <w:szCs w:val="24"/>
      <w:lang w:val="en-GB" w:eastAsia="de-DE"/>
    </w:rPr>
  </w:style>
  <w:style w:type="paragraph" w:customStyle="1" w:styleId="Considrant">
    <w:name w:val="Considérant"/>
    <w:basedOn w:val="Normal"/>
    <w:pPr>
      <w:numPr>
        <w:numId w:val="15"/>
      </w:numPr>
      <w:spacing w:before="120" w:after="120" w:line="240" w:lineRule="auto"/>
      <w:jc w:val="both"/>
    </w:pPr>
    <w:rPr>
      <w:rFonts w:eastAsia="Times New Roman"/>
      <w:sz w:val="24"/>
      <w:szCs w:val="24"/>
      <w:lang w:val="en-GB" w:eastAsia="de-DE"/>
    </w:rPr>
  </w:style>
  <w:style w:type="paragraph" w:customStyle="1" w:styleId="Corrigendum">
    <w:name w:val="Corrigendum"/>
    <w:basedOn w:val="Normal"/>
    <w:next w:val="Normal"/>
    <w:pPr>
      <w:spacing w:after="240" w:line="240" w:lineRule="auto"/>
    </w:pPr>
    <w:rPr>
      <w:rFonts w:eastAsia="Times New Roman"/>
      <w:sz w:val="24"/>
      <w:szCs w:val="24"/>
      <w:lang w:val="en-GB" w:eastAsia="de-DE"/>
    </w:rPr>
  </w:style>
  <w:style w:type="paragraph" w:customStyle="1" w:styleId="Emission">
    <w:name w:val="Emission"/>
    <w:basedOn w:val="Normal"/>
    <w:next w:val="Rfrenceinstitutionelle"/>
    <w:pPr>
      <w:spacing w:after="0" w:line="240" w:lineRule="auto"/>
      <w:ind w:left="5103"/>
    </w:pPr>
    <w:rPr>
      <w:rFonts w:eastAsia="Times New Roman"/>
      <w:sz w:val="24"/>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sz w:val="24"/>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sz w:val="24"/>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i/>
      <w:sz w:val="24"/>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sz w:val="24"/>
      <w:szCs w:val="24"/>
      <w:lang w:val="en-GB" w:eastAsia="de-DE"/>
    </w:rPr>
  </w:style>
  <w:style w:type="paragraph" w:customStyle="1" w:styleId="Langue">
    <w:name w:val="Langue"/>
    <w:basedOn w:val="Normal"/>
    <w:next w:val="Rfrenceinterne"/>
    <w:uiPriority w:val="99"/>
    <w:pPr>
      <w:spacing w:after="600" w:line="240" w:lineRule="auto"/>
      <w:jc w:val="center"/>
    </w:pPr>
    <w:rPr>
      <w:rFonts w:eastAsia="Times New Roman"/>
      <w:b/>
      <w:caps/>
      <w:sz w:val="24"/>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b/>
      <w:sz w:val="24"/>
      <w:szCs w:val="24"/>
      <w:lang w:val="en-GB"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aps/>
      <w:sz w:val="24"/>
      <w:szCs w:val="24"/>
      <w:lang w:val="en-GB" w:eastAsia="de-DE"/>
    </w:rPr>
  </w:style>
  <w:style w:type="paragraph" w:customStyle="1" w:styleId="Phrasefinale">
    <w:name w:val="Phrase finale"/>
    <w:basedOn w:val="Normal"/>
    <w:next w:val="Normal"/>
    <w:pPr>
      <w:spacing w:before="360" w:after="0" w:line="240" w:lineRule="auto"/>
      <w:jc w:val="center"/>
    </w:pPr>
    <w:rPr>
      <w:rFonts w:eastAsia="Times New Roman"/>
      <w:sz w:val="24"/>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sz w:val="24"/>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b/>
      <w:sz w:val="24"/>
      <w:szCs w:val="24"/>
      <w:lang w:val="en-GB" w:eastAsia="de-DE"/>
    </w:rPr>
  </w:style>
  <w:style w:type="paragraph" w:customStyle="1" w:styleId="Prliminairetype">
    <w:name w:val="Préliminaire type"/>
    <w:basedOn w:val="Normal"/>
    <w:next w:val="Normal"/>
    <w:pPr>
      <w:spacing w:before="360" w:after="0" w:line="240" w:lineRule="auto"/>
      <w:jc w:val="center"/>
    </w:pPr>
    <w:rPr>
      <w:rFonts w:eastAsia="Times New Roman"/>
      <w:b/>
      <w:sz w:val="24"/>
      <w:szCs w:val="24"/>
      <w:lang w:val="en-GB" w:eastAsia="de-DE"/>
    </w:rPr>
  </w:style>
  <w:style w:type="paragraph" w:customStyle="1" w:styleId="Rfrenceinterinstitutionelle">
    <w:name w:val="Référence interinstitutionelle"/>
    <w:basedOn w:val="Normal"/>
    <w:next w:val="Statut"/>
    <w:pPr>
      <w:spacing w:after="0" w:line="240" w:lineRule="auto"/>
      <w:ind w:left="5103"/>
    </w:pPr>
    <w:rPr>
      <w:rFonts w:eastAsia="Times New Roman"/>
      <w:sz w:val="24"/>
      <w:szCs w:val="24"/>
      <w:lang w:val="en-GB"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eastAsia="Times New Roman"/>
      <w:sz w:val="24"/>
      <w:szCs w:val="24"/>
      <w:lang w:val="en-GB" w:eastAsia="de-DE"/>
    </w:rPr>
  </w:style>
  <w:style w:type="paragraph" w:customStyle="1" w:styleId="Sous-titreobjetprliminaire">
    <w:name w:val="Sous-titre objet (préliminaire)"/>
    <w:basedOn w:val="Normal"/>
    <w:pPr>
      <w:spacing w:after="0" w:line="240" w:lineRule="auto"/>
      <w:jc w:val="center"/>
    </w:pPr>
    <w:rPr>
      <w:rFonts w:eastAsia="Times New Roman"/>
      <w:b/>
      <w:sz w:val="24"/>
      <w:szCs w:val="24"/>
      <w:lang w:val="en-GB" w:eastAsia="de-DE"/>
    </w:rPr>
  </w:style>
  <w:style w:type="paragraph" w:customStyle="1" w:styleId="Statutprliminaire">
    <w:name w:val="Statut (préliminaire)"/>
    <w:basedOn w:val="Normal"/>
    <w:next w:val="Normal"/>
    <w:pPr>
      <w:spacing w:before="360" w:after="0" w:line="240" w:lineRule="auto"/>
      <w:jc w:val="center"/>
    </w:pPr>
    <w:rPr>
      <w:rFonts w:eastAsia="Times New Roman"/>
      <w:sz w:val="24"/>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b/>
      <w:sz w:val="24"/>
      <w:szCs w:val="24"/>
      <w:lang w:val="en-GB" w:eastAsia="de-DE"/>
    </w:rPr>
  </w:style>
  <w:style w:type="paragraph" w:customStyle="1" w:styleId="Typedudocumentprliminaire">
    <w:name w:val="Type du document (préliminaire)"/>
    <w:basedOn w:val="Normal"/>
    <w:next w:val="Normal"/>
    <w:pPr>
      <w:spacing w:before="360" w:after="0" w:line="240" w:lineRule="auto"/>
      <w:jc w:val="center"/>
    </w:pPr>
    <w:rPr>
      <w:rFonts w:eastAsia="Times New Roman"/>
      <w:b/>
      <w:sz w:val="24"/>
      <w:szCs w:val="24"/>
      <w:lang w:val="en-GB"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eastAsia="Times New Roman"/>
      <w:sz w:val="24"/>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b/>
      <w:sz w:val="24"/>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i/>
      <w:caps/>
      <w:sz w:val="24"/>
      <w:szCs w:val="24"/>
      <w:lang w:val="en-GB" w:eastAsia="de-DE"/>
    </w:rPr>
  </w:style>
  <w:style w:type="character" w:styleId="CommentReference">
    <w:name w:val="annotation reference"/>
    <w:semiHidden/>
    <w:rPr>
      <w:rFonts w:cs="Times New Roman"/>
      <w:sz w:val="16"/>
      <w:szCs w:val="16"/>
    </w:rPr>
  </w:style>
  <w:style w:type="table" w:styleId="TableGrid">
    <w:name w:val="Table Grid"/>
    <w:basedOn w:val="TableNormal"/>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spacing w:before="120" w:after="120" w:line="240" w:lineRule="auto"/>
      <w:jc w:val="both"/>
    </w:pPr>
    <w:rPr>
      <w:rFonts w:eastAsia="Times New Roman"/>
      <w:sz w:val="20"/>
      <w:szCs w:val="20"/>
      <w:lang w:val="en-GB" w:eastAsia="de-DE"/>
    </w:rPr>
  </w:style>
  <w:style w:type="character" w:customStyle="1" w:styleId="CommentTextChar">
    <w:name w:val="Comment Text Char"/>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GB" w:eastAsia="de-DE"/>
    </w:rPr>
  </w:style>
  <w:style w:type="character" w:styleId="Hyperlink">
    <w:name w:val="Hyperlink"/>
    <w:uiPriority w:val="99"/>
    <w:rPr>
      <w:rFonts w:cs="Times New Roman"/>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lang w:val="en-GB" w:eastAsia="en-GB"/>
    </w:r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eastAsia="Times New Roman"/>
      <w:sz w:val="24"/>
      <w:szCs w:val="24"/>
      <w:lang w:val="en-GB" w:eastAsia="en-GB"/>
    </w:rPr>
  </w:style>
  <w:style w:type="character" w:styleId="FollowedHyperlink">
    <w:name w:val="FollowedHyperlink"/>
    <w:uiPriority w:val="99"/>
    <w:rPr>
      <w:rFonts w:cs="Times New Roman"/>
      <w:color w:val="800080"/>
      <w:u w:val="single"/>
    </w:rPr>
  </w:style>
  <w:style w:type="paragraph" w:customStyle="1" w:styleId="Revenue">
    <w:name w:val="Revenue"/>
    <w:basedOn w:val="Normal"/>
    <w:next w:val="Normal"/>
    <w:pPr>
      <w:keepNext/>
      <w:spacing w:before="480" w:after="120" w:line="240" w:lineRule="auto"/>
    </w:pPr>
    <w:rPr>
      <w:rFonts w:eastAsia="Times New Roman"/>
      <w:b/>
      <w:bCs/>
      <w:smallCaps/>
      <w:sz w:val="36"/>
      <w:szCs w:val="36"/>
      <w:lang w:val="en-GB"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ReusedInfo">
    <w:name w:val="ReusedInfo"/>
    <w:basedOn w:val="Normal"/>
    <w:next w:val="Normal"/>
    <w:uiPriority w:val="99"/>
    <w:pPr>
      <w:shd w:val="clear" w:color="auto" w:fill="C0C0C0"/>
      <w:spacing w:before="60" w:after="60" w:line="240" w:lineRule="auto"/>
    </w:pPr>
    <w:rPr>
      <w:rFonts w:eastAsia="Times New Roman"/>
      <w:sz w:val="20"/>
      <w:szCs w:val="20"/>
      <w:lang w:val="en-GB"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val="en-GB" w:eastAsia="en-GB"/>
    </w:rPr>
  </w:style>
  <w:style w:type="paragraph" w:customStyle="1" w:styleId="copytitle">
    <w:name w:val="copytitle"/>
    <w:basedOn w:val="Normal"/>
    <w:next w:val="Normal"/>
    <w:uiPriority w:val="99"/>
    <w:pPr>
      <w:spacing w:before="360" w:after="360" w:line="240" w:lineRule="auto"/>
      <w:jc w:val="center"/>
    </w:pPr>
    <w:rPr>
      <w:rFonts w:eastAsia="Times New Roman"/>
      <w:b/>
      <w:bCs/>
      <w:sz w:val="32"/>
      <w:szCs w:val="32"/>
      <w:lang w:val="en-GB"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eastAsia="Times New Roman"/>
      <w:sz w:val="16"/>
      <w:szCs w:val="16"/>
      <w:lang w:val="en-GB" w:eastAsia="en-GB"/>
    </w:rPr>
  </w:style>
  <w:style w:type="paragraph" w:customStyle="1" w:styleId="xl260">
    <w:name w:val="xl260"/>
    <w:basedOn w:val="Normal"/>
    <w:pPr>
      <w:spacing w:before="100" w:beforeAutospacing="1" w:after="100" w:afterAutospacing="1" w:line="240" w:lineRule="auto"/>
    </w:pPr>
    <w:rPr>
      <w:rFonts w:eastAsia="Times New Roman"/>
      <w:color w:val="000000"/>
      <w:sz w:val="24"/>
      <w:szCs w:val="24"/>
      <w:lang w:val="en-GB"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i/>
      <w:iCs/>
      <w:sz w:val="16"/>
      <w:szCs w:val="16"/>
      <w:lang w:val="en-GB"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6"/>
      <w:szCs w:val="16"/>
      <w:lang w:val="en-GB"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6">
    <w:name w:val="xl446"/>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val="en-GB"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ListParagraph">
    <w:name w:val="List Paragraph"/>
    <w:basedOn w:val="Normal"/>
    <w:uiPriority w:val="34"/>
    <w:qFormat/>
    <w:pPr>
      <w:spacing w:after="0" w:line="240" w:lineRule="auto"/>
    </w:pPr>
    <w:rPr>
      <w:rFonts w:eastAsia="Times New Roman"/>
      <w:sz w:val="24"/>
      <w:szCs w:val="24"/>
      <w:lang w:val="en-GB" w:eastAsia="en-GB"/>
    </w:rPr>
  </w:style>
  <w:style w:type="paragraph" w:styleId="Revision">
    <w:name w:val="Revision"/>
    <w:hidden/>
    <w:uiPriority w:val="99"/>
    <w:semiHidden/>
    <w:rPr>
      <w:rFonts w:ascii="Times New Roman" w:hAnsi="Times New Roman"/>
      <w:sz w:val="23"/>
      <w:szCs w:val="22"/>
      <w:lang w:val="fr-BE" w:eastAsia="en-US"/>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eastAsia="Times New Roman"/>
      <w:b/>
      <w:bCs/>
      <w:sz w:val="16"/>
      <w:szCs w:val="16"/>
      <w:lang w:val="en-GB"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b/>
      <w:bCs/>
      <w:i/>
      <w:iCs/>
      <w:sz w:val="16"/>
      <w:szCs w:val="16"/>
      <w:lang w:val="en-GB"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sz w:val="16"/>
      <w:szCs w:val="16"/>
      <w:lang w:val="en-GB"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eastAsia="Times New Roman"/>
      <w:i/>
      <w:iCs/>
      <w:sz w:val="16"/>
      <w:szCs w:val="16"/>
      <w:lang w:val="en-GB"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sz w:val="16"/>
      <w:szCs w:val="16"/>
      <w:lang w:val="en-GB"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6"/>
      <w:szCs w:val="16"/>
      <w:lang w:val="en-GB"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b/>
      <w:bCs/>
      <w:sz w:val="15"/>
      <w:szCs w:val="15"/>
      <w:lang w:val="en-GB"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eastAsia="Times New Roman"/>
      <w:b/>
      <w:bCs/>
      <w:sz w:val="15"/>
      <w:szCs w:val="15"/>
      <w:lang w:val="en-GB"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sz w:val="16"/>
      <w:szCs w:val="16"/>
      <w:lang w:val="en-GB"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eastAsia="Times New Roman"/>
      <w:i/>
      <w:iCs/>
      <w:sz w:val="15"/>
      <w:szCs w:val="15"/>
      <w:lang w:val="en-GB"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i/>
      <w:iCs/>
      <w:sz w:val="15"/>
      <w:szCs w:val="15"/>
      <w:lang w:val="en-GB"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eastAsia="Times New Roman"/>
      <w:i/>
      <w:iCs/>
      <w:color w:val="000000"/>
      <w:sz w:val="24"/>
      <w:szCs w:val="24"/>
      <w:lang w:val="en-GB"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1">
    <w:name w:val="xl621"/>
    <w:basedOn w:val="Normal"/>
    <w:pPr>
      <w:spacing w:before="100" w:beforeAutospacing="1" w:after="100" w:afterAutospacing="1" w:line="240" w:lineRule="auto"/>
      <w:textAlignment w:val="center"/>
    </w:pPr>
    <w:rPr>
      <w:rFonts w:eastAsia="Times New Roman"/>
      <w:sz w:val="16"/>
      <w:szCs w:val="16"/>
      <w:lang w:val="en-GB"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eastAsia="Times New Roman"/>
      <w:sz w:val="16"/>
      <w:szCs w:val="16"/>
      <w:lang w:val="en-GB"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eastAsia="Times New Roman"/>
      <w:sz w:val="15"/>
      <w:szCs w:val="15"/>
      <w:lang w:val="en-GB"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eastAsia="Times New Roman"/>
      <w:b/>
      <w:bCs/>
      <w:sz w:val="15"/>
      <w:szCs w:val="15"/>
      <w:lang w:val="en-GB"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348">
      <w:bodyDiv w:val="1"/>
      <w:marLeft w:val="0"/>
      <w:marRight w:val="0"/>
      <w:marTop w:val="0"/>
      <w:marBottom w:val="0"/>
      <w:divBdr>
        <w:top w:val="none" w:sz="0" w:space="0" w:color="auto"/>
        <w:left w:val="none" w:sz="0" w:space="0" w:color="auto"/>
        <w:bottom w:val="none" w:sz="0" w:space="0" w:color="auto"/>
        <w:right w:val="none" w:sz="0" w:space="0" w:color="auto"/>
      </w:divBdr>
    </w:div>
    <w:div w:id="62653190">
      <w:bodyDiv w:val="1"/>
      <w:marLeft w:val="0"/>
      <w:marRight w:val="0"/>
      <w:marTop w:val="0"/>
      <w:marBottom w:val="0"/>
      <w:divBdr>
        <w:top w:val="none" w:sz="0" w:space="0" w:color="auto"/>
        <w:left w:val="none" w:sz="0" w:space="0" w:color="auto"/>
        <w:bottom w:val="none" w:sz="0" w:space="0" w:color="auto"/>
        <w:right w:val="none" w:sz="0" w:space="0" w:color="auto"/>
      </w:divBdr>
    </w:div>
    <w:div w:id="89325835">
      <w:bodyDiv w:val="1"/>
      <w:marLeft w:val="0"/>
      <w:marRight w:val="0"/>
      <w:marTop w:val="0"/>
      <w:marBottom w:val="0"/>
      <w:divBdr>
        <w:top w:val="none" w:sz="0" w:space="0" w:color="auto"/>
        <w:left w:val="none" w:sz="0" w:space="0" w:color="auto"/>
        <w:bottom w:val="none" w:sz="0" w:space="0" w:color="auto"/>
        <w:right w:val="none" w:sz="0" w:space="0" w:color="auto"/>
      </w:divBdr>
    </w:div>
    <w:div w:id="164977603">
      <w:bodyDiv w:val="1"/>
      <w:marLeft w:val="0"/>
      <w:marRight w:val="0"/>
      <w:marTop w:val="0"/>
      <w:marBottom w:val="0"/>
      <w:divBdr>
        <w:top w:val="none" w:sz="0" w:space="0" w:color="auto"/>
        <w:left w:val="none" w:sz="0" w:space="0" w:color="auto"/>
        <w:bottom w:val="none" w:sz="0" w:space="0" w:color="auto"/>
        <w:right w:val="none" w:sz="0" w:space="0" w:color="auto"/>
      </w:divBdr>
    </w:div>
    <w:div w:id="166136784">
      <w:bodyDiv w:val="1"/>
      <w:marLeft w:val="0"/>
      <w:marRight w:val="0"/>
      <w:marTop w:val="0"/>
      <w:marBottom w:val="0"/>
      <w:divBdr>
        <w:top w:val="none" w:sz="0" w:space="0" w:color="auto"/>
        <w:left w:val="none" w:sz="0" w:space="0" w:color="auto"/>
        <w:bottom w:val="none" w:sz="0" w:space="0" w:color="auto"/>
        <w:right w:val="none" w:sz="0" w:space="0" w:color="auto"/>
      </w:divBdr>
    </w:div>
    <w:div w:id="221334237">
      <w:bodyDiv w:val="1"/>
      <w:marLeft w:val="0"/>
      <w:marRight w:val="0"/>
      <w:marTop w:val="0"/>
      <w:marBottom w:val="0"/>
      <w:divBdr>
        <w:top w:val="none" w:sz="0" w:space="0" w:color="auto"/>
        <w:left w:val="none" w:sz="0" w:space="0" w:color="auto"/>
        <w:bottom w:val="none" w:sz="0" w:space="0" w:color="auto"/>
        <w:right w:val="none" w:sz="0" w:space="0" w:color="auto"/>
      </w:divBdr>
    </w:div>
    <w:div w:id="248084997">
      <w:bodyDiv w:val="1"/>
      <w:marLeft w:val="0"/>
      <w:marRight w:val="0"/>
      <w:marTop w:val="0"/>
      <w:marBottom w:val="0"/>
      <w:divBdr>
        <w:top w:val="none" w:sz="0" w:space="0" w:color="auto"/>
        <w:left w:val="none" w:sz="0" w:space="0" w:color="auto"/>
        <w:bottom w:val="none" w:sz="0" w:space="0" w:color="auto"/>
        <w:right w:val="none" w:sz="0" w:space="0" w:color="auto"/>
      </w:divBdr>
    </w:div>
    <w:div w:id="276640180">
      <w:bodyDiv w:val="1"/>
      <w:marLeft w:val="0"/>
      <w:marRight w:val="0"/>
      <w:marTop w:val="0"/>
      <w:marBottom w:val="0"/>
      <w:divBdr>
        <w:top w:val="none" w:sz="0" w:space="0" w:color="auto"/>
        <w:left w:val="none" w:sz="0" w:space="0" w:color="auto"/>
        <w:bottom w:val="none" w:sz="0" w:space="0" w:color="auto"/>
        <w:right w:val="none" w:sz="0" w:space="0" w:color="auto"/>
      </w:divBdr>
    </w:div>
    <w:div w:id="325406908">
      <w:bodyDiv w:val="1"/>
      <w:marLeft w:val="0"/>
      <w:marRight w:val="0"/>
      <w:marTop w:val="0"/>
      <w:marBottom w:val="0"/>
      <w:divBdr>
        <w:top w:val="none" w:sz="0" w:space="0" w:color="auto"/>
        <w:left w:val="none" w:sz="0" w:space="0" w:color="auto"/>
        <w:bottom w:val="none" w:sz="0" w:space="0" w:color="auto"/>
        <w:right w:val="none" w:sz="0" w:space="0" w:color="auto"/>
      </w:divBdr>
    </w:div>
    <w:div w:id="411395159">
      <w:bodyDiv w:val="1"/>
      <w:marLeft w:val="0"/>
      <w:marRight w:val="0"/>
      <w:marTop w:val="0"/>
      <w:marBottom w:val="0"/>
      <w:divBdr>
        <w:top w:val="none" w:sz="0" w:space="0" w:color="auto"/>
        <w:left w:val="none" w:sz="0" w:space="0" w:color="auto"/>
        <w:bottom w:val="none" w:sz="0" w:space="0" w:color="auto"/>
        <w:right w:val="none" w:sz="0" w:space="0" w:color="auto"/>
      </w:divBdr>
    </w:div>
    <w:div w:id="488130580">
      <w:bodyDiv w:val="1"/>
      <w:marLeft w:val="0"/>
      <w:marRight w:val="0"/>
      <w:marTop w:val="0"/>
      <w:marBottom w:val="0"/>
      <w:divBdr>
        <w:top w:val="none" w:sz="0" w:space="0" w:color="auto"/>
        <w:left w:val="none" w:sz="0" w:space="0" w:color="auto"/>
        <w:bottom w:val="none" w:sz="0" w:space="0" w:color="auto"/>
        <w:right w:val="none" w:sz="0" w:space="0" w:color="auto"/>
      </w:divBdr>
    </w:div>
    <w:div w:id="549537111">
      <w:bodyDiv w:val="1"/>
      <w:marLeft w:val="0"/>
      <w:marRight w:val="0"/>
      <w:marTop w:val="0"/>
      <w:marBottom w:val="0"/>
      <w:divBdr>
        <w:top w:val="none" w:sz="0" w:space="0" w:color="auto"/>
        <w:left w:val="none" w:sz="0" w:space="0" w:color="auto"/>
        <w:bottom w:val="none" w:sz="0" w:space="0" w:color="auto"/>
        <w:right w:val="none" w:sz="0" w:space="0" w:color="auto"/>
      </w:divBdr>
    </w:div>
    <w:div w:id="582253043">
      <w:bodyDiv w:val="1"/>
      <w:marLeft w:val="0"/>
      <w:marRight w:val="0"/>
      <w:marTop w:val="0"/>
      <w:marBottom w:val="0"/>
      <w:divBdr>
        <w:top w:val="none" w:sz="0" w:space="0" w:color="auto"/>
        <w:left w:val="none" w:sz="0" w:space="0" w:color="auto"/>
        <w:bottom w:val="none" w:sz="0" w:space="0" w:color="auto"/>
        <w:right w:val="none" w:sz="0" w:space="0" w:color="auto"/>
      </w:divBdr>
    </w:div>
    <w:div w:id="603339696">
      <w:bodyDiv w:val="1"/>
      <w:marLeft w:val="0"/>
      <w:marRight w:val="0"/>
      <w:marTop w:val="0"/>
      <w:marBottom w:val="0"/>
      <w:divBdr>
        <w:top w:val="none" w:sz="0" w:space="0" w:color="auto"/>
        <w:left w:val="none" w:sz="0" w:space="0" w:color="auto"/>
        <w:bottom w:val="none" w:sz="0" w:space="0" w:color="auto"/>
        <w:right w:val="none" w:sz="0" w:space="0" w:color="auto"/>
      </w:divBdr>
    </w:div>
    <w:div w:id="686179405">
      <w:bodyDiv w:val="1"/>
      <w:marLeft w:val="0"/>
      <w:marRight w:val="0"/>
      <w:marTop w:val="0"/>
      <w:marBottom w:val="0"/>
      <w:divBdr>
        <w:top w:val="none" w:sz="0" w:space="0" w:color="auto"/>
        <w:left w:val="none" w:sz="0" w:space="0" w:color="auto"/>
        <w:bottom w:val="none" w:sz="0" w:space="0" w:color="auto"/>
        <w:right w:val="none" w:sz="0" w:space="0" w:color="auto"/>
      </w:divBdr>
    </w:div>
    <w:div w:id="840243227">
      <w:bodyDiv w:val="1"/>
      <w:marLeft w:val="0"/>
      <w:marRight w:val="0"/>
      <w:marTop w:val="0"/>
      <w:marBottom w:val="0"/>
      <w:divBdr>
        <w:top w:val="none" w:sz="0" w:space="0" w:color="auto"/>
        <w:left w:val="none" w:sz="0" w:space="0" w:color="auto"/>
        <w:bottom w:val="none" w:sz="0" w:space="0" w:color="auto"/>
        <w:right w:val="none" w:sz="0" w:space="0" w:color="auto"/>
      </w:divBdr>
    </w:div>
    <w:div w:id="862132396">
      <w:bodyDiv w:val="1"/>
      <w:marLeft w:val="0"/>
      <w:marRight w:val="0"/>
      <w:marTop w:val="0"/>
      <w:marBottom w:val="0"/>
      <w:divBdr>
        <w:top w:val="none" w:sz="0" w:space="0" w:color="auto"/>
        <w:left w:val="none" w:sz="0" w:space="0" w:color="auto"/>
        <w:bottom w:val="none" w:sz="0" w:space="0" w:color="auto"/>
        <w:right w:val="none" w:sz="0" w:space="0" w:color="auto"/>
      </w:divBdr>
    </w:div>
    <w:div w:id="919683525">
      <w:bodyDiv w:val="1"/>
      <w:marLeft w:val="0"/>
      <w:marRight w:val="0"/>
      <w:marTop w:val="0"/>
      <w:marBottom w:val="0"/>
      <w:divBdr>
        <w:top w:val="none" w:sz="0" w:space="0" w:color="auto"/>
        <w:left w:val="none" w:sz="0" w:space="0" w:color="auto"/>
        <w:bottom w:val="none" w:sz="0" w:space="0" w:color="auto"/>
        <w:right w:val="none" w:sz="0" w:space="0" w:color="auto"/>
      </w:divBdr>
    </w:div>
    <w:div w:id="956369177">
      <w:bodyDiv w:val="1"/>
      <w:marLeft w:val="0"/>
      <w:marRight w:val="0"/>
      <w:marTop w:val="0"/>
      <w:marBottom w:val="0"/>
      <w:divBdr>
        <w:top w:val="none" w:sz="0" w:space="0" w:color="auto"/>
        <w:left w:val="none" w:sz="0" w:space="0" w:color="auto"/>
        <w:bottom w:val="none" w:sz="0" w:space="0" w:color="auto"/>
        <w:right w:val="none" w:sz="0" w:space="0" w:color="auto"/>
      </w:divBdr>
    </w:div>
    <w:div w:id="989208815">
      <w:bodyDiv w:val="1"/>
      <w:marLeft w:val="0"/>
      <w:marRight w:val="0"/>
      <w:marTop w:val="0"/>
      <w:marBottom w:val="0"/>
      <w:divBdr>
        <w:top w:val="none" w:sz="0" w:space="0" w:color="auto"/>
        <w:left w:val="none" w:sz="0" w:space="0" w:color="auto"/>
        <w:bottom w:val="none" w:sz="0" w:space="0" w:color="auto"/>
        <w:right w:val="none" w:sz="0" w:space="0" w:color="auto"/>
      </w:divBdr>
    </w:div>
    <w:div w:id="1014529364">
      <w:bodyDiv w:val="1"/>
      <w:marLeft w:val="0"/>
      <w:marRight w:val="0"/>
      <w:marTop w:val="0"/>
      <w:marBottom w:val="0"/>
      <w:divBdr>
        <w:top w:val="none" w:sz="0" w:space="0" w:color="auto"/>
        <w:left w:val="none" w:sz="0" w:space="0" w:color="auto"/>
        <w:bottom w:val="none" w:sz="0" w:space="0" w:color="auto"/>
        <w:right w:val="none" w:sz="0" w:space="0" w:color="auto"/>
      </w:divBdr>
    </w:div>
    <w:div w:id="1024480836">
      <w:bodyDiv w:val="1"/>
      <w:marLeft w:val="0"/>
      <w:marRight w:val="0"/>
      <w:marTop w:val="0"/>
      <w:marBottom w:val="0"/>
      <w:divBdr>
        <w:top w:val="none" w:sz="0" w:space="0" w:color="auto"/>
        <w:left w:val="none" w:sz="0" w:space="0" w:color="auto"/>
        <w:bottom w:val="none" w:sz="0" w:space="0" w:color="auto"/>
        <w:right w:val="none" w:sz="0" w:space="0" w:color="auto"/>
      </w:divBdr>
    </w:div>
    <w:div w:id="1059088559">
      <w:bodyDiv w:val="1"/>
      <w:marLeft w:val="0"/>
      <w:marRight w:val="0"/>
      <w:marTop w:val="0"/>
      <w:marBottom w:val="0"/>
      <w:divBdr>
        <w:top w:val="none" w:sz="0" w:space="0" w:color="auto"/>
        <w:left w:val="none" w:sz="0" w:space="0" w:color="auto"/>
        <w:bottom w:val="none" w:sz="0" w:space="0" w:color="auto"/>
        <w:right w:val="none" w:sz="0" w:space="0" w:color="auto"/>
      </w:divBdr>
    </w:div>
    <w:div w:id="1071468826">
      <w:bodyDiv w:val="1"/>
      <w:marLeft w:val="0"/>
      <w:marRight w:val="0"/>
      <w:marTop w:val="0"/>
      <w:marBottom w:val="0"/>
      <w:divBdr>
        <w:top w:val="none" w:sz="0" w:space="0" w:color="auto"/>
        <w:left w:val="none" w:sz="0" w:space="0" w:color="auto"/>
        <w:bottom w:val="none" w:sz="0" w:space="0" w:color="auto"/>
        <w:right w:val="none" w:sz="0" w:space="0" w:color="auto"/>
      </w:divBdr>
    </w:div>
    <w:div w:id="1078476055">
      <w:bodyDiv w:val="1"/>
      <w:marLeft w:val="0"/>
      <w:marRight w:val="0"/>
      <w:marTop w:val="0"/>
      <w:marBottom w:val="0"/>
      <w:divBdr>
        <w:top w:val="none" w:sz="0" w:space="0" w:color="auto"/>
        <w:left w:val="none" w:sz="0" w:space="0" w:color="auto"/>
        <w:bottom w:val="none" w:sz="0" w:space="0" w:color="auto"/>
        <w:right w:val="none" w:sz="0" w:space="0" w:color="auto"/>
      </w:divBdr>
    </w:div>
    <w:div w:id="1259941803">
      <w:bodyDiv w:val="1"/>
      <w:marLeft w:val="0"/>
      <w:marRight w:val="0"/>
      <w:marTop w:val="0"/>
      <w:marBottom w:val="0"/>
      <w:divBdr>
        <w:top w:val="none" w:sz="0" w:space="0" w:color="auto"/>
        <w:left w:val="none" w:sz="0" w:space="0" w:color="auto"/>
        <w:bottom w:val="none" w:sz="0" w:space="0" w:color="auto"/>
        <w:right w:val="none" w:sz="0" w:space="0" w:color="auto"/>
      </w:divBdr>
    </w:div>
    <w:div w:id="1319844136">
      <w:bodyDiv w:val="1"/>
      <w:marLeft w:val="0"/>
      <w:marRight w:val="0"/>
      <w:marTop w:val="0"/>
      <w:marBottom w:val="0"/>
      <w:divBdr>
        <w:top w:val="none" w:sz="0" w:space="0" w:color="auto"/>
        <w:left w:val="none" w:sz="0" w:space="0" w:color="auto"/>
        <w:bottom w:val="none" w:sz="0" w:space="0" w:color="auto"/>
        <w:right w:val="none" w:sz="0" w:space="0" w:color="auto"/>
      </w:divBdr>
    </w:div>
    <w:div w:id="1378895927">
      <w:bodyDiv w:val="1"/>
      <w:marLeft w:val="0"/>
      <w:marRight w:val="0"/>
      <w:marTop w:val="0"/>
      <w:marBottom w:val="0"/>
      <w:divBdr>
        <w:top w:val="none" w:sz="0" w:space="0" w:color="auto"/>
        <w:left w:val="none" w:sz="0" w:space="0" w:color="auto"/>
        <w:bottom w:val="none" w:sz="0" w:space="0" w:color="auto"/>
        <w:right w:val="none" w:sz="0" w:space="0" w:color="auto"/>
      </w:divBdr>
    </w:div>
    <w:div w:id="1547910535">
      <w:bodyDiv w:val="1"/>
      <w:marLeft w:val="0"/>
      <w:marRight w:val="0"/>
      <w:marTop w:val="0"/>
      <w:marBottom w:val="0"/>
      <w:divBdr>
        <w:top w:val="none" w:sz="0" w:space="0" w:color="auto"/>
        <w:left w:val="none" w:sz="0" w:space="0" w:color="auto"/>
        <w:bottom w:val="none" w:sz="0" w:space="0" w:color="auto"/>
        <w:right w:val="none" w:sz="0" w:space="0" w:color="auto"/>
      </w:divBdr>
    </w:div>
    <w:div w:id="1739397481">
      <w:bodyDiv w:val="1"/>
      <w:marLeft w:val="0"/>
      <w:marRight w:val="0"/>
      <w:marTop w:val="0"/>
      <w:marBottom w:val="0"/>
      <w:divBdr>
        <w:top w:val="none" w:sz="0" w:space="0" w:color="auto"/>
        <w:left w:val="none" w:sz="0" w:space="0" w:color="auto"/>
        <w:bottom w:val="none" w:sz="0" w:space="0" w:color="auto"/>
        <w:right w:val="none" w:sz="0" w:space="0" w:color="auto"/>
      </w:divBdr>
    </w:div>
    <w:div w:id="1913537732">
      <w:bodyDiv w:val="1"/>
      <w:marLeft w:val="0"/>
      <w:marRight w:val="0"/>
      <w:marTop w:val="0"/>
      <w:marBottom w:val="0"/>
      <w:divBdr>
        <w:top w:val="none" w:sz="0" w:space="0" w:color="auto"/>
        <w:left w:val="none" w:sz="0" w:space="0" w:color="auto"/>
        <w:bottom w:val="none" w:sz="0" w:space="0" w:color="auto"/>
        <w:right w:val="none" w:sz="0" w:space="0" w:color="auto"/>
      </w:divBdr>
    </w:div>
    <w:div w:id="1929728559">
      <w:bodyDiv w:val="1"/>
      <w:marLeft w:val="0"/>
      <w:marRight w:val="0"/>
      <w:marTop w:val="0"/>
      <w:marBottom w:val="0"/>
      <w:divBdr>
        <w:top w:val="none" w:sz="0" w:space="0" w:color="auto"/>
        <w:left w:val="none" w:sz="0" w:space="0" w:color="auto"/>
        <w:bottom w:val="none" w:sz="0" w:space="0" w:color="auto"/>
        <w:right w:val="none" w:sz="0" w:space="0" w:color="auto"/>
      </w:divBdr>
    </w:div>
    <w:div w:id="1935942065">
      <w:bodyDiv w:val="1"/>
      <w:marLeft w:val="0"/>
      <w:marRight w:val="0"/>
      <w:marTop w:val="0"/>
      <w:marBottom w:val="0"/>
      <w:divBdr>
        <w:top w:val="none" w:sz="0" w:space="0" w:color="auto"/>
        <w:left w:val="none" w:sz="0" w:space="0" w:color="auto"/>
        <w:bottom w:val="none" w:sz="0" w:space="0" w:color="auto"/>
        <w:right w:val="none" w:sz="0" w:space="0" w:color="auto"/>
      </w:divBdr>
    </w:div>
    <w:div w:id="1952127853">
      <w:bodyDiv w:val="1"/>
      <w:marLeft w:val="0"/>
      <w:marRight w:val="0"/>
      <w:marTop w:val="0"/>
      <w:marBottom w:val="0"/>
      <w:divBdr>
        <w:top w:val="none" w:sz="0" w:space="0" w:color="auto"/>
        <w:left w:val="none" w:sz="0" w:space="0" w:color="auto"/>
        <w:bottom w:val="none" w:sz="0" w:space="0" w:color="auto"/>
        <w:right w:val="none" w:sz="0" w:space="0" w:color="auto"/>
      </w:divBdr>
    </w:div>
    <w:div w:id="2031223351">
      <w:bodyDiv w:val="1"/>
      <w:marLeft w:val="0"/>
      <w:marRight w:val="0"/>
      <w:marTop w:val="0"/>
      <w:marBottom w:val="0"/>
      <w:divBdr>
        <w:top w:val="none" w:sz="0" w:space="0" w:color="auto"/>
        <w:left w:val="none" w:sz="0" w:space="0" w:color="auto"/>
        <w:bottom w:val="none" w:sz="0" w:space="0" w:color="auto"/>
        <w:right w:val="none" w:sz="0" w:space="0" w:color="auto"/>
      </w:divBdr>
    </w:div>
    <w:div w:id="2034110117">
      <w:bodyDiv w:val="1"/>
      <w:marLeft w:val="0"/>
      <w:marRight w:val="0"/>
      <w:marTop w:val="0"/>
      <w:marBottom w:val="0"/>
      <w:divBdr>
        <w:top w:val="none" w:sz="0" w:space="0" w:color="auto"/>
        <w:left w:val="none" w:sz="0" w:space="0" w:color="auto"/>
        <w:bottom w:val="none" w:sz="0" w:space="0" w:color="auto"/>
        <w:right w:val="none" w:sz="0" w:space="0" w:color="auto"/>
      </w:divBdr>
    </w:div>
    <w:div w:id="2034451304">
      <w:bodyDiv w:val="1"/>
      <w:marLeft w:val="0"/>
      <w:marRight w:val="0"/>
      <w:marTop w:val="0"/>
      <w:marBottom w:val="0"/>
      <w:divBdr>
        <w:top w:val="none" w:sz="0" w:space="0" w:color="auto"/>
        <w:left w:val="none" w:sz="0" w:space="0" w:color="auto"/>
        <w:bottom w:val="none" w:sz="0" w:space="0" w:color="auto"/>
        <w:right w:val="none" w:sz="0" w:space="0" w:color="auto"/>
      </w:divBdr>
    </w:div>
    <w:div w:id="20901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budget/www/index-bg.ht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10D1-4089-4268-B4A4-48974F9F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26</Pages>
  <Words>10296</Words>
  <Characters>51687</Characters>
  <Application>Microsoft Office Word</Application>
  <DocSecurity>0</DocSecurity>
  <Lines>3445</Lines>
  <Paragraphs>2582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59401</CharactersWithSpaces>
  <SharedDoc>false</SharedDoc>
  <HLinks>
    <vt:vector size="138" baseType="variant">
      <vt:variant>
        <vt:i4>5046279</vt:i4>
      </vt:variant>
      <vt:variant>
        <vt:i4>135</vt:i4>
      </vt:variant>
      <vt:variant>
        <vt:i4>0</vt:i4>
      </vt:variant>
      <vt:variant>
        <vt:i4>5</vt:i4>
      </vt:variant>
      <vt:variant>
        <vt:lpwstr>http://eur-lex.europa.eu/budget/www/index-en.htm</vt:lpwstr>
      </vt:variant>
      <vt:variant>
        <vt:lpwstr/>
      </vt:variant>
      <vt:variant>
        <vt:i4>1572925</vt:i4>
      </vt:variant>
      <vt:variant>
        <vt:i4>128</vt:i4>
      </vt:variant>
      <vt:variant>
        <vt:i4>0</vt:i4>
      </vt:variant>
      <vt:variant>
        <vt:i4>5</vt:i4>
      </vt:variant>
      <vt:variant>
        <vt:lpwstr/>
      </vt:variant>
      <vt:variant>
        <vt:lpwstr>_Toc404699400</vt:lpwstr>
      </vt:variant>
      <vt:variant>
        <vt:i4>1114170</vt:i4>
      </vt:variant>
      <vt:variant>
        <vt:i4>122</vt:i4>
      </vt:variant>
      <vt:variant>
        <vt:i4>0</vt:i4>
      </vt:variant>
      <vt:variant>
        <vt:i4>5</vt:i4>
      </vt:variant>
      <vt:variant>
        <vt:lpwstr/>
      </vt:variant>
      <vt:variant>
        <vt:lpwstr>_Toc404699399</vt:lpwstr>
      </vt:variant>
      <vt:variant>
        <vt:i4>1114170</vt:i4>
      </vt:variant>
      <vt:variant>
        <vt:i4>116</vt:i4>
      </vt:variant>
      <vt:variant>
        <vt:i4>0</vt:i4>
      </vt:variant>
      <vt:variant>
        <vt:i4>5</vt:i4>
      </vt:variant>
      <vt:variant>
        <vt:lpwstr/>
      </vt:variant>
      <vt:variant>
        <vt:lpwstr>_Toc404699398</vt:lpwstr>
      </vt:variant>
      <vt:variant>
        <vt:i4>1114170</vt:i4>
      </vt:variant>
      <vt:variant>
        <vt:i4>110</vt:i4>
      </vt:variant>
      <vt:variant>
        <vt:i4>0</vt:i4>
      </vt:variant>
      <vt:variant>
        <vt:i4>5</vt:i4>
      </vt:variant>
      <vt:variant>
        <vt:lpwstr/>
      </vt:variant>
      <vt:variant>
        <vt:lpwstr>_Toc404699397</vt:lpwstr>
      </vt:variant>
      <vt:variant>
        <vt:i4>1114170</vt:i4>
      </vt:variant>
      <vt:variant>
        <vt:i4>104</vt:i4>
      </vt:variant>
      <vt:variant>
        <vt:i4>0</vt:i4>
      </vt:variant>
      <vt:variant>
        <vt:i4>5</vt:i4>
      </vt:variant>
      <vt:variant>
        <vt:lpwstr/>
      </vt:variant>
      <vt:variant>
        <vt:lpwstr>_Toc404699396</vt:lpwstr>
      </vt:variant>
      <vt:variant>
        <vt:i4>1114170</vt:i4>
      </vt:variant>
      <vt:variant>
        <vt:i4>98</vt:i4>
      </vt:variant>
      <vt:variant>
        <vt:i4>0</vt:i4>
      </vt:variant>
      <vt:variant>
        <vt:i4>5</vt:i4>
      </vt:variant>
      <vt:variant>
        <vt:lpwstr/>
      </vt:variant>
      <vt:variant>
        <vt:lpwstr>_Toc404699395</vt:lpwstr>
      </vt:variant>
      <vt:variant>
        <vt:i4>1114170</vt:i4>
      </vt:variant>
      <vt:variant>
        <vt:i4>92</vt:i4>
      </vt:variant>
      <vt:variant>
        <vt:i4>0</vt:i4>
      </vt:variant>
      <vt:variant>
        <vt:i4>5</vt:i4>
      </vt:variant>
      <vt:variant>
        <vt:lpwstr/>
      </vt:variant>
      <vt:variant>
        <vt:lpwstr>_Toc404699394</vt:lpwstr>
      </vt:variant>
      <vt:variant>
        <vt:i4>1114170</vt:i4>
      </vt:variant>
      <vt:variant>
        <vt:i4>86</vt:i4>
      </vt:variant>
      <vt:variant>
        <vt:i4>0</vt:i4>
      </vt:variant>
      <vt:variant>
        <vt:i4>5</vt:i4>
      </vt:variant>
      <vt:variant>
        <vt:lpwstr/>
      </vt:variant>
      <vt:variant>
        <vt:lpwstr>_Toc404699393</vt:lpwstr>
      </vt:variant>
      <vt:variant>
        <vt:i4>1114170</vt:i4>
      </vt:variant>
      <vt:variant>
        <vt:i4>80</vt:i4>
      </vt:variant>
      <vt:variant>
        <vt:i4>0</vt:i4>
      </vt:variant>
      <vt:variant>
        <vt:i4>5</vt:i4>
      </vt:variant>
      <vt:variant>
        <vt:lpwstr/>
      </vt:variant>
      <vt:variant>
        <vt:lpwstr>_Toc404699392</vt:lpwstr>
      </vt:variant>
      <vt:variant>
        <vt:i4>1114170</vt:i4>
      </vt:variant>
      <vt:variant>
        <vt:i4>74</vt:i4>
      </vt:variant>
      <vt:variant>
        <vt:i4>0</vt:i4>
      </vt:variant>
      <vt:variant>
        <vt:i4>5</vt:i4>
      </vt:variant>
      <vt:variant>
        <vt:lpwstr/>
      </vt:variant>
      <vt:variant>
        <vt:lpwstr>_Toc404699391</vt:lpwstr>
      </vt:variant>
      <vt:variant>
        <vt:i4>1114170</vt:i4>
      </vt:variant>
      <vt:variant>
        <vt:i4>68</vt:i4>
      </vt:variant>
      <vt:variant>
        <vt:i4>0</vt:i4>
      </vt:variant>
      <vt:variant>
        <vt:i4>5</vt:i4>
      </vt:variant>
      <vt:variant>
        <vt:lpwstr/>
      </vt:variant>
      <vt:variant>
        <vt:lpwstr>_Toc404699390</vt:lpwstr>
      </vt:variant>
      <vt:variant>
        <vt:i4>1048634</vt:i4>
      </vt:variant>
      <vt:variant>
        <vt:i4>62</vt:i4>
      </vt:variant>
      <vt:variant>
        <vt:i4>0</vt:i4>
      </vt:variant>
      <vt:variant>
        <vt:i4>5</vt:i4>
      </vt:variant>
      <vt:variant>
        <vt:lpwstr/>
      </vt:variant>
      <vt:variant>
        <vt:lpwstr>_Toc404699389</vt:lpwstr>
      </vt:variant>
      <vt:variant>
        <vt:i4>1048634</vt:i4>
      </vt:variant>
      <vt:variant>
        <vt:i4>56</vt:i4>
      </vt:variant>
      <vt:variant>
        <vt:i4>0</vt:i4>
      </vt:variant>
      <vt:variant>
        <vt:i4>5</vt:i4>
      </vt:variant>
      <vt:variant>
        <vt:lpwstr/>
      </vt:variant>
      <vt:variant>
        <vt:lpwstr>_Toc404699388</vt:lpwstr>
      </vt:variant>
      <vt:variant>
        <vt:i4>1048634</vt:i4>
      </vt:variant>
      <vt:variant>
        <vt:i4>50</vt:i4>
      </vt:variant>
      <vt:variant>
        <vt:i4>0</vt:i4>
      </vt:variant>
      <vt:variant>
        <vt:i4>5</vt:i4>
      </vt:variant>
      <vt:variant>
        <vt:lpwstr/>
      </vt:variant>
      <vt:variant>
        <vt:lpwstr>_Toc404699387</vt:lpwstr>
      </vt:variant>
      <vt:variant>
        <vt:i4>1048634</vt:i4>
      </vt:variant>
      <vt:variant>
        <vt:i4>44</vt:i4>
      </vt:variant>
      <vt:variant>
        <vt:i4>0</vt:i4>
      </vt:variant>
      <vt:variant>
        <vt:i4>5</vt:i4>
      </vt:variant>
      <vt:variant>
        <vt:lpwstr/>
      </vt:variant>
      <vt:variant>
        <vt:lpwstr>_Toc404699386</vt:lpwstr>
      </vt:variant>
      <vt:variant>
        <vt:i4>1048634</vt:i4>
      </vt:variant>
      <vt:variant>
        <vt:i4>38</vt:i4>
      </vt:variant>
      <vt:variant>
        <vt:i4>0</vt:i4>
      </vt:variant>
      <vt:variant>
        <vt:i4>5</vt:i4>
      </vt:variant>
      <vt:variant>
        <vt:lpwstr/>
      </vt:variant>
      <vt:variant>
        <vt:lpwstr>_Toc404699385</vt:lpwstr>
      </vt:variant>
      <vt:variant>
        <vt:i4>1048634</vt:i4>
      </vt:variant>
      <vt:variant>
        <vt:i4>32</vt:i4>
      </vt:variant>
      <vt:variant>
        <vt:i4>0</vt:i4>
      </vt:variant>
      <vt:variant>
        <vt:i4>5</vt:i4>
      </vt:variant>
      <vt:variant>
        <vt:lpwstr/>
      </vt:variant>
      <vt:variant>
        <vt:lpwstr>_Toc404699384</vt:lpwstr>
      </vt:variant>
      <vt:variant>
        <vt:i4>1048634</vt:i4>
      </vt:variant>
      <vt:variant>
        <vt:i4>26</vt:i4>
      </vt:variant>
      <vt:variant>
        <vt:i4>0</vt:i4>
      </vt:variant>
      <vt:variant>
        <vt:i4>5</vt:i4>
      </vt:variant>
      <vt:variant>
        <vt:lpwstr/>
      </vt:variant>
      <vt:variant>
        <vt:lpwstr>_Toc404699383</vt:lpwstr>
      </vt:variant>
      <vt:variant>
        <vt:i4>1048634</vt:i4>
      </vt:variant>
      <vt:variant>
        <vt:i4>20</vt:i4>
      </vt:variant>
      <vt:variant>
        <vt:i4>0</vt:i4>
      </vt:variant>
      <vt:variant>
        <vt:i4>5</vt:i4>
      </vt:variant>
      <vt:variant>
        <vt:lpwstr/>
      </vt:variant>
      <vt:variant>
        <vt:lpwstr>_Toc404699382</vt:lpwstr>
      </vt:variant>
      <vt:variant>
        <vt:i4>1048634</vt:i4>
      </vt:variant>
      <vt:variant>
        <vt:i4>14</vt:i4>
      </vt:variant>
      <vt:variant>
        <vt:i4>0</vt:i4>
      </vt:variant>
      <vt:variant>
        <vt:i4>5</vt:i4>
      </vt:variant>
      <vt:variant>
        <vt:lpwstr/>
      </vt:variant>
      <vt:variant>
        <vt:lpwstr>_Toc404699381</vt:lpwstr>
      </vt:variant>
      <vt:variant>
        <vt:i4>1048634</vt:i4>
      </vt:variant>
      <vt:variant>
        <vt:i4>8</vt:i4>
      </vt:variant>
      <vt:variant>
        <vt:i4>0</vt:i4>
      </vt:variant>
      <vt:variant>
        <vt:i4>5</vt:i4>
      </vt:variant>
      <vt:variant>
        <vt:lpwstr/>
      </vt:variant>
      <vt:variant>
        <vt:lpwstr>_Toc404699380</vt:lpwstr>
      </vt:variant>
      <vt:variant>
        <vt:i4>2031674</vt:i4>
      </vt:variant>
      <vt:variant>
        <vt:i4>2</vt:i4>
      </vt:variant>
      <vt:variant>
        <vt:i4>0</vt:i4>
      </vt:variant>
      <vt:variant>
        <vt:i4>5</vt:i4>
      </vt:variant>
      <vt:variant>
        <vt:lpwstr/>
      </vt:variant>
      <vt:variant>
        <vt:lpwstr>_Toc404699379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47</cp:revision>
  <cp:lastPrinted>2018-11-21T09:51:00Z</cp:lastPrinted>
  <dcterms:created xsi:type="dcterms:W3CDTF">2018-11-28T11:28:00Z</dcterms:created>
  <dcterms:modified xsi:type="dcterms:W3CDTF">2018-11-30T08:26:00Z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