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E5A99BE8-DD80-4E82-AFF3-7E8ACDED796D" style="width:450.35pt;height:334.2pt">
            <v:imagedata r:id="rId9" o:title=""/>
          </v:shape>
        </w:pict>
      </w:r>
    </w:p>
    <w:bookmarkEnd w:id="0"/>
    <w:p>
      <w:pPr>
        <w:spacing w:line="240" w:lineRule="auto"/>
        <w:rPr>
          <w:noProof/>
          <w:lang w:val="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tabs>
          <w:tab w:val="left" w:pos="7560"/>
        </w:tabs>
        <w:spacing w:after="0" w:line="240" w:lineRule="auto"/>
        <w:jc w:val="both"/>
        <w:rPr>
          <w:rFonts w:eastAsia="Times New Roman"/>
          <w:b/>
          <w:noProof/>
          <w:sz w:val="80"/>
          <w:szCs w:val="80"/>
          <w:lang w:val="en-GB" w:eastAsia="de-DE"/>
        </w:rPr>
      </w:pPr>
      <w:bookmarkStart w:id="1" w:name="_GoBack"/>
      <w:bookmarkEnd w:id="1"/>
      <w:r>
        <w:rPr>
          <w:rFonts w:eastAsia="Times New Roman"/>
          <w:b/>
          <w:noProof/>
          <w:sz w:val="80"/>
          <w:szCs w:val="80"/>
          <w:lang w:val="en-GB" w:eastAsia="de-DE"/>
        </w:rPr>
        <w:lastRenderedPageBreak/>
        <w:t>DOCUMENTS</w:t>
      </w:r>
    </w:p>
    <w:tbl>
      <w:tblPr>
        <w:tblW w:w="110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11040"/>
      </w:tblGrid>
      <w:tr>
        <w:tc>
          <w:tcPr>
            <w:tcW w:w="11040" w:type="dxa"/>
            <w:shd w:val="clear" w:color="auto" w:fill="0000FF"/>
          </w:tcPr>
          <w:p>
            <w:pPr>
              <w:tabs>
                <w:tab w:val="left" w:pos="1800"/>
                <w:tab w:val="left" w:pos="2250"/>
                <w:tab w:val="left" w:pos="7560"/>
              </w:tabs>
              <w:spacing w:after="0" w:line="240" w:lineRule="auto"/>
              <w:jc w:val="both"/>
              <w:rPr>
                <w:rFonts w:eastAsia="Times New Roman"/>
                <w:noProof/>
                <w:color w:val="0000FF"/>
                <w:sz w:val="24"/>
                <w:szCs w:val="24"/>
                <w:lang w:val="en-GB" w:eastAsia="de-DE"/>
              </w:rPr>
            </w:pPr>
            <w:r>
              <w:rPr>
                <w:rFonts w:eastAsia="Times New Roman"/>
                <w:noProof/>
                <w:color w:val="0000FF"/>
                <w:sz w:val="24"/>
                <w:szCs w:val="24"/>
                <w:lang w:val="en-GB" w:eastAsia="de-DE"/>
              </w:rPr>
              <w:tab/>
            </w:r>
            <w:r>
              <w:rPr>
                <w:rFonts w:eastAsia="Times New Roman"/>
                <w:noProof/>
                <w:color w:val="0000FF"/>
                <w:sz w:val="24"/>
                <w:szCs w:val="24"/>
                <w:lang w:val="en-GB" w:eastAsia="de-DE"/>
              </w:rPr>
              <w:tab/>
            </w:r>
          </w:p>
        </w:tc>
      </w:tr>
    </w:tbl>
    <w:p>
      <w:pPr>
        <w:spacing w:after="0" w:line="240" w:lineRule="auto"/>
        <w:ind w:right="972"/>
        <w:rPr>
          <w:rFonts w:eastAsia="Times New Roman"/>
          <w:b/>
          <w:noProof/>
          <w:sz w:val="44"/>
          <w:szCs w:val="44"/>
          <w:lang w:val="en-GB" w:eastAsia="de-DE"/>
        </w:rPr>
      </w:pPr>
      <w:r>
        <w:rPr>
          <w:rFonts w:eastAsia="Times New Roman"/>
          <w:b/>
          <w:noProof/>
          <w:sz w:val="44"/>
          <w:szCs w:val="44"/>
          <w:lang w:val="en-GB" w:eastAsia="de-DE"/>
        </w:rPr>
        <w:t>Second DRAFT General Budget</w:t>
      </w:r>
      <w:r>
        <w:rPr>
          <w:rFonts w:eastAsia="Times New Roman"/>
          <w:b/>
          <w:noProof/>
          <w:sz w:val="44"/>
          <w:szCs w:val="44"/>
          <w:lang w:val="en-GB" w:eastAsia="de-DE"/>
        </w:rPr>
        <w:br/>
        <w:t>of the European Union</w:t>
      </w:r>
      <w:r>
        <w:rPr>
          <w:rFonts w:eastAsia="Times New Roman"/>
          <w:b/>
          <w:noProof/>
          <w:sz w:val="44"/>
          <w:szCs w:val="44"/>
          <w:lang w:val="en-GB" w:eastAsia="de-DE"/>
        </w:rPr>
        <w:br/>
        <w:t>for the financial year 2019</w:t>
      </w:r>
    </w:p>
    <w:p>
      <w:pPr>
        <w:spacing w:after="0" w:line="240" w:lineRule="auto"/>
        <w:jc w:val="both"/>
        <w:rPr>
          <w:rFonts w:eastAsia="Times New Roman"/>
          <w:b/>
          <w:noProof/>
          <w:sz w:val="44"/>
          <w:szCs w:val="44"/>
          <w:lang w:val="en-GB" w:eastAsia="de-DE"/>
        </w:rPr>
      </w:pPr>
    </w:p>
    <w:p>
      <w:pPr>
        <w:spacing w:after="0" w:line="240" w:lineRule="auto"/>
        <w:jc w:val="both"/>
        <w:rPr>
          <w:rFonts w:eastAsia="Times New Roman"/>
          <w:b/>
          <w:noProof/>
          <w:sz w:val="44"/>
          <w:szCs w:val="44"/>
          <w:lang w:val="en-GB" w:eastAsia="de-DE"/>
        </w:rPr>
      </w:pPr>
    </w:p>
    <w:p>
      <w:pPr>
        <w:spacing w:after="0" w:line="240" w:lineRule="auto"/>
        <w:ind w:right="1512"/>
        <w:jc w:val="both"/>
        <w:rPr>
          <w:rFonts w:eastAsia="Times New Roman"/>
          <w:b/>
          <w:noProof/>
          <w:sz w:val="36"/>
          <w:szCs w:val="36"/>
          <w:lang w:val="en-GB" w:eastAsia="de-DE"/>
        </w:rPr>
      </w:pPr>
      <w:r>
        <w:rPr>
          <w:rFonts w:eastAsia="Times New Roman"/>
          <w:b/>
          <w:noProof/>
          <w:sz w:val="36"/>
          <w:szCs w:val="36"/>
          <w:lang w:val="en-GB" w:eastAsia="de-DE"/>
        </w:rPr>
        <w:t>GENERAL INTRODUCTION</w:t>
      </w:r>
    </w:p>
    <w:p>
      <w:pPr>
        <w:tabs>
          <w:tab w:val="left" w:pos="9000"/>
        </w:tabs>
        <w:spacing w:after="0" w:line="240" w:lineRule="auto"/>
        <w:ind w:left="240" w:right="19"/>
        <w:jc w:val="both"/>
        <w:rPr>
          <w:rFonts w:eastAsia="Times New Roman"/>
          <w:noProof/>
          <w:sz w:val="24"/>
          <w:szCs w:val="24"/>
          <w:lang w:val="en-GB" w:eastAsia="de-DE"/>
        </w:rPr>
      </w:pPr>
    </w:p>
    <w:p>
      <w:pPr>
        <w:tabs>
          <w:tab w:val="left" w:pos="9000"/>
        </w:tabs>
        <w:spacing w:after="0" w:line="240" w:lineRule="auto"/>
        <w:ind w:left="240" w:right="19"/>
        <w:jc w:val="both"/>
        <w:rPr>
          <w:rFonts w:eastAsia="Times New Roman"/>
          <w:noProof/>
          <w:sz w:val="24"/>
          <w:szCs w:val="24"/>
          <w:lang w:val="en-GB" w:eastAsia="de-DE"/>
        </w:rPr>
      </w:pPr>
    </w:p>
    <w:p>
      <w:pPr>
        <w:tabs>
          <w:tab w:val="left" w:pos="9000"/>
        </w:tabs>
        <w:spacing w:after="0" w:line="240" w:lineRule="auto"/>
        <w:ind w:left="240" w:right="19"/>
        <w:jc w:val="both"/>
        <w:rPr>
          <w:rFonts w:eastAsia="Times New Roman"/>
          <w:noProof/>
          <w:sz w:val="24"/>
          <w:szCs w:val="24"/>
          <w:lang w:val="en-GB" w:eastAsia="de-DE"/>
        </w:rPr>
      </w:pPr>
    </w:p>
    <w:p>
      <w:pPr>
        <w:tabs>
          <w:tab w:val="left" w:pos="9000"/>
        </w:tabs>
        <w:spacing w:after="0" w:line="240" w:lineRule="auto"/>
        <w:ind w:left="240" w:right="19"/>
        <w:jc w:val="both"/>
        <w:rPr>
          <w:rFonts w:eastAsia="Times New Roman"/>
          <w:noProof/>
          <w:sz w:val="24"/>
          <w:szCs w:val="24"/>
          <w:lang w:val="en-GB" w:eastAsia="de-DE"/>
        </w:rPr>
      </w:pPr>
    </w:p>
    <w:p>
      <w:pPr>
        <w:tabs>
          <w:tab w:val="left" w:pos="9000"/>
        </w:tabs>
        <w:spacing w:after="0" w:line="240" w:lineRule="auto"/>
        <w:ind w:left="240" w:right="19"/>
        <w:jc w:val="both"/>
        <w:rPr>
          <w:rFonts w:eastAsia="Times New Roman"/>
          <w:noProof/>
          <w:sz w:val="24"/>
          <w:szCs w:val="24"/>
          <w:lang w:val="en-GB" w:eastAsia="de-DE"/>
        </w:rPr>
      </w:pPr>
    </w:p>
    <w:p>
      <w:pPr>
        <w:tabs>
          <w:tab w:val="left" w:pos="9000"/>
        </w:tabs>
        <w:spacing w:after="0" w:line="240" w:lineRule="auto"/>
        <w:ind w:left="240" w:right="19"/>
        <w:jc w:val="both"/>
        <w:rPr>
          <w:rFonts w:eastAsia="Times New Roman"/>
          <w:noProof/>
          <w:sz w:val="24"/>
          <w:szCs w:val="24"/>
          <w:lang w:val="en-GB" w:eastAsia="de-DE"/>
        </w:rPr>
      </w:pPr>
    </w:p>
    <w:p>
      <w:pPr>
        <w:tabs>
          <w:tab w:val="left" w:pos="9000"/>
        </w:tabs>
        <w:spacing w:after="0" w:line="240" w:lineRule="auto"/>
        <w:ind w:left="240" w:right="19"/>
        <w:jc w:val="both"/>
        <w:rPr>
          <w:rFonts w:eastAsia="Times New Roman"/>
          <w:noProof/>
          <w:sz w:val="24"/>
          <w:szCs w:val="24"/>
          <w:lang w:val="en-GB" w:eastAsia="de-DE"/>
        </w:rPr>
      </w:pPr>
    </w:p>
    <w:p>
      <w:pPr>
        <w:tabs>
          <w:tab w:val="left" w:pos="9000"/>
        </w:tabs>
        <w:spacing w:after="0" w:line="240" w:lineRule="auto"/>
        <w:ind w:left="240" w:right="19"/>
        <w:jc w:val="both"/>
        <w:rPr>
          <w:rFonts w:eastAsia="Times New Roman"/>
          <w:noProof/>
          <w:sz w:val="24"/>
          <w:szCs w:val="24"/>
          <w:lang w:val="en-GB" w:eastAsia="de-DE"/>
        </w:rPr>
      </w:pPr>
    </w:p>
    <w:p>
      <w:pPr>
        <w:tabs>
          <w:tab w:val="left" w:pos="9000"/>
        </w:tabs>
        <w:spacing w:after="0" w:line="240" w:lineRule="auto"/>
        <w:ind w:left="240" w:right="19"/>
        <w:jc w:val="both"/>
        <w:rPr>
          <w:rFonts w:eastAsia="Times New Roman"/>
          <w:noProof/>
          <w:sz w:val="24"/>
          <w:szCs w:val="24"/>
          <w:lang w:val="en-GB" w:eastAsia="de-DE"/>
        </w:rPr>
      </w:pPr>
    </w:p>
    <w:p>
      <w:pPr>
        <w:tabs>
          <w:tab w:val="left" w:pos="9000"/>
        </w:tabs>
        <w:spacing w:after="0" w:line="240" w:lineRule="auto"/>
        <w:ind w:left="240" w:right="19"/>
        <w:jc w:val="both"/>
        <w:rPr>
          <w:rFonts w:eastAsia="Times New Roman"/>
          <w:noProof/>
          <w:sz w:val="24"/>
          <w:szCs w:val="24"/>
          <w:lang w:val="en-GB" w:eastAsia="de-DE"/>
        </w:rPr>
      </w:pPr>
    </w:p>
    <w:p>
      <w:pPr>
        <w:tabs>
          <w:tab w:val="left" w:pos="9000"/>
        </w:tabs>
        <w:spacing w:after="0" w:line="240" w:lineRule="auto"/>
        <w:ind w:left="240" w:right="19"/>
        <w:jc w:val="both"/>
        <w:rPr>
          <w:rFonts w:eastAsia="Times New Roman"/>
          <w:noProof/>
          <w:sz w:val="24"/>
          <w:szCs w:val="24"/>
          <w:lang w:val="en-GB" w:eastAsia="de-DE"/>
        </w:rPr>
      </w:pPr>
    </w:p>
    <w:p>
      <w:pPr>
        <w:tabs>
          <w:tab w:val="left" w:pos="9000"/>
        </w:tabs>
        <w:spacing w:after="0" w:line="240" w:lineRule="auto"/>
        <w:ind w:left="240" w:right="19"/>
        <w:jc w:val="both"/>
        <w:rPr>
          <w:rFonts w:eastAsia="Times New Roman"/>
          <w:noProof/>
          <w:sz w:val="24"/>
          <w:szCs w:val="24"/>
          <w:lang w:val="en-GB" w:eastAsia="de-DE"/>
        </w:rPr>
      </w:pPr>
    </w:p>
    <w:p>
      <w:pPr>
        <w:tabs>
          <w:tab w:val="left" w:pos="9000"/>
        </w:tabs>
        <w:spacing w:after="0" w:line="240" w:lineRule="auto"/>
        <w:ind w:left="240" w:right="19"/>
        <w:jc w:val="both"/>
        <w:rPr>
          <w:rFonts w:eastAsia="Times New Roman"/>
          <w:noProof/>
          <w:sz w:val="24"/>
          <w:szCs w:val="24"/>
          <w:lang w:val="en-GB" w:eastAsia="de-DE"/>
        </w:rPr>
      </w:pPr>
    </w:p>
    <w:p>
      <w:pPr>
        <w:tabs>
          <w:tab w:val="left" w:pos="9000"/>
        </w:tabs>
        <w:spacing w:after="0" w:line="240" w:lineRule="auto"/>
        <w:ind w:left="240" w:right="19"/>
        <w:jc w:val="both"/>
        <w:rPr>
          <w:rFonts w:eastAsia="Times New Roman"/>
          <w:noProof/>
          <w:sz w:val="24"/>
          <w:szCs w:val="24"/>
          <w:lang w:val="en-GB" w:eastAsia="de-DE"/>
        </w:rPr>
      </w:pPr>
    </w:p>
    <w:p>
      <w:pPr>
        <w:tabs>
          <w:tab w:val="left" w:pos="9000"/>
        </w:tabs>
        <w:spacing w:after="0" w:line="240" w:lineRule="auto"/>
        <w:ind w:left="240" w:right="19"/>
        <w:jc w:val="both"/>
        <w:rPr>
          <w:rFonts w:eastAsia="Times New Roman"/>
          <w:noProof/>
          <w:sz w:val="24"/>
          <w:szCs w:val="24"/>
          <w:lang w:val="en-GB" w:eastAsia="de-DE"/>
        </w:rPr>
      </w:pPr>
    </w:p>
    <w:p>
      <w:pPr>
        <w:tabs>
          <w:tab w:val="left" w:pos="7560"/>
          <w:tab w:val="right" w:pos="9000"/>
        </w:tabs>
        <w:spacing w:after="0" w:line="240" w:lineRule="auto"/>
        <w:ind w:right="23"/>
        <w:jc w:val="right"/>
        <w:rPr>
          <w:rFonts w:eastAsia="Times New Roman"/>
          <w:noProof/>
          <w:lang w:val="en-GB" w:eastAsia="de-DE"/>
        </w:rPr>
      </w:pPr>
    </w:p>
    <w:p>
      <w:pPr>
        <w:tabs>
          <w:tab w:val="left" w:pos="7560"/>
          <w:tab w:val="right" w:pos="9000"/>
        </w:tabs>
        <w:spacing w:after="0" w:line="240" w:lineRule="auto"/>
        <w:ind w:right="23"/>
        <w:jc w:val="right"/>
        <w:rPr>
          <w:rFonts w:eastAsia="Times New Roman"/>
          <w:noProof/>
          <w:lang w:val="en-GB" w:eastAsia="de-DE"/>
        </w:rPr>
      </w:pPr>
    </w:p>
    <w:tbl>
      <w:tblPr>
        <w:tblW w:w="110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11040"/>
      </w:tblGrid>
      <w:tr>
        <w:tc>
          <w:tcPr>
            <w:tcW w:w="11040" w:type="dxa"/>
            <w:shd w:val="clear" w:color="auto" w:fill="0000FF"/>
          </w:tcPr>
          <w:p>
            <w:pPr>
              <w:tabs>
                <w:tab w:val="left" w:pos="7560"/>
              </w:tabs>
              <w:spacing w:after="0" w:line="240" w:lineRule="auto"/>
              <w:jc w:val="both"/>
              <w:rPr>
                <w:rFonts w:eastAsia="Times New Roman"/>
                <w:noProof/>
                <w:sz w:val="32"/>
                <w:szCs w:val="32"/>
                <w:lang w:val="en-GB" w:eastAsia="de-DE"/>
              </w:rPr>
            </w:pPr>
          </w:p>
          <w:p>
            <w:pPr>
              <w:tabs>
                <w:tab w:val="left" w:pos="7560"/>
              </w:tabs>
              <w:spacing w:after="0" w:line="240" w:lineRule="auto"/>
              <w:jc w:val="both"/>
              <w:rPr>
                <w:rFonts w:eastAsia="Times New Roman"/>
                <w:noProof/>
                <w:sz w:val="32"/>
                <w:szCs w:val="32"/>
                <w:lang w:val="en-GB" w:eastAsia="de-DE"/>
              </w:rPr>
            </w:pPr>
          </w:p>
          <w:p>
            <w:pPr>
              <w:tabs>
                <w:tab w:val="left" w:pos="7560"/>
              </w:tabs>
              <w:spacing w:after="0" w:line="240" w:lineRule="auto"/>
              <w:jc w:val="both"/>
              <w:rPr>
                <w:rFonts w:eastAsia="Times New Roman"/>
                <w:noProof/>
                <w:sz w:val="32"/>
                <w:szCs w:val="32"/>
                <w:lang w:val="en-GB" w:eastAsia="de-DE"/>
              </w:rPr>
            </w:pPr>
          </w:p>
          <w:p>
            <w:pPr>
              <w:tabs>
                <w:tab w:val="left" w:pos="7560"/>
              </w:tabs>
              <w:spacing w:after="0" w:line="240" w:lineRule="auto"/>
              <w:jc w:val="both"/>
              <w:rPr>
                <w:rFonts w:eastAsia="Times New Roman"/>
                <w:noProof/>
                <w:sz w:val="32"/>
                <w:szCs w:val="32"/>
                <w:lang w:val="en-GB" w:eastAsia="de-DE"/>
              </w:rPr>
            </w:pPr>
          </w:p>
          <w:p>
            <w:pPr>
              <w:tabs>
                <w:tab w:val="left" w:pos="7560"/>
              </w:tabs>
              <w:spacing w:after="0" w:line="240" w:lineRule="auto"/>
              <w:jc w:val="both"/>
              <w:rPr>
                <w:rFonts w:eastAsia="Times New Roman"/>
                <w:noProof/>
                <w:sz w:val="32"/>
                <w:szCs w:val="32"/>
                <w:lang w:val="en-GB" w:eastAsia="de-DE"/>
              </w:rPr>
            </w:pPr>
          </w:p>
        </w:tc>
      </w:tr>
    </w:tbl>
    <w:p>
      <w:pPr>
        <w:spacing w:line="240" w:lineRule="auto"/>
        <w:rPr>
          <w:noProof/>
          <w:lang w:val="en-GB"/>
        </w:rPr>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pPr>
    </w:p>
    <w:p>
      <w:pPr>
        <w:pStyle w:val="Prliminairetype"/>
        <w:rPr>
          <w:noProof/>
        </w:rPr>
      </w:pPr>
      <w:r>
        <w:rPr>
          <w:noProof/>
        </w:rPr>
        <w:t>DRAFT GENERAL BUDGET 2019</w:t>
      </w:r>
    </w:p>
    <w:p>
      <w:pPr>
        <w:pStyle w:val="Prliminairetitre"/>
        <w:rPr>
          <w:noProof/>
        </w:rPr>
      </w:pPr>
      <w:bookmarkStart w:id="2" w:name="_Toc278112514"/>
      <w:r>
        <w:rPr>
          <w:noProof/>
        </w:rPr>
        <w:t>STATEMENT OF REVENUE AND EXPENDITURE BY SECTION</w:t>
      </w:r>
      <w:bookmarkEnd w:id="2"/>
      <w:r>
        <w:rPr>
          <w:noProof/>
        </w:rPr>
        <w:br/>
      </w:r>
    </w:p>
    <w:p>
      <w:pPr>
        <w:spacing w:line="240" w:lineRule="auto"/>
        <w:rPr>
          <w:noProof/>
          <w:lang w:val="en-GB"/>
        </w:rPr>
      </w:pPr>
      <w:r>
        <w:rPr>
          <w:noProof/>
          <w:lang w:val="en-GB"/>
        </w:rPr>
        <w:t>Having regard to:</w:t>
      </w:r>
    </w:p>
    <w:p>
      <w:pPr>
        <w:pStyle w:val="Tiret0"/>
        <w:numPr>
          <w:ilvl w:val="0"/>
          <w:numId w:val="24"/>
        </w:numPr>
        <w:rPr>
          <w:noProof/>
        </w:rPr>
      </w:pPr>
      <w:r>
        <w:rPr>
          <w:noProof/>
        </w:rPr>
        <w:t>the Treaty on the Functioning of the European Union, and in particular Article 314 thereof, in conjunction with the Treaty establishing the European Atomic Energy Community, and in particular Article 106a thereof,</w:t>
      </w:r>
    </w:p>
    <w:p>
      <w:pPr>
        <w:pStyle w:val="Tiret0"/>
        <w:rPr>
          <w:rFonts w:cs="Arial"/>
          <w:noProof/>
          <w:szCs w:val="18"/>
        </w:rPr>
      </w:pPr>
      <w:r>
        <w:rPr>
          <w:noProof/>
        </w:rPr>
        <w:t>the Council Regulation (EU, Euratom) No 1311/2013 of 2 December 2013 laying down the multiannual financial framework for the years 2014-2020</w:t>
      </w:r>
      <w:r>
        <w:rPr>
          <w:rStyle w:val="FootnoteReference"/>
          <w:noProof/>
        </w:rPr>
        <w:footnoteReference w:id="1"/>
      </w:r>
      <w:r>
        <w:rPr>
          <w:noProof/>
        </w:rPr>
        <w:t xml:space="preserve"> (the "MFF Regulation"), and in particular Article 13 thereof,</w:t>
      </w:r>
    </w:p>
    <w:p>
      <w:pPr>
        <w:pStyle w:val="Tiret0"/>
        <w:rPr>
          <w:rFonts w:cs="Arial"/>
          <w:noProof/>
          <w:szCs w:val="18"/>
        </w:rPr>
      </w:pPr>
      <w:r>
        <w:rPr>
          <w:noProof/>
        </w:rPr>
        <w:t>the Interinstitutional Agreement of 2 December 2013 between the European Parliament, the Council and the Commission on budgetary discipline, on cooperation in budgetary matters and on sound financial management</w:t>
      </w:r>
      <w:r>
        <w:rPr>
          <w:rStyle w:val="FootnoteReference"/>
          <w:noProof/>
        </w:rPr>
        <w:footnoteReference w:id="2"/>
      </w:r>
      <w:r>
        <w:rPr>
          <w:noProof/>
        </w:rPr>
        <w:t>,</w:t>
      </w:r>
    </w:p>
    <w:p>
      <w:pPr>
        <w:pStyle w:val="Tiret0"/>
        <w:rPr>
          <w:rFonts w:cs="Arial"/>
          <w:noProof/>
          <w:szCs w:val="18"/>
        </w:rPr>
      </w:pPr>
      <w:r>
        <w:rPr>
          <w:noProof/>
        </w:rPr>
        <w:t>the Council Decision 2014/335/EU, Euratom of 26 May 2014 on the system of own resources of the European Union</w:t>
      </w:r>
      <w:r>
        <w:rPr>
          <w:rStyle w:val="FootnoteReference"/>
          <w:noProof/>
        </w:rPr>
        <w:footnoteReference w:id="3"/>
      </w:r>
      <w:r>
        <w:rPr>
          <w:noProof/>
        </w:rPr>
        <w:t>,</w:t>
      </w:r>
    </w:p>
    <w:p>
      <w:pPr>
        <w:pStyle w:val="Tiret0"/>
        <w:numPr>
          <w:ilvl w:val="0"/>
          <w:numId w:val="24"/>
        </w:numPr>
        <w:rPr>
          <w:noProof/>
          <w:szCs w:val="18"/>
        </w:rPr>
      </w:pPr>
      <w:r>
        <w:rPr>
          <w:noProof/>
        </w:rPr>
        <w:t>the Regulation (EU, Euratom) No 2018/1046 of the European Parliament and of the Council of 18 July 2018 on the financial rules applicable to the general budget of the Union, amending Regulations (EU) No 1296/2013, (EU) No 1301/2013, (EU) No 1303/2013, (EU) No 1304/2013, (EU) No 1309/2013, (EU) No 1316/2013, (EU) No 223/2013, (EU) No 283/2014, and Decision No 541/2014/EU, and repealing Regulation (EU, Euratom) No 966/2012</w:t>
      </w:r>
      <w:r>
        <w:rPr>
          <w:rStyle w:val="FootnoteReference"/>
          <w:noProof/>
        </w:rPr>
        <w:footnoteReference w:id="4"/>
      </w:r>
      <w:r>
        <w:rPr>
          <w:noProof/>
        </w:rPr>
        <w:t>,</w:t>
      </w:r>
    </w:p>
    <w:p>
      <w:pPr>
        <w:pStyle w:val="Tiret0"/>
        <w:numPr>
          <w:ilvl w:val="0"/>
          <w:numId w:val="24"/>
        </w:numPr>
        <w:rPr>
          <w:noProof/>
        </w:rPr>
      </w:pPr>
      <w:r>
        <w:rPr>
          <w:noProof/>
        </w:rPr>
        <w:t>the original draft general budget of the European Union for the financial year 2019, presented by the Commission on 21 June 2018</w:t>
      </w:r>
      <w:r>
        <w:rPr>
          <w:rStyle w:val="FootnoteReference"/>
          <w:noProof/>
        </w:rPr>
        <w:footnoteReference w:id="5"/>
      </w:r>
      <w:r>
        <w:rPr>
          <w:noProof/>
        </w:rPr>
        <w:t>,</w:t>
      </w:r>
    </w:p>
    <w:p>
      <w:pPr>
        <w:pStyle w:val="Tiret0"/>
        <w:numPr>
          <w:ilvl w:val="0"/>
          <w:numId w:val="24"/>
        </w:numPr>
        <w:rPr>
          <w:noProof/>
        </w:rPr>
      </w:pPr>
      <w:r>
        <w:rPr>
          <w:noProof/>
        </w:rPr>
        <w:t>the Council’s position on the original draft general budget of the European Union for the financial year 2019 adopted by the Council on 4 September 2018</w:t>
      </w:r>
      <w:r>
        <w:rPr>
          <w:rStyle w:val="FootnoteReference"/>
          <w:noProof/>
        </w:rPr>
        <w:footnoteReference w:id="6"/>
      </w:r>
      <w:r>
        <w:rPr>
          <w:noProof/>
        </w:rPr>
        <w:t>,</w:t>
      </w:r>
    </w:p>
    <w:p>
      <w:pPr>
        <w:pStyle w:val="Tiret0"/>
        <w:numPr>
          <w:ilvl w:val="0"/>
          <w:numId w:val="24"/>
        </w:numPr>
        <w:rPr>
          <w:noProof/>
        </w:rPr>
      </w:pPr>
      <w:r>
        <w:rPr>
          <w:noProof/>
        </w:rPr>
        <w:t>the Amending letter 1/2019 to the original draft general budget 2019, presented by the Commission on 16 October 2018</w:t>
      </w:r>
      <w:r>
        <w:rPr>
          <w:rStyle w:val="FootnoteReference"/>
          <w:noProof/>
        </w:rPr>
        <w:footnoteReference w:id="7"/>
      </w:r>
      <w:r>
        <w:rPr>
          <w:noProof/>
        </w:rPr>
        <w:t>,</w:t>
      </w:r>
    </w:p>
    <w:p>
      <w:pPr>
        <w:pStyle w:val="Tiret0"/>
        <w:numPr>
          <w:ilvl w:val="0"/>
          <w:numId w:val="24"/>
        </w:numPr>
        <w:rPr>
          <w:noProof/>
        </w:rPr>
      </w:pPr>
      <w:r>
        <w:rPr>
          <w:noProof/>
        </w:rPr>
        <w:t>the European Parliament’s amendments on the Council’s position on the original draft general budget of the European Union for the financial year 2019, adopted by the European Parliament on 25 October 2018</w:t>
      </w:r>
      <w:r>
        <w:rPr>
          <w:rStyle w:val="FootnoteReference"/>
          <w:noProof/>
        </w:rPr>
        <w:footnoteReference w:id="8"/>
      </w:r>
      <w:r>
        <w:rPr>
          <w:noProof/>
        </w:rPr>
        <w:t>,</w:t>
      </w:r>
    </w:p>
    <w:p>
      <w:pPr>
        <w:spacing w:line="240" w:lineRule="auto"/>
        <w:jc w:val="both"/>
        <w:rPr>
          <w:noProof/>
          <w:lang w:val="en-GB" w:eastAsia="en-GB"/>
        </w:rPr>
      </w:pPr>
      <w:r>
        <w:rPr>
          <w:noProof/>
          <w:color w:val="000000"/>
          <w:lang w:val="en-GB"/>
        </w:rPr>
        <w:t>The European Commission hereby presents to the European Parliament and to the Council the general introduction to the second draft general budget for 2019</w:t>
      </w:r>
      <w:r>
        <w:rPr>
          <w:noProof/>
          <w:lang w:val="en-GB"/>
        </w:rPr>
        <w:t>.</w:t>
      </w:r>
    </w:p>
    <w:p>
      <w:pPr>
        <w:spacing w:line="240" w:lineRule="auto"/>
        <w:jc w:val="both"/>
        <w:rPr>
          <w:noProof/>
          <w:lang w:val="en-GB" w:eastAsia="en-GB"/>
        </w:rPr>
      </w:pPr>
      <w:r>
        <w:rPr>
          <w:noProof/>
          <w:lang w:val="en-GB" w:eastAsia="en-GB"/>
        </w:rPr>
        <w:t>Simultaneously with this general introduction, the full details by section of the second draft budget for 2019 are available on EUR-Lex (</w:t>
      </w:r>
      <w:hyperlink r:id="rId22" w:tooltip="blocked::http://eur-lex.europa.eu/budget/www/index-en.htm" w:history="1">
        <w:r>
          <w:rPr>
            <w:noProof/>
            <w:color w:val="0000FF"/>
            <w:u w:val="single"/>
            <w:lang w:val="en-GB"/>
          </w:rPr>
          <w:t>http://eur-lex.europa.eu/budget/www/index-en.htm</w:t>
        </w:r>
      </w:hyperlink>
      <w:r>
        <w:rPr>
          <w:noProof/>
          <w:lang w:val="en-GB" w:eastAsia="en-GB"/>
        </w:rPr>
        <w:t>) in all linguistic versions.</w:t>
      </w:r>
    </w:p>
    <w:p>
      <w:pPr>
        <w:spacing w:line="240" w:lineRule="auto"/>
        <w:jc w:val="both"/>
        <w:rPr>
          <w:noProof/>
          <w:lang w:val="en-GB"/>
        </w:rPr>
      </w:pPr>
    </w:p>
    <w:p>
      <w:pPr>
        <w:pStyle w:val="TOCHeading"/>
        <w:rPr>
          <w:noProof/>
        </w:rPr>
      </w:pPr>
      <w:r>
        <w:rPr>
          <w:noProof/>
        </w:rPr>
        <w:t>TABLE OF CONTENTS</w:t>
      </w:r>
    </w:p>
    <w:p>
      <w:pPr>
        <w:pStyle w:val="TOC1"/>
        <w:tabs>
          <w:tab w:val="left" w:pos="480"/>
          <w:tab w:val="right" w:leader="dot" w:pos="9770"/>
        </w:tabs>
        <w:rPr>
          <w:rFonts w:ascii="Times New Roman" w:eastAsiaTheme="minorEastAsia" w:hAnsi="Times New Roman" w:cs="Times New Roman"/>
          <w:b w:val="0"/>
          <w:bCs w:val="0"/>
          <w:caps w:val="0"/>
          <w:noProof/>
          <w:sz w:val="22"/>
          <w:szCs w:val="22"/>
          <w:lang w:eastAsia="en-GB"/>
        </w:rPr>
      </w:pPr>
      <w:r>
        <w:rPr>
          <w:rFonts w:ascii="Times New Roman" w:hAnsi="Times New Roman" w:cs="Times New Roman"/>
          <w:b w:val="0"/>
          <w:bCs w:val="0"/>
          <w:caps w:val="0"/>
          <w:noProof/>
        </w:rPr>
        <w:fldChar w:fldCharType="begin"/>
      </w:r>
      <w:r>
        <w:rPr>
          <w:rFonts w:ascii="Times New Roman" w:hAnsi="Times New Roman" w:cs="Times New Roman"/>
          <w:b w:val="0"/>
          <w:bCs w:val="0"/>
          <w:caps w:val="0"/>
          <w:noProof/>
        </w:rPr>
        <w:instrText xml:space="preserve"> TOC \o "1-3" \h \z \u </w:instrText>
      </w:r>
      <w:r>
        <w:rPr>
          <w:rFonts w:ascii="Times New Roman" w:hAnsi="Times New Roman" w:cs="Times New Roman"/>
          <w:b w:val="0"/>
          <w:bCs w:val="0"/>
          <w:caps w:val="0"/>
          <w:noProof/>
        </w:rPr>
        <w:fldChar w:fldCharType="separate"/>
      </w:r>
      <w:hyperlink w:anchor="_Toc530674093" w:history="1">
        <w:r>
          <w:rPr>
            <w:rStyle w:val="Hyperlink"/>
            <w:rFonts w:ascii="Times New Roman" w:hAnsi="Times New Roman"/>
            <w:noProof/>
          </w:rPr>
          <w:t>1.</w:t>
        </w:r>
        <w:r>
          <w:rPr>
            <w:rFonts w:ascii="Times New Roman" w:eastAsiaTheme="minorEastAsia" w:hAnsi="Times New Roman" w:cs="Times New Roman"/>
            <w:b w:val="0"/>
            <w:bCs w:val="0"/>
            <w:caps w:val="0"/>
            <w:noProof/>
            <w:sz w:val="22"/>
            <w:szCs w:val="22"/>
            <w:lang w:eastAsia="en-GB"/>
          </w:rPr>
          <w:tab/>
        </w:r>
        <w:r>
          <w:rPr>
            <w:rStyle w:val="Hyperlink"/>
            <w:rFonts w:ascii="Times New Roman" w:hAnsi="Times New Roman"/>
            <w:noProof/>
          </w:rPr>
          <w:t>Introduction</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_Toc530674093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4</w:t>
        </w:r>
        <w:r>
          <w:rPr>
            <w:rFonts w:ascii="Times New Roman" w:hAnsi="Times New Roman" w:cs="Times New Roman"/>
            <w:noProof/>
            <w:webHidden/>
          </w:rPr>
          <w:fldChar w:fldCharType="end"/>
        </w:r>
      </w:hyperlink>
    </w:p>
    <w:p>
      <w:pPr>
        <w:pStyle w:val="TOC1"/>
        <w:tabs>
          <w:tab w:val="left" w:pos="480"/>
          <w:tab w:val="right" w:leader="dot" w:pos="9770"/>
        </w:tabs>
        <w:rPr>
          <w:rFonts w:ascii="Times New Roman" w:eastAsiaTheme="minorEastAsia" w:hAnsi="Times New Roman" w:cs="Times New Roman"/>
          <w:b w:val="0"/>
          <w:bCs w:val="0"/>
          <w:caps w:val="0"/>
          <w:noProof/>
          <w:sz w:val="22"/>
          <w:szCs w:val="22"/>
          <w:lang w:eastAsia="en-GB"/>
        </w:rPr>
      </w:pPr>
      <w:hyperlink w:anchor="_Toc530674094" w:history="1">
        <w:r>
          <w:rPr>
            <w:rStyle w:val="Hyperlink"/>
            <w:rFonts w:ascii="Times New Roman" w:hAnsi="Times New Roman"/>
            <w:noProof/>
          </w:rPr>
          <w:t>2.</w:t>
        </w:r>
        <w:r>
          <w:rPr>
            <w:rFonts w:ascii="Times New Roman" w:eastAsiaTheme="minorEastAsia" w:hAnsi="Times New Roman" w:cs="Times New Roman"/>
            <w:b w:val="0"/>
            <w:bCs w:val="0"/>
            <w:caps w:val="0"/>
            <w:noProof/>
            <w:sz w:val="22"/>
            <w:szCs w:val="22"/>
            <w:lang w:eastAsia="en-GB"/>
          </w:rPr>
          <w:tab/>
        </w:r>
        <w:r>
          <w:rPr>
            <w:rStyle w:val="Hyperlink"/>
            <w:rFonts w:ascii="Times New Roman" w:hAnsi="Times New Roman"/>
            <w:noProof/>
          </w:rPr>
          <w:t>The multiannual financial framework and the Second 2019 draft budget</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_Toc530674094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w:t>
        </w:r>
        <w:r>
          <w:rPr>
            <w:rFonts w:ascii="Times New Roman" w:hAnsi="Times New Roman" w:cs="Times New Roman"/>
            <w:noProof/>
            <w:webHidden/>
          </w:rPr>
          <w:fldChar w:fldCharType="end"/>
        </w:r>
      </w:hyperlink>
    </w:p>
    <w:p>
      <w:pPr>
        <w:pStyle w:val="TOC2"/>
        <w:tabs>
          <w:tab w:val="left" w:pos="960"/>
          <w:tab w:val="right" w:leader="dot" w:pos="9770"/>
        </w:tabs>
        <w:rPr>
          <w:rFonts w:ascii="Times New Roman" w:eastAsiaTheme="minorEastAsia" w:hAnsi="Times New Roman" w:cs="Times New Roman"/>
          <w:smallCaps w:val="0"/>
          <w:noProof/>
          <w:sz w:val="22"/>
          <w:szCs w:val="22"/>
          <w:lang w:eastAsia="en-GB"/>
        </w:rPr>
      </w:pPr>
      <w:hyperlink w:anchor="_Toc530674095" w:history="1">
        <w:r>
          <w:rPr>
            <w:rStyle w:val="Hyperlink"/>
            <w:rFonts w:ascii="Times New Roman" w:hAnsi="Times New Roman"/>
            <w:noProof/>
          </w:rPr>
          <w:t>2.1.</w:t>
        </w:r>
        <w:r>
          <w:rPr>
            <w:rFonts w:ascii="Times New Roman" w:eastAsiaTheme="minorEastAsia" w:hAnsi="Times New Roman" w:cs="Times New Roman"/>
            <w:smallCaps w:val="0"/>
            <w:noProof/>
            <w:sz w:val="22"/>
            <w:szCs w:val="22"/>
            <w:lang w:eastAsia="en-GB"/>
          </w:rPr>
          <w:tab/>
        </w:r>
        <w:r>
          <w:rPr>
            <w:rStyle w:val="Hyperlink"/>
            <w:rFonts w:ascii="Times New Roman" w:hAnsi="Times New Roman"/>
            <w:noProof/>
          </w:rPr>
          <w:t>Ceilings of the multiannual financial framework for the 2019 budget</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_Toc530674095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w:t>
        </w:r>
        <w:r>
          <w:rPr>
            <w:rFonts w:ascii="Times New Roman" w:hAnsi="Times New Roman" w:cs="Times New Roman"/>
            <w:noProof/>
            <w:webHidden/>
          </w:rPr>
          <w:fldChar w:fldCharType="end"/>
        </w:r>
      </w:hyperlink>
    </w:p>
    <w:p>
      <w:pPr>
        <w:pStyle w:val="TOC2"/>
        <w:tabs>
          <w:tab w:val="left" w:pos="960"/>
          <w:tab w:val="right" w:leader="dot" w:pos="9770"/>
        </w:tabs>
        <w:rPr>
          <w:rFonts w:ascii="Times New Roman" w:eastAsiaTheme="minorEastAsia" w:hAnsi="Times New Roman" w:cs="Times New Roman"/>
          <w:smallCaps w:val="0"/>
          <w:noProof/>
          <w:sz w:val="22"/>
          <w:szCs w:val="22"/>
          <w:lang w:eastAsia="en-GB"/>
        </w:rPr>
      </w:pPr>
      <w:hyperlink w:anchor="_Toc530674096" w:history="1">
        <w:r>
          <w:rPr>
            <w:rStyle w:val="Hyperlink"/>
            <w:rFonts w:ascii="Times New Roman" w:hAnsi="Times New Roman"/>
            <w:noProof/>
          </w:rPr>
          <w:t>2.2.</w:t>
        </w:r>
        <w:r>
          <w:rPr>
            <w:rFonts w:ascii="Times New Roman" w:eastAsiaTheme="minorEastAsia" w:hAnsi="Times New Roman" w:cs="Times New Roman"/>
            <w:smallCaps w:val="0"/>
            <w:noProof/>
            <w:sz w:val="22"/>
            <w:szCs w:val="22"/>
            <w:lang w:eastAsia="en-GB"/>
          </w:rPr>
          <w:tab/>
        </w:r>
        <w:r>
          <w:rPr>
            <w:rStyle w:val="Hyperlink"/>
            <w:rFonts w:ascii="Times New Roman" w:hAnsi="Times New Roman"/>
            <w:noProof/>
          </w:rPr>
          <w:t>Overview of the second 2019 draft budget</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_Toc530674096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w:t>
        </w:r>
        <w:r>
          <w:rPr>
            <w:rFonts w:ascii="Times New Roman" w:hAnsi="Times New Roman" w:cs="Times New Roman"/>
            <w:noProof/>
            <w:webHidden/>
          </w:rPr>
          <w:fldChar w:fldCharType="end"/>
        </w:r>
      </w:hyperlink>
    </w:p>
    <w:p>
      <w:pPr>
        <w:pStyle w:val="TOC1"/>
        <w:tabs>
          <w:tab w:val="left" w:pos="480"/>
          <w:tab w:val="right" w:leader="dot" w:pos="9770"/>
        </w:tabs>
        <w:rPr>
          <w:rFonts w:ascii="Times New Roman" w:eastAsiaTheme="minorEastAsia" w:hAnsi="Times New Roman" w:cs="Times New Roman"/>
          <w:b w:val="0"/>
          <w:bCs w:val="0"/>
          <w:caps w:val="0"/>
          <w:noProof/>
          <w:sz w:val="22"/>
          <w:szCs w:val="22"/>
          <w:lang w:eastAsia="en-GB"/>
        </w:rPr>
      </w:pPr>
      <w:hyperlink w:anchor="_Toc530674097" w:history="1">
        <w:r>
          <w:rPr>
            <w:rStyle w:val="Hyperlink"/>
            <w:rFonts w:ascii="Times New Roman" w:hAnsi="Times New Roman"/>
            <w:noProof/>
          </w:rPr>
          <w:t>3.</w:t>
        </w:r>
        <w:r>
          <w:rPr>
            <w:rFonts w:ascii="Times New Roman" w:eastAsiaTheme="minorEastAsia" w:hAnsi="Times New Roman" w:cs="Times New Roman"/>
            <w:b w:val="0"/>
            <w:bCs w:val="0"/>
            <w:caps w:val="0"/>
            <w:noProof/>
            <w:sz w:val="22"/>
            <w:szCs w:val="22"/>
            <w:lang w:eastAsia="en-GB"/>
          </w:rPr>
          <w:tab/>
        </w:r>
        <w:r>
          <w:rPr>
            <w:rStyle w:val="Hyperlink"/>
            <w:rFonts w:ascii="Times New Roman" w:hAnsi="Times New Roman"/>
            <w:noProof/>
          </w:rPr>
          <w:t>Key Elements of the Second Draft Budget Proposal</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_Toc530674097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7</w:t>
        </w:r>
        <w:r>
          <w:rPr>
            <w:rFonts w:ascii="Times New Roman" w:hAnsi="Times New Roman" w:cs="Times New Roman"/>
            <w:noProof/>
            <w:webHidden/>
          </w:rPr>
          <w:fldChar w:fldCharType="end"/>
        </w:r>
      </w:hyperlink>
    </w:p>
    <w:p>
      <w:pPr>
        <w:pStyle w:val="TOC2"/>
        <w:tabs>
          <w:tab w:val="left" w:pos="960"/>
          <w:tab w:val="right" w:leader="dot" w:pos="9770"/>
        </w:tabs>
        <w:rPr>
          <w:rFonts w:ascii="Times New Roman" w:eastAsiaTheme="minorEastAsia" w:hAnsi="Times New Roman" w:cs="Times New Roman"/>
          <w:smallCaps w:val="0"/>
          <w:noProof/>
          <w:sz w:val="22"/>
          <w:szCs w:val="22"/>
          <w:lang w:eastAsia="en-GB"/>
        </w:rPr>
      </w:pPr>
      <w:hyperlink w:anchor="_Toc530674098" w:history="1">
        <w:r>
          <w:rPr>
            <w:rStyle w:val="Hyperlink"/>
            <w:rFonts w:ascii="Times New Roman" w:hAnsi="Times New Roman"/>
            <w:noProof/>
          </w:rPr>
          <w:t>3.1.</w:t>
        </w:r>
        <w:r>
          <w:rPr>
            <w:rFonts w:ascii="Times New Roman" w:eastAsiaTheme="minorEastAsia" w:hAnsi="Times New Roman" w:cs="Times New Roman"/>
            <w:smallCaps w:val="0"/>
            <w:noProof/>
            <w:sz w:val="22"/>
            <w:szCs w:val="22"/>
            <w:lang w:eastAsia="en-GB"/>
          </w:rPr>
          <w:tab/>
        </w:r>
        <w:r>
          <w:rPr>
            <w:rStyle w:val="Hyperlink"/>
            <w:rFonts w:ascii="Times New Roman" w:hAnsi="Times New Roman"/>
            <w:noProof/>
          </w:rPr>
          <w:t>Horizontal issues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_Toc530674098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7</w:t>
        </w:r>
        <w:r>
          <w:rPr>
            <w:rFonts w:ascii="Times New Roman" w:hAnsi="Times New Roman" w:cs="Times New Roman"/>
            <w:noProof/>
            <w:webHidden/>
          </w:rPr>
          <w:fldChar w:fldCharType="end"/>
        </w:r>
      </w:hyperlink>
    </w:p>
    <w:p>
      <w:pPr>
        <w:pStyle w:val="TOC3"/>
        <w:tabs>
          <w:tab w:val="left" w:pos="1200"/>
          <w:tab w:val="right" w:leader="dot" w:pos="9770"/>
        </w:tabs>
        <w:rPr>
          <w:rFonts w:ascii="Times New Roman" w:eastAsiaTheme="minorEastAsia" w:hAnsi="Times New Roman" w:cs="Times New Roman"/>
          <w:i w:val="0"/>
          <w:iCs w:val="0"/>
          <w:noProof/>
          <w:sz w:val="22"/>
          <w:szCs w:val="22"/>
          <w:lang w:eastAsia="en-GB"/>
        </w:rPr>
      </w:pPr>
      <w:hyperlink w:anchor="_Toc530674099" w:history="1">
        <w:r>
          <w:rPr>
            <w:rStyle w:val="Hyperlink"/>
            <w:rFonts w:ascii="Times New Roman" w:hAnsi="Times New Roman"/>
            <w:noProof/>
          </w:rPr>
          <w:t>3.1.1.</w:t>
        </w:r>
        <w:r>
          <w:rPr>
            <w:rFonts w:ascii="Times New Roman" w:eastAsiaTheme="minorEastAsia" w:hAnsi="Times New Roman" w:cs="Times New Roman"/>
            <w:i w:val="0"/>
            <w:iCs w:val="0"/>
            <w:noProof/>
            <w:sz w:val="22"/>
            <w:szCs w:val="22"/>
            <w:lang w:eastAsia="en-GB"/>
          </w:rPr>
          <w:tab/>
        </w:r>
        <w:r>
          <w:rPr>
            <w:rStyle w:val="Hyperlink"/>
            <w:rFonts w:ascii="Times New Roman" w:hAnsi="Times New Roman"/>
            <w:noProof/>
          </w:rPr>
          <w:t>Decentralised agencies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_Toc530674099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7</w:t>
        </w:r>
        <w:r>
          <w:rPr>
            <w:rFonts w:ascii="Times New Roman" w:hAnsi="Times New Roman" w:cs="Times New Roman"/>
            <w:noProof/>
            <w:webHidden/>
          </w:rPr>
          <w:fldChar w:fldCharType="end"/>
        </w:r>
      </w:hyperlink>
    </w:p>
    <w:p>
      <w:pPr>
        <w:pStyle w:val="TOC3"/>
        <w:tabs>
          <w:tab w:val="left" w:pos="1200"/>
          <w:tab w:val="right" w:leader="dot" w:pos="9770"/>
        </w:tabs>
        <w:rPr>
          <w:rFonts w:ascii="Times New Roman" w:eastAsiaTheme="minorEastAsia" w:hAnsi="Times New Roman" w:cs="Times New Roman"/>
          <w:i w:val="0"/>
          <w:iCs w:val="0"/>
          <w:noProof/>
          <w:sz w:val="22"/>
          <w:szCs w:val="22"/>
          <w:lang w:eastAsia="en-GB"/>
        </w:rPr>
      </w:pPr>
      <w:hyperlink w:anchor="_Toc530674100" w:history="1">
        <w:r>
          <w:rPr>
            <w:rStyle w:val="Hyperlink"/>
            <w:rFonts w:ascii="Times New Roman" w:hAnsi="Times New Roman"/>
            <w:noProof/>
          </w:rPr>
          <w:t>3.1.2.</w:t>
        </w:r>
        <w:r>
          <w:rPr>
            <w:rFonts w:ascii="Times New Roman" w:eastAsiaTheme="minorEastAsia" w:hAnsi="Times New Roman" w:cs="Times New Roman"/>
            <w:i w:val="0"/>
            <w:iCs w:val="0"/>
            <w:noProof/>
            <w:sz w:val="22"/>
            <w:szCs w:val="22"/>
            <w:lang w:eastAsia="en-GB"/>
          </w:rPr>
          <w:tab/>
        </w:r>
        <w:r>
          <w:rPr>
            <w:rStyle w:val="Hyperlink"/>
            <w:rFonts w:ascii="Times New Roman" w:hAnsi="Times New Roman"/>
            <w:noProof/>
          </w:rPr>
          <w:t>Executive agencies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_Toc530674100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8</w:t>
        </w:r>
        <w:r>
          <w:rPr>
            <w:rFonts w:ascii="Times New Roman" w:hAnsi="Times New Roman" w:cs="Times New Roman"/>
            <w:noProof/>
            <w:webHidden/>
          </w:rPr>
          <w:fldChar w:fldCharType="end"/>
        </w:r>
      </w:hyperlink>
    </w:p>
    <w:p>
      <w:pPr>
        <w:pStyle w:val="TOC3"/>
        <w:tabs>
          <w:tab w:val="left" w:pos="1200"/>
          <w:tab w:val="right" w:leader="dot" w:pos="9770"/>
        </w:tabs>
        <w:rPr>
          <w:rFonts w:ascii="Times New Roman" w:eastAsiaTheme="minorEastAsia" w:hAnsi="Times New Roman" w:cs="Times New Roman"/>
          <w:i w:val="0"/>
          <w:iCs w:val="0"/>
          <w:noProof/>
          <w:sz w:val="22"/>
          <w:szCs w:val="22"/>
          <w:lang w:eastAsia="en-GB"/>
        </w:rPr>
      </w:pPr>
      <w:hyperlink w:anchor="_Toc530674101" w:history="1">
        <w:r>
          <w:rPr>
            <w:rStyle w:val="Hyperlink"/>
            <w:rFonts w:ascii="Times New Roman" w:hAnsi="Times New Roman"/>
            <w:noProof/>
          </w:rPr>
          <w:t>3.1.3.</w:t>
        </w:r>
        <w:r>
          <w:rPr>
            <w:rFonts w:ascii="Times New Roman" w:eastAsiaTheme="minorEastAsia" w:hAnsi="Times New Roman" w:cs="Times New Roman"/>
            <w:i w:val="0"/>
            <w:iCs w:val="0"/>
            <w:noProof/>
            <w:sz w:val="22"/>
            <w:szCs w:val="22"/>
            <w:lang w:eastAsia="en-GB"/>
          </w:rPr>
          <w:tab/>
        </w:r>
        <w:r>
          <w:rPr>
            <w:rStyle w:val="Hyperlink"/>
            <w:rFonts w:ascii="Times New Roman" w:hAnsi="Times New Roman"/>
            <w:noProof/>
          </w:rPr>
          <w:t>Pilot Projects and Preparatory Actions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_Toc530674101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8</w:t>
        </w:r>
        <w:r>
          <w:rPr>
            <w:rFonts w:ascii="Times New Roman" w:hAnsi="Times New Roman" w:cs="Times New Roman"/>
            <w:noProof/>
            <w:webHidden/>
          </w:rPr>
          <w:fldChar w:fldCharType="end"/>
        </w:r>
      </w:hyperlink>
    </w:p>
    <w:p>
      <w:pPr>
        <w:pStyle w:val="TOC2"/>
        <w:tabs>
          <w:tab w:val="left" w:pos="960"/>
          <w:tab w:val="right" w:leader="dot" w:pos="9770"/>
        </w:tabs>
        <w:rPr>
          <w:rFonts w:ascii="Times New Roman" w:eastAsiaTheme="minorEastAsia" w:hAnsi="Times New Roman" w:cs="Times New Roman"/>
          <w:smallCaps w:val="0"/>
          <w:noProof/>
          <w:sz w:val="22"/>
          <w:szCs w:val="22"/>
          <w:lang w:eastAsia="en-GB"/>
        </w:rPr>
      </w:pPr>
      <w:hyperlink w:anchor="_Toc530674102" w:history="1">
        <w:r>
          <w:rPr>
            <w:rStyle w:val="Hyperlink"/>
            <w:rFonts w:ascii="Times New Roman" w:hAnsi="Times New Roman"/>
            <w:noProof/>
          </w:rPr>
          <w:t>3.2.</w:t>
        </w:r>
        <w:r>
          <w:rPr>
            <w:rFonts w:ascii="Times New Roman" w:eastAsiaTheme="minorEastAsia" w:hAnsi="Times New Roman" w:cs="Times New Roman"/>
            <w:smallCaps w:val="0"/>
            <w:noProof/>
            <w:sz w:val="22"/>
            <w:szCs w:val="22"/>
            <w:lang w:eastAsia="en-GB"/>
          </w:rPr>
          <w:tab/>
        </w:r>
        <w:r>
          <w:rPr>
            <w:rStyle w:val="Hyperlink"/>
            <w:rFonts w:ascii="Times New Roman" w:hAnsi="Times New Roman"/>
            <w:noProof/>
          </w:rPr>
          <w:t>General approach for commitment appropriations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_Toc530674102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9</w:t>
        </w:r>
        <w:r>
          <w:rPr>
            <w:rFonts w:ascii="Times New Roman" w:hAnsi="Times New Roman" w:cs="Times New Roman"/>
            <w:noProof/>
            <w:webHidden/>
          </w:rPr>
          <w:fldChar w:fldCharType="end"/>
        </w:r>
      </w:hyperlink>
    </w:p>
    <w:p>
      <w:pPr>
        <w:pStyle w:val="TOC3"/>
        <w:tabs>
          <w:tab w:val="left" w:pos="1200"/>
          <w:tab w:val="right" w:leader="dot" w:pos="9770"/>
        </w:tabs>
        <w:rPr>
          <w:rFonts w:ascii="Times New Roman" w:eastAsiaTheme="minorEastAsia" w:hAnsi="Times New Roman" w:cs="Times New Roman"/>
          <w:i w:val="0"/>
          <w:iCs w:val="0"/>
          <w:noProof/>
          <w:sz w:val="22"/>
          <w:szCs w:val="22"/>
          <w:lang w:eastAsia="en-GB"/>
        </w:rPr>
      </w:pPr>
      <w:hyperlink w:anchor="_Toc530674103" w:history="1">
        <w:r>
          <w:rPr>
            <w:rStyle w:val="Hyperlink"/>
            <w:rFonts w:ascii="Times New Roman" w:hAnsi="Times New Roman"/>
            <w:noProof/>
          </w:rPr>
          <w:t>3.2.1.</w:t>
        </w:r>
        <w:r>
          <w:rPr>
            <w:rFonts w:ascii="Times New Roman" w:eastAsiaTheme="minorEastAsia" w:hAnsi="Times New Roman" w:cs="Times New Roman"/>
            <w:i w:val="0"/>
            <w:iCs w:val="0"/>
            <w:noProof/>
            <w:sz w:val="22"/>
            <w:szCs w:val="22"/>
            <w:lang w:eastAsia="en-GB"/>
          </w:rPr>
          <w:tab/>
        </w:r>
        <w:r>
          <w:rPr>
            <w:rStyle w:val="Hyperlink"/>
            <w:rFonts w:ascii="Times New Roman" w:hAnsi="Times New Roman"/>
            <w:noProof/>
          </w:rPr>
          <w:t>Heading 1a — Competitiveness for Growth and Jobs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_Toc530674103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9</w:t>
        </w:r>
        <w:r>
          <w:rPr>
            <w:rFonts w:ascii="Times New Roman" w:hAnsi="Times New Roman" w:cs="Times New Roman"/>
            <w:noProof/>
            <w:webHidden/>
          </w:rPr>
          <w:fldChar w:fldCharType="end"/>
        </w:r>
      </w:hyperlink>
    </w:p>
    <w:p>
      <w:pPr>
        <w:pStyle w:val="TOC3"/>
        <w:tabs>
          <w:tab w:val="left" w:pos="1200"/>
          <w:tab w:val="right" w:leader="dot" w:pos="9770"/>
        </w:tabs>
        <w:rPr>
          <w:rFonts w:ascii="Times New Roman" w:eastAsiaTheme="minorEastAsia" w:hAnsi="Times New Roman" w:cs="Times New Roman"/>
          <w:i w:val="0"/>
          <w:iCs w:val="0"/>
          <w:noProof/>
          <w:sz w:val="22"/>
          <w:szCs w:val="22"/>
          <w:lang w:eastAsia="en-GB"/>
        </w:rPr>
      </w:pPr>
      <w:hyperlink w:anchor="_Toc530674104" w:history="1">
        <w:r>
          <w:rPr>
            <w:rStyle w:val="Hyperlink"/>
            <w:rFonts w:ascii="Times New Roman" w:hAnsi="Times New Roman"/>
            <w:noProof/>
          </w:rPr>
          <w:t>3.2.2.</w:t>
        </w:r>
        <w:r>
          <w:rPr>
            <w:rFonts w:ascii="Times New Roman" w:eastAsiaTheme="minorEastAsia" w:hAnsi="Times New Roman" w:cs="Times New Roman"/>
            <w:i w:val="0"/>
            <w:iCs w:val="0"/>
            <w:noProof/>
            <w:sz w:val="22"/>
            <w:szCs w:val="22"/>
            <w:lang w:eastAsia="en-GB"/>
          </w:rPr>
          <w:tab/>
        </w:r>
        <w:r>
          <w:rPr>
            <w:rStyle w:val="Hyperlink"/>
            <w:rFonts w:ascii="Times New Roman" w:hAnsi="Times New Roman"/>
            <w:noProof/>
          </w:rPr>
          <w:t>Heading 1b — Economic, Social and Territorial Cohesion</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_Toc530674104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11</w:t>
        </w:r>
        <w:r>
          <w:rPr>
            <w:rFonts w:ascii="Times New Roman" w:hAnsi="Times New Roman" w:cs="Times New Roman"/>
            <w:noProof/>
            <w:webHidden/>
          </w:rPr>
          <w:fldChar w:fldCharType="end"/>
        </w:r>
      </w:hyperlink>
    </w:p>
    <w:p>
      <w:pPr>
        <w:pStyle w:val="TOC3"/>
        <w:tabs>
          <w:tab w:val="left" w:pos="1200"/>
          <w:tab w:val="right" w:leader="dot" w:pos="9770"/>
        </w:tabs>
        <w:rPr>
          <w:rFonts w:ascii="Times New Roman" w:eastAsiaTheme="minorEastAsia" w:hAnsi="Times New Roman" w:cs="Times New Roman"/>
          <w:i w:val="0"/>
          <w:iCs w:val="0"/>
          <w:noProof/>
          <w:sz w:val="22"/>
          <w:szCs w:val="22"/>
          <w:lang w:eastAsia="en-GB"/>
        </w:rPr>
      </w:pPr>
      <w:hyperlink w:anchor="_Toc530674105" w:history="1">
        <w:r>
          <w:rPr>
            <w:rStyle w:val="Hyperlink"/>
            <w:rFonts w:ascii="Times New Roman" w:hAnsi="Times New Roman"/>
            <w:noProof/>
          </w:rPr>
          <w:t>3.2.3.</w:t>
        </w:r>
        <w:r>
          <w:rPr>
            <w:rFonts w:ascii="Times New Roman" w:eastAsiaTheme="minorEastAsia" w:hAnsi="Times New Roman" w:cs="Times New Roman"/>
            <w:i w:val="0"/>
            <w:iCs w:val="0"/>
            <w:noProof/>
            <w:sz w:val="22"/>
            <w:szCs w:val="22"/>
            <w:lang w:eastAsia="en-GB"/>
          </w:rPr>
          <w:tab/>
        </w:r>
        <w:r>
          <w:rPr>
            <w:rStyle w:val="Hyperlink"/>
            <w:rFonts w:ascii="Times New Roman" w:hAnsi="Times New Roman"/>
            <w:noProof/>
          </w:rPr>
          <w:t>Heading 2 — Sustainable Growth: Natural Resources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_Toc530674105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11</w:t>
        </w:r>
        <w:r>
          <w:rPr>
            <w:rFonts w:ascii="Times New Roman" w:hAnsi="Times New Roman" w:cs="Times New Roman"/>
            <w:noProof/>
            <w:webHidden/>
          </w:rPr>
          <w:fldChar w:fldCharType="end"/>
        </w:r>
      </w:hyperlink>
    </w:p>
    <w:p>
      <w:pPr>
        <w:pStyle w:val="TOC3"/>
        <w:tabs>
          <w:tab w:val="left" w:pos="1200"/>
          <w:tab w:val="right" w:leader="dot" w:pos="9770"/>
        </w:tabs>
        <w:rPr>
          <w:rFonts w:ascii="Times New Roman" w:eastAsiaTheme="minorEastAsia" w:hAnsi="Times New Roman" w:cs="Times New Roman"/>
          <w:i w:val="0"/>
          <w:iCs w:val="0"/>
          <w:noProof/>
          <w:sz w:val="22"/>
          <w:szCs w:val="22"/>
          <w:lang w:eastAsia="en-GB"/>
        </w:rPr>
      </w:pPr>
      <w:hyperlink w:anchor="_Toc530674106" w:history="1">
        <w:r>
          <w:rPr>
            <w:rStyle w:val="Hyperlink"/>
            <w:rFonts w:ascii="Times New Roman" w:hAnsi="Times New Roman"/>
            <w:noProof/>
          </w:rPr>
          <w:t>3.2.4.</w:t>
        </w:r>
        <w:r>
          <w:rPr>
            <w:rFonts w:ascii="Times New Roman" w:eastAsiaTheme="minorEastAsia" w:hAnsi="Times New Roman" w:cs="Times New Roman"/>
            <w:i w:val="0"/>
            <w:iCs w:val="0"/>
            <w:noProof/>
            <w:sz w:val="22"/>
            <w:szCs w:val="22"/>
            <w:lang w:eastAsia="en-GB"/>
          </w:rPr>
          <w:tab/>
        </w:r>
        <w:r>
          <w:rPr>
            <w:rStyle w:val="Hyperlink"/>
            <w:rFonts w:ascii="Times New Roman" w:hAnsi="Times New Roman"/>
            <w:noProof/>
          </w:rPr>
          <w:t>Heading 3 — Security and Citizenship</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_Toc530674106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12</w:t>
        </w:r>
        <w:r>
          <w:rPr>
            <w:rFonts w:ascii="Times New Roman" w:hAnsi="Times New Roman" w:cs="Times New Roman"/>
            <w:noProof/>
            <w:webHidden/>
          </w:rPr>
          <w:fldChar w:fldCharType="end"/>
        </w:r>
      </w:hyperlink>
    </w:p>
    <w:p>
      <w:pPr>
        <w:pStyle w:val="TOC3"/>
        <w:tabs>
          <w:tab w:val="left" w:pos="1200"/>
          <w:tab w:val="right" w:leader="dot" w:pos="9770"/>
        </w:tabs>
        <w:rPr>
          <w:rFonts w:ascii="Times New Roman" w:eastAsiaTheme="minorEastAsia" w:hAnsi="Times New Roman" w:cs="Times New Roman"/>
          <w:i w:val="0"/>
          <w:iCs w:val="0"/>
          <w:noProof/>
          <w:sz w:val="22"/>
          <w:szCs w:val="22"/>
          <w:lang w:eastAsia="en-GB"/>
        </w:rPr>
      </w:pPr>
      <w:hyperlink w:anchor="_Toc530674107" w:history="1">
        <w:r>
          <w:rPr>
            <w:rStyle w:val="Hyperlink"/>
            <w:rFonts w:ascii="Times New Roman" w:hAnsi="Times New Roman"/>
            <w:noProof/>
          </w:rPr>
          <w:t>3.2.5.</w:t>
        </w:r>
        <w:r>
          <w:rPr>
            <w:rFonts w:ascii="Times New Roman" w:eastAsiaTheme="minorEastAsia" w:hAnsi="Times New Roman" w:cs="Times New Roman"/>
            <w:i w:val="0"/>
            <w:iCs w:val="0"/>
            <w:noProof/>
            <w:sz w:val="22"/>
            <w:szCs w:val="22"/>
            <w:lang w:eastAsia="en-GB"/>
          </w:rPr>
          <w:tab/>
        </w:r>
        <w:r>
          <w:rPr>
            <w:rStyle w:val="Hyperlink"/>
            <w:rFonts w:ascii="Times New Roman" w:hAnsi="Times New Roman"/>
            <w:noProof/>
          </w:rPr>
          <w:t>Heading 4 — Global Europe</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_Toc530674107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12</w:t>
        </w:r>
        <w:r>
          <w:rPr>
            <w:rFonts w:ascii="Times New Roman" w:hAnsi="Times New Roman" w:cs="Times New Roman"/>
            <w:noProof/>
            <w:webHidden/>
          </w:rPr>
          <w:fldChar w:fldCharType="end"/>
        </w:r>
      </w:hyperlink>
    </w:p>
    <w:p>
      <w:pPr>
        <w:pStyle w:val="TOC3"/>
        <w:tabs>
          <w:tab w:val="left" w:pos="1200"/>
          <w:tab w:val="right" w:leader="dot" w:pos="9770"/>
        </w:tabs>
        <w:rPr>
          <w:rFonts w:ascii="Times New Roman" w:eastAsiaTheme="minorEastAsia" w:hAnsi="Times New Roman" w:cs="Times New Roman"/>
          <w:i w:val="0"/>
          <w:iCs w:val="0"/>
          <w:noProof/>
          <w:sz w:val="22"/>
          <w:szCs w:val="22"/>
          <w:lang w:eastAsia="en-GB"/>
        </w:rPr>
      </w:pPr>
      <w:hyperlink w:anchor="_Toc530674108" w:history="1">
        <w:r>
          <w:rPr>
            <w:rStyle w:val="Hyperlink"/>
            <w:rFonts w:ascii="Times New Roman" w:hAnsi="Times New Roman"/>
            <w:noProof/>
          </w:rPr>
          <w:t>3.2.6.</w:t>
        </w:r>
        <w:r>
          <w:rPr>
            <w:rFonts w:ascii="Times New Roman" w:eastAsiaTheme="minorEastAsia" w:hAnsi="Times New Roman" w:cs="Times New Roman"/>
            <w:i w:val="0"/>
            <w:iCs w:val="0"/>
            <w:noProof/>
            <w:sz w:val="22"/>
            <w:szCs w:val="22"/>
            <w:lang w:eastAsia="en-GB"/>
          </w:rPr>
          <w:tab/>
        </w:r>
        <w:r>
          <w:rPr>
            <w:rStyle w:val="Hyperlink"/>
            <w:rFonts w:ascii="Times New Roman" w:hAnsi="Times New Roman"/>
            <w:noProof/>
          </w:rPr>
          <w:t>Heading 5 — Administration</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_Toc530674108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14</w:t>
        </w:r>
        <w:r>
          <w:rPr>
            <w:rFonts w:ascii="Times New Roman" w:hAnsi="Times New Roman" w:cs="Times New Roman"/>
            <w:noProof/>
            <w:webHidden/>
          </w:rPr>
          <w:fldChar w:fldCharType="end"/>
        </w:r>
      </w:hyperlink>
    </w:p>
    <w:p>
      <w:pPr>
        <w:pStyle w:val="TOC3"/>
        <w:tabs>
          <w:tab w:val="left" w:pos="1200"/>
          <w:tab w:val="right" w:leader="dot" w:pos="9770"/>
        </w:tabs>
        <w:rPr>
          <w:rFonts w:ascii="Times New Roman" w:eastAsiaTheme="minorEastAsia" w:hAnsi="Times New Roman" w:cs="Times New Roman"/>
          <w:i w:val="0"/>
          <w:iCs w:val="0"/>
          <w:noProof/>
          <w:sz w:val="22"/>
          <w:szCs w:val="22"/>
          <w:lang w:eastAsia="en-GB"/>
        </w:rPr>
      </w:pPr>
      <w:hyperlink w:anchor="_Toc530674109" w:history="1">
        <w:r>
          <w:rPr>
            <w:rStyle w:val="Hyperlink"/>
            <w:rFonts w:ascii="Times New Roman" w:hAnsi="Times New Roman"/>
            <w:noProof/>
          </w:rPr>
          <w:t>3.2.7.</w:t>
        </w:r>
        <w:r>
          <w:rPr>
            <w:rFonts w:ascii="Times New Roman" w:eastAsiaTheme="minorEastAsia" w:hAnsi="Times New Roman" w:cs="Times New Roman"/>
            <w:i w:val="0"/>
            <w:iCs w:val="0"/>
            <w:noProof/>
            <w:sz w:val="22"/>
            <w:szCs w:val="22"/>
            <w:lang w:eastAsia="en-GB"/>
          </w:rPr>
          <w:tab/>
        </w:r>
        <w:r>
          <w:rPr>
            <w:rStyle w:val="Hyperlink"/>
            <w:rFonts w:ascii="Times New Roman" w:hAnsi="Times New Roman"/>
            <w:noProof/>
          </w:rPr>
          <w:t>Special instruments: EGF, EAR and EUSF</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_Toc530674109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15</w:t>
        </w:r>
        <w:r>
          <w:rPr>
            <w:rFonts w:ascii="Times New Roman" w:hAnsi="Times New Roman" w:cs="Times New Roman"/>
            <w:noProof/>
            <w:webHidden/>
          </w:rPr>
          <w:fldChar w:fldCharType="end"/>
        </w:r>
      </w:hyperlink>
    </w:p>
    <w:p>
      <w:pPr>
        <w:pStyle w:val="TOC2"/>
        <w:tabs>
          <w:tab w:val="left" w:pos="960"/>
          <w:tab w:val="right" w:leader="dot" w:pos="9770"/>
        </w:tabs>
        <w:rPr>
          <w:rFonts w:ascii="Times New Roman" w:eastAsiaTheme="minorEastAsia" w:hAnsi="Times New Roman" w:cs="Times New Roman"/>
          <w:smallCaps w:val="0"/>
          <w:noProof/>
          <w:sz w:val="22"/>
          <w:szCs w:val="22"/>
          <w:lang w:eastAsia="en-GB"/>
        </w:rPr>
      </w:pPr>
      <w:hyperlink w:anchor="_Toc530674110" w:history="1">
        <w:r>
          <w:rPr>
            <w:rStyle w:val="Hyperlink"/>
            <w:rFonts w:ascii="Times New Roman" w:hAnsi="Times New Roman"/>
            <w:noProof/>
          </w:rPr>
          <w:t>3.3.</w:t>
        </w:r>
        <w:r>
          <w:rPr>
            <w:rFonts w:ascii="Times New Roman" w:eastAsiaTheme="minorEastAsia" w:hAnsi="Times New Roman" w:cs="Times New Roman"/>
            <w:smallCaps w:val="0"/>
            <w:noProof/>
            <w:sz w:val="22"/>
            <w:szCs w:val="22"/>
            <w:lang w:eastAsia="en-GB"/>
          </w:rPr>
          <w:tab/>
        </w:r>
        <w:r>
          <w:rPr>
            <w:rStyle w:val="Hyperlink"/>
            <w:rFonts w:ascii="Times New Roman" w:hAnsi="Times New Roman"/>
            <w:noProof/>
          </w:rPr>
          <w:t>General approach for payment appropriations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_Toc530674110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15</w:t>
        </w:r>
        <w:r>
          <w:rPr>
            <w:rFonts w:ascii="Times New Roman" w:hAnsi="Times New Roman" w:cs="Times New Roman"/>
            <w:noProof/>
            <w:webHidden/>
          </w:rPr>
          <w:fldChar w:fldCharType="end"/>
        </w:r>
      </w:hyperlink>
    </w:p>
    <w:p>
      <w:pPr>
        <w:pStyle w:val="TOC2"/>
        <w:tabs>
          <w:tab w:val="left" w:pos="960"/>
          <w:tab w:val="right" w:leader="dot" w:pos="9770"/>
        </w:tabs>
        <w:rPr>
          <w:rFonts w:ascii="Times New Roman" w:eastAsiaTheme="minorEastAsia" w:hAnsi="Times New Roman" w:cs="Times New Roman"/>
          <w:smallCaps w:val="0"/>
          <w:noProof/>
          <w:sz w:val="22"/>
          <w:szCs w:val="22"/>
          <w:lang w:eastAsia="en-GB"/>
        </w:rPr>
      </w:pPr>
      <w:hyperlink w:anchor="_Toc530674111" w:history="1">
        <w:r>
          <w:rPr>
            <w:rStyle w:val="Hyperlink"/>
            <w:rFonts w:ascii="Times New Roman" w:hAnsi="Times New Roman"/>
            <w:noProof/>
          </w:rPr>
          <w:t>3.4.</w:t>
        </w:r>
        <w:r>
          <w:rPr>
            <w:rFonts w:ascii="Times New Roman" w:eastAsiaTheme="minorEastAsia" w:hAnsi="Times New Roman" w:cs="Times New Roman"/>
            <w:smallCaps w:val="0"/>
            <w:noProof/>
            <w:sz w:val="22"/>
            <w:szCs w:val="22"/>
            <w:lang w:eastAsia="en-GB"/>
          </w:rPr>
          <w:tab/>
        </w:r>
        <w:r>
          <w:rPr>
            <w:rStyle w:val="Hyperlink"/>
            <w:rFonts w:ascii="Times New Roman" w:hAnsi="Times New Roman"/>
            <w:noProof/>
          </w:rPr>
          <w:t>Reserves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_Toc530674111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17</w:t>
        </w:r>
        <w:r>
          <w:rPr>
            <w:rFonts w:ascii="Times New Roman" w:hAnsi="Times New Roman" w:cs="Times New Roman"/>
            <w:noProof/>
            <w:webHidden/>
          </w:rPr>
          <w:fldChar w:fldCharType="end"/>
        </w:r>
      </w:hyperlink>
    </w:p>
    <w:p>
      <w:pPr>
        <w:pStyle w:val="TOC2"/>
        <w:tabs>
          <w:tab w:val="left" w:pos="960"/>
          <w:tab w:val="right" w:leader="dot" w:pos="9770"/>
        </w:tabs>
        <w:rPr>
          <w:rFonts w:ascii="Times New Roman" w:eastAsiaTheme="minorEastAsia" w:hAnsi="Times New Roman" w:cs="Times New Roman"/>
          <w:smallCaps w:val="0"/>
          <w:noProof/>
          <w:sz w:val="22"/>
          <w:szCs w:val="22"/>
          <w:lang w:eastAsia="en-GB"/>
        </w:rPr>
      </w:pPr>
      <w:hyperlink w:anchor="_Toc530674112" w:history="1">
        <w:r>
          <w:rPr>
            <w:rStyle w:val="Hyperlink"/>
            <w:rFonts w:ascii="Times New Roman" w:hAnsi="Times New Roman"/>
            <w:noProof/>
          </w:rPr>
          <w:t>3.5.</w:t>
        </w:r>
        <w:r>
          <w:rPr>
            <w:rFonts w:ascii="Times New Roman" w:eastAsiaTheme="minorEastAsia" w:hAnsi="Times New Roman" w:cs="Times New Roman"/>
            <w:smallCaps w:val="0"/>
            <w:noProof/>
            <w:sz w:val="22"/>
            <w:szCs w:val="22"/>
            <w:lang w:eastAsia="en-GB"/>
          </w:rPr>
          <w:tab/>
        </w:r>
        <w:r>
          <w:rPr>
            <w:rStyle w:val="Hyperlink"/>
            <w:rFonts w:ascii="Times New Roman" w:hAnsi="Times New Roman"/>
            <w:noProof/>
          </w:rPr>
          <w:t>Changes in nomenclature and budget remarks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_Toc530674112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17</w:t>
        </w:r>
        <w:r>
          <w:rPr>
            <w:rFonts w:ascii="Times New Roman" w:hAnsi="Times New Roman" w:cs="Times New Roman"/>
            <w:noProof/>
            <w:webHidden/>
          </w:rPr>
          <w:fldChar w:fldCharType="end"/>
        </w:r>
      </w:hyperlink>
    </w:p>
    <w:p>
      <w:pPr>
        <w:pStyle w:val="TOC3"/>
        <w:tabs>
          <w:tab w:val="left" w:pos="1200"/>
          <w:tab w:val="right" w:leader="dot" w:pos="9770"/>
        </w:tabs>
        <w:rPr>
          <w:rFonts w:ascii="Times New Roman" w:eastAsiaTheme="minorEastAsia" w:hAnsi="Times New Roman" w:cs="Times New Roman"/>
          <w:i w:val="0"/>
          <w:iCs w:val="0"/>
          <w:noProof/>
          <w:sz w:val="22"/>
          <w:szCs w:val="22"/>
          <w:lang w:eastAsia="en-GB"/>
        </w:rPr>
      </w:pPr>
      <w:hyperlink w:anchor="_Toc530674113" w:history="1">
        <w:r>
          <w:rPr>
            <w:rStyle w:val="Hyperlink"/>
            <w:rFonts w:ascii="Times New Roman" w:hAnsi="Times New Roman"/>
            <w:noProof/>
          </w:rPr>
          <w:t>3.5.1.</w:t>
        </w:r>
        <w:r>
          <w:rPr>
            <w:rFonts w:ascii="Times New Roman" w:eastAsiaTheme="minorEastAsia" w:hAnsi="Times New Roman" w:cs="Times New Roman"/>
            <w:i w:val="0"/>
            <w:iCs w:val="0"/>
            <w:noProof/>
            <w:sz w:val="22"/>
            <w:szCs w:val="22"/>
            <w:lang w:eastAsia="en-GB"/>
          </w:rPr>
          <w:tab/>
        </w:r>
        <w:r>
          <w:rPr>
            <w:rStyle w:val="Hyperlink"/>
            <w:rFonts w:ascii="Times New Roman" w:hAnsi="Times New Roman"/>
            <w:noProof/>
          </w:rPr>
          <w:t>Budget remarks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_Toc530674113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17</w:t>
        </w:r>
        <w:r>
          <w:rPr>
            <w:rFonts w:ascii="Times New Roman" w:hAnsi="Times New Roman" w:cs="Times New Roman"/>
            <w:noProof/>
            <w:webHidden/>
          </w:rPr>
          <w:fldChar w:fldCharType="end"/>
        </w:r>
      </w:hyperlink>
    </w:p>
    <w:p>
      <w:pPr>
        <w:pStyle w:val="TOC3"/>
        <w:tabs>
          <w:tab w:val="left" w:pos="1200"/>
          <w:tab w:val="right" w:leader="dot" w:pos="9770"/>
        </w:tabs>
        <w:rPr>
          <w:rFonts w:ascii="Times New Roman" w:eastAsiaTheme="minorEastAsia" w:hAnsi="Times New Roman" w:cs="Times New Roman"/>
          <w:i w:val="0"/>
          <w:iCs w:val="0"/>
          <w:noProof/>
          <w:sz w:val="22"/>
          <w:szCs w:val="22"/>
          <w:lang w:eastAsia="en-GB"/>
        </w:rPr>
      </w:pPr>
      <w:hyperlink w:anchor="_Toc530674114" w:history="1">
        <w:r>
          <w:rPr>
            <w:rStyle w:val="Hyperlink"/>
            <w:rFonts w:ascii="Times New Roman" w:hAnsi="Times New Roman"/>
            <w:noProof/>
          </w:rPr>
          <w:t>3.5.2.</w:t>
        </w:r>
        <w:r>
          <w:rPr>
            <w:rFonts w:ascii="Times New Roman" w:eastAsiaTheme="minorEastAsia" w:hAnsi="Times New Roman" w:cs="Times New Roman"/>
            <w:i w:val="0"/>
            <w:iCs w:val="0"/>
            <w:noProof/>
            <w:sz w:val="22"/>
            <w:szCs w:val="22"/>
            <w:lang w:eastAsia="en-GB"/>
          </w:rPr>
          <w:tab/>
        </w:r>
        <w:r>
          <w:rPr>
            <w:rStyle w:val="Hyperlink"/>
            <w:rFonts w:ascii="Times New Roman" w:hAnsi="Times New Roman"/>
            <w:noProof/>
          </w:rPr>
          <w:t>Nomenclature</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_Toc530674114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18</w:t>
        </w:r>
        <w:r>
          <w:rPr>
            <w:rFonts w:ascii="Times New Roman" w:hAnsi="Times New Roman" w:cs="Times New Roman"/>
            <w:noProof/>
            <w:webHidden/>
          </w:rPr>
          <w:fldChar w:fldCharType="end"/>
        </w:r>
      </w:hyperlink>
    </w:p>
    <w:p>
      <w:pPr>
        <w:pStyle w:val="TOC1"/>
        <w:tabs>
          <w:tab w:val="left" w:pos="480"/>
          <w:tab w:val="right" w:leader="dot" w:pos="9770"/>
        </w:tabs>
        <w:rPr>
          <w:rFonts w:ascii="Times New Roman" w:eastAsiaTheme="minorEastAsia" w:hAnsi="Times New Roman" w:cs="Times New Roman"/>
          <w:b w:val="0"/>
          <w:bCs w:val="0"/>
          <w:caps w:val="0"/>
          <w:noProof/>
          <w:sz w:val="22"/>
          <w:szCs w:val="22"/>
          <w:lang w:eastAsia="en-GB"/>
        </w:rPr>
      </w:pPr>
      <w:hyperlink w:anchor="_Toc530674115" w:history="1">
        <w:r>
          <w:rPr>
            <w:rStyle w:val="Hyperlink"/>
            <w:rFonts w:ascii="Times New Roman" w:hAnsi="Times New Roman"/>
            <w:noProof/>
          </w:rPr>
          <w:t>4.</w:t>
        </w:r>
        <w:r>
          <w:rPr>
            <w:rFonts w:ascii="Times New Roman" w:eastAsiaTheme="minorEastAsia" w:hAnsi="Times New Roman" w:cs="Times New Roman"/>
            <w:b w:val="0"/>
            <w:bCs w:val="0"/>
            <w:caps w:val="0"/>
            <w:noProof/>
            <w:sz w:val="22"/>
            <w:szCs w:val="22"/>
            <w:lang w:eastAsia="en-GB"/>
          </w:rPr>
          <w:tab/>
        </w:r>
        <w:r>
          <w:rPr>
            <w:rStyle w:val="Hyperlink"/>
            <w:rFonts w:ascii="Times New Roman" w:hAnsi="Times New Roman"/>
            <w:noProof/>
          </w:rPr>
          <w:t>Concluding Remarks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_Toc530674115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18</w:t>
        </w:r>
        <w:r>
          <w:rPr>
            <w:rFonts w:ascii="Times New Roman" w:hAnsi="Times New Roman" w:cs="Times New Roman"/>
            <w:noProof/>
            <w:webHidden/>
          </w:rPr>
          <w:fldChar w:fldCharType="end"/>
        </w:r>
      </w:hyperlink>
    </w:p>
    <w:p>
      <w:pPr>
        <w:pStyle w:val="TOC1"/>
        <w:tabs>
          <w:tab w:val="left" w:pos="480"/>
          <w:tab w:val="right" w:leader="dot" w:pos="9770"/>
        </w:tabs>
        <w:rPr>
          <w:rFonts w:ascii="Times New Roman" w:eastAsiaTheme="minorEastAsia" w:hAnsi="Times New Roman" w:cs="Times New Roman"/>
          <w:b w:val="0"/>
          <w:bCs w:val="0"/>
          <w:caps w:val="0"/>
          <w:noProof/>
          <w:sz w:val="22"/>
          <w:szCs w:val="22"/>
          <w:lang w:eastAsia="en-GB"/>
        </w:rPr>
      </w:pPr>
      <w:hyperlink w:anchor="_Toc530674116" w:history="1">
        <w:r>
          <w:rPr>
            <w:rStyle w:val="Hyperlink"/>
            <w:rFonts w:ascii="Times New Roman" w:hAnsi="Times New Roman"/>
            <w:noProof/>
          </w:rPr>
          <w:t>5.</w:t>
        </w:r>
        <w:r>
          <w:rPr>
            <w:rFonts w:ascii="Times New Roman" w:eastAsiaTheme="minorEastAsia" w:hAnsi="Times New Roman" w:cs="Times New Roman"/>
            <w:b w:val="0"/>
            <w:bCs w:val="0"/>
            <w:caps w:val="0"/>
            <w:noProof/>
            <w:sz w:val="22"/>
            <w:szCs w:val="22"/>
            <w:lang w:eastAsia="en-GB"/>
          </w:rPr>
          <w:tab/>
        </w:r>
        <w:r>
          <w:rPr>
            <w:rStyle w:val="Hyperlink"/>
            <w:rFonts w:ascii="Times New Roman" w:hAnsi="Times New Roman"/>
            <w:noProof/>
          </w:rPr>
          <w:t>2019 second draft budget by financial framework headings and main programmes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_Toc530674116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19</w:t>
        </w:r>
        <w:r>
          <w:rPr>
            <w:rFonts w:ascii="Times New Roman" w:hAnsi="Times New Roman" w:cs="Times New Roman"/>
            <w:noProof/>
            <w:webHidden/>
          </w:rPr>
          <w:fldChar w:fldCharType="end"/>
        </w:r>
      </w:hyperlink>
    </w:p>
    <w:p>
      <w:pPr>
        <w:tabs>
          <w:tab w:val="right" w:leader="dot" w:pos="9781"/>
        </w:tabs>
        <w:spacing w:line="240" w:lineRule="auto"/>
        <w:rPr>
          <w:b/>
          <w:noProof/>
          <w:u w:val="single"/>
          <w:lang w:val="en-GB" w:eastAsia="ko-KR"/>
        </w:rPr>
      </w:pPr>
      <w:r>
        <w:rPr>
          <w:b/>
          <w:bCs/>
          <w:caps/>
          <w:noProof/>
          <w:sz w:val="20"/>
          <w:szCs w:val="20"/>
          <w:lang w:val="en-GB"/>
        </w:rPr>
        <w:fldChar w:fldCharType="end"/>
      </w:r>
    </w:p>
    <w:p>
      <w:pPr>
        <w:spacing w:line="240" w:lineRule="auto"/>
        <w:jc w:val="both"/>
        <w:rPr>
          <w:noProof/>
          <w:lang w:val="en-GB"/>
        </w:rPr>
        <w:sectPr>
          <w:headerReference w:type="even" r:id="rId23"/>
          <w:headerReference w:type="default" r:id="rId24"/>
          <w:footerReference w:type="even" r:id="rId25"/>
          <w:footerReference w:type="default" r:id="rId26"/>
          <w:headerReference w:type="first" r:id="rId27"/>
          <w:footerReference w:type="first" r:id="rId28"/>
          <w:pgSz w:w="11907" w:h="16839"/>
          <w:pgMar w:top="1134" w:right="1418" w:bottom="1134" w:left="709" w:header="709" w:footer="709" w:gutter="0"/>
          <w:cols w:space="708"/>
          <w:docGrid w:linePitch="360"/>
        </w:sectPr>
      </w:pPr>
    </w:p>
    <w:p>
      <w:pPr>
        <w:pStyle w:val="ManualHeading1"/>
        <w:rPr>
          <w:noProof/>
        </w:rPr>
      </w:pPr>
      <w:bookmarkStart w:id="3" w:name="_Toc278112515"/>
      <w:bookmarkStart w:id="4" w:name="_Toc530674093"/>
      <w:r>
        <w:t>1.</w:t>
      </w:r>
      <w:r>
        <w:tab/>
      </w:r>
      <w:r>
        <w:rPr>
          <w:noProof/>
        </w:rPr>
        <w:t>Introduction</w:t>
      </w:r>
      <w:bookmarkEnd w:id="3"/>
      <w:bookmarkEnd w:id="4"/>
    </w:p>
    <w:p>
      <w:pPr>
        <w:spacing w:line="240" w:lineRule="auto"/>
        <w:jc w:val="both"/>
        <w:rPr>
          <w:noProof/>
          <w:sz w:val="24"/>
          <w:lang w:val="en-GB"/>
        </w:rPr>
      </w:pPr>
      <w:bookmarkStart w:id="5" w:name="_Toc322520752"/>
      <w:bookmarkStart w:id="6" w:name="_Toc323061076"/>
      <w:bookmarkStart w:id="7" w:name="_Toc278112516"/>
      <w:r>
        <w:rPr>
          <w:noProof/>
          <w:sz w:val="24"/>
          <w:lang w:val="en-GB"/>
        </w:rPr>
        <w:t xml:space="preserve">On 21 June 2018, the Commission transmitted the </w:t>
      </w:r>
      <w:r>
        <w:rPr>
          <w:noProof/>
          <w:sz w:val="24"/>
          <w:szCs w:val="24"/>
          <w:lang w:val="en-GB"/>
        </w:rPr>
        <w:t>draft budget</w:t>
      </w:r>
      <w:r>
        <w:rPr>
          <w:noProof/>
          <w:sz w:val="24"/>
          <w:lang w:val="en-GB"/>
        </w:rPr>
        <w:t xml:space="preserve"> for 2019 in all official languages</w:t>
      </w:r>
      <w:r>
        <w:rPr>
          <w:rStyle w:val="FootnoteReference"/>
          <w:noProof/>
        </w:rPr>
        <w:footnoteReference w:id="9"/>
      </w:r>
      <w:r>
        <w:rPr>
          <w:noProof/>
          <w:sz w:val="24"/>
          <w:lang w:val="en-GB"/>
        </w:rPr>
        <w:t xml:space="preserve">. On 4 September 2018, </w:t>
      </w:r>
      <w:r>
        <w:rPr>
          <w:noProof/>
          <w:sz w:val="24"/>
          <w:szCs w:val="24"/>
          <w:lang w:val="en-GB"/>
        </w:rPr>
        <w:t xml:space="preserve">the </w:t>
      </w:r>
      <w:r>
        <w:rPr>
          <w:noProof/>
          <w:sz w:val="24"/>
          <w:lang w:val="en-GB"/>
        </w:rPr>
        <w:t xml:space="preserve">Council completed its reading of the </w:t>
      </w:r>
      <w:r>
        <w:rPr>
          <w:noProof/>
          <w:sz w:val="24"/>
          <w:szCs w:val="24"/>
          <w:lang w:val="en-GB"/>
        </w:rPr>
        <w:t>draft budget</w:t>
      </w:r>
      <w:r>
        <w:rPr>
          <w:noProof/>
          <w:sz w:val="24"/>
          <w:lang w:val="en-GB"/>
        </w:rPr>
        <w:t xml:space="preserve"> and on 25 October 2018 the European Parliament </w:t>
      </w:r>
      <w:r>
        <w:rPr>
          <w:noProof/>
          <w:sz w:val="24"/>
          <w:szCs w:val="24"/>
          <w:lang w:val="en-GB"/>
        </w:rPr>
        <w:t>adopted</w:t>
      </w:r>
      <w:r>
        <w:rPr>
          <w:noProof/>
          <w:sz w:val="24"/>
          <w:lang w:val="en-GB"/>
        </w:rPr>
        <w:t xml:space="preserve"> its reading. On 16 October the Commission transmitted amending letter 1/2019 with updated estimates for the year 2019.  As the European Parliament adopted amendments to the </w:t>
      </w:r>
      <w:r>
        <w:rPr>
          <w:noProof/>
          <w:sz w:val="24"/>
          <w:szCs w:val="24"/>
          <w:lang w:val="en-GB"/>
        </w:rPr>
        <w:t>draft budget</w:t>
      </w:r>
      <w:r>
        <w:rPr>
          <w:noProof/>
          <w:sz w:val="24"/>
          <w:lang w:val="en-GB"/>
        </w:rPr>
        <w:t xml:space="preserve"> which could not be accepted by the Council, a Conciliation Committee was convened, in accordance with Article 314 §4(c) of the Treaty on the Functioning of the European Union (TFEU).</w:t>
      </w:r>
    </w:p>
    <w:p>
      <w:pPr>
        <w:spacing w:line="240" w:lineRule="auto"/>
        <w:jc w:val="both"/>
        <w:rPr>
          <w:noProof/>
          <w:sz w:val="24"/>
          <w:lang w:val="en-GB"/>
        </w:rPr>
      </w:pPr>
      <w:r>
        <w:rPr>
          <w:noProof/>
          <w:sz w:val="24"/>
          <w:lang w:val="en-GB"/>
        </w:rPr>
        <w:t xml:space="preserve">The Conciliation Committee worked over a period of twenty-one days, between 30 October and 19 November 2018. Although significant progress was made during the discussions, it was not possible to reconcile the positions of the European Parliament and Council within </w:t>
      </w:r>
      <w:r>
        <w:rPr>
          <w:noProof/>
          <w:sz w:val="24"/>
          <w:szCs w:val="24"/>
          <w:lang w:val="en-GB"/>
        </w:rPr>
        <w:t>this</w:t>
      </w:r>
      <w:r>
        <w:rPr>
          <w:noProof/>
          <w:sz w:val="24"/>
          <w:lang w:val="en-GB"/>
        </w:rPr>
        <w:t xml:space="preserve"> period, in particular with regard to the application of the new Article 15.3 of the Financial Regulation on making appropriations corresponding to decommitments available again for research projects. </w:t>
      </w:r>
      <w:r>
        <w:rPr>
          <w:noProof/>
          <w:sz w:val="24"/>
          <w:szCs w:val="24"/>
          <w:lang w:val="en-GB"/>
        </w:rPr>
        <w:t>However, draft amending budget no</w:t>
      </w:r>
      <w:r>
        <w:rPr>
          <w:noProof/>
          <w:sz w:val="24"/>
          <w:lang w:val="en-GB"/>
        </w:rPr>
        <w:t xml:space="preserve"> 6/2018</w:t>
      </w:r>
      <w:r>
        <w:rPr>
          <w:rStyle w:val="FootnoteReference"/>
          <w:noProof/>
          <w:lang w:val="en-GB"/>
        </w:rPr>
        <w:footnoteReference w:id="10"/>
      </w:r>
      <w:r>
        <w:rPr>
          <w:noProof/>
          <w:sz w:val="24"/>
          <w:lang w:val="en-GB"/>
        </w:rPr>
        <w:t xml:space="preserve"> was agreed by both </w:t>
      </w:r>
      <w:r>
        <w:rPr>
          <w:noProof/>
          <w:sz w:val="24"/>
          <w:szCs w:val="24"/>
          <w:lang w:val="en-GB"/>
        </w:rPr>
        <w:t xml:space="preserve">the </w:t>
      </w:r>
      <w:r>
        <w:rPr>
          <w:noProof/>
          <w:sz w:val="24"/>
          <w:lang w:val="en-GB"/>
        </w:rPr>
        <w:t>European Parliament and</w:t>
      </w:r>
      <w:r>
        <w:rPr>
          <w:noProof/>
          <w:sz w:val="24"/>
          <w:szCs w:val="24"/>
          <w:lang w:val="en-GB"/>
        </w:rPr>
        <w:t xml:space="preserve"> the</w:t>
      </w:r>
      <w:r>
        <w:rPr>
          <w:noProof/>
          <w:sz w:val="24"/>
          <w:lang w:val="en-GB"/>
        </w:rPr>
        <w:t xml:space="preserve"> Council</w:t>
      </w:r>
      <w:r>
        <w:rPr>
          <w:rStyle w:val="FootnoteReference"/>
          <w:noProof/>
          <w:lang w:val="en-GB"/>
        </w:rPr>
        <w:footnoteReference w:id="11"/>
      </w:r>
      <w:r>
        <w:rPr>
          <w:noProof/>
          <w:sz w:val="24"/>
          <w:lang w:val="en-GB"/>
        </w:rPr>
        <w:t>.</w:t>
      </w:r>
    </w:p>
    <w:p>
      <w:pPr>
        <w:pStyle w:val="CM1"/>
        <w:spacing w:before="200" w:after="200"/>
        <w:jc w:val="both"/>
        <w:rPr>
          <w:noProof/>
        </w:rPr>
      </w:pPr>
      <w:r>
        <w:rPr>
          <w:rFonts w:ascii="Times New Roman" w:hAnsi="Times New Roman"/>
          <w:noProof/>
        </w:rPr>
        <w:t xml:space="preserve">In the absence of agreement in the Conciliation Committee, the Commission now submits a second draft budget for 2019, in accordance with Article 314 §8 of the TFEU. With this proposal, the Commission is seeking to reconcile the positions of the European Parliament and Council, without recourse to a further period of conciliation because of timing constraints. If no agreement on the budget can be reached before the end of 2018 the provisional twelfths regime would take effect as from 1 January 2019. This is a procedure set out in Article 315 §1 TFEU, which would cause delays in the implementation of key policies and programmes, in particular in the field of agriculture, and would prevent the commencement of any new activities. </w:t>
      </w:r>
    </w:p>
    <w:p>
      <w:pPr>
        <w:spacing w:line="240" w:lineRule="auto"/>
        <w:jc w:val="both"/>
        <w:rPr>
          <w:noProof/>
          <w:sz w:val="24"/>
          <w:lang w:val="en-GB"/>
        </w:rPr>
      </w:pPr>
      <w:r>
        <w:rPr>
          <w:noProof/>
          <w:sz w:val="24"/>
          <w:lang w:val="en-GB"/>
        </w:rPr>
        <w:t xml:space="preserve">With the imperative of reaching a timely adoption of the 2019 budget, the Commission proposal for a second </w:t>
      </w:r>
      <w:r>
        <w:rPr>
          <w:noProof/>
          <w:sz w:val="24"/>
          <w:szCs w:val="24"/>
          <w:lang w:val="en-GB"/>
        </w:rPr>
        <w:t>draft budget</w:t>
      </w:r>
      <w:r>
        <w:rPr>
          <w:noProof/>
          <w:sz w:val="24"/>
          <w:lang w:val="en-GB"/>
        </w:rPr>
        <w:t xml:space="preserve"> for 2019 builds on the progress made in the Conciliation Committee, which to a large extent restored the Commission’s original </w:t>
      </w:r>
      <w:r>
        <w:rPr>
          <w:noProof/>
          <w:sz w:val="24"/>
          <w:szCs w:val="24"/>
          <w:lang w:val="en-GB"/>
        </w:rPr>
        <w:t>draft budget</w:t>
      </w:r>
      <w:r>
        <w:rPr>
          <w:noProof/>
          <w:sz w:val="24"/>
          <w:lang w:val="en-GB"/>
        </w:rPr>
        <w:t xml:space="preserve">, as amended by Amending </w:t>
      </w:r>
      <w:r>
        <w:rPr>
          <w:noProof/>
          <w:sz w:val="24"/>
          <w:szCs w:val="24"/>
          <w:lang w:val="en-GB"/>
        </w:rPr>
        <w:t>letter no</w:t>
      </w:r>
      <w:r>
        <w:rPr>
          <w:noProof/>
          <w:sz w:val="24"/>
          <w:lang w:val="en-GB"/>
        </w:rPr>
        <w:t xml:space="preserve"> 1/2019</w:t>
      </w:r>
      <w:r>
        <w:rPr>
          <w:rStyle w:val="FootnoteReference"/>
          <w:noProof/>
        </w:rPr>
        <w:footnoteReference w:id="12"/>
      </w:r>
      <w:r>
        <w:rPr>
          <w:noProof/>
          <w:sz w:val="24"/>
          <w:lang w:val="en-GB"/>
        </w:rPr>
        <w:t xml:space="preserve">, with some significant reinforcements in </w:t>
      </w:r>
      <w:r>
        <w:rPr>
          <w:noProof/>
          <w:sz w:val="24"/>
          <w:szCs w:val="24"/>
          <w:lang w:val="en-GB"/>
        </w:rPr>
        <w:t>commitment</w:t>
      </w:r>
      <w:r>
        <w:rPr>
          <w:noProof/>
          <w:sz w:val="24"/>
          <w:lang w:val="en-GB"/>
        </w:rPr>
        <w:t xml:space="preserve"> appropriations for key </w:t>
      </w:r>
      <w:r>
        <w:rPr>
          <w:noProof/>
          <w:sz w:val="24"/>
          <w:szCs w:val="24"/>
          <w:lang w:val="en-GB"/>
        </w:rPr>
        <w:t>programmes</w:t>
      </w:r>
      <w:r>
        <w:rPr>
          <w:noProof/>
          <w:sz w:val="24"/>
          <w:lang w:val="en-GB"/>
        </w:rPr>
        <w:t xml:space="preserve"> contributing to growth and jobs (</w:t>
      </w:r>
      <w:r>
        <w:rPr>
          <w:noProof/>
          <w:sz w:val="24"/>
          <w:szCs w:val="24"/>
          <w:lang w:val="en-GB"/>
        </w:rPr>
        <w:t>such as</w:t>
      </w:r>
      <w:r>
        <w:rPr>
          <w:noProof/>
          <w:sz w:val="24"/>
          <w:lang w:val="en-GB"/>
        </w:rPr>
        <w:t xml:space="preserve"> Erasmus+ and the Youth Employment Initiative) and with some decreases and redeployments especially in heading 4 following the readings of the Council and the European Parliament  of the original draft budget. A targeted increase of Horizon 2020 is proposed through the application of Article 15.3 of the Financial Regulation. The overall level of payments following the changes in commitments and also rebalancing some frontloading in 2018 is lower compared to Amending letter 1/2019.</w:t>
      </w:r>
    </w:p>
    <w:p>
      <w:pPr>
        <w:pStyle w:val="ManualHeading1"/>
        <w:rPr>
          <w:noProof/>
        </w:rPr>
      </w:pPr>
      <w:r>
        <w:rPr>
          <w:rFonts w:eastAsia="Calibri"/>
          <w:noProof/>
          <w:lang w:eastAsia="en-US"/>
        </w:rPr>
        <w:br w:type="page"/>
      </w:r>
      <w:bookmarkStart w:id="8" w:name="_Toc530674094"/>
      <w:r>
        <w:rPr>
          <w:rFonts w:eastAsia="Calibri"/>
        </w:rPr>
        <w:t>2.</w:t>
      </w:r>
      <w:r>
        <w:rPr>
          <w:rFonts w:eastAsia="Calibri"/>
        </w:rPr>
        <w:tab/>
      </w:r>
      <w:r>
        <w:rPr>
          <w:noProof/>
        </w:rPr>
        <w:t>The multiannual financial framework and the Second 2019 draft budget</w:t>
      </w:r>
      <w:bookmarkEnd w:id="5"/>
      <w:bookmarkEnd w:id="6"/>
      <w:bookmarkEnd w:id="8"/>
    </w:p>
    <w:p>
      <w:pPr>
        <w:pStyle w:val="ManualHeading2"/>
        <w:rPr>
          <w:noProof/>
        </w:rPr>
      </w:pPr>
      <w:bookmarkStart w:id="9" w:name="_Toc322520753"/>
      <w:bookmarkStart w:id="10" w:name="_Toc323061077"/>
      <w:bookmarkStart w:id="11" w:name="_Toc530674095"/>
      <w:r>
        <w:t>2.1.</w:t>
      </w:r>
      <w:r>
        <w:tab/>
      </w:r>
      <w:r>
        <w:rPr>
          <w:noProof/>
        </w:rPr>
        <w:t>Ceilings of the multiannual financial framework for the 2019 budget</w:t>
      </w:r>
      <w:bookmarkEnd w:id="9"/>
      <w:bookmarkEnd w:id="10"/>
      <w:bookmarkEnd w:id="11"/>
    </w:p>
    <w:p>
      <w:pPr>
        <w:rPr>
          <w:noProof/>
          <w:lang w:val="en-GB"/>
        </w:rPr>
      </w:pPr>
      <w:bookmarkStart w:id="12" w:name="_Toc278112518"/>
      <w:bookmarkEnd w:id="7"/>
      <w:r>
        <w:rPr>
          <w:noProof/>
          <w:lang w:val="en-GB"/>
        </w:rPr>
        <w:t>The ceilings for commitment and payment appropriations in the multiannual financial framework (MFF)</w:t>
      </w:r>
      <w:r>
        <w:rPr>
          <w:rStyle w:val="FootnoteReference"/>
          <w:noProof/>
        </w:rPr>
        <w:footnoteReference w:id="13"/>
      </w:r>
      <w:r>
        <w:rPr>
          <w:noProof/>
          <w:lang w:val="en-GB"/>
        </w:rPr>
        <w:t xml:space="preserve"> for the establishment of the second 2019 draft budget are presented in the table below:</w:t>
      </w:r>
    </w:p>
    <w:tbl>
      <w:tblPr>
        <w:tblW w:w="0" w:type="auto"/>
        <w:jc w:val="center"/>
        <w:tblLayout w:type="fixed"/>
        <w:tblCellMar>
          <w:left w:w="40" w:type="dxa"/>
          <w:right w:w="40" w:type="dxa"/>
        </w:tblCellMar>
        <w:tblLook w:val="0000" w:firstRow="0" w:lastRow="0" w:firstColumn="0" w:lastColumn="0" w:noHBand="0" w:noVBand="0"/>
      </w:tblPr>
      <w:tblGrid>
        <w:gridCol w:w="324"/>
        <w:gridCol w:w="5063"/>
        <w:gridCol w:w="1956"/>
      </w:tblGrid>
      <w:tr>
        <w:trPr>
          <w:jc w:val="center"/>
        </w:trPr>
        <w:tc>
          <w:tcPr>
            <w:tcW w:w="5387"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pPr>
              <w:pStyle w:val="NormalCentered"/>
              <w:spacing w:before="30" w:after="30"/>
              <w:rPr>
                <w:noProof/>
                <w:sz w:val="16"/>
                <w:szCs w:val="16"/>
              </w:rPr>
            </w:pPr>
            <w:r>
              <w:rPr>
                <w:b/>
                <w:bCs/>
                <w:noProof/>
                <w:sz w:val="16"/>
                <w:szCs w:val="16"/>
              </w:rPr>
              <w:t>Heading</w:t>
            </w:r>
          </w:p>
        </w:tc>
        <w:tc>
          <w:tcPr>
            <w:tcW w:w="1956" w:type="dxa"/>
            <w:tcBorders>
              <w:top w:val="single" w:sz="4" w:space="0" w:color="auto"/>
              <w:left w:val="nil"/>
              <w:bottom w:val="single" w:sz="4" w:space="0" w:color="auto"/>
              <w:right w:val="single" w:sz="4" w:space="0" w:color="auto"/>
            </w:tcBorders>
            <w:shd w:val="clear" w:color="auto" w:fill="E0E0E0"/>
            <w:vAlign w:val="center"/>
          </w:tcPr>
          <w:p>
            <w:pPr>
              <w:pStyle w:val="NormalCentered"/>
              <w:spacing w:before="30" w:after="30"/>
              <w:rPr>
                <w:noProof/>
                <w:sz w:val="16"/>
                <w:szCs w:val="16"/>
              </w:rPr>
            </w:pPr>
            <w:r>
              <w:rPr>
                <w:b/>
                <w:bCs/>
                <w:noProof/>
                <w:sz w:val="16"/>
                <w:szCs w:val="16"/>
              </w:rPr>
              <w:t>2019 MFF ceilings</w:t>
            </w:r>
          </w:p>
          <w:p>
            <w:pPr>
              <w:pStyle w:val="NormalCentered"/>
              <w:spacing w:before="30" w:after="30"/>
              <w:rPr>
                <w:noProof/>
                <w:sz w:val="16"/>
                <w:szCs w:val="16"/>
              </w:rPr>
            </w:pPr>
            <w:r>
              <w:rPr>
                <w:b/>
                <w:bCs/>
                <w:noProof/>
                <w:sz w:val="16"/>
                <w:szCs w:val="16"/>
              </w:rPr>
              <w:t>million EUR, at current prices</w:t>
            </w:r>
          </w:p>
        </w:tc>
      </w:tr>
      <w:tr>
        <w:trPr>
          <w:jc w:val="center"/>
        </w:trPr>
        <w:tc>
          <w:tcPr>
            <w:tcW w:w="324" w:type="dxa"/>
            <w:tcBorders>
              <w:top w:val="nil"/>
              <w:left w:val="single" w:sz="4" w:space="0" w:color="auto"/>
              <w:bottom w:val="dotted" w:sz="2" w:space="0" w:color="auto"/>
              <w:right w:val="nil"/>
            </w:tcBorders>
          </w:tcPr>
          <w:p>
            <w:pPr>
              <w:spacing w:before="30" w:after="30"/>
              <w:rPr>
                <w:noProof/>
                <w:sz w:val="16"/>
                <w:szCs w:val="16"/>
                <w:lang w:val="en-US"/>
              </w:rPr>
            </w:pPr>
          </w:p>
        </w:tc>
        <w:tc>
          <w:tcPr>
            <w:tcW w:w="5063" w:type="dxa"/>
            <w:tcBorders>
              <w:top w:val="nil"/>
              <w:left w:val="nil"/>
              <w:bottom w:val="dotted" w:sz="2" w:space="0" w:color="auto"/>
              <w:right w:val="single" w:sz="4" w:space="0" w:color="auto"/>
            </w:tcBorders>
          </w:tcPr>
          <w:p>
            <w:pPr>
              <w:spacing w:before="30" w:after="30"/>
              <w:rPr>
                <w:noProof/>
                <w:sz w:val="16"/>
                <w:szCs w:val="16"/>
              </w:rPr>
            </w:pPr>
            <w:r>
              <w:rPr>
                <w:b/>
                <w:bCs/>
                <w:noProof/>
                <w:sz w:val="16"/>
                <w:szCs w:val="16"/>
              </w:rPr>
              <w:t>Commitment appropriations</w:t>
            </w:r>
          </w:p>
        </w:tc>
        <w:tc>
          <w:tcPr>
            <w:tcW w:w="1956" w:type="dxa"/>
            <w:tcBorders>
              <w:top w:val="nil"/>
              <w:left w:val="nil"/>
              <w:bottom w:val="dotted" w:sz="2" w:space="0" w:color="auto"/>
              <w:right w:val="single" w:sz="4" w:space="0" w:color="auto"/>
            </w:tcBorders>
          </w:tcPr>
          <w:p>
            <w:pPr>
              <w:spacing w:before="30" w:after="30"/>
              <w:rPr>
                <w:noProof/>
                <w:sz w:val="16"/>
                <w:szCs w:val="16"/>
              </w:rPr>
            </w:pPr>
          </w:p>
        </w:tc>
      </w:tr>
      <w:tr>
        <w:trPr>
          <w:jc w:val="center"/>
        </w:trPr>
        <w:tc>
          <w:tcPr>
            <w:tcW w:w="324" w:type="dxa"/>
            <w:tcBorders>
              <w:top w:val="nil"/>
              <w:left w:val="single" w:sz="4" w:space="0" w:color="auto"/>
              <w:bottom w:val="dotted" w:sz="2" w:space="0" w:color="auto"/>
              <w:right w:val="nil"/>
            </w:tcBorders>
          </w:tcPr>
          <w:p>
            <w:pPr>
              <w:spacing w:before="30" w:after="30"/>
              <w:rPr>
                <w:noProof/>
                <w:sz w:val="16"/>
                <w:szCs w:val="16"/>
              </w:rPr>
            </w:pPr>
            <w:r>
              <w:rPr>
                <w:b/>
                <w:bCs/>
                <w:noProof/>
                <w:sz w:val="16"/>
                <w:szCs w:val="16"/>
              </w:rPr>
              <w:t>1.</w:t>
            </w:r>
          </w:p>
        </w:tc>
        <w:tc>
          <w:tcPr>
            <w:tcW w:w="5063" w:type="dxa"/>
            <w:tcBorders>
              <w:top w:val="nil"/>
              <w:left w:val="nil"/>
              <w:bottom w:val="dotted" w:sz="2" w:space="0" w:color="auto"/>
              <w:right w:val="single" w:sz="4" w:space="0" w:color="auto"/>
            </w:tcBorders>
          </w:tcPr>
          <w:p>
            <w:pPr>
              <w:spacing w:before="30" w:after="30"/>
              <w:rPr>
                <w:noProof/>
                <w:sz w:val="16"/>
                <w:szCs w:val="16"/>
              </w:rPr>
            </w:pPr>
            <w:r>
              <w:rPr>
                <w:b/>
                <w:bCs/>
                <w:noProof/>
                <w:sz w:val="16"/>
                <w:szCs w:val="16"/>
              </w:rPr>
              <w:t>Smart and inclusive growth</w:t>
            </w:r>
          </w:p>
        </w:tc>
        <w:tc>
          <w:tcPr>
            <w:tcW w:w="1956" w:type="dxa"/>
            <w:tcBorders>
              <w:top w:val="nil"/>
              <w:left w:val="nil"/>
              <w:bottom w:val="dotted" w:sz="2" w:space="0" w:color="auto"/>
              <w:right w:val="single" w:sz="4" w:space="0" w:color="auto"/>
            </w:tcBorders>
          </w:tcPr>
          <w:p>
            <w:pPr>
              <w:pStyle w:val="NormalRight"/>
              <w:spacing w:before="30" w:after="30"/>
              <w:rPr>
                <w:noProof/>
                <w:sz w:val="16"/>
                <w:szCs w:val="16"/>
              </w:rPr>
            </w:pPr>
            <w:r>
              <w:rPr>
                <w:b/>
                <w:bCs/>
                <w:noProof/>
                <w:sz w:val="16"/>
                <w:szCs w:val="16"/>
              </w:rPr>
              <w:t>79 924,0</w:t>
            </w:r>
          </w:p>
        </w:tc>
      </w:tr>
      <w:tr>
        <w:trPr>
          <w:jc w:val="center"/>
        </w:trPr>
        <w:tc>
          <w:tcPr>
            <w:tcW w:w="324" w:type="dxa"/>
            <w:tcBorders>
              <w:top w:val="nil"/>
              <w:left w:val="single" w:sz="4" w:space="0" w:color="auto"/>
              <w:bottom w:val="dotted" w:sz="2" w:space="0" w:color="auto"/>
              <w:right w:val="nil"/>
            </w:tcBorders>
          </w:tcPr>
          <w:p>
            <w:pPr>
              <w:spacing w:before="30" w:after="30"/>
              <w:rPr>
                <w:noProof/>
                <w:sz w:val="16"/>
                <w:szCs w:val="16"/>
              </w:rPr>
            </w:pPr>
            <w:r>
              <w:rPr>
                <w:noProof/>
                <w:sz w:val="16"/>
                <w:szCs w:val="16"/>
              </w:rPr>
              <w:t xml:space="preserve">1a </w:t>
            </w:r>
          </w:p>
        </w:tc>
        <w:tc>
          <w:tcPr>
            <w:tcW w:w="5063" w:type="dxa"/>
            <w:tcBorders>
              <w:top w:val="nil"/>
              <w:left w:val="nil"/>
              <w:bottom w:val="dotted" w:sz="2" w:space="0" w:color="auto"/>
              <w:right w:val="single" w:sz="4" w:space="0" w:color="auto"/>
            </w:tcBorders>
          </w:tcPr>
          <w:p>
            <w:pPr>
              <w:spacing w:before="30" w:after="30"/>
              <w:rPr>
                <w:noProof/>
                <w:sz w:val="16"/>
                <w:szCs w:val="16"/>
                <w:lang w:val="en-GB"/>
              </w:rPr>
            </w:pPr>
            <w:r>
              <w:rPr>
                <w:noProof/>
                <w:sz w:val="16"/>
                <w:szCs w:val="16"/>
                <w:lang w:val="en-GB"/>
              </w:rPr>
              <w:t>Competitiveness for growth and jobs</w:t>
            </w:r>
          </w:p>
        </w:tc>
        <w:tc>
          <w:tcPr>
            <w:tcW w:w="1956" w:type="dxa"/>
            <w:tcBorders>
              <w:top w:val="nil"/>
              <w:left w:val="nil"/>
              <w:bottom w:val="dotted" w:sz="2" w:space="0" w:color="auto"/>
              <w:right w:val="single" w:sz="4" w:space="0" w:color="auto"/>
            </w:tcBorders>
          </w:tcPr>
          <w:p>
            <w:pPr>
              <w:pStyle w:val="NormalRight"/>
              <w:spacing w:before="30" w:after="30"/>
              <w:rPr>
                <w:noProof/>
                <w:sz w:val="16"/>
                <w:szCs w:val="16"/>
              </w:rPr>
            </w:pPr>
            <w:r>
              <w:rPr>
                <w:noProof/>
                <w:sz w:val="16"/>
                <w:szCs w:val="16"/>
              </w:rPr>
              <w:t>23 082,0</w:t>
            </w:r>
          </w:p>
        </w:tc>
      </w:tr>
      <w:tr>
        <w:trPr>
          <w:jc w:val="center"/>
        </w:trPr>
        <w:tc>
          <w:tcPr>
            <w:tcW w:w="324" w:type="dxa"/>
            <w:tcBorders>
              <w:top w:val="nil"/>
              <w:left w:val="single" w:sz="4" w:space="0" w:color="auto"/>
              <w:bottom w:val="single" w:sz="4" w:space="0" w:color="auto"/>
              <w:right w:val="nil"/>
            </w:tcBorders>
          </w:tcPr>
          <w:p>
            <w:pPr>
              <w:spacing w:before="30" w:after="30"/>
              <w:rPr>
                <w:noProof/>
                <w:sz w:val="16"/>
                <w:szCs w:val="16"/>
              </w:rPr>
            </w:pPr>
            <w:r>
              <w:rPr>
                <w:noProof/>
                <w:sz w:val="16"/>
                <w:szCs w:val="16"/>
              </w:rPr>
              <w:t xml:space="preserve">1b </w:t>
            </w:r>
          </w:p>
        </w:tc>
        <w:tc>
          <w:tcPr>
            <w:tcW w:w="5063" w:type="dxa"/>
            <w:tcBorders>
              <w:top w:val="nil"/>
              <w:left w:val="nil"/>
              <w:bottom w:val="single" w:sz="4" w:space="0" w:color="auto"/>
              <w:right w:val="single" w:sz="4" w:space="0" w:color="auto"/>
            </w:tcBorders>
          </w:tcPr>
          <w:p>
            <w:pPr>
              <w:spacing w:before="30" w:after="30"/>
              <w:rPr>
                <w:noProof/>
                <w:sz w:val="16"/>
                <w:szCs w:val="16"/>
                <w:lang w:val="en-GB"/>
              </w:rPr>
            </w:pPr>
            <w:r>
              <w:rPr>
                <w:noProof/>
                <w:sz w:val="16"/>
                <w:szCs w:val="16"/>
                <w:lang w:val="en-GB"/>
              </w:rPr>
              <w:t>Economic, social and territorial cohesion</w:t>
            </w:r>
          </w:p>
        </w:tc>
        <w:tc>
          <w:tcPr>
            <w:tcW w:w="1956" w:type="dxa"/>
            <w:tcBorders>
              <w:top w:val="nil"/>
              <w:left w:val="nil"/>
              <w:bottom w:val="single" w:sz="4" w:space="0" w:color="auto"/>
              <w:right w:val="single" w:sz="4" w:space="0" w:color="auto"/>
            </w:tcBorders>
          </w:tcPr>
          <w:p>
            <w:pPr>
              <w:pStyle w:val="NormalRight"/>
              <w:spacing w:before="30" w:after="30"/>
              <w:rPr>
                <w:noProof/>
                <w:sz w:val="16"/>
                <w:szCs w:val="16"/>
              </w:rPr>
            </w:pPr>
            <w:r>
              <w:rPr>
                <w:noProof/>
                <w:sz w:val="16"/>
                <w:szCs w:val="16"/>
              </w:rPr>
              <w:t>56 842,0</w:t>
            </w:r>
          </w:p>
        </w:tc>
      </w:tr>
      <w:tr>
        <w:trPr>
          <w:jc w:val="center"/>
        </w:trPr>
        <w:tc>
          <w:tcPr>
            <w:tcW w:w="324" w:type="dxa"/>
            <w:tcBorders>
              <w:top w:val="nil"/>
              <w:left w:val="single" w:sz="4" w:space="0" w:color="auto"/>
              <w:bottom w:val="dotted" w:sz="2" w:space="0" w:color="auto"/>
              <w:right w:val="nil"/>
            </w:tcBorders>
          </w:tcPr>
          <w:p>
            <w:pPr>
              <w:spacing w:before="30" w:after="30"/>
              <w:rPr>
                <w:noProof/>
                <w:sz w:val="16"/>
                <w:szCs w:val="16"/>
              </w:rPr>
            </w:pPr>
            <w:r>
              <w:rPr>
                <w:b/>
                <w:bCs/>
                <w:noProof/>
                <w:sz w:val="16"/>
                <w:szCs w:val="16"/>
              </w:rPr>
              <w:t xml:space="preserve">2. </w:t>
            </w:r>
          </w:p>
        </w:tc>
        <w:tc>
          <w:tcPr>
            <w:tcW w:w="5063" w:type="dxa"/>
            <w:tcBorders>
              <w:top w:val="nil"/>
              <w:left w:val="nil"/>
              <w:bottom w:val="dotted" w:sz="2" w:space="0" w:color="auto"/>
              <w:right w:val="single" w:sz="4" w:space="0" w:color="auto"/>
            </w:tcBorders>
          </w:tcPr>
          <w:p>
            <w:pPr>
              <w:spacing w:before="30" w:after="30"/>
              <w:rPr>
                <w:noProof/>
                <w:sz w:val="16"/>
                <w:szCs w:val="16"/>
              </w:rPr>
            </w:pPr>
            <w:r>
              <w:rPr>
                <w:b/>
                <w:bCs/>
                <w:noProof/>
                <w:sz w:val="16"/>
                <w:szCs w:val="16"/>
              </w:rPr>
              <w:t>Sustainable growth: natural resources</w:t>
            </w:r>
          </w:p>
        </w:tc>
        <w:tc>
          <w:tcPr>
            <w:tcW w:w="1956" w:type="dxa"/>
            <w:tcBorders>
              <w:top w:val="nil"/>
              <w:left w:val="nil"/>
              <w:bottom w:val="dotted" w:sz="2" w:space="0" w:color="auto"/>
              <w:right w:val="single" w:sz="4" w:space="0" w:color="auto"/>
            </w:tcBorders>
          </w:tcPr>
          <w:p>
            <w:pPr>
              <w:pStyle w:val="NormalRight"/>
              <w:spacing w:before="30" w:after="30"/>
              <w:rPr>
                <w:noProof/>
                <w:sz w:val="16"/>
                <w:szCs w:val="16"/>
              </w:rPr>
            </w:pPr>
            <w:r>
              <w:rPr>
                <w:b/>
                <w:bCs/>
                <w:noProof/>
                <w:sz w:val="16"/>
                <w:szCs w:val="16"/>
              </w:rPr>
              <w:t>60 344,0</w:t>
            </w:r>
          </w:p>
        </w:tc>
      </w:tr>
      <w:tr>
        <w:trPr>
          <w:jc w:val="center"/>
        </w:trPr>
        <w:tc>
          <w:tcPr>
            <w:tcW w:w="324" w:type="dxa"/>
            <w:tcBorders>
              <w:top w:val="nil"/>
              <w:left w:val="single" w:sz="4" w:space="0" w:color="auto"/>
              <w:bottom w:val="single" w:sz="4" w:space="0" w:color="auto"/>
              <w:right w:val="nil"/>
            </w:tcBorders>
          </w:tcPr>
          <w:p>
            <w:pPr>
              <w:spacing w:before="30" w:after="30"/>
              <w:rPr>
                <w:noProof/>
                <w:sz w:val="16"/>
                <w:szCs w:val="16"/>
              </w:rPr>
            </w:pPr>
          </w:p>
        </w:tc>
        <w:tc>
          <w:tcPr>
            <w:tcW w:w="5063" w:type="dxa"/>
            <w:tcBorders>
              <w:top w:val="nil"/>
              <w:left w:val="nil"/>
              <w:bottom w:val="single" w:sz="4" w:space="0" w:color="auto"/>
              <w:right w:val="single" w:sz="4" w:space="0" w:color="auto"/>
            </w:tcBorders>
          </w:tcPr>
          <w:p>
            <w:pPr>
              <w:spacing w:before="30" w:after="30"/>
              <w:rPr>
                <w:noProof/>
                <w:sz w:val="16"/>
                <w:szCs w:val="16"/>
                <w:lang w:val="en-GB"/>
              </w:rPr>
            </w:pPr>
            <w:r>
              <w:rPr>
                <w:noProof/>
                <w:sz w:val="16"/>
                <w:szCs w:val="16"/>
                <w:lang w:val="en-GB"/>
              </w:rPr>
              <w:t>of which: European Agricultural Guarantee Fund (EAGF) — Market related expenditure and direct payments</w:t>
            </w:r>
          </w:p>
        </w:tc>
        <w:tc>
          <w:tcPr>
            <w:tcW w:w="1956" w:type="dxa"/>
            <w:tcBorders>
              <w:top w:val="nil"/>
              <w:left w:val="nil"/>
              <w:bottom w:val="single" w:sz="4" w:space="0" w:color="auto"/>
              <w:right w:val="single" w:sz="4" w:space="0" w:color="auto"/>
            </w:tcBorders>
          </w:tcPr>
          <w:p>
            <w:pPr>
              <w:pStyle w:val="NormalRight"/>
              <w:spacing w:before="30" w:after="30"/>
              <w:rPr>
                <w:noProof/>
                <w:sz w:val="16"/>
                <w:szCs w:val="16"/>
              </w:rPr>
            </w:pPr>
            <w:r>
              <w:rPr>
                <w:noProof/>
                <w:sz w:val="16"/>
                <w:szCs w:val="16"/>
              </w:rPr>
              <w:t>43 881,0</w:t>
            </w:r>
          </w:p>
        </w:tc>
      </w:tr>
      <w:tr>
        <w:trPr>
          <w:jc w:val="center"/>
        </w:trPr>
        <w:tc>
          <w:tcPr>
            <w:tcW w:w="324" w:type="dxa"/>
            <w:tcBorders>
              <w:top w:val="nil"/>
              <w:left w:val="single" w:sz="4" w:space="0" w:color="auto"/>
              <w:bottom w:val="dotted" w:sz="2" w:space="0" w:color="auto"/>
              <w:right w:val="nil"/>
            </w:tcBorders>
          </w:tcPr>
          <w:p>
            <w:pPr>
              <w:spacing w:before="30" w:after="30"/>
              <w:rPr>
                <w:noProof/>
                <w:sz w:val="16"/>
                <w:szCs w:val="16"/>
              </w:rPr>
            </w:pPr>
            <w:r>
              <w:rPr>
                <w:b/>
                <w:bCs/>
                <w:noProof/>
                <w:sz w:val="16"/>
                <w:szCs w:val="16"/>
              </w:rPr>
              <w:t xml:space="preserve">3. </w:t>
            </w:r>
          </w:p>
        </w:tc>
        <w:tc>
          <w:tcPr>
            <w:tcW w:w="5063" w:type="dxa"/>
            <w:tcBorders>
              <w:top w:val="nil"/>
              <w:left w:val="nil"/>
              <w:bottom w:val="dotted" w:sz="2" w:space="0" w:color="auto"/>
              <w:right w:val="single" w:sz="4" w:space="0" w:color="auto"/>
            </w:tcBorders>
          </w:tcPr>
          <w:p>
            <w:pPr>
              <w:spacing w:before="30" w:after="30"/>
              <w:rPr>
                <w:noProof/>
                <w:sz w:val="16"/>
                <w:szCs w:val="16"/>
              </w:rPr>
            </w:pPr>
            <w:r>
              <w:rPr>
                <w:b/>
                <w:bCs/>
                <w:noProof/>
                <w:sz w:val="16"/>
                <w:szCs w:val="16"/>
              </w:rPr>
              <w:t>Security and citizenship</w:t>
            </w:r>
          </w:p>
        </w:tc>
        <w:tc>
          <w:tcPr>
            <w:tcW w:w="1956" w:type="dxa"/>
            <w:tcBorders>
              <w:top w:val="nil"/>
              <w:left w:val="nil"/>
              <w:bottom w:val="dotted" w:sz="2" w:space="0" w:color="auto"/>
              <w:right w:val="single" w:sz="4" w:space="0" w:color="auto"/>
            </w:tcBorders>
          </w:tcPr>
          <w:p>
            <w:pPr>
              <w:pStyle w:val="NormalRight"/>
              <w:spacing w:before="30" w:after="30"/>
              <w:rPr>
                <w:noProof/>
                <w:sz w:val="16"/>
                <w:szCs w:val="16"/>
              </w:rPr>
            </w:pPr>
            <w:r>
              <w:rPr>
                <w:b/>
                <w:bCs/>
                <w:noProof/>
                <w:sz w:val="16"/>
                <w:szCs w:val="16"/>
              </w:rPr>
              <w:t>2 801,0</w:t>
            </w:r>
          </w:p>
        </w:tc>
      </w:tr>
      <w:tr>
        <w:trPr>
          <w:jc w:val="center"/>
        </w:trPr>
        <w:tc>
          <w:tcPr>
            <w:tcW w:w="324" w:type="dxa"/>
            <w:tcBorders>
              <w:top w:val="nil"/>
              <w:left w:val="single" w:sz="4" w:space="0" w:color="auto"/>
              <w:bottom w:val="single" w:sz="4" w:space="0" w:color="auto"/>
              <w:right w:val="nil"/>
            </w:tcBorders>
          </w:tcPr>
          <w:p>
            <w:pPr>
              <w:spacing w:before="30" w:after="30"/>
              <w:rPr>
                <w:noProof/>
                <w:sz w:val="16"/>
                <w:szCs w:val="16"/>
              </w:rPr>
            </w:pPr>
            <w:r>
              <w:rPr>
                <w:b/>
                <w:bCs/>
                <w:noProof/>
                <w:sz w:val="16"/>
                <w:szCs w:val="16"/>
              </w:rPr>
              <w:t xml:space="preserve">4. </w:t>
            </w:r>
          </w:p>
        </w:tc>
        <w:tc>
          <w:tcPr>
            <w:tcW w:w="5063" w:type="dxa"/>
            <w:tcBorders>
              <w:top w:val="nil"/>
              <w:left w:val="nil"/>
              <w:bottom w:val="single" w:sz="4" w:space="0" w:color="auto"/>
              <w:right w:val="single" w:sz="4" w:space="0" w:color="auto"/>
            </w:tcBorders>
          </w:tcPr>
          <w:p>
            <w:pPr>
              <w:spacing w:before="30" w:after="30"/>
              <w:rPr>
                <w:noProof/>
                <w:sz w:val="16"/>
                <w:szCs w:val="16"/>
              </w:rPr>
            </w:pPr>
            <w:r>
              <w:rPr>
                <w:b/>
                <w:bCs/>
                <w:noProof/>
                <w:sz w:val="16"/>
                <w:szCs w:val="16"/>
              </w:rPr>
              <w:t>Global Europe</w:t>
            </w:r>
          </w:p>
        </w:tc>
        <w:tc>
          <w:tcPr>
            <w:tcW w:w="1956" w:type="dxa"/>
            <w:tcBorders>
              <w:top w:val="nil"/>
              <w:left w:val="nil"/>
              <w:bottom w:val="single" w:sz="4" w:space="0" w:color="auto"/>
              <w:right w:val="single" w:sz="4" w:space="0" w:color="auto"/>
            </w:tcBorders>
          </w:tcPr>
          <w:p>
            <w:pPr>
              <w:pStyle w:val="NormalRight"/>
              <w:spacing w:before="30" w:after="30"/>
              <w:rPr>
                <w:noProof/>
                <w:sz w:val="16"/>
                <w:szCs w:val="16"/>
              </w:rPr>
            </w:pPr>
            <w:r>
              <w:rPr>
                <w:b/>
                <w:bCs/>
                <w:noProof/>
                <w:sz w:val="16"/>
                <w:szCs w:val="16"/>
              </w:rPr>
              <w:t>10 268,0</w:t>
            </w:r>
          </w:p>
        </w:tc>
      </w:tr>
      <w:tr>
        <w:trPr>
          <w:jc w:val="center"/>
        </w:trPr>
        <w:tc>
          <w:tcPr>
            <w:tcW w:w="324" w:type="dxa"/>
            <w:tcBorders>
              <w:top w:val="nil"/>
              <w:left w:val="single" w:sz="4" w:space="0" w:color="auto"/>
              <w:bottom w:val="single" w:sz="4" w:space="0" w:color="auto"/>
              <w:right w:val="nil"/>
            </w:tcBorders>
          </w:tcPr>
          <w:p>
            <w:pPr>
              <w:spacing w:before="30" w:after="30"/>
              <w:rPr>
                <w:noProof/>
                <w:sz w:val="16"/>
                <w:szCs w:val="16"/>
              </w:rPr>
            </w:pPr>
            <w:r>
              <w:rPr>
                <w:b/>
                <w:bCs/>
                <w:noProof/>
                <w:sz w:val="16"/>
                <w:szCs w:val="16"/>
              </w:rPr>
              <w:t xml:space="preserve">5. </w:t>
            </w:r>
          </w:p>
        </w:tc>
        <w:tc>
          <w:tcPr>
            <w:tcW w:w="5063" w:type="dxa"/>
            <w:tcBorders>
              <w:top w:val="nil"/>
              <w:left w:val="nil"/>
              <w:bottom w:val="single" w:sz="4" w:space="0" w:color="auto"/>
              <w:right w:val="single" w:sz="4" w:space="0" w:color="auto"/>
            </w:tcBorders>
          </w:tcPr>
          <w:p>
            <w:pPr>
              <w:spacing w:before="30" w:after="30"/>
              <w:rPr>
                <w:noProof/>
                <w:sz w:val="16"/>
                <w:szCs w:val="16"/>
              </w:rPr>
            </w:pPr>
            <w:r>
              <w:rPr>
                <w:b/>
                <w:bCs/>
                <w:noProof/>
                <w:sz w:val="16"/>
                <w:szCs w:val="16"/>
              </w:rPr>
              <w:t>Administration</w:t>
            </w:r>
          </w:p>
        </w:tc>
        <w:tc>
          <w:tcPr>
            <w:tcW w:w="1956" w:type="dxa"/>
            <w:tcBorders>
              <w:top w:val="nil"/>
              <w:left w:val="nil"/>
              <w:bottom w:val="single" w:sz="4" w:space="0" w:color="auto"/>
              <w:right w:val="single" w:sz="4" w:space="0" w:color="auto"/>
            </w:tcBorders>
          </w:tcPr>
          <w:p>
            <w:pPr>
              <w:pStyle w:val="NormalRight"/>
              <w:spacing w:before="30" w:after="30"/>
              <w:rPr>
                <w:noProof/>
                <w:sz w:val="16"/>
                <w:szCs w:val="16"/>
              </w:rPr>
            </w:pPr>
            <w:r>
              <w:rPr>
                <w:b/>
                <w:bCs/>
                <w:noProof/>
                <w:sz w:val="16"/>
                <w:szCs w:val="16"/>
              </w:rPr>
              <w:t>10 786,0</w:t>
            </w:r>
          </w:p>
        </w:tc>
      </w:tr>
      <w:tr>
        <w:trPr>
          <w:jc w:val="center"/>
        </w:trPr>
        <w:tc>
          <w:tcPr>
            <w:tcW w:w="324" w:type="dxa"/>
            <w:tcBorders>
              <w:top w:val="nil"/>
              <w:left w:val="single" w:sz="4" w:space="0" w:color="auto"/>
              <w:bottom w:val="single" w:sz="4" w:space="0" w:color="auto"/>
              <w:right w:val="nil"/>
            </w:tcBorders>
          </w:tcPr>
          <w:p>
            <w:pPr>
              <w:spacing w:before="30" w:after="30"/>
              <w:rPr>
                <w:noProof/>
                <w:sz w:val="16"/>
                <w:szCs w:val="16"/>
              </w:rPr>
            </w:pPr>
          </w:p>
        </w:tc>
        <w:tc>
          <w:tcPr>
            <w:tcW w:w="5063" w:type="dxa"/>
            <w:tcBorders>
              <w:top w:val="nil"/>
              <w:left w:val="nil"/>
              <w:bottom w:val="single" w:sz="4" w:space="0" w:color="auto"/>
              <w:right w:val="single" w:sz="4" w:space="0" w:color="auto"/>
            </w:tcBorders>
          </w:tcPr>
          <w:p>
            <w:pPr>
              <w:spacing w:before="30" w:after="30"/>
              <w:rPr>
                <w:noProof/>
                <w:sz w:val="16"/>
                <w:szCs w:val="16"/>
                <w:lang w:val="en-GB"/>
              </w:rPr>
            </w:pPr>
            <w:r>
              <w:rPr>
                <w:noProof/>
                <w:sz w:val="16"/>
                <w:szCs w:val="16"/>
                <w:lang w:val="en-GB"/>
              </w:rPr>
              <w:t>of which: Administrative expenditure of the institutions</w:t>
            </w:r>
          </w:p>
        </w:tc>
        <w:tc>
          <w:tcPr>
            <w:tcW w:w="1956" w:type="dxa"/>
            <w:tcBorders>
              <w:top w:val="nil"/>
              <w:left w:val="nil"/>
              <w:bottom w:val="single" w:sz="4" w:space="0" w:color="auto"/>
              <w:right w:val="single" w:sz="4" w:space="0" w:color="auto"/>
            </w:tcBorders>
          </w:tcPr>
          <w:p>
            <w:pPr>
              <w:pStyle w:val="NormalRight"/>
              <w:spacing w:before="30" w:after="30"/>
              <w:rPr>
                <w:noProof/>
                <w:sz w:val="16"/>
                <w:szCs w:val="16"/>
              </w:rPr>
            </w:pPr>
            <w:r>
              <w:rPr>
                <w:noProof/>
                <w:sz w:val="16"/>
                <w:szCs w:val="16"/>
              </w:rPr>
              <w:t>8 700,0</w:t>
            </w:r>
          </w:p>
        </w:tc>
      </w:tr>
      <w:tr>
        <w:trPr>
          <w:jc w:val="center"/>
        </w:trPr>
        <w:tc>
          <w:tcPr>
            <w:tcW w:w="324" w:type="dxa"/>
            <w:tcBorders>
              <w:top w:val="nil"/>
              <w:left w:val="single" w:sz="4" w:space="0" w:color="auto"/>
              <w:bottom w:val="single" w:sz="4" w:space="0" w:color="auto"/>
              <w:right w:val="nil"/>
            </w:tcBorders>
          </w:tcPr>
          <w:p>
            <w:pPr>
              <w:spacing w:before="30" w:after="30"/>
              <w:rPr>
                <w:noProof/>
                <w:sz w:val="16"/>
                <w:szCs w:val="16"/>
              </w:rPr>
            </w:pPr>
            <w:r>
              <w:rPr>
                <w:b/>
                <w:bCs/>
                <w:noProof/>
                <w:sz w:val="16"/>
                <w:szCs w:val="16"/>
              </w:rPr>
              <w:t xml:space="preserve">6. </w:t>
            </w:r>
          </w:p>
        </w:tc>
        <w:tc>
          <w:tcPr>
            <w:tcW w:w="5063" w:type="dxa"/>
            <w:tcBorders>
              <w:top w:val="nil"/>
              <w:left w:val="nil"/>
              <w:bottom w:val="single" w:sz="4" w:space="0" w:color="auto"/>
              <w:right w:val="single" w:sz="4" w:space="0" w:color="auto"/>
            </w:tcBorders>
          </w:tcPr>
          <w:p>
            <w:pPr>
              <w:spacing w:before="30" w:after="30"/>
              <w:rPr>
                <w:noProof/>
                <w:sz w:val="16"/>
                <w:szCs w:val="16"/>
              </w:rPr>
            </w:pPr>
            <w:r>
              <w:rPr>
                <w:b/>
                <w:bCs/>
                <w:noProof/>
                <w:sz w:val="16"/>
                <w:szCs w:val="16"/>
              </w:rPr>
              <w:t>Compensations</w:t>
            </w:r>
          </w:p>
        </w:tc>
        <w:tc>
          <w:tcPr>
            <w:tcW w:w="1956" w:type="dxa"/>
            <w:tcBorders>
              <w:top w:val="nil"/>
              <w:left w:val="nil"/>
              <w:bottom w:val="single" w:sz="4" w:space="0" w:color="auto"/>
              <w:right w:val="single" w:sz="4" w:space="0" w:color="auto"/>
            </w:tcBorders>
          </w:tcPr>
          <w:p>
            <w:pPr>
              <w:pStyle w:val="NormalRight"/>
              <w:spacing w:before="30" w:after="30"/>
              <w:rPr>
                <w:noProof/>
                <w:sz w:val="16"/>
                <w:szCs w:val="16"/>
              </w:rPr>
            </w:pPr>
            <w:r>
              <w:rPr>
                <w:b/>
                <w:bCs/>
                <w:noProof/>
                <w:sz w:val="16"/>
                <w:szCs w:val="16"/>
              </w:rPr>
              <w:t>0,0</w:t>
            </w:r>
          </w:p>
        </w:tc>
      </w:tr>
      <w:tr>
        <w:trPr>
          <w:jc w:val="center"/>
        </w:trPr>
        <w:tc>
          <w:tcPr>
            <w:tcW w:w="324" w:type="dxa"/>
            <w:tcBorders>
              <w:top w:val="nil"/>
              <w:left w:val="single" w:sz="4" w:space="0" w:color="auto"/>
              <w:bottom w:val="single" w:sz="4" w:space="0" w:color="auto"/>
              <w:right w:val="nil"/>
            </w:tcBorders>
            <w:shd w:val="clear" w:color="auto" w:fill="E0E0E0"/>
          </w:tcPr>
          <w:p>
            <w:pPr>
              <w:spacing w:before="30" w:after="30"/>
              <w:rPr>
                <w:noProof/>
                <w:sz w:val="16"/>
                <w:szCs w:val="16"/>
              </w:rPr>
            </w:pPr>
          </w:p>
        </w:tc>
        <w:tc>
          <w:tcPr>
            <w:tcW w:w="5063" w:type="dxa"/>
            <w:tcBorders>
              <w:top w:val="nil"/>
              <w:left w:val="nil"/>
              <w:bottom w:val="single" w:sz="4" w:space="0" w:color="auto"/>
              <w:right w:val="single" w:sz="4" w:space="0" w:color="auto"/>
            </w:tcBorders>
            <w:shd w:val="clear" w:color="auto" w:fill="E0E0E0"/>
          </w:tcPr>
          <w:p>
            <w:pPr>
              <w:pStyle w:val="NormalRight"/>
              <w:spacing w:before="30" w:after="30"/>
              <w:rPr>
                <w:noProof/>
                <w:sz w:val="16"/>
                <w:szCs w:val="16"/>
              </w:rPr>
            </w:pPr>
            <w:r>
              <w:rPr>
                <w:b/>
                <w:bCs/>
                <w:noProof/>
                <w:sz w:val="16"/>
                <w:szCs w:val="16"/>
              </w:rPr>
              <w:t>TOTAL COMMITMENTS</w:t>
            </w:r>
          </w:p>
        </w:tc>
        <w:tc>
          <w:tcPr>
            <w:tcW w:w="1956" w:type="dxa"/>
            <w:tcBorders>
              <w:top w:val="nil"/>
              <w:left w:val="nil"/>
              <w:bottom w:val="single" w:sz="4" w:space="0" w:color="auto"/>
              <w:right w:val="single" w:sz="4" w:space="0" w:color="auto"/>
            </w:tcBorders>
            <w:shd w:val="clear" w:color="auto" w:fill="E0E0E0"/>
          </w:tcPr>
          <w:p>
            <w:pPr>
              <w:pStyle w:val="NormalRight"/>
              <w:spacing w:before="30" w:after="30"/>
              <w:rPr>
                <w:noProof/>
                <w:sz w:val="16"/>
                <w:szCs w:val="16"/>
              </w:rPr>
            </w:pPr>
            <w:r>
              <w:rPr>
                <w:b/>
                <w:bCs/>
                <w:noProof/>
                <w:sz w:val="16"/>
                <w:szCs w:val="16"/>
              </w:rPr>
              <w:t>164 123,0</w:t>
            </w:r>
          </w:p>
        </w:tc>
      </w:tr>
      <w:tr>
        <w:trPr>
          <w:jc w:val="center"/>
        </w:trPr>
        <w:tc>
          <w:tcPr>
            <w:tcW w:w="324" w:type="dxa"/>
            <w:tcBorders>
              <w:top w:val="nil"/>
              <w:left w:val="single" w:sz="4" w:space="0" w:color="auto"/>
              <w:bottom w:val="single" w:sz="4" w:space="0" w:color="auto"/>
              <w:right w:val="nil"/>
            </w:tcBorders>
            <w:shd w:val="clear" w:color="auto" w:fill="E0E0E0"/>
          </w:tcPr>
          <w:p>
            <w:pPr>
              <w:spacing w:before="30" w:after="30"/>
              <w:rPr>
                <w:noProof/>
                <w:sz w:val="16"/>
                <w:szCs w:val="16"/>
              </w:rPr>
            </w:pPr>
          </w:p>
        </w:tc>
        <w:tc>
          <w:tcPr>
            <w:tcW w:w="5063" w:type="dxa"/>
            <w:tcBorders>
              <w:top w:val="nil"/>
              <w:left w:val="nil"/>
              <w:bottom w:val="single" w:sz="4" w:space="0" w:color="auto"/>
              <w:right w:val="single" w:sz="4" w:space="0" w:color="auto"/>
            </w:tcBorders>
            <w:shd w:val="clear" w:color="auto" w:fill="E0E0E0"/>
          </w:tcPr>
          <w:p>
            <w:pPr>
              <w:pStyle w:val="NormalRight"/>
              <w:spacing w:before="30" w:after="30"/>
              <w:rPr>
                <w:noProof/>
                <w:sz w:val="16"/>
                <w:szCs w:val="16"/>
              </w:rPr>
            </w:pPr>
            <w:r>
              <w:rPr>
                <w:b/>
                <w:bCs/>
                <w:noProof/>
                <w:sz w:val="16"/>
                <w:szCs w:val="16"/>
              </w:rPr>
              <w:t>TOTAL PAYMENTS</w:t>
            </w:r>
          </w:p>
        </w:tc>
        <w:tc>
          <w:tcPr>
            <w:tcW w:w="1956" w:type="dxa"/>
            <w:tcBorders>
              <w:top w:val="nil"/>
              <w:left w:val="nil"/>
              <w:bottom w:val="single" w:sz="4" w:space="0" w:color="auto"/>
              <w:right w:val="single" w:sz="4" w:space="0" w:color="auto"/>
            </w:tcBorders>
            <w:shd w:val="clear" w:color="auto" w:fill="E0E0E0"/>
          </w:tcPr>
          <w:p>
            <w:pPr>
              <w:pStyle w:val="NormalRight"/>
              <w:spacing w:before="30" w:after="30"/>
              <w:rPr>
                <w:noProof/>
                <w:sz w:val="16"/>
                <w:szCs w:val="16"/>
              </w:rPr>
            </w:pPr>
            <w:r>
              <w:rPr>
                <w:b/>
                <w:bCs/>
                <w:noProof/>
                <w:sz w:val="16"/>
                <w:szCs w:val="16"/>
              </w:rPr>
              <w:t>166 709,0</w:t>
            </w:r>
          </w:p>
        </w:tc>
      </w:tr>
    </w:tbl>
    <w:p>
      <w:pPr>
        <w:spacing w:before="240"/>
        <w:rPr>
          <w:noProof/>
          <w:lang w:val="en-GB"/>
        </w:rPr>
      </w:pPr>
      <w:r>
        <w:rPr>
          <w:noProof/>
          <w:lang w:val="en-GB"/>
        </w:rPr>
        <w:t>In the MFF, the overall ceiling for commitment appropriations is set at EUR 164 123 million, which represents 1,00 % of EU gross national income (GNI). The ceiling for payment appropriations is EUR 166 709 million, or 1,01 % of GNI.</w:t>
      </w:r>
    </w:p>
    <w:p>
      <w:pPr>
        <w:pStyle w:val="ManualHeading2"/>
        <w:rPr>
          <w:noProof/>
        </w:rPr>
      </w:pPr>
      <w:bookmarkStart w:id="13" w:name="_Toc530674096"/>
      <w:r>
        <w:t>2.2.</w:t>
      </w:r>
      <w:r>
        <w:tab/>
      </w:r>
      <w:r>
        <w:rPr>
          <w:noProof/>
        </w:rPr>
        <w:t xml:space="preserve">Overview of the second 2019 </w:t>
      </w:r>
      <w:bookmarkEnd w:id="12"/>
      <w:r>
        <w:rPr>
          <w:noProof/>
        </w:rPr>
        <w:t>draft budget</w:t>
      </w:r>
      <w:bookmarkEnd w:id="13"/>
    </w:p>
    <w:tbl>
      <w:tblPr>
        <w:tblW w:w="10560" w:type="dxa"/>
        <w:tblInd w:w="108" w:type="dxa"/>
        <w:tblLook w:val="04A0" w:firstRow="1" w:lastRow="0" w:firstColumn="1" w:lastColumn="0" w:noHBand="0" w:noVBand="1"/>
      </w:tblPr>
      <w:tblGrid>
        <w:gridCol w:w="403"/>
        <w:gridCol w:w="2757"/>
        <w:gridCol w:w="980"/>
        <w:gridCol w:w="980"/>
        <w:gridCol w:w="980"/>
        <w:gridCol w:w="980"/>
        <w:gridCol w:w="980"/>
        <w:gridCol w:w="980"/>
        <w:gridCol w:w="760"/>
        <w:gridCol w:w="760"/>
      </w:tblGrid>
      <w:tr>
        <w:trPr>
          <w:trHeight w:val="255"/>
          <w:tblHeader/>
        </w:trPr>
        <w:tc>
          <w:tcPr>
            <w:tcW w:w="10560" w:type="dxa"/>
            <w:gridSpan w:val="10"/>
            <w:tcBorders>
              <w:top w:val="nil"/>
              <w:left w:val="nil"/>
              <w:bottom w:val="single" w:sz="4" w:space="0" w:color="auto"/>
              <w:right w:val="nil"/>
            </w:tcBorders>
            <w:shd w:val="clear" w:color="auto" w:fill="auto"/>
            <w:noWrap/>
            <w:vAlign w:val="bottom"/>
            <w:hideMark/>
          </w:tcPr>
          <w:p>
            <w:pPr>
              <w:spacing w:after="0" w:line="240" w:lineRule="auto"/>
              <w:jc w:val="right"/>
              <w:rPr>
                <w:rFonts w:eastAsia="Times New Roman"/>
                <w:i/>
                <w:iCs/>
                <w:noProof/>
                <w:sz w:val="20"/>
                <w:szCs w:val="20"/>
                <w:lang w:val="en-GB" w:eastAsia="en-GB"/>
              </w:rPr>
            </w:pPr>
            <w:r>
              <w:rPr>
                <w:rFonts w:eastAsia="Times New Roman"/>
                <w:i/>
                <w:iCs/>
                <w:noProof/>
                <w:sz w:val="20"/>
                <w:szCs w:val="20"/>
                <w:lang w:val="en-GB" w:eastAsia="en-GB"/>
              </w:rPr>
              <w:t>(Commitment (CA) and payment (PA) appropriations in million EUR, rounded figures at current prices)</w:t>
            </w:r>
          </w:p>
        </w:tc>
      </w:tr>
      <w:tr>
        <w:trPr>
          <w:trHeight w:val="210"/>
          <w:tblHeader/>
        </w:trPr>
        <w:tc>
          <w:tcPr>
            <w:tcW w:w="3160"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pPr>
              <w:spacing w:after="0" w:line="240" w:lineRule="auto"/>
              <w:jc w:val="center"/>
              <w:rPr>
                <w:rFonts w:eastAsia="Times New Roman"/>
                <w:b/>
                <w:bCs/>
                <w:noProof/>
                <w:sz w:val="16"/>
                <w:szCs w:val="16"/>
                <w:lang w:val="en-GB" w:eastAsia="en-GB"/>
              </w:rPr>
            </w:pPr>
            <w:r>
              <w:rPr>
                <w:rFonts w:eastAsia="Times New Roman"/>
                <w:b/>
                <w:bCs/>
                <w:noProof/>
                <w:sz w:val="16"/>
                <w:szCs w:val="16"/>
                <w:lang w:val="en-GB" w:eastAsia="en-GB"/>
              </w:rPr>
              <w:t>Heading</w:t>
            </w:r>
          </w:p>
        </w:tc>
        <w:tc>
          <w:tcPr>
            <w:tcW w:w="1960" w:type="dxa"/>
            <w:gridSpan w:val="2"/>
            <w:tcBorders>
              <w:top w:val="single" w:sz="4" w:space="0" w:color="auto"/>
              <w:left w:val="single" w:sz="4" w:space="0" w:color="auto"/>
              <w:bottom w:val="nil"/>
              <w:right w:val="single" w:sz="4" w:space="0" w:color="000000"/>
            </w:tcBorders>
            <w:shd w:val="clear" w:color="000000" w:fill="D9D9D9"/>
            <w:vAlign w:val="center"/>
            <w:hideMark/>
          </w:tcPr>
          <w:p>
            <w:pPr>
              <w:spacing w:after="0" w:line="240" w:lineRule="auto"/>
              <w:jc w:val="center"/>
              <w:rPr>
                <w:rFonts w:eastAsia="Times New Roman"/>
                <w:b/>
                <w:bCs/>
                <w:noProof/>
                <w:sz w:val="16"/>
                <w:szCs w:val="16"/>
                <w:lang w:val="en-GB" w:eastAsia="en-GB"/>
              </w:rPr>
            </w:pPr>
            <w:r>
              <w:rPr>
                <w:rFonts w:eastAsia="Times New Roman"/>
                <w:b/>
                <w:bCs/>
                <w:noProof/>
                <w:sz w:val="16"/>
                <w:szCs w:val="16"/>
                <w:lang w:val="en-GB" w:eastAsia="en-GB"/>
              </w:rPr>
              <w:t>Budget</w:t>
            </w:r>
          </w:p>
        </w:tc>
        <w:tc>
          <w:tcPr>
            <w:tcW w:w="1960" w:type="dxa"/>
            <w:gridSpan w:val="2"/>
            <w:tcBorders>
              <w:top w:val="single" w:sz="4" w:space="0" w:color="auto"/>
              <w:left w:val="single" w:sz="4" w:space="0" w:color="auto"/>
              <w:bottom w:val="nil"/>
              <w:right w:val="single" w:sz="4" w:space="0" w:color="000000"/>
            </w:tcBorders>
            <w:shd w:val="clear" w:color="000000" w:fill="D9D9D9"/>
            <w:vAlign w:val="center"/>
            <w:hideMark/>
          </w:tcPr>
          <w:p>
            <w:pPr>
              <w:spacing w:after="0" w:line="240" w:lineRule="auto"/>
              <w:jc w:val="center"/>
              <w:rPr>
                <w:rFonts w:eastAsia="Times New Roman"/>
                <w:b/>
                <w:bCs/>
                <w:noProof/>
                <w:sz w:val="16"/>
                <w:szCs w:val="16"/>
                <w:lang w:val="en-GB" w:eastAsia="en-GB"/>
              </w:rPr>
            </w:pPr>
            <w:r>
              <w:rPr>
                <w:rFonts w:eastAsia="Times New Roman"/>
                <w:b/>
                <w:bCs/>
                <w:noProof/>
                <w:sz w:val="16"/>
                <w:szCs w:val="16"/>
                <w:lang w:val="en-GB" w:eastAsia="en-GB"/>
              </w:rPr>
              <w:t>Second Draft budget</w:t>
            </w:r>
          </w:p>
        </w:tc>
        <w:tc>
          <w:tcPr>
            <w:tcW w:w="1960" w:type="dxa"/>
            <w:gridSpan w:val="2"/>
            <w:tcBorders>
              <w:top w:val="single" w:sz="4" w:space="0" w:color="auto"/>
              <w:left w:val="single" w:sz="4" w:space="0" w:color="auto"/>
              <w:bottom w:val="nil"/>
              <w:right w:val="single" w:sz="4" w:space="0" w:color="000000"/>
            </w:tcBorders>
            <w:shd w:val="clear" w:color="000000" w:fill="D9D9D9"/>
            <w:vAlign w:val="center"/>
            <w:hideMark/>
          </w:tcPr>
          <w:p>
            <w:pPr>
              <w:spacing w:after="0" w:line="240" w:lineRule="auto"/>
              <w:jc w:val="center"/>
              <w:rPr>
                <w:rFonts w:eastAsia="Times New Roman"/>
                <w:b/>
                <w:bCs/>
                <w:noProof/>
                <w:sz w:val="16"/>
                <w:szCs w:val="16"/>
                <w:lang w:val="en-GB" w:eastAsia="en-GB"/>
              </w:rPr>
            </w:pPr>
            <w:r>
              <w:rPr>
                <w:rFonts w:eastAsia="Times New Roman"/>
                <w:b/>
                <w:bCs/>
                <w:noProof/>
                <w:sz w:val="16"/>
                <w:szCs w:val="16"/>
                <w:lang w:val="en-GB" w:eastAsia="en-GB"/>
              </w:rPr>
              <w:t>Difference</w:t>
            </w:r>
          </w:p>
        </w:tc>
        <w:tc>
          <w:tcPr>
            <w:tcW w:w="1520" w:type="dxa"/>
            <w:gridSpan w:val="2"/>
            <w:tcBorders>
              <w:top w:val="single" w:sz="4" w:space="0" w:color="auto"/>
              <w:left w:val="single" w:sz="4" w:space="0" w:color="auto"/>
              <w:bottom w:val="nil"/>
              <w:right w:val="single" w:sz="4" w:space="0" w:color="000000"/>
            </w:tcBorders>
            <w:shd w:val="clear" w:color="000000" w:fill="D9D9D9"/>
            <w:vAlign w:val="center"/>
            <w:hideMark/>
          </w:tcPr>
          <w:p>
            <w:pPr>
              <w:spacing w:after="0" w:line="240" w:lineRule="auto"/>
              <w:jc w:val="center"/>
              <w:rPr>
                <w:rFonts w:eastAsia="Times New Roman"/>
                <w:b/>
                <w:bCs/>
                <w:noProof/>
                <w:sz w:val="16"/>
                <w:szCs w:val="16"/>
                <w:lang w:val="en-GB" w:eastAsia="en-GB"/>
              </w:rPr>
            </w:pPr>
            <w:r>
              <w:rPr>
                <w:rFonts w:eastAsia="Times New Roman"/>
                <w:b/>
                <w:bCs/>
                <w:noProof/>
                <w:sz w:val="16"/>
                <w:szCs w:val="16"/>
                <w:lang w:val="en-GB" w:eastAsia="en-GB"/>
              </w:rPr>
              <w:t>Difference</w:t>
            </w:r>
          </w:p>
        </w:tc>
      </w:tr>
      <w:tr>
        <w:trPr>
          <w:trHeight w:val="210"/>
          <w:tblHeader/>
        </w:trPr>
        <w:tc>
          <w:tcPr>
            <w:tcW w:w="3160" w:type="dxa"/>
            <w:gridSpan w:val="2"/>
            <w:vMerge/>
            <w:tcBorders>
              <w:top w:val="single" w:sz="4" w:space="0" w:color="auto"/>
              <w:left w:val="single" w:sz="4" w:space="0" w:color="auto"/>
              <w:bottom w:val="single" w:sz="4" w:space="0" w:color="000000"/>
              <w:right w:val="single" w:sz="4" w:space="0" w:color="000000"/>
            </w:tcBorders>
            <w:vAlign w:val="center"/>
            <w:hideMark/>
          </w:tcPr>
          <w:p>
            <w:pPr>
              <w:spacing w:after="0" w:line="240" w:lineRule="auto"/>
              <w:rPr>
                <w:rFonts w:eastAsia="Times New Roman"/>
                <w:b/>
                <w:bCs/>
                <w:noProof/>
                <w:sz w:val="16"/>
                <w:szCs w:val="16"/>
                <w:lang w:val="en-GB" w:eastAsia="en-GB"/>
              </w:rPr>
            </w:pPr>
          </w:p>
        </w:tc>
        <w:tc>
          <w:tcPr>
            <w:tcW w:w="1960" w:type="dxa"/>
            <w:gridSpan w:val="2"/>
            <w:tcBorders>
              <w:top w:val="nil"/>
              <w:left w:val="single" w:sz="4" w:space="0" w:color="auto"/>
              <w:bottom w:val="single" w:sz="4" w:space="0" w:color="auto"/>
              <w:right w:val="single" w:sz="4" w:space="0" w:color="000000"/>
            </w:tcBorders>
            <w:shd w:val="clear" w:color="000000" w:fill="D9D9D9"/>
            <w:vAlign w:val="center"/>
            <w:hideMark/>
          </w:tcPr>
          <w:p>
            <w:pPr>
              <w:spacing w:after="0" w:line="240" w:lineRule="auto"/>
              <w:jc w:val="center"/>
              <w:rPr>
                <w:rFonts w:eastAsia="Times New Roman"/>
                <w:b/>
                <w:bCs/>
                <w:noProof/>
                <w:sz w:val="16"/>
                <w:szCs w:val="16"/>
                <w:lang w:val="en-GB" w:eastAsia="en-GB"/>
              </w:rPr>
            </w:pPr>
            <w:r>
              <w:rPr>
                <w:rFonts w:eastAsia="Times New Roman"/>
                <w:b/>
                <w:bCs/>
                <w:noProof/>
                <w:sz w:val="16"/>
                <w:szCs w:val="16"/>
                <w:lang w:val="en-GB" w:eastAsia="en-GB"/>
              </w:rPr>
              <w:t xml:space="preserve">2018 </w:t>
            </w:r>
            <w:r>
              <w:rPr>
                <w:rFonts w:eastAsia="Times New Roman"/>
                <w:noProof/>
                <w:sz w:val="16"/>
                <w:szCs w:val="16"/>
                <w:vertAlign w:val="superscript"/>
                <w:lang w:val="en-GB" w:eastAsia="en-GB"/>
              </w:rPr>
              <w:t>(1)</w:t>
            </w:r>
          </w:p>
        </w:tc>
        <w:tc>
          <w:tcPr>
            <w:tcW w:w="1960" w:type="dxa"/>
            <w:gridSpan w:val="2"/>
            <w:tcBorders>
              <w:top w:val="nil"/>
              <w:left w:val="single" w:sz="4" w:space="0" w:color="auto"/>
              <w:bottom w:val="single" w:sz="4" w:space="0" w:color="auto"/>
              <w:right w:val="single" w:sz="4" w:space="0" w:color="000000"/>
            </w:tcBorders>
            <w:shd w:val="clear" w:color="000000" w:fill="D9D9D9"/>
            <w:vAlign w:val="center"/>
            <w:hideMark/>
          </w:tcPr>
          <w:p>
            <w:pPr>
              <w:spacing w:after="0" w:line="240" w:lineRule="auto"/>
              <w:jc w:val="center"/>
              <w:rPr>
                <w:rFonts w:eastAsia="Times New Roman"/>
                <w:b/>
                <w:bCs/>
                <w:noProof/>
                <w:sz w:val="16"/>
                <w:szCs w:val="16"/>
                <w:lang w:val="en-GB" w:eastAsia="en-GB"/>
              </w:rPr>
            </w:pPr>
            <w:r>
              <w:rPr>
                <w:rFonts w:eastAsia="Times New Roman"/>
                <w:b/>
                <w:bCs/>
                <w:noProof/>
                <w:sz w:val="16"/>
                <w:szCs w:val="16"/>
                <w:lang w:val="en-GB" w:eastAsia="en-GB"/>
              </w:rPr>
              <w:t>2019</w:t>
            </w:r>
          </w:p>
        </w:tc>
        <w:tc>
          <w:tcPr>
            <w:tcW w:w="1960" w:type="dxa"/>
            <w:gridSpan w:val="2"/>
            <w:tcBorders>
              <w:top w:val="nil"/>
              <w:left w:val="single" w:sz="4" w:space="0" w:color="auto"/>
              <w:bottom w:val="single" w:sz="4" w:space="0" w:color="auto"/>
              <w:right w:val="single" w:sz="4" w:space="0" w:color="000000"/>
            </w:tcBorders>
            <w:shd w:val="clear" w:color="000000" w:fill="D9D9D9"/>
            <w:vAlign w:val="center"/>
            <w:hideMark/>
          </w:tcPr>
          <w:p>
            <w:pPr>
              <w:spacing w:after="0" w:line="240" w:lineRule="auto"/>
              <w:jc w:val="center"/>
              <w:rPr>
                <w:rFonts w:eastAsia="Times New Roman"/>
                <w:b/>
                <w:bCs/>
                <w:noProof/>
                <w:sz w:val="16"/>
                <w:szCs w:val="16"/>
                <w:lang w:val="en-GB" w:eastAsia="en-GB"/>
              </w:rPr>
            </w:pPr>
            <w:r>
              <w:rPr>
                <w:rFonts w:eastAsia="Times New Roman"/>
                <w:b/>
                <w:bCs/>
                <w:noProof/>
                <w:sz w:val="16"/>
                <w:szCs w:val="16"/>
                <w:lang w:val="en-GB" w:eastAsia="en-GB"/>
              </w:rPr>
              <w:t>2019 – 2018</w:t>
            </w:r>
          </w:p>
        </w:tc>
        <w:tc>
          <w:tcPr>
            <w:tcW w:w="1520" w:type="dxa"/>
            <w:gridSpan w:val="2"/>
            <w:tcBorders>
              <w:top w:val="nil"/>
              <w:left w:val="single" w:sz="4" w:space="0" w:color="auto"/>
              <w:bottom w:val="single" w:sz="4" w:space="0" w:color="auto"/>
              <w:right w:val="single" w:sz="4" w:space="0" w:color="000000"/>
            </w:tcBorders>
            <w:shd w:val="clear" w:color="000000" w:fill="D9D9D9"/>
            <w:vAlign w:val="center"/>
            <w:hideMark/>
          </w:tcPr>
          <w:p>
            <w:pPr>
              <w:spacing w:after="0" w:line="240" w:lineRule="auto"/>
              <w:jc w:val="center"/>
              <w:rPr>
                <w:rFonts w:eastAsia="Times New Roman"/>
                <w:b/>
                <w:bCs/>
                <w:noProof/>
                <w:sz w:val="16"/>
                <w:szCs w:val="16"/>
                <w:lang w:val="en-GB" w:eastAsia="en-GB"/>
              </w:rPr>
            </w:pPr>
            <w:r>
              <w:rPr>
                <w:rFonts w:eastAsia="Times New Roman"/>
                <w:b/>
                <w:bCs/>
                <w:noProof/>
                <w:sz w:val="16"/>
                <w:szCs w:val="16"/>
                <w:lang w:val="en-GB" w:eastAsia="en-GB"/>
              </w:rPr>
              <w:t>2019 – 2018</w:t>
            </w:r>
          </w:p>
        </w:tc>
      </w:tr>
      <w:tr>
        <w:trPr>
          <w:trHeight w:val="210"/>
          <w:tblHeader/>
        </w:trPr>
        <w:tc>
          <w:tcPr>
            <w:tcW w:w="3160" w:type="dxa"/>
            <w:gridSpan w:val="2"/>
            <w:vMerge/>
            <w:tcBorders>
              <w:top w:val="single" w:sz="4" w:space="0" w:color="auto"/>
              <w:left w:val="single" w:sz="4" w:space="0" w:color="auto"/>
              <w:bottom w:val="single" w:sz="4" w:space="0" w:color="000000"/>
              <w:right w:val="single" w:sz="4" w:space="0" w:color="000000"/>
            </w:tcBorders>
            <w:vAlign w:val="center"/>
            <w:hideMark/>
          </w:tcPr>
          <w:p>
            <w:pPr>
              <w:spacing w:after="0" w:line="240" w:lineRule="auto"/>
              <w:rPr>
                <w:rFonts w:eastAsia="Times New Roman"/>
                <w:b/>
                <w:bCs/>
                <w:noProof/>
                <w:sz w:val="16"/>
                <w:szCs w:val="16"/>
                <w:lang w:val="en-GB" w:eastAsia="en-GB"/>
              </w:rPr>
            </w:pPr>
          </w:p>
        </w:tc>
        <w:tc>
          <w:tcPr>
            <w:tcW w:w="1960" w:type="dxa"/>
            <w:gridSpan w:val="2"/>
            <w:tcBorders>
              <w:top w:val="single" w:sz="4" w:space="0" w:color="auto"/>
              <w:left w:val="nil"/>
              <w:bottom w:val="single" w:sz="4" w:space="0" w:color="auto"/>
              <w:right w:val="single" w:sz="4" w:space="0" w:color="000000"/>
            </w:tcBorders>
            <w:shd w:val="clear" w:color="000000" w:fill="D9D9D9"/>
            <w:vAlign w:val="center"/>
            <w:hideMark/>
          </w:tcPr>
          <w:p>
            <w:pPr>
              <w:spacing w:after="0" w:line="240" w:lineRule="auto"/>
              <w:jc w:val="center"/>
              <w:rPr>
                <w:rFonts w:eastAsia="Times New Roman"/>
                <w:b/>
                <w:bCs/>
                <w:noProof/>
                <w:sz w:val="16"/>
                <w:szCs w:val="16"/>
                <w:lang w:val="en-GB" w:eastAsia="en-GB"/>
              </w:rPr>
            </w:pPr>
            <w:r>
              <w:rPr>
                <w:rFonts w:eastAsia="Times New Roman"/>
                <w:b/>
                <w:bCs/>
                <w:noProof/>
                <w:sz w:val="16"/>
                <w:szCs w:val="16"/>
                <w:lang w:val="en-GB" w:eastAsia="en-GB"/>
              </w:rPr>
              <w:t>(1)</w:t>
            </w:r>
          </w:p>
        </w:tc>
        <w:tc>
          <w:tcPr>
            <w:tcW w:w="1960" w:type="dxa"/>
            <w:gridSpan w:val="2"/>
            <w:tcBorders>
              <w:top w:val="single" w:sz="4" w:space="0" w:color="auto"/>
              <w:left w:val="nil"/>
              <w:bottom w:val="single" w:sz="4" w:space="0" w:color="auto"/>
              <w:right w:val="single" w:sz="4" w:space="0" w:color="000000"/>
            </w:tcBorders>
            <w:shd w:val="clear" w:color="000000" w:fill="D9D9D9"/>
            <w:vAlign w:val="center"/>
            <w:hideMark/>
          </w:tcPr>
          <w:p>
            <w:pPr>
              <w:spacing w:after="0" w:line="240" w:lineRule="auto"/>
              <w:jc w:val="center"/>
              <w:rPr>
                <w:rFonts w:eastAsia="Times New Roman"/>
                <w:b/>
                <w:bCs/>
                <w:noProof/>
                <w:sz w:val="16"/>
                <w:szCs w:val="16"/>
                <w:lang w:val="en-GB" w:eastAsia="en-GB"/>
              </w:rPr>
            </w:pPr>
            <w:r>
              <w:rPr>
                <w:rFonts w:eastAsia="Times New Roman"/>
                <w:b/>
                <w:bCs/>
                <w:noProof/>
                <w:sz w:val="16"/>
                <w:szCs w:val="16"/>
                <w:lang w:val="en-GB" w:eastAsia="en-GB"/>
              </w:rPr>
              <w:t>(2)</w:t>
            </w:r>
          </w:p>
        </w:tc>
        <w:tc>
          <w:tcPr>
            <w:tcW w:w="1960" w:type="dxa"/>
            <w:gridSpan w:val="2"/>
            <w:tcBorders>
              <w:top w:val="single" w:sz="4" w:space="0" w:color="auto"/>
              <w:left w:val="nil"/>
              <w:bottom w:val="single" w:sz="4" w:space="0" w:color="auto"/>
              <w:right w:val="single" w:sz="4" w:space="0" w:color="000000"/>
            </w:tcBorders>
            <w:shd w:val="clear" w:color="000000" w:fill="D9D9D9"/>
            <w:vAlign w:val="center"/>
            <w:hideMark/>
          </w:tcPr>
          <w:p>
            <w:pPr>
              <w:spacing w:after="0" w:line="240" w:lineRule="auto"/>
              <w:jc w:val="center"/>
              <w:rPr>
                <w:rFonts w:eastAsia="Times New Roman"/>
                <w:b/>
                <w:bCs/>
                <w:noProof/>
                <w:sz w:val="16"/>
                <w:szCs w:val="16"/>
                <w:lang w:val="en-GB" w:eastAsia="en-GB"/>
              </w:rPr>
            </w:pPr>
            <w:r>
              <w:rPr>
                <w:rFonts w:eastAsia="Times New Roman"/>
                <w:b/>
                <w:bCs/>
                <w:noProof/>
                <w:sz w:val="16"/>
                <w:szCs w:val="16"/>
                <w:lang w:val="en-GB" w:eastAsia="en-GB"/>
              </w:rPr>
              <w:t>(2 – 1)</w:t>
            </w:r>
          </w:p>
        </w:tc>
        <w:tc>
          <w:tcPr>
            <w:tcW w:w="1520" w:type="dxa"/>
            <w:gridSpan w:val="2"/>
            <w:tcBorders>
              <w:top w:val="single" w:sz="4" w:space="0" w:color="auto"/>
              <w:left w:val="nil"/>
              <w:bottom w:val="single" w:sz="4" w:space="0" w:color="auto"/>
              <w:right w:val="single" w:sz="4" w:space="0" w:color="000000"/>
            </w:tcBorders>
            <w:shd w:val="clear" w:color="000000" w:fill="D9D9D9"/>
            <w:vAlign w:val="center"/>
            <w:hideMark/>
          </w:tcPr>
          <w:p>
            <w:pPr>
              <w:spacing w:after="0" w:line="240" w:lineRule="auto"/>
              <w:jc w:val="center"/>
              <w:rPr>
                <w:rFonts w:eastAsia="Times New Roman"/>
                <w:b/>
                <w:bCs/>
                <w:noProof/>
                <w:sz w:val="16"/>
                <w:szCs w:val="16"/>
                <w:lang w:val="en-GB" w:eastAsia="en-GB"/>
              </w:rPr>
            </w:pPr>
            <w:r>
              <w:rPr>
                <w:rFonts w:eastAsia="Times New Roman"/>
                <w:b/>
                <w:bCs/>
                <w:noProof/>
                <w:sz w:val="16"/>
                <w:szCs w:val="16"/>
                <w:lang w:val="en-GB" w:eastAsia="en-GB"/>
              </w:rPr>
              <w:t>(2 / 1)</w:t>
            </w:r>
          </w:p>
        </w:tc>
      </w:tr>
      <w:tr>
        <w:trPr>
          <w:trHeight w:val="210"/>
          <w:tblHeader/>
        </w:trPr>
        <w:tc>
          <w:tcPr>
            <w:tcW w:w="3160" w:type="dxa"/>
            <w:gridSpan w:val="2"/>
            <w:vMerge/>
            <w:tcBorders>
              <w:top w:val="single" w:sz="4" w:space="0" w:color="auto"/>
              <w:left w:val="single" w:sz="4" w:space="0" w:color="auto"/>
              <w:bottom w:val="single" w:sz="4" w:space="0" w:color="000000"/>
              <w:right w:val="single" w:sz="4" w:space="0" w:color="000000"/>
            </w:tcBorders>
            <w:vAlign w:val="center"/>
            <w:hideMark/>
          </w:tcPr>
          <w:p>
            <w:pPr>
              <w:spacing w:after="0" w:line="240" w:lineRule="auto"/>
              <w:rPr>
                <w:rFonts w:eastAsia="Times New Roman"/>
                <w:b/>
                <w:bCs/>
                <w:noProof/>
                <w:sz w:val="16"/>
                <w:szCs w:val="16"/>
                <w:lang w:val="en-GB" w:eastAsia="en-GB"/>
              </w:rPr>
            </w:pPr>
          </w:p>
        </w:tc>
        <w:tc>
          <w:tcPr>
            <w:tcW w:w="980"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eastAsia="Times New Roman"/>
                <w:b/>
                <w:bCs/>
                <w:noProof/>
                <w:sz w:val="16"/>
                <w:szCs w:val="16"/>
                <w:lang w:val="en-GB" w:eastAsia="en-GB"/>
              </w:rPr>
            </w:pPr>
            <w:r>
              <w:rPr>
                <w:rFonts w:eastAsia="Times New Roman"/>
                <w:b/>
                <w:bCs/>
                <w:noProof/>
                <w:sz w:val="16"/>
                <w:szCs w:val="16"/>
                <w:lang w:val="en-GB" w:eastAsia="en-GB"/>
              </w:rPr>
              <w:t>CA</w:t>
            </w:r>
          </w:p>
        </w:tc>
        <w:tc>
          <w:tcPr>
            <w:tcW w:w="980"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eastAsia="Times New Roman"/>
                <w:b/>
                <w:bCs/>
                <w:noProof/>
                <w:sz w:val="16"/>
                <w:szCs w:val="16"/>
                <w:lang w:val="en-GB" w:eastAsia="en-GB"/>
              </w:rPr>
            </w:pPr>
            <w:r>
              <w:rPr>
                <w:rFonts w:eastAsia="Times New Roman"/>
                <w:b/>
                <w:bCs/>
                <w:noProof/>
                <w:sz w:val="16"/>
                <w:szCs w:val="16"/>
                <w:lang w:val="en-GB" w:eastAsia="en-GB"/>
              </w:rPr>
              <w:t>PA</w:t>
            </w:r>
          </w:p>
        </w:tc>
        <w:tc>
          <w:tcPr>
            <w:tcW w:w="980"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eastAsia="Times New Roman"/>
                <w:b/>
                <w:bCs/>
                <w:noProof/>
                <w:sz w:val="16"/>
                <w:szCs w:val="16"/>
                <w:lang w:val="en-GB" w:eastAsia="en-GB"/>
              </w:rPr>
            </w:pPr>
            <w:r>
              <w:rPr>
                <w:rFonts w:eastAsia="Times New Roman"/>
                <w:b/>
                <w:bCs/>
                <w:noProof/>
                <w:sz w:val="16"/>
                <w:szCs w:val="16"/>
                <w:lang w:val="en-GB" w:eastAsia="en-GB"/>
              </w:rPr>
              <w:t>CA</w:t>
            </w:r>
          </w:p>
        </w:tc>
        <w:tc>
          <w:tcPr>
            <w:tcW w:w="980"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eastAsia="Times New Roman"/>
                <w:b/>
                <w:bCs/>
                <w:noProof/>
                <w:sz w:val="16"/>
                <w:szCs w:val="16"/>
                <w:lang w:val="en-GB" w:eastAsia="en-GB"/>
              </w:rPr>
            </w:pPr>
            <w:r>
              <w:rPr>
                <w:rFonts w:eastAsia="Times New Roman"/>
                <w:b/>
                <w:bCs/>
                <w:noProof/>
                <w:sz w:val="16"/>
                <w:szCs w:val="16"/>
                <w:lang w:val="en-GB" w:eastAsia="en-GB"/>
              </w:rPr>
              <w:t>PA</w:t>
            </w:r>
          </w:p>
        </w:tc>
        <w:tc>
          <w:tcPr>
            <w:tcW w:w="980"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eastAsia="Times New Roman"/>
                <w:b/>
                <w:bCs/>
                <w:noProof/>
                <w:sz w:val="16"/>
                <w:szCs w:val="16"/>
                <w:lang w:val="en-GB" w:eastAsia="en-GB"/>
              </w:rPr>
            </w:pPr>
            <w:r>
              <w:rPr>
                <w:rFonts w:eastAsia="Times New Roman"/>
                <w:b/>
                <w:bCs/>
                <w:noProof/>
                <w:sz w:val="16"/>
                <w:szCs w:val="16"/>
                <w:lang w:val="en-GB" w:eastAsia="en-GB"/>
              </w:rPr>
              <w:t>CA</w:t>
            </w:r>
          </w:p>
        </w:tc>
        <w:tc>
          <w:tcPr>
            <w:tcW w:w="980"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eastAsia="Times New Roman"/>
                <w:b/>
                <w:bCs/>
                <w:noProof/>
                <w:sz w:val="16"/>
                <w:szCs w:val="16"/>
                <w:lang w:val="en-GB" w:eastAsia="en-GB"/>
              </w:rPr>
            </w:pPr>
            <w:r>
              <w:rPr>
                <w:rFonts w:eastAsia="Times New Roman"/>
                <w:b/>
                <w:bCs/>
                <w:noProof/>
                <w:sz w:val="16"/>
                <w:szCs w:val="16"/>
                <w:lang w:val="en-GB" w:eastAsia="en-GB"/>
              </w:rPr>
              <w:t>PA</w:t>
            </w:r>
          </w:p>
        </w:tc>
        <w:tc>
          <w:tcPr>
            <w:tcW w:w="760"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eastAsia="Times New Roman"/>
                <w:b/>
                <w:bCs/>
                <w:noProof/>
                <w:sz w:val="16"/>
                <w:szCs w:val="16"/>
                <w:lang w:val="en-GB" w:eastAsia="en-GB"/>
              </w:rPr>
            </w:pPr>
            <w:r>
              <w:rPr>
                <w:rFonts w:eastAsia="Times New Roman"/>
                <w:b/>
                <w:bCs/>
                <w:noProof/>
                <w:sz w:val="16"/>
                <w:szCs w:val="16"/>
                <w:lang w:val="en-GB" w:eastAsia="en-GB"/>
              </w:rPr>
              <w:t>CA</w:t>
            </w:r>
          </w:p>
        </w:tc>
        <w:tc>
          <w:tcPr>
            <w:tcW w:w="760"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eastAsia="Times New Roman"/>
                <w:b/>
                <w:bCs/>
                <w:noProof/>
                <w:sz w:val="16"/>
                <w:szCs w:val="16"/>
                <w:lang w:val="en-GB" w:eastAsia="en-GB"/>
              </w:rPr>
            </w:pPr>
            <w:r>
              <w:rPr>
                <w:rFonts w:eastAsia="Times New Roman"/>
                <w:b/>
                <w:bCs/>
                <w:noProof/>
                <w:sz w:val="16"/>
                <w:szCs w:val="16"/>
                <w:lang w:val="en-GB" w:eastAsia="en-GB"/>
              </w:rPr>
              <w:t>PA</w:t>
            </w:r>
          </w:p>
        </w:tc>
      </w:tr>
      <w:tr>
        <w:trPr>
          <w:trHeight w:val="240"/>
        </w:trPr>
        <w:tc>
          <w:tcPr>
            <w:tcW w:w="280" w:type="dxa"/>
            <w:tcBorders>
              <w:top w:val="single" w:sz="4" w:space="0" w:color="auto"/>
              <w:left w:val="single" w:sz="4" w:space="0" w:color="auto"/>
              <w:bottom w:val="dotted" w:sz="4" w:space="0" w:color="auto"/>
              <w:right w:val="nil"/>
            </w:tcBorders>
            <w:shd w:val="clear" w:color="auto" w:fill="auto"/>
            <w:vAlign w:val="center"/>
            <w:hideMark/>
          </w:tcPr>
          <w:p>
            <w:pPr>
              <w:spacing w:after="0" w:line="240" w:lineRule="auto"/>
              <w:rPr>
                <w:rFonts w:eastAsia="Times New Roman"/>
                <w:b/>
                <w:bCs/>
                <w:noProof/>
                <w:sz w:val="15"/>
                <w:szCs w:val="15"/>
                <w:lang w:val="en-GB" w:eastAsia="en-GB"/>
              </w:rPr>
            </w:pPr>
            <w:r>
              <w:rPr>
                <w:rFonts w:eastAsia="Times New Roman"/>
                <w:b/>
                <w:bCs/>
                <w:noProof/>
                <w:sz w:val="15"/>
                <w:szCs w:val="15"/>
                <w:lang w:val="en-GB" w:eastAsia="en-GB"/>
              </w:rPr>
              <w:t>1.</w:t>
            </w:r>
          </w:p>
        </w:tc>
        <w:tc>
          <w:tcPr>
            <w:tcW w:w="2880" w:type="dxa"/>
            <w:tcBorders>
              <w:top w:val="nil"/>
              <w:left w:val="nil"/>
              <w:bottom w:val="dotted" w:sz="4" w:space="0" w:color="auto"/>
              <w:right w:val="single" w:sz="4" w:space="0" w:color="auto"/>
            </w:tcBorders>
            <w:shd w:val="clear" w:color="auto" w:fill="auto"/>
            <w:vAlign w:val="center"/>
            <w:hideMark/>
          </w:tcPr>
          <w:p>
            <w:pPr>
              <w:spacing w:after="0" w:line="240" w:lineRule="auto"/>
              <w:rPr>
                <w:rFonts w:eastAsia="Times New Roman"/>
                <w:b/>
                <w:bCs/>
                <w:noProof/>
                <w:sz w:val="15"/>
                <w:szCs w:val="15"/>
                <w:lang w:val="en-GB" w:eastAsia="en-GB"/>
              </w:rPr>
            </w:pPr>
            <w:r>
              <w:rPr>
                <w:rFonts w:eastAsia="Times New Roman"/>
                <w:b/>
                <w:bCs/>
                <w:noProof/>
                <w:sz w:val="15"/>
                <w:szCs w:val="15"/>
                <w:lang w:val="en-GB" w:eastAsia="en-GB"/>
              </w:rPr>
              <w:t>Smart and inclusive growth</w:t>
            </w:r>
          </w:p>
        </w:tc>
        <w:tc>
          <w:tcPr>
            <w:tcW w:w="98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77 531,8</w:t>
            </w:r>
          </w:p>
        </w:tc>
        <w:tc>
          <w:tcPr>
            <w:tcW w:w="98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66 622,6</w:t>
            </w:r>
          </w:p>
        </w:tc>
        <w:tc>
          <w:tcPr>
            <w:tcW w:w="98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80 337,4</w:t>
            </w:r>
          </w:p>
        </w:tc>
        <w:tc>
          <w:tcPr>
            <w:tcW w:w="98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67 556,9</w:t>
            </w:r>
          </w:p>
        </w:tc>
        <w:tc>
          <w:tcPr>
            <w:tcW w:w="98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2 805,7</w:t>
            </w:r>
          </w:p>
        </w:tc>
        <w:tc>
          <w:tcPr>
            <w:tcW w:w="98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 xml:space="preserve"> 934,4</w:t>
            </w:r>
          </w:p>
        </w:tc>
        <w:tc>
          <w:tcPr>
            <w:tcW w:w="76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3,6%</w:t>
            </w:r>
          </w:p>
        </w:tc>
        <w:tc>
          <w:tcPr>
            <w:tcW w:w="76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1,4%</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lang w:val="en-GB" w:eastAsia="en-GB"/>
              </w:rPr>
            </w:pPr>
            <w:r>
              <w:rPr>
                <w:rFonts w:eastAsia="Times New Roman"/>
                <w:i/>
                <w:iCs/>
                <w:noProof/>
                <w:sz w:val="15"/>
                <w:szCs w:val="15"/>
                <w:lang w:val="en-GB" w:eastAsia="en-GB"/>
              </w:rPr>
              <w:t>Of which under Global Margin for Commitments</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1 111,8</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xml:space="preserve"> 413,4</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lang w:val="en-GB" w:eastAsia="en-GB"/>
              </w:rPr>
            </w:pPr>
            <w:r>
              <w:rPr>
                <w:rFonts w:eastAsia="Times New Roman"/>
                <w:i/>
                <w:iCs/>
                <w:noProof/>
                <w:sz w:val="15"/>
                <w:szCs w:val="15"/>
                <w:lang w:val="en-GB" w:eastAsia="en-GB"/>
              </w:rPr>
              <w:t>Ceiling</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76 420,0</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79 924,0</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lang w:val="en-GB" w:eastAsia="en-GB"/>
              </w:rPr>
            </w:pPr>
            <w:r>
              <w:rPr>
                <w:rFonts w:eastAsia="Times New Roman"/>
                <w:i/>
                <w:iCs/>
                <w:noProof/>
                <w:sz w:val="15"/>
                <w:szCs w:val="15"/>
                <w:lang w:val="en-GB" w:eastAsia="en-GB"/>
              </w:rPr>
              <w:t>Margin</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single" w:sz="4" w:space="0" w:color="auto"/>
              <w:right w:val="single" w:sz="4" w:space="0" w:color="auto"/>
            </w:tcBorders>
            <w:shd w:val="clear" w:color="auto" w:fill="auto"/>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760" w:type="dxa"/>
            <w:tcBorders>
              <w:top w:val="nil"/>
              <w:left w:val="nil"/>
              <w:bottom w:val="single" w:sz="4" w:space="0" w:color="auto"/>
              <w:right w:val="single" w:sz="4" w:space="0" w:color="auto"/>
            </w:tcBorders>
            <w:shd w:val="clear" w:color="auto" w:fill="auto"/>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w:t>
            </w:r>
          </w:p>
        </w:tc>
        <w:tc>
          <w:tcPr>
            <w:tcW w:w="76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r>
      <w:tr>
        <w:trPr>
          <w:trHeight w:val="240"/>
        </w:trPr>
        <w:tc>
          <w:tcPr>
            <w:tcW w:w="280" w:type="dxa"/>
            <w:tcBorders>
              <w:top w:val="nil"/>
              <w:left w:val="single" w:sz="4" w:space="0" w:color="auto"/>
              <w:bottom w:val="dotted" w:sz="4" w:space="0" w:color="auto"/>
              <w:right w:val="nil"/>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1a</w:t>
            </w:r>
          </w:p>
        </w:tc>
        <w:tc>
          <w:tcPr>
            <w:tcW w:w="2880" w:type="dxa"/>
            <w:tcBorders>
              <w:top w:val="nil"/>
              <w:left w:val="nil"/>
              <w:bottom w:val="dotted" w:sz="4" w:space="0" w:color="auto"/>
              <w:right w:val="single" w:sz="4" w:space="0" w:color="auto"/>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Competitiveness for growth and jobs</w:t>
            </w:r>
          </w:p>
        </w:tc>
        <w:tc>
          <w:tcPr>
            <w:tcW w:w="98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21 999,6</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20 095,3</w:t>
            </w:r>
          </w:p>
        </w:tc>
        <w:tc>
          <w:tcPr>
            <w:tcW w:w="98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23 145,4</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20 521,5</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1 145,9</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 xml:space="preserve"> 426,3</w:t>
            </w:r>
          </w:p>
        </w:tc>
        <w:tc>
          <w:tcPr>
            <w:tcW w:w="76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5,2%</w:t>
            </w:r>
          </w:p>
        </w:tc>
        <w:tc>
          <w:tcPr>
            <w:tcW w:w="76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2,1%</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lang w:val="en-GB" w:eastAsia="en-GB"/>
              </w:rPr>
            </w:pPr>
            <w:r>
              <w:rPr>
                <w:rFonts w:eastAsia="Times New Roman"/>
                <w:i/>
                <w:iCs/>
                <w:noProof/>
                <w:sz w:val="15"/>
                <w:szCs w:val="15"/>
                <w:lang w:val="en-GB" w:eastAsia="en-GB"/>
              </w:rPr>
              <w:t>Of which under Flexibility Instrument</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lang w:val="en-GB" w:eastAsia="en-GB"/>
              </w:rPr>
            </w:pPr>
            <w:r>
              <w:rPr>
                <w:rFonts w:eastAsia="Times New Roman"/>
                <w:i/>
                <w:iCs/>
                <w:noProof/>
                <w:sz w:val="15"/>
                <w:szCs w:val="15"/>
                <w:lang w:val="en-GB" w:eastAsia="en-GB"/>
              </w:rPr>
              <w:t>Of which under Global Margin for Commitments</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xml:space="preserve"> 760,6</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xml:space="preserve"> 63,4</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lang w:val="en-GB" w:eastAsia="en-GB"/>
              </w:rPr>
            </w:pPr>
            <w:r>
              <w:rPr>
                <w:rFonts w:eastAsia="Times New Roman"/>
                <w:i/>
                <w:iCs/>
                <w:noProof/>
                <w:sz w:val="15"/>
                <w:szCs w:val="15"/>
                <w:lang w:val="en-GB" w:eastAsia="en-GB"/>
              </w:rPr>
              <w:t>Ceiling</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21 239,0</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23 082,0</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lang w:val="en-GB" w:eastAsia="en-GB"/>
              </w:rPr>
            </w:pPr>
            <w:r>
              <w:rPr>
                <w:rFonts w:eastAsia="Times New Roman"/>
                <w:i/>
                <w:iCs/>
                <w:noProof/>
                <w:sz w:val="15"/>
                <w:szCs w:val="15"/>
                <w:lang w:val="en-GB" w:eastAsia="en-GB"/>
              </w:rPr>
              <w:t>Margin</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76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76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r>
      <w:tr>
        <w:trPr>
          <w:trHeight w:val="240"/>
        </w:trPr>
        <w:tc>
          <w:tcPr>
            <w:tcW w:w="280" w:type="dxa"/>
            <w:tcBorders>
              <w:top w:val="nil"/>
              <w:left w:val="single" w:sz="4" w:space="0" w:color="auto"/>
              <w:bottom w:val="dotted" w:sz="4" w:space="0" w:color="auto"/>
              <w:right w:val="nil"/>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 xml:space="preserve">1b </w:t>
            </w:r>
          </w:p>
        </w:tc>
        <w:tc>
          <w:tcPr>
            <w:tcW w:w="2880" w:type="dxa"/>
            <w:tcBorders>
              <w:top w:val="nil"/>
              <w:left w:val="nil"/>
              <w:bottom w:val="dotted" w:sz="4" w:space="0" w:color="auto"/>
              <w:right w:val="single" w:sz="4" w:space="0" w:color="auto"/>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Economic, social and territorial cohesion</w:t>
            </w:r>
          </w:p>
        </w:tc>
        <w:tc>
          <w:tcPr>
            <w:tcW w:w="98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55 532,2</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46 527,3</w:t>
            </w:r>
          </w:p>
        </w:tc>
        <w:tc>
          <w:tcPr>
            <w:tcW w:w="98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57 192,0</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47 035,4</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1 659,8</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 xml:space="preserve"> 508,1</w:t>
            </w:r>
          </w:p>
        </w:tc>
        <w:tc>
          <w:tcPr>
            <w:tcW w:w="76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3,0%</w:t>
            </w:r>
          </w:p>
        </w:tc>
        <w:tc>
          <w:tcPr>
            <w:tcW w:w="76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1,1%</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lang w:val="en-GB" w:eastAsia="en-GB"/>
              </w:rPr>
            </w:pPr>
            <w:r>
              <w:rPr>
                <w:rFonts w:eastAsia="Times New Roman"/>
                <w:i/>
                <w:iCs/>
                <w:noProof/>
                <w:sz w:val="15"/>
                <w:szCs w:val="15"/>
                <w:lang w:val="en-GB" w:eastAsia="en-GB"/>
              </w:rPr>
              <w:t>Of which under Global Margin for Commitments</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xml:space="preserve"> 351,2</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xml:space="preserve"> 350,0</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lang w:val="en-GB" w:eastAsia="en-GB"/>
              </w:rPr>
            </w:pPr>
            <w:r>
              <w:rPr>
                <w:rFonts w:eastAsia="Times New Roman"/>
                <w:i/>
                <w:iCs/>
                <w:noProof/>
                <w:sz w:val="15"/>
                <w:szCs w:val="15"/>
                <w:lang w:val="en-GB" w:eastAsia="en-GB"/>
              </w:rPr>
              <w:t>Ceiling</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55 181,0</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56 842,0</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lang w:val="en-GB" w:eastAsia="en-GB"/>
              </w:rPr>
            </w:pPr>
            <w:r>
              <w:rPr>
                <w:rFonts w:eastAsia="Times New Roman"/>
                <w:i/>
                <w:iCs/>
                <w:noProof/>
                <w:sz w:val="15"/>
                <w:szCs w:val="15"/>
                <w:lang w:val="en-GB" w:eastAsia="en-GB"/>
              </w:rPr>
              <w:t>Margin</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76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76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r>
      <w:tr>
        <w:trPr>
          <w:trHeight w:val="240"/>
        </w:trPr>
        <w:tc>
          <w:tcPr>
            <w:tcW w:w="280" w:type="dxa"/>
            <w:tcBorders>
              <w:top w:val="nil"/>
              <w:left w:val="single" w:sz="4" w:space="0" w:color="auto"/>
              <w:bottom w:val="dotted" w:sz="4" w:space="0" w:color="auto"/>
              <w:right w:val="nil"/>
            </w:tcBorders>
            <w:shd w:val="clear" w:color="auto" w:fill="auto"/>
            <w:vAlign w:val="center"/>
            <w:hideMark/>
          </w:tcPr>
          <w:p>
            <w:pPr>
              <w:spacing w:after="0" w:line="240" w:lineRule="auto"/>
              <w:rPr>
                <w:rFonts w:eastAsia="Times New Roman"/>
                <w:b/>
                <w:bCs/>
                <w:noProof/>
                <w:sz w:val="15"/>
                <w:szCs w:val="15"/>
                <w:lang w:val="en-GB" w:eastAsia="en-GB"/>
              </w:rPr>
            </w:pPr>
            <w:r>
              <w:rPr>
                <w:rFonts w:eastAsia="Times New Roman"/>
                <w:b/>
                <w:bCs/>
                <w:noProof/>
                <w:sz w:val="15"/>
                <w:szCs w:val="15"/>
                <w:lang w:val="en-GB" w:eastAsia="en-GB"/>
              </w:rPr>
              <w:t>2.</w:t>
            </w:r>
          </w:p>
        </w:tc>
        <w:tc>
          <w:tcPr>
            <w:tcW w:w="2880" w:type="dxa"/>
            <w:tcBorders>
              <w:top w:val="nil"/>
              <w:left w:val="nil"/>
              <w:bottom w:val="dotted" w:sz="4" w:space="0" w:color="auto"/>
              <w:right w:val="single" w:sz="4" w:space="0" w:color="auto"/>
            </w:tcBorders>
            <w:shd w:val="clear" w:color="auto" w:fill="auto"/>
            <w:vAlign w:val="center"/>
            <w:hideMark/>
          </w:tcPr>
          <w:p>
            <w:pPr>
              <w:spacing w:after="0" w:line="240" w:lineRule="auto"/>
              <w:rPr>
                <w:rFonts w:eastAsia="Times New Roman"/>
                <w:b/>
                <w:bCs/>
                <w:noProof/>
                <w:sz w:val="15"/>
                <w:szCs w:val="15"/>
                <w:lang w:val="en-GB" w:eastAsia="en-GB"/>
              </w:rPr>
            </w:pPr>
            <w:r>
              <w:rPr>
                <w:rFonts w:eastAsia="Times New Roman"/>
                <w:b/>
                <w:bCs/>
                <w:noProof/>
                <w:sz w:val="15"/>
                <w:szCs w:val="15"/>
                <w:lang w:val="en-GB" w:eastAsia="en-GB"/>
              </w:rPr>
              <w:t>Sustainable growth: natural resources</w:t>
            </w:r>
          </w:p>
        </w:tc>
        <w:tc>
          <w:tcPr>
            <w:tcW w:w="98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59 238,6</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56 041,0</w:t>
            </w:r>
          </w:p>
        </w:tc>
        <w:tc>
          <w:tcPr>
            <w:tcW w:w="98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59 642,1</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57 399,9</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 xml:space="preserve"> 403,5</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1 358,9</w:t>
            </w:r>
          </w:p>
        </w:tc>
        <w:tc>
          <w:tcPr>
            <w:tcW w:w="76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0,7%</w:t>
            </w:r>
          </w:p>
        </w:tc>
        <w:tc>
          <w:tcPr>
            <w:tcW w:w="76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2,4%</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lang w:val="en-GB" w:eastAsia="en-GB"/>
              </w:rPr>
            </w:pPr>
            <w:r>
              <w:rPr>
                <w:rFonts w:eastAsia="Times New Roman"/>
                <w:i/>
                <w:iCs/>
                <w:noProof/>
                <w:sz w:val="15"/>
                <w:szCs w:val="15"/>
                <w:lang w:val="en-GB" w:eastAsia="en-GB"/>
              </w:rPr>
              <w:t>Ceiling</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60 267,0</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60 344,0</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lang w:val="en-GB" w:eastAsia="en-GB"/>
              </w:rPr>
            </w:pPr>
            <w:r>
              <w:rPr>
                <w:rFonts w:eastAsia="Times New Roman"/>
                <w:i/>
                <w:iCs/>
                <w:noProof/>
                <w:sz w:val="15"/>
                <w:szCs w:val="15"/>
                <w:lang w:val="en-GB" w:eastAsia="en-GB"/>
              </w:rPr>
              <w:t>Margin</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1 028,4</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xml:space="preserve"> 701,9</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76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76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r>
      <w:tr>
        <w:trPr>
          <w:trHeight w:val="75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Of which: European Agricultural Guarantee Fund (EAGF) — Market related expenditure and direct payments</w:t>
            </w:r>
          </w:p>
        </w:tc>
        <w:tc>
          <w:tcPr>
            <w:tcW w:w="98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43 233,1</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43 187,3</w:t>
            </w:r>
          </w:p>
        </w:tc>
        <w:tc>
          <w:tcPr>
            <w:tcW w:w="98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43 191,9</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43 116,4</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- 41,2</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- 70,9</w:t>
            </w:r>
          </w:p>
        </w:tc>
        <w:tc>
          <w:tcPr>
            <w:tcW w:w="76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-0,1%</w:t>
            </w:r>
          </w:p>
        </w:tc>
        <w:tc>
          <w:tcPr>
            <w:tcW w:w="76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-0,2%</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lang w:val="en-GB" w:eastAsia="en-GB"/>
              </w:rPr>
            </w:pPr>
            <w:r>
              <w:rPr>
                <w:rFonts w:eastAsia="Times New Roman"/>
                <w:i/>
                <w:iCs/>
                <w:noProof/>
                <w:sz w:val="15"/>
                <w:szCs w:val="15"/>
                <w:lang w:val="en-GB" w:eastAsia="en-GB"/>
              </w:rPr>
              <w:t>Sub-ceiling</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44 163,0</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43 881,0</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r>
      <w:tr>
        <w:trPr>
          <w:trHeight w:val="240"/>
        </w:trPr>
        <w:tc>
          <w:tcPr>
            <w:tcW w:w="280" w:type="dxa"/>
            <w:tcBorders>
              <w:top w:val="nil"/>
              <w:left w:val="single" w:sz="4" w:space="0" w:color="auto"/>
              <w:bottom w:val="dotted" w:sz="4" w:space="0" w:color="auto"/>
              <w:right w:val="nil"/>
            </w:tcBorders>
            <w:shd w:val="clear" w:color="auto" w:fill="auto"/>
            <w:vAlign w:val="center"/>
            <w:hideMark/>
          </w:tcPr>
          <w:p>
            <w:pPr>
              <w:spacing w:after="0" w:line="240" w:lineRule="auto"/>
              <w:rPr>
                <w:rFonts w:eastAsia="Times New Roman"/>
                <w:b/>
                <w:bCs/>
                <w:noProof/>
                <w:sz w:val="15"/>
                <w:szCs w:val="15"/>
                <w:lang w:val="en-GB" w:eastAsia="en-GB"/>
              </w:rPr>
            </w:pPr>
            <w:r>
              <w:rPr>
                <w:rFonts w:eastAsia="Times New Roman"/>
                <w:b/>
                <w:bCs/>
                <w:noProof/>
                <w:sz w:val="15"/>
                <w:szCs w:val="15"/>
                <w:lang w:val="en-GB" w:eastAsia="en-GB"/>
              </w:rPr>
              <w:t>3.</w:t>
            </w:r>
          </w:p>
        </w:tc>
        <w:tc>
          <w:tcPr>
            <w:tcW w:w="2880" w:type="dxa"/>
            <w:tcBorders>
              <w:top w:val="nil"/>
              <w:left w:val="nil"/>
              <w:bottom w:val="dotted" w:sz="4" w:space="0" w:color="auto"/>
              <w:right w:val="single" w:sz="4" w:space="0" w:color="auto"/>
            </w:tcBorders>
            <w:shd w:val="clear" w:color="auto" w:fill="auto"/>
            <w:vAlign w:val="center"/>
            <w:hideMark/>
          </w:tcPr>
          <w:p>
            <w:pPr>
              <w:spacing w:after="0" w:line="240" w:lineRule="auto"/>
              <w:rPr>
                <w:rFonts w:eastAsia="Times New Roman"/>
                <w:b/>
                <w:bCs/>
                <w:noProof/>
                <w:sz w:val="15"/>
                <w:szCs w:val="15"/>
                <w:lang w:val="en-GB" w:eastAsia="en-GB"/>
              </w:rPr>
            </w:pPr>
            <w:r>
              <w:rPr>
                <w:rFonts w:eastAsia="Times New Roman"/>
                <w:b/>
                <w:bCs/>
                <w:noProof/>
                <w:sz w:val="15"/>
                <w:szCs w:val="15"/>
                <w:lang w:val="en-GB" w:eastAsia="en-GB"/>
              </w:rPr>
              <w:t>Security and citizenship</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3 493,2</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2 980,7</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3 786,6</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3 527,4</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 xml:space="preserve"> 293,4</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 xml:space="preserve"> 546,7</w:t>
            </w:r>
          </w:p>
        </w:tc>
        <w:tc>
          <w:tcPr>
            <w:tcW w:w="76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8,4%</w:t>
            </w:r>
          </w:p>
        </w:tc>
        <w:tc>
          <w:tcPr>
            <w:tcW w:w="76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18,3%</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lang w:val="en-GB" w:eastAsia="en-GB"/>
              </w:rPr>
            </w:pPr>
            <w:r>
              <w:rPr>
                <w:rFonts w:eastAsia="Times New Roman"/>
                <w:i/>
                <w:iCs/>
                <w:noProof/>
                <w:sz w:val="15"/>
                <w:szCs w:val="15"/>
                <w:lang w:val="en-GB" w:eastAsia="en-GB"/>
              </w:rPr>
              <w:t>Of which under Flexibility Instrument</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xml:space="preserve"> 837,2</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xml:space="preserve"> 985,6</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lang w:val="en-GB" w:eastAsia="en-GB"/>
              </w:rPr>
            </w:pPr>
            <w:r>
              <w:rPr>
                <w:rFonts w:eastAsia="Times New Roman"/>
                <w:i/>
                <w:iCs/>
                <w:noProof/>
                <w:sz w:val="15"/>
                <w:szCs w:val="15"/>
                <w:lang w:val="en-GB" w:eastAsia="en-GB"/>
              </w:rPr>
              <w:t>Ceiling</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2 656,0</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2 801,0</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lang w:val="en-GB" w:eastAsia="en-GB"/>
              </w:rPr>
            </w:pPr>
            <w:r>
              <w:rPr>
                <w:rFonts w:eastAsia="Times New Roman"/>
                <w:i/>
                <w:iCs/>
                <w:noProof/>
                <w:sz w:val="15"/>
                <w:szCs w:val="15"/>
                <w:lang w:val="en-GB" w:eastAsia="en-GB"/>
              </w:rPr>
              <w:t>Margin</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76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76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r>
      <w:tr>
        <w:trPr>
          <w:trHeight w:val="240"/>
        </w:trPr>
        <w:tc>
          <w:tcPr>
            <w:tcW w:w="280" w:type="dxa"/>
            <w:tcBorders>
              <w:top w:val="nil"/>
              <w:left w:val="single" w:sz="4" w:space="0" w:color="auto"/>
              <w:bottom w:val="dotted" w:sz="4" w:space="0" w:color="auto"/>
              <w:right w:val="nil"/>
            </w:tcBorders>
            <w:shd w:val="clear" w:color="auto" w:fill="auto"/>
            <w:vAlign w:val="center"/>
            <w:hideMark/>
          </w:tcPr>
          <w:p>
            <w:pPr>
              <w:spacing w:after="0" w:line="240" w:lineRule="auto"/>
              <w:rPr>
                <w:rFonts w:eastAsia="Times New Roman"/>
                <w:b/>
                <w:bCs/>
                <w:noProof/>
                <w:sz w:val="15"/>
                <w:szCs w:val="15"/>
                <w:lang w:val="en-GB" w:eastAsia="en-GB"/>
              </w:rPr>
            </w:pPr>
            <w:r>
              <w:rPr>
                <w:rFonts w:eastAsia="Times New Roman"/>
                <w:b/>
                <w:bCs/>
                <w:noProof/>
                <w:sz w:val="15"/>
                <w:szCs w:val="15"/>
                <w:lang w:val="en-GB" w:eastAsia="en-GB"/>
              </w:rPr>
              <w:t>4.</w:t>
            </w:r>
          </w:p>
        </w:tc>
        <w:tc>
          <w:tcPr>
            <w:tcW w:w="2880" w:type="dxa"/>
            <w:tcBorders>
              <w:top w:val="nil"/>
              <w:left w:val="nil"/>
              <w:bottom w:val="dotted" w:sz="4" w:space="0" w:color="auto"/>
              <w:right w:val="single" w:sz="4" w:space="0" w:color="auto"/>
            </w:tcBorders>
            <w:shd w:val="clear" w:color="auto" w:fill="auto"/>
            <w:vAlign w:val="center"/>
            <w:hideMark/>
          </w:tcPr>
          <w:p>
            <w:pPr>
              <w:spacing w:after="0" w:line="240" w:lineRule="auto"/>
              <w:rPr>
                <w:rFonts w:eastAsia="Times New Roman"/>
                <w:b/>
                <w:bCs/>
                <w:noProof/>
                <w:sz w:val="15"/>
                <w:szCs w:val="15"/>
                <w:lang w:val="en-GB" w:eastAsia="en-GB"/>
              </w:rPr>
            </w:pPr>
            <w:r>
              <w:rPr>
                <w:rFonts w:eastAsia="Times New Roman"/>
                <w:b/>
                <w:bCs/>
                <w:noProof/>
                <w:sz w:val="15"/>
                <w:szCs w:val="15"/>
                <w:lang w:val="en-GB" w:eastAsia="en-GB"/>
              </w:rPr>
              <w:t>Global Europe</w:t>
            </w:r>
          </w:p>
        </w:tc>
        <w:tc>
          <w:tcPr>
            <w:tcW w:w="98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10 068,8</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8 906,1</w:t>
            </w:r>
          </w:p>
        </w:tc>
        <w:tc>
          <w:tcPr>
            <w:tcW w:w="98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11 319,3</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9 358,3</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1 250,4</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 xml:space="preserve"> 452,2</w:t>
            </w:r>
          </w:p>
        </w:tc>
        <w:tc>
          <w:tcPr>
            <w:tcW w:w="76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12,4%</w:t>
            </w:r>
          </w:p>
        </w:tc>
        <w:tc>
          <w:tcPr>
            <w:tcW w:w="76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5,1%</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lang w:val="en-GB" w:eastAsia="en-GB"/>
              </w:rPr>
            </w:pPr>
            <w:r>
              <w:rPr>
                <w:rFonts w:eastAsia="Times New Roman"/>
                <w:i/>
                <w:iCs/>
                <w:noProof/>
                <w:sz w:val="15"/>
                <w:szCs w:val="15"/>
                <w:lang w:val="en-GB" w:eastAsia="en-GB"/>
              </w:rPr>
              <w:t>Of which under Global Margin for Commitments</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xml:space="preserve"> 243,8</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1 051,3</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lang w:val="en-GB" w:eastAsia="en-GB"/>
              </w:rPr>
            </w:pPr>
            <w:r>
              <w:rPr>
                <w:rFonts w:eastAsia="Times New Roman"/>
                <w:i/>
                <w:iCs/>
                <w:noProof/>
                <w:sz w:val="15"/>
                <w:szCs w:val="15"/>
                <w:lang w:val="en-GB" w:eastAsia="en-GB"/>
              </w:rPr>
              <w:t>Ceiling</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9 825,0</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10 268,0</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lang w:val="en-GB" w:eastAsia="en-GB"/>
              </w:rPr>
            </w:pPr>
            <w:r>
              <w:rPr>
                <w:rFonts w:eastAsia="Times New Roman"/>
                <w:i/>
                <w:iCs/>
                <w:noProof/>
                <w:sz w:val="15"/>
                <w:szCs w:val="15"/>
                <w:lang w:val="en-GB" w:eastAsia="en-GB"/>
              </w:rPr>
              <w:t>Margin</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76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76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r>
      <w:tr>
        <w:trPr>
          <w:trHeight w:val="240"/>
        </w:trPr>
        <w:tc>
          <w:tcPr>
            <w:tcW w:w="280" w:type="dxa"/>
            <w:tcBorders>
              <w:top w:val="nil"/>
              <w:left w:val="single" w:sz="4" w:space="0" w:color="auto"/>
              <w:bottom w:val="dotted" w:sz="4" w:space="0" w:color="auto"/>
              <w:right w:val="nil"/>
            </w:tcBorders>
            <w:shd w:val="clear" w:color="auto" w:fill="auto"/>
            <w:vAlign w:val="center"/>
            <w:hideMark/>
          </w:tcPr>
          <w:p>
            <w:pPr>
              <w:spacing w:after="0" w:line="240" w:lineRule="auto"/>
              <w:rPr>
                <w:rFonts w:eastAsia="Times New Roman"/>
                <w:b/>
                <w:bCs/>
                <w:noProof/>
                <w:sz w:val="15"/>
                <w:szCs w:val="15"/>
                <w:lang w:val="en-GB" w:eastAsia="en-GB"/>
              </w:rPr>
            </w:pPr>
            <w:r>
              <w:rPr>
                <w:rFonts w:eastAsia="Times New Roman"/>
                <w:b/>
                <w:bCs/>
                <w:noProof/>
                <w:sz w:val="15"/>
                <w:szCs w:val="15"/>
                <w:lang w:val="en-GB" w:eastAsia="en-GB"/>
              </w:rPr>
              <w:t>5.</w:t>
            </w:r>
          </w:p>
        </w:tc>
        <w:tc>
          <w:tcPr>
            <w:tcW w:w="2880" w:type="dxa"/>
            <w:tcBorders>
              <w:top w:val="nil"/>
              <w:left w:val="nil"/>
              <w:bottom w:val="dotted" w:sz="4" w:space="0" w:color="auto"/>
              <w:right w:val="single" w:sz="4" w:space="0" w:color="auto"/>
            </w:tcBorders>
            <w:shd w:val="clear" w:color="auto" w:fill="auto"/>
            <w:vAlign w:val="center"/>
            <w:hideMark/>
          </w:tcPr>
          <w:p>
            <w:pPr>
              <w:spacing w:after="0" w:line="240" w:lineRule="auto"/>
              <w:rPr>
                <w:rFonts w:eastAsia="Times New Roman"/>
                <w:b/>
                <w:bCs/>
                <w:noProof/>
                <w:sz w:val="15"/>
                <w:szCs w:val="15"/>
                <w:lang w:val="en-GB" w:eastAsia="en-GB"/>
              </w:rPr>
            </w:pPr>
            <w:r>
              <w:rPr>
                <w:rFonts w:eastAsia="Times New Roman"/>
                <w:b/>
                <w:bCs/>
                <w:noProof/>
                <w:sz w:val="15"/>
                <w:szCs w:val="15"/>
                <w:lang w:val="en-GB" w:eastAsia="en-GB"/>
              </w:rPr>
              <w:t>Administration</w:t>
            </w:r>
          </w:p>
        </w:tc>
        <w:tc>
          <w:tcPr>
            <w:tcW w:w="98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9 665,5</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9 666,3</w:t>
            </w:r>
          </w:p>
        </w:tc>
        <w:tc>
          <w:tcPr>
            <w:tcW w:w="98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9 943,0</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9 944,9</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 xml:space="preserve"> 277,5</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 xml:space="preserve"> 278,6</w:t>
            </w:r>
          </w:p>
        </w:tc>
        <w:tc>
          <w:tcPr>
            <w:tcW w:w="76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2,9%</w:t>
            </w:r>
          </w:p>
        </w:tc>
        <w:tc>
          <w:tcPr>
            <w:tcW w:w="76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2,9%</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lang w:val="en-GB" w:eastAsia="en-GB"/>
              </w:rPr>
            </w:pPr>
            <w:r>
              <w:rPr>
                <w:rFonts w:eastAsia="Times New Roman"/>
                <w:i/>
                <w:iCs/>
                <w:noProof/>
                <w:sz w:val="15"/>
                <w:szCs w:val="15"/>
                <w:lang w:val="en-GB" w:eastAsia="en-GB"/>
              </w:rPr>
              <w:t xml:space="preserve">Ceiling </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10 346,0</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10 786,0</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lang w:val="en-GB" w:eastAsia="en-GB"/>
              </w:rPr>
            </w:pPr>
            <w:r>
              <w:rPr>
                <w:rFonts w:eastAsia="Times New Roman"/>
                <w:i/>
                <w:iCs/>
                <w:noProof/>
                <w:sz w:val="15"/>
                <w:szCs w:val="15"/>
                <w:lang w:val="en-GB" w:eastAsia="en-GB"/>
              </w:rPr>
              <w:t>Of which offset against Contingency Margin</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- 318,0</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- 253,9</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lang w:val="en-GB" w:eastAsia="en-GB"/>
              </w:rPr>
            </w:pPr>
            <w:r>
              <w:rPr>
                <w:rFonts w:eastAsia="Times New Roman"/>
                <w:i/>
                <w:iCs/>
                <w:noProof/>
                <w:sz w:val="15"/>
                <w:szCs w:val="15"/>
                <w:lang w:val="en-GB" w:eastAsia="en-GB"/>
              </w:rPr>
              <w:t>Margin</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xml:space="preserve"> 362,5</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xml:space="preserve"> 589,1</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Of which: Administrative expenditure of the institutions</w:t>
            </w:r>
          </w:p>
        </w:tc>
        <w:tc>
          <w:tcPr>
            <w:tcW w:w="98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7 579,9</w:t>
            </w:r>
          </w:p>
        </w:tc>
        <w:tc>
          <w:tcPr>
            <w:tcW w:w="98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7 580,7</w:t>
            </w:r>
          </w:p>
        </w:tc>
        <w:tc>
          <w:tcPr>
            <w:tcW w:w="98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7 747,3</w:t>
            </w:r>
          </w:p>
        </w:tc>
        <w:tc>
          <w:tcPr>
            <w:tcW w:w="98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7 749,2</w:t>
            </w:r>
          </w:p>
        </w:tc>
        <w:tc>
          <w:tcPr>
            <w:tcW w:w="98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 xml:space="preserve"> 167,4</w:t>
            </w:r>
          </w:p>
        </w:tc>
        <w:tc>
          <w:tcPr>
            <w:tcW w:w="98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 xml:space="preserve"> 168,5</w:t>
            </w:r>
          </w:p>
        </w:tc>
        <w:tc>
          <w:tcPr>
            <w:tcW w:w="76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2,2%</w:t>
            </w:r>
          </w:p>
        </w:tc>
        <w:tc>
          <w:tcPr>
            <w:tcW w:w="76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2,2%</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lang w:val="en-GB" w:eastAsia="en-GB"/>
              </w:rPr>
            </w:pPr>
            <w:r>
              <w:rPr>
                <w:rFonts w:eastAsia="Times New Roman"/>
                <w:i/>
                <w:iCs/>
                <w:noProof/>
                <w:sz w:val="15"/>
                <w:szCs w:val="15"/>
                <w:lang w:val="en-GB" w:eastAsia="en-GB"/>
              </w:rPr>
              <w:t>Sub-ceiling</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8 360,0</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8 700,0</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lang w:val="en-GB" w:eastAsia="en-GB"/>
              </w:rPr>
            </w:pPr>
            <w:r>
              <w:rPr>
                <w:rFonts w:eastAsia="Times New Roman"/>
                <w:i/>
                <w:iCs/>
                <w:noProof/>
                <w:sz w:val="15"/>
                <w:szCs w:val="15"/>
                <w:lang w:val="en-GB" w:eastAsia="en-GB"/>
              </w:rPr>
              <w:t>Of which offset against Contingency Margin</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- 318,0</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- 253,9</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lang w:val="en-GB" w:eastAsia="en-GB"/>
              </w:rPr>
            </w:pPr>
            <w:r>
              <w:rPr>
                <w:rFonts w:eastAsia="Times New Roman"/>
                <w:i/>
                <w:iCs/>
                <w:noProof/>
                <w:sz w:val="15"/>
                <w:szCs w:val="15"/>
                <w:lang w:val="en-GB" w:eastAsia="en-GB"/>
              </w:rPr>
              <w:t>Sub-margin</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xml:space="preserve"> 462,1</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xml:space="preserve"> 698,8</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76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c>
          <w:tcPr>
            <w:tcW w:w="76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lang w:val="en-GB" w:eastAsia="en-GB"/>
              </w:rPr>
            </w:pPr>
            <w:r>
              <w:rPr>
                <w:rFonts w:eastAsia="Times New Roman"/>
                <w:i/>
                <w:iCs/>
                <w:noProof/>
                <w:sz w:val="16"/>
                <w:szCs w:val="16"/>
                <w:lang w:val="en-GB" w:eastAsia="en-GB"/>
              </w:rPr>
              <w:t> </w:t>
            </w:r>
          </w:p>
        </w:tc>
      </w:tr>
      <w:tr>
        <w:trPr>
          <w:trHeight w:val="240"/>
        </w:trPr>
        <w:tc>
          <w:tcPr>
            <w:tcW w:w="3160" w:type="dxa"/>
            <w:gridSpan w:val="2"/>
            <w:tcBorders>
              <w:top w:val="single" w:sz="4" w:space="0" w:color="auto"/>
              <w:left w:val="single" w:sz="4" w:space="0" w:color="auto"/>
              <w:bottom w:val="dotted" w:sz="4" w:space="0" w:color="auto"/>
              <w:right w:val="single" w:sz="4" w:space="0" w:color="000000"/>
            </w:tcBorders>
            <w:shd w:val="clear" w:color="000000" w:fill="D9D9D9"/>
            <w:vAlign w:val="center"/>
            <w:hideMark/>
          </w:tcPr>
          <w:p>
            <w:pPr>
              <w:spacing w:after="0" w:line="240" w:lineRule="auto"/>
              <w:jc w:val="right"/>
              <w:rPr>
                <w:rFonts w:eastAsia="Times New Roman"/>
                <w:b/>
                <w:bCs/>
                <w:noProof/>
                <w:sz w:val="15"/>
                <w:szCs w:val="15"/>
                <w:lang w:val="en-GB" w:eastAsia="en-GB"/>
              </w:rPr>
            </w:pPr>
            <w:r>
              <w:rPr>
                <w:rFonts w:eastAsia="Times New Roman"/>
                <w:b/>
                <w:bCs/>
                <w:noProof/>
                <w:sz w:val="15"/>
                <w:szCs w:val="15"/>
                <w:lang w:val="en-GB" w:eastAsia="en-GB"/>
              </w:rPr>
              <w:t>Appropriations for headings 1 to 6</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159 998,0</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144 216,7</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165 028,4</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147 787,4</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5 030,4</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3 570,8</w:t>
            </w:r>
          </w:p>
        </w:tc>
        <w:tc>
          <w:tcPr>
            <w:tcW w:w="76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3,1%</w:t>
            </w:r>
          </w:p>
        </w:tc>
        <w:tc>
          <w:tcPr>
            <w:tcW w:w="76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2,5%</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spacing w:after="0" w:line="240" w:lineRule="auto"/>
              <w:jc w:val="right"/>
              <w:rPr>
                <w:rFonts w:eastAsia="Times New Roman"/>
                <w:b/>
                <w:bCs/>
                <w:i/>
                <w:iCs/>
                <w:noProof/>
                <w:sz w:val="15"/>
                <w:szCs w:val="15"/>
                <w:lang w:val="en-GB" w:eastAsia="en-GB"/>
              </w:rPr>
            </w:pPr>
            <w:r>
              <w:rPr>
                <w:rFonts w:eastAsia="Times New Roman"/>
                <w:b/>
                <w:bCs/>
                <w:i/>
                <w:iCs/>
                <w:noProof/>
                <w:sz w:val="15"/>
                <w:szCs w:val="15"/>
                <w:lang w:val="en-GB" w:eastAsia="en-GB"/>
              </w:rPr>
              <w:t>Of which under Flexibility Instrument</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xml:space="preserve"> 837,2</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xml:space="preserve"> 678,3</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xml:space="preserve"> 985,6</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xml:space="preserve"> 909,8</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76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76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spacing w:after="0" w:line="240" w:lineRule="auto"/>
              <w:jc w:val="right"/>
              <w:rPr>
                <w:rFonts w:eastAsia="Times New Roman"/>
                <w:b/>
                <w:bCs/>
                <w:i/>
                <w:iCs/>
                <w:noProof/>
                <w:sz w:val="15"/>
                <w:szCs w:val="15"/>
                <w:lang w:val="en-GB" w:eastAsia="en-GB"/>
              </w:rPr>
            </w:pPr>
            <w:r>
              <w:rPr>
                <w:rFonts w:eastAsia="Times New Roman"/>
                <w:b/>
                <w:bCs/>
                <w:i/>
                <w:iCs/>
                <w:noProof/>
                <w:sz w:val="15"/>
                <w:szCs w:val="15"/>
                <w:lang w:val="en-GB" w:eastAsia="en-GB"/>
              </w:rPr>
              <w:t>Of which under Global Margin for Commitments</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1 355,6</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1 464,7</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76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76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spacing w:after="0" w:line="240" w:lineRule="auto"/>
              <w:jc w:val="right"/>
              <w:rPr>
                <w:rFonts w:eastAsia="Times New Roman"/>
                <w:b/>
                <w:bCs/>
                <w:i/>
                <w:iCs/>
                <w:noProof/>
                <w:sz w:val="15"/>
                <w:szCs w:val="15"/>
                <w:lang w:val="en-GB" w:eastAsia="en-GB"/>
              </w:rPr>
            </w:pPr>
            <w:r>
              <w:rPr>
                <w:rFonts w:eastAsia="Times New Roman"/>
                <w:b/>
                <w:bCs/>
                <w:i/>
                <w:iCs/>
                <w:noProof/>
                <w:sz w:val="15"/>
                <w:szCs w:val="15"/>
                <w:lang w:val="en-GB" w:eastAsia="en-GB"/>
              </w:rPr>
              <w:t>Of which under Contingency Margin</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76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76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spacing w:after="0" w:line="240" w:lineRule="auto"/>
              <w:jc w:val="right"/>
              <w:rPr>
                <w:rFonts w:eastAsia="Times New Roman"/>
                <w:b/>
                <w:bCs/>
                <w:i/>
                <w:iCs/>
                <w:noProof/>
                <w:sz w:val="15"/>
                <w:szCs w:val="15"/>
                <w:lang w:val="en-GB" w:eastAsia="en-GB"/>
              </w:rPr>
            </w:pPr>
            <w:r>
              <w:rPr>
                <w:rFonts w:eastAsia="Times New Roman"/>
                <w:b/>
                <w:bCs/>
                <w:i/>
                <w:iCs/>
                <w:noProof/>
                <w:sz w:val="15"/>
                <w:szCs w:val="15"/>
                <w:lang w:val="en-GB" w:eastAsia="en-GB"/>
              </w:rPr>
              <w:t>Ceiling</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159 514,0</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154 565,0</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164 123,0</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166 709,0</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76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76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spacing w:after="0" w:line="240" w:lineRule="auto"/>
              <w:jc w:val="right"/>
              <w:rPr>
                <w:rFonts w:eastAsia="Times New Roman"/>
                <w:b/>
                <w:bCs/>
                <w:i/>
                <w:iCs/>
                <w:noProof/>
                <w:sz w:val="15"/>
                <w:szCs w:val="15"/>
                <w:lang w:val="en-GB" w:eastAsia="en-GB"/>
              </w:rPr>
            </w:pPr>
            <w:r>
              <w:rPr>
                <w:rFonts w:eastAsia="Times New Roman"/>
                <w:b/>
                <w:bCs/>
                <w:i/>
                <w:iCs/>
                <w:noProof/>
                <w:sz w:val="15"/>
                <w:szCs w:val="15"/>
                <w:lang w:val="en-GB" w:eastAsia="en-GB"/>
              </w:rPr>
              <w:t>Of which offset against Contingency Margin</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- 318,0</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- 253,9</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76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76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spacing w:after="0" w:line="240" w:lineRule="auto"/>
              <w:jc w:val="right"/>
              <w:rPr>
                <w:rFonts w:eastAsia="Times New Roman"/>
                <w:b/>
                <w:bCs/>
                <w:i/>
                <w:iCs/>
                <w:noProof/>
                <w:sz w:val="15"/>
                <w:szCs w:val="15"/>
                <w:lang w:val="en-GB" w:eastAsia="en-GB"/>
              </w:rPr>
            </w:pPr>
            <w:r>
              <w:rPr>
                <w:rFonts w:eastAsia="Times New Roman"/>
                <w:b/>
                <w:bCs/>
                <w:i/>
                <w:iCs/>
                <w:noProof/>
                <w:sz w:val="15"/>
                <w:szCs w:val="15"/>
                <w:lang w:val="en-GB" w:eastAsia="en-GB"/>
              </w:rPr>
              <w:t>Margin</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1 390,9</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11 026,7</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1 291,1</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19 831,4</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76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76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r>
      <w:tr>
        <w:trPr>
          <w:trHeight w:val="240"/>
        </w:trPr>
        <w:tc>
          <w:tcPr>
            <w:tcW w:w="3160" w:type="dxa"/>
            <w:gridSpan w:val="2"/>
            <w:tcBorders>
              <w:top w:val="dotted" w:sz="4" w:space="0" w:color="auto"/>
              <w:left w:val="single" w:sz="4" w:space="0" w:color="auto"/>
              <w:bottom w:val="single" w:sz="4" w:space="0" w:color="auto"/>
              <w:right w:val="single" w:sz="4" w:space="0" w:color="000000"/>
            </w:tcBorders>
            <w:shd w:val="clear" w:color="000000" w:fill="D9D9D9"/>
            <w:vAlign w:val="center"/>
            <w:hideMark/>
          </w:tcPr>
          <w:p>
            <w:pPr>
              <w:spacing w:after="0" w:line="240" w:lineRule="auto"/>
              <w:jc w:val="right"/>
              <w:rPr>
                <w:rFonts w:eastAsia="Times New Roman"/>
                <w:b/>
                <w:bCs/>
                <w:noProof/>
                <w:sz w:val="15"/>
                <w:szCs w:val="15"/>
                <w:lang w:val="en-GB" w:eastAsia="en-GB"/>
              </w:rPr>
            </w:pPr>
            <w:r>
              <w:rPr>
                <w:rFonts w:eastAsia="Times New Roman"/>
                <w:b/>
                <w:bCs/>
                <w:noProof/>
                <w:sz w:val="15"/>
                <w:szCs w:val="15"/>
                <w:lang w:val="en-GB" w:eastAsia="en-GB"/>
              </w:rPr>
              <w:t>Appropriations as % of GNI</w:t>
            </w:r>
            <w:r>
              <w:rPr>
                <w:rFonts w:eastAsia="Times New Roman"/>
                <w:noProof/>
                <w:sz w:val="15"/>
                <w:szCs w:val="15"/>
                <w:vertAlign w:val="superscript"/>
                <w:lang w:val="en-GB" w:eastAsia="en-GB"/>
              </w:rPr>
              <w:t xml:space="preserve"> (2)</w:t>
            </w:r>
          </w:p>
        </w:tc>
        <w:tc>
          <w:tcPr>
            <w:tcW w:w="980" w:type="dxa"/>
            <w:tcBorders>
              <w:top w:val="nil"/>
              <w:left w:val="nil"/>
              <w:bottom w:val="single" w:sz="4" w:space="0" w:color="auto"/>
              <w:right w:val="single" w:sz="4" w:space="0" w:color="auto"/>
            </w:tcBorders>
            <w:shd w:val="clear" w:color="000000" w:fill="D9D9D9"/>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1,02%</w:t>
            </w:r>
          </w:p>
        </w:tc>
        <w:tc>
          <w:tcPr>
            <w:tcW w:w="980" w:type="dxa"/>
            <w:tcBorders>
              <w:top w:val="nil"/>
              <w:left w:val="nil"/>
              <w:bottom w:val="single" w:sz="4" w:space="0" w:color="auto"/>
              <w:right w:val="single" w:sz="4" w:space="0" w:color="auto"/>
            </w:tcBorders>
            <w:shd w:val="clear" w:color="000000" w:fill="D9D9D9"/>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0,92%</w:t>
            </w:r>
          </w:p>
        </w:tc>
        <w:tc>
          <w:tcPr>
            <w:tcW w:w="980" w:type="dxa"/>
            <w:tcBorders>
              <w:top w:val="nil"/>
              <w:left w:val="nil"/>
              <w:bottom w:val="single" w:sz="4" w:space="0" w:color="auto"/>
              <w:right w:val="single" w:sz="4" w:space="0" w:color="auto"/>
            </w:tcBorders>
            <w:shd w:val="clear" w:color="000000" w:fill="D9D9D9"/>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1,00%</w:t>
            </w:r>
          </w:p>
        </w:tc>
        <w:tc>
          <w:tcPr>
            <w:tcW w:w="980" w:type="dxa"/>
            <w:tcBorders>
              <w:top w:val="nil"/>
              <w:left w:val="nil"/>
              <w:bottom w:val="single" w:sz="4" w:space="0" w:color="auto"/>
              <w:right w:val="single" w:sz="4" w:space="0" w:color="auto"/>
            </w:tcBorders>
            <w:shd w:val="clear" w:color="000000" w:fill="D9D9D9"/>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0,90%</w:t>
            </w:r>
          </w:p>
        </w:tc>
        <w:tc>
          <w:tcPr>
            <w:tcW w:w="980" w:type="dxa"/>
            <w:tcBorders>
              <w:top w:val="nil"/>
              <w:left w:val="nil"/>
              <w:bottom w:val="single" w:sz="4" w:space="0" w:color="auto"/>
              <w:right w:val="single" w:sz="4" w:space="0" w:color="auto"/>
            </w:tcBorders>
            <w:shd w:val="clear" w:color="000000" w:fill="D9D9D9"/>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 </w:t>
            </w:r>
          </w:p>
        </w:tc>
        <w:tc>
          <w:tcPr>
            <w:tcW w:w="980" w:type="dxa"/>
            <w:tcBorders>
              <w:top w:val="nil"/>
              <w:left w:val="nil"/>
              <w:bottom w:val="single" w:sz="4" w:space="0" w:color="auto"/>
              <w:right w:val="single" w:sz="4" w:space="0" w:color="auto"/>
            </w:tcBorders>
            <w:shd w:val="clear" w:color="000000" w:fill="D9D9D9"/>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 </w:t>
            </w:r>
          </w:p>
        </w:tc>
        <w:tc>
          <w:tcPr>
            <w:tcW w:w="760" w:type="dxa"/>
            <w:tcBorders>
              <w:top w:val="nil"/>
              <w:left w:val="nil"/>
              <w:bottom w:val="single" w:sz="4" w:space="0" w:color="auto"/>
              <w:right w:val="single" w:sz="4" w:space="0" w:color="auto"/>
            </w:tcBorders>
            <w:shd w:val="clear" w:color="000000" w:fill="D9D9D9"/>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 </w:t>
            </w:r>
          </w:p>
        </w:tc>
        <w:tc>
          <w:tcPr>
            <w:tcW w:w="760" w:type="dxa"/>
            <w:tcBorders>
              <w:top w:val="nil"/>
              <w:left w:val="nil"/>
              <w:bottom w:val="single" w:sz="4" w:space="0" w:color="auto"/>
              <w:right w:val="single" w:sz="4" w:space="0" w:color="auto"/>
            </w:tcBorders>
            <w:shd w:val="clear" w:color="000000" w:fill="D9D9D9"/>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 </w:t>
            </w:r>
          </w:p>
        </w:tc>
      </w:tr>
      <w:tr>
        <w:trPr>
          <w:trHeight w:val="240"/>
        </w:trPr>
        <w:tc>
          <w:tcPr>
            <w:tcW w:w="3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pPr>
              <w:spacing w:after="0" w:line="240" w:lineRule="auto"/>
              <w:jc w:val="center"/>
              <w:rPr>
                <w:rFonts w:eastAsia="Times New Roman"/>
                <w:b/>
                <w:bCs/>
                <w:noProof/>
                <w:sz w:val="15"/>
                <w:szCs w:val="15"/>
                <w:lang w:val="en-GB" w:eastAsia="en-GB"/>
              </w:rPr>
            </w:pPr>
            <w:r>
              <w:rPr>
                <w:rFonts w:eastAsia="Times New Roman"/>
                <w:b/>
                <w:bCs/>
                <w:noProof/>
                <w:sz w:val="15"/>
                <w:szCs w:val="15"/>
                <w:lang w:val="en-GB" w:eastAsia="en-GB"/>
              </w:rPr>
              <w:t>Other Special instruments</w:t>
            </w:r>
            <w:r>
              <w:rPr>
                <w:rFonts w:eastAsia="Times New Roman"/>
                <w:noProof/>
                <w:sz w:val="15"/>
                <w:szCs w:val="15"/>
                <w:vertAlign w:val="superscript"/>
                <w:lang w:val="en-GB" w:eastAsia="en-GB"/>
              </w:rPr>
              <w:t>(3)</w:t>
            </w:r>
          </w:p>
        </w:tc>
        <w:tc>
          <w:tcPr>
            <w:tcW w:w="980" w:type="dxa"/>
            <w:tcBorders>
              <w:top w:val="nil"/>
              <w:left w:val="single" w:sz="4" w:space="0" w:color="auto"/>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 xml:space="preserve"> 698,5</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 xml:space="preserve"> 551,2</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 xml:space="preserve"> 577,2</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 xml:space="preserve"> 411,5</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- 121,3</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- 139,7</w:t>
            </w:r>
          </w:p>
        </w:tc>
        <w:tc>
          <w:tcPr>
            <w:tcW w:w="76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-17,4%</w:t>
            </w:r>
          </w:p>
        </w:tc>
        <w:tc>
          <w:tcPr>
            <w:tcW w:w="76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-25,3%</w:t>
            </w:r>
          </w:p>
        </w:tc>
      </w:tr>
      <w:tr>
        <w:trPr>
          <w:trHeight w:val="240"/>
        </w:trPr>
        <w:tc>
          <w:tcPr>
            <w:tcW w:w="3160" w:type="dxa"/>
            <w:gridSpan w:val="2"/>
            <w:tcBorders>
              <w:top w:val="single" w:sz="4" w:space="0" w:color="auto"/>
              <w:left w:val="single" w:sz="4" w:space="0" w:color="auto"/>
              <w:bottom w:val="dotted" w:sz="4" w:space="0" w:color="auto"/>
              <w:right w:val="single" w:sz="4" w:space="0" w:color="000000"/>
            </w:tcBorders>
            <w:shd w:val="clear" w:color="000000" w:fill="D9D9D9"/>
            <w:vAlign w:val="center"/>
            <w:hideMark/>
          </w:tcPr>
          <w:p>
            <w:pPr>
              <w:spacing w:after="0" w:line="240" w:lineRule="auto"/>
              <w:jc w:val="right"/>
              <w:rPr>
                <w:rFonts w:eastAsia="Times New Roman"/>
                <w:b/>
                <w:bCs/>
                <w:noProof/>
                <w:sz w:val="15"/>
                <w:szCs w:val="15"/>
                <w:lang w:val="en-GB" w:eastAsia="en-GB"/>
              </w:rPr>
            </w:pPr>
            <w:r>
              <w:rPr>
                <w:rFonts w:eastAsia="Times New Roman"/>
                <w:b/>
                <w:bCs/>
                <w:noProof/>
                <w:sz w:val="15"/>
                <w:szCs w:val="15"/>
                <w:lang w:val="en-GB" w:eastAsia="en-GB"/>
              </w:rPr>
              <w:t>Total appropriations</w:t>
            </w:r>
          </w:p>
        </w:tc>
        <w:tc>
          <w:tcPr>
            <w:tcW w:w="980" w:type="dxa"/>
            <w:tcBorders>
              <w:top w:val="single" w:sz="4" w:space="0" w:color="auto"/>
              <w:left w:val="nil"/>
              <w:bottom w:val="dotted" w:sz="4" w:space="0" w:color="auto"/>
              <w:right w:val="single" w:sz="4" w:space="0" w:color="auto"/>
            </w:tcBorders>
            <w:shd w:val="clear" w:color="000000" w:fill="D9D9D9"/>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160 696,5</w:t>
            </w:r>
          </w:p>
        </w:tc>
        <w:tc>
          <w:tcPr>
            <w:tcW w:w="980" w:type="dxa"/>
            <w:tcBorders>
              <w:top w:val="single" w:sz="4" w:space="0" w:color="auto"/>
              <w:left w:val="nil"/>
              <w:bottom w:val="dotted" w:sz="4" w:space="0" w:color="auto"/>
              <w:right w:val="single" w:sz="4" w:space="0" w:color="auto"/>
            </w:tcBorders>
            <w:shd w:val="clear" w:color="000000" w:fill="D9D9D9"/>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144 767,9</w:t>
            </w:r>
          </w:p>
        </w:tc>
        <w:tc>
          <w:tcPr>
            <w:tcW w:w="980" w:type="dxa"/>
            <w:tcBorders>
              <w:top w:val="single" w:sz="4" w:space="0" w:color="auto"/>
              <w:left w:val="nil"/>
              <w:bottom w:val="dotted" w:sz="4" w:space="0" w:color="auto"/>
              <w:right w:val="single" w:sz="4" w:space="0" w:color="auto"/>
            </w:tcBorders>
            <w:shd w:val="clear" w:color="000000" w:fill="D9D9D9"/>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165 605,6</w:t>
            </w:r>
          </w:p>
        </w:tc>
        <w:tc>
          <w:tcPr>
            <w:tcW w:w="980" w:type="dxa"/>
            <w:tcBorders>
              <w:top w:val="single" w:sz="4" w:space="0" w:color="auto"/>
              <w:left w:val="nil"/>
              <w:bottom w:val="dotted" w:sz="4" w:space="0" w:color="auto"/>
              <w:right w:val="single" w:sz="4" w:space="0" w:color="auto"/>
            </w:tcBorders>
            <w:shd w:val="clear" w:color="000000" w:fill="D9D9D9"/>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148 198,9</w:t>
            </w:r>
          </w:p>
        </w:tc>
        <w:tc>
          <w:tcPr>
            <w:tcW w:w="980" w:type="dxa"/>
            <w:tcBorders>
              <w:top w:val="single" w:sz="4" w:space="0" w:color="auto"/>
              <w:left w:val="nil"/>
              <w:bottom w:val="dotted" w:sz="4" w:space="0" w:color="auto"/>
              <w:right w:val="single" w:sz="4" w:space="0" w:color="auto"/>
            </w:tcBorders>
            <w:shd w:val="clear" w:color="000000" w:fill="D9D9D9"/>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4 909,2</w:t>
            </w:r>
          </w:p>
        </w:tc>
        <w:tc>
          <w:tcPr>
            <w:tcW w:w="980" w:type="dxa"/>
            <w:tcBorders>
              <w:top w:val="single" w:sz="4" w:space="0" w:color="auto"/>
              <w:left w:val="nil"/>
              <w:bottom w:val="dotted" w:sz="4" w:space="0" w:color="auto"/>
              <w:right w:val="single" w:sz="4" w:space="0" w:color="auto"/>
            </w:tcBorders>
            <w:shd w:val="clear" w:color="000000" w:fill="D9D9D9"/>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3 431,0</w:t>
            </w:r>
          </w:p>
        </w:tc>
        <w:tc>
          <w:tcPr>
            <w:tcW w:w="760" w:type="dxa"/>
            <w:tcBorders>
              <w:top w:val="single" w:sz="4" w:space="0" w:color="auto"/>
              <w:left w:val="nil"/>
              <w:bottom w:val="dotted" w:sz="4" w:space="0" w:color="auto"/>
              <w:right w:val="single" w:sz="4" w:space="0" w:color="auto"/>
            </w:tcBorders>
            <w:shd w:val="clear" w:color="000000" w:fill="D9D9D9"/>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3,1%</w:t>
            </w:r>
          </w:p>
        </w:tc>
        <w:tc>
          <w:tcPr>
            <w:tcW w:w="760" w:type="dxa"/>
            <w:tcBorders>
              <w:top w:val="single" w:sz="4" w:space="0" w:color="auto"/>
              <w:left w:val="nil"/>
              <w:bottom w:val="dotted" w:sz="4" w:space="0" w:color="auto"/>
              <w:right w:val="single" w:sz="4" w:space="0" w:color="auto"/>
            </w:tcBorders>
            <w:shd w:val="clear" w:color="000000" w:fill="D9D9D9"/>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2,4%</w:t>
            </w:r>
          </w:p>
        </w:tc>
      </w:tr>
      <w:tr>
        <w:trPr>
          <w:trHeight w:val="240"/>
        </w:trPr>
        <w:tc>
          <w:tcPr>
            <w:tcW w:w="3160" w:type="dxa"/>
            <w:gridSpan w:val="2"/>
            <w:tcBorders>
              <w:top w:val="dotted" w:sz="4" w:space="0" w:color="auto"/>
              <w:left w:val="single" w:sz="4" w:space="0" w:color="auto"/>
              <w:bottom w:val="single" w:sz="4" w:space="0" w:color="auto"/>
              <w:right w:val="single" w:sz="4" w:space="0" w:color="000000"/>
            </w:tcBorders>
            <w:shd w:val="clear" w:color="000000" w:fill="D9D9D9"/>
            <w:vAlign w:val="center"/>
            <w:hideMark/>
          </w:tcPr>
          <w:p>
            <w:pPr>
              <w:spacing w:after="0" w:line="240" w:lineRule="auto"/>
              <w:jc w:val="right"/>
              <w:rPr>
                <w:rFonts w:eastAsia="Times New Roman"/>
                <w:b/>
                <w:bCs/>
                <w:noProof/>
                <w:sz w:val="15"/>
                <w:szCs w:val="15"/>
                <w:lang w:val="en-GB" w:eastAsia="en-GB"/>
              </w:rPr>
            </w:pPr>
            <w:r>
              <w:rPr>
                <w:rFonts w:eastAsia="Times New Roman"/>
                <w:b/>
                <w:bCs/>
                <w:noProof/>
                <w:sz w:val="15"/>
                <w:szCs w:val="15"/>
                <w:lang w:val="en-GB" w:eastAsia="en-GB"/>
              </w:rPr>
              <w:t>Appropriations as % of GNI</w:t>
            </w:r>
            <w:r>
              <w:rPr>
                <w:rFonts w:eastAsia="Times New Roman"/>
                <w:noProof/>
                <w:sz w:val="15"/>
                <w:szCs w:val="15"/>
                <w:vertAlign w:val="superscript"/>
                <w:lang w:val="en-GB" w:eastAsia="en-GB"/>
              </w:rPr>
              <w:t xml:space="preserve"> (2)</w:t>
            </w:r>
          </w:p>
        </w:tc>
        <w:tc>
          <w:tcPr>
            <w:tcW w:w="980" w:type="dxa"/>
            <w:tcBorders>
              <w:top w:val="nil"/>
              <w:left w:val="nil"/>
              <w:bottom w:val="single" w:sz="4" w:space="0" w:color="auto"/>
              <w:right w:val="single" w:sz="4" w:space="0" w:color="auto"/>
            </w:tcBorders>
            <w:shd w:val="clear" w:color="000000" w:fill="D9D9D9"/>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1,02%</w:t>
            </w:r>
          </w:p>
        </w:tc>
        <w:tc>
          <w:tcPr>
            <w:tcW w:w="980" w:type="dxa"/>
            <w:tcBorders>
              <w:top w:val="nil"/>
              <w:left w:val="nil"/>
              <w:bottom w:val="single" w:sz="4" w:space="0" w:color="auto"/>
              <w:right w:val="single" w:sz="4" w:space="0" w:color="auto"/>
            </w:tcBorders>
            <w:shd w:val="clear" w:color="000000" w:fill="D9D9D9"/>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0,92%</w:t>
            </w:r>
          </w:p>
        </w:tc>
        <w:tc>
          <w:tcPr>
            <w:tcW w:w="980" w:type="dxa"/>
            <w:tcBorders>
              <w:top w:val="nil"/>
              <w:left w:val="nil"/>
              <w:bottom w:val="single" w:sz="4" w:space="0" w:color="auto"/>
              <w:right w:val="single" w:sz="4" w:space="0" w:color="auto"/>
            </w:tcBorders>
            <w:shd w:val="clear" w:color="000000" w:fill="D9D9D9"/>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1,00%</w:t>
            </w:r>
          </w:p>
        </w:tc>
        <w:tc>
          <w:tcPr>
            <w:tcW w:w="980" w:type="dxa"/>
            <w:tcBorders>
              <w:top w:val="nil"/>
              <w:left w:val="nil"/>
              <w:bottom w:val="single" w:sz="4" w:space="0" w:color="auto"/>
              <w:right w:val="single" w:sz="4" w:space="0" w:color="auto"/>
            </w:tcBorders>
            <w:shd w:val="clear" w:color="000000" w:fill="D9D9D9"/>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0,90%</w:t>
            </w:r>
          </w:p>
        </w:tc>
        <w:tc>
          <w:tcPr>
            <w:tcW w:w="980" w:type="dxa"/>
            <w:tcBorders>
              <w:top w:val="nil"/>
              <w:left w:val="nil"/>
              <w:bottom w:val="single" w:sz="4" w:space="0" w:color="auto"/>
              <w:right w:val="single" w:sz="4" w:space="0" w:color="auto"/>
            </w:tcBorders>
            <w:shd w:val="clear" w:color="000000" w:fill="D9D9D9"/>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 </w:t>
            </w:r>
          </w:p>
        </w:tc>
        <w:tc>
          <w:tcPr>
            <w:tcW w:w="980" w:type="dxa"/>
            <w:tcBorders>
              <w:top w:val="nil"/>
              <w:left w:val="nil"/>
              <w:bottom w:val="single" w:sz="4" w:space="0" w:color="auto"/>
              <w:right w:val="single" w:sz="4" w:space="0" w:color="auto"/>
            </w:tcBorders>
            <w:shd w:val="clear" w:color="000000" w:fill="D9D9D9"/>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 </w:t>
            </w:r>
          </w:p>
        </w:tc>
        <w:tc>
          <w:tcPr>
            <w:tcW w:w="760" w:type="dxa"/>
            <w:tcBorders>
              <w:top w:val="nil"/>
              <w:left w:val="nil"/>
              <w:bottom w:val="single" w:sz="4" w:space="0" w:color="auto"/>
              <w:right w:val="single" w:sz="4" w:space="0" w:color="auto"/>
            </w:tcBorders>
            <w:shd w:val="clear" w:color="000000" w:fill="D9D9D9"/>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 </w:t>
            </w:r>
          </w:p>
        </w:tc>
        <w:tc>
          <w:tcPr>
            <w:tcW w:w="760" w:type="dxa"/>
            <w:tcBorders>
              <w:top w:val="nil"/>
              <w:left w:val="nil"/>
              <w:bottom w:val="single" w:sz="4" w:space="0" w:color="auto"/>
              <w:right w:val="single" w:sz="4" w:space="0" w:color="auto"/>
            </w:tcBorders>
            <w:shd w:val="clear" w:color="000000" w:fill="D9D9D9"/>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 </w:t>
            </w:r>
          </w:p>
        </w:tc>
      </w:tr>
      <w:tr>
        <w:trPr>
          <w:trHeight w:val="240"/>
        </w:trPr>
        <w:tc>
          <w:tcPr>
            <w:tcW w:w="280" w:type="dxa"/>
            <w:tcBorders>
              <w:top w:val="nil"/>
              <w:left w:val="single" w:sz="4" w:space="0" w:color="auto"/>
              <w:bottom w:val="dotted" w:sz="4" w:space="0" w:color="auto"/>
              <w:right w:val="nil"/>
            </w:tcBorders>
            <w:shd w:val="clear" w:color="auto" w:fill="auto"/>
            <w:vAlign w:val="center"/>
            <w:hideMark/>
          </w:tcPr>
          <w:p>
            <w:pPr>
              <w:spacing w:after="0" w:line="240" w:lineRule="auto"/>
              <w:rPr>
                <w:rFonts w:eastAsia="Times New Roman"/>
                <w:noProof/>
                <w:sz w:val="16"/>
                <w:szCs w:val="16"/>
                <w:lang w:val="en-GB" w:eastAsia="en-GB"/>
              </w:rPr>
            </w:pPr>
            <w:r>
              <w:rPr>
                <w:rFonts w:eastAsia="Times New Roman"/>
                <w:noProof/>
                <w:sz w:val="16"/>
                <w:szCs w:val="16"/>
                <w:lang w:val="en-GB" w:eastAsia="en-GB"/>
              </w:rPr>
              <w:t>(1)</w:t>
            </w:r>
          </w:p>
        </w:tc>
        <w:tc>
          <w:tcPr>
            <w:tcW w:w="10280" w:type="dxa"/>
            <w:gridSpan w:val="9"/>
            <w:tcBorders>
              <w:top w:val="single" w:sz="4" w:space="0" w:color="auto"/>
              <w:left w:val="nil"/>
              <w:bottom w:val="dotted" w:sz="4" w:space="0" w:color="auto"/>
              <w:right w:val="nil"/>
            </w:tcBorders>
            <w:shd w:val="clear" w:color="auto" w:fill="auto"/>
            <w:vAlign w:val="center"/>
            <w:hideMark/>
          </w:tcPr>
          <w:p>
            <w:pPr>
              <w:spacing w:after="0" w:line="240" w:lineRule="auto"/>
              <w:rPr>
                <w:rFonts w:eastAsia="Times New Roman"/>
                <w:noProof/>
                <w:sz w:val="16"/>
                <w:szCs w:val="16"/>
                <w:lang w:val="en-GB" w:eastAsia="en-GB"/>
              </w:rPr>
            </w:pPr>
            <w:r>
              <w:rPr>
                <w:rFonts w:eastAsia="Times New Roman"/>
                <w:noProof/>
                <w:sz w:val="16"/>
                <w:szCs w:val="16"/>
                <w:lang w:val="en-GB" w:eastAsia="en-GB"/>
              </w:rPr>
              <w:t>Budget 2018 includes amending budgets 1 to 5 and draft amending budget 6.</w:t>
            </w:r>
          </w:p>
        </w:tc>
      </w:tr>
      <w:tr>
        <w:trPr>
          <w:trHeight w:val="240"/>
        </w:trPr>
        <w:tc>
          <w:tcPr>
            <w:tcW w:w="280" w:type="dxa"/>
            <w:tcBorders>
              <w:top w:val="nil"/>
              <w:left w:val="single" w:sz="4" w:space="0" w:color="auto"/>
              <w:bottom w:val="dotted" w:sz="4" w:space="0" w:color="auto"/>
              <w:right w:val="nil"/>
            </w:tcBorders>
            <w:shd w:val="clear" w:color="auto" w:fill="auto"/>
            <w:vAlign w:val="center"/>
            <w:hideMark/>
          </w:tcPr>
          <w:p>
            <w:pPr>
              <w:spacing w:after="0" w:line="240" w:lineRule="auto"/>
              <w:rPr>
                <w:rFonts w:eastAsia="Times New Roman"/>
                <w:noProof/>
                <w:sz w:val="16"/>
                <w:szCs w:val="16"/>
                <w:lang w:val="en-GB" w:eastAsia="en-GB"/>
              </w:rPr>
            </w:pPr>
            <w:r>
              <w:rPr>
                <w:rFonts w:eastAsia="Times New Roman"/>
                <w:noProof/>
                <w:sz w:val="16"/>
                <w:szCs w:val="16"/>
                <w:lang w:val="en-GB" w:eastAsia="en-GB"/>
              </w:rPr>
              <w:t>(2)</w:t>
            </w:r>
          </w:p>
        </w:tc>
        <w:tc>
          <w:tcPr>
            <w:tcW w:w="10280" w:type="dxa"/>
            <w:gridSpan w:val="9"/>
            <w:tcBorders>
              <w:top w:val="dotted" w:sz="4" w:space="0" w:color="auto"/>
              <w:left w:val="nil"/>
              <w:bottom w:val="dotted" w:sz="4" w:space="0" w:color="auto"/>
              <w:right w:val="nil"/>
            </w:tcBorders>
            <w:shd w:val="clear" w:color="auto" w:fill="auto"/>
            <w:vAlign w:val="center"/>
            <w:hideMark/>
          </w:tcPr>
          <w:p>
            <w:pPr>
              <w:spacing w:after="0" w:line="240" w:lineRule="auto"/>
              <w:rPr>
                <w:rFonts w:eastAsia="Times New Roman"/>
                <w:noProof/>
                <w:sz w:val="16"/>
                <w:szCs w:val="16"/>
                <w:lang w:val="en-GB" w:eastAsia="en-GB"/>
              </w:rPr>
            </w:pPr>
            <w:r>
              <w:rPr>
                <w:rFonts w:eastAsia="Times New Roman"/>
                <w:noProof/>
                <w:sz w:val="16"/>
                <w:szCs w:val="16"/>
                <w:lang w:val="en-GB" w:eastAsia="en-GB"/>
              </w:rPr>
              <w:t>The second draft budget 2019 is based on the forecast of GNI as included in the technical adjustment of the MFF adopted on 23 May 2018 (COM(2018) 282).</w:t>
            </w:r>
          </w:p>
        </w:tc>
      </w:tr>
      <w:tr>
        <w:trPr>
          <w:trHeight w:val="240"/>
        </w:trPr>
        <w:tc>
          <w:tcPr>
            <w:tcW w:w="280" w:type="dxa"/>
            <w:tcBorders>
              <w:top w:val="nil"/>
              <w:left w:val="single" w:sz="4" w:space="0" w:color="auto"/>
              <w:bottom w:val="single" w:sz="4" w:space="0" w:color="auto"/>
              <w:right w:val="nil"/>
            </w:tcBorders>
            <w:shd w:val="clear" w:color="auto" w:fill="auto"/>
            <w:vAlign w:val="center"/>
            <w:hideMark/>
          </w:tcPr>
          <w:p>
            <w:pPr>
              <w:spacing w:after="0" w:line="240" w:lineRule="auto"/>
              <w:rPr>
                <w:rFonts w:eastAsia="Times New Roman"/>
                <w:noProof/>
                <w:sz w:val="16"/>
                <w:szCs w:val="16"/>
                <w:lang w:val="en-GB" w:eastAsia="en-GB"/>
              </w:rPr>
            </w:pPr>
            <w:r>
              <w:rPr>
                <w:rFonts w:eastAsia="Times New Roman"/>
                <w:noProof/>
                <w:sz w:val="16"/>
                <w:szCs w:val="16"/>
                <w:lang w:val="en-GB" w:eastAsia="en-GB"/>
              </w:rPr>
              <w:t>(3)</w:t>
            </w:r>
          </w:p>
        </w:tc>
        <w:tc>
          <w:tcPr>
            <w:tcW w:w="10280" w:type="dxa"/>
            <w:gridSpan w:val="9"/>
            <w:tcBorders>
              <w:top w:val="dotted" w:sz="4" w:space="0" w:color="auto"/>
              <w:left w:val="nil"/>
              <w:bottom w:val="single" w:sz="4" w:space="0" w:color="auto"/>
              <w:right w:val="nil"/>
            </w:tcBorders>
            <w:shd w:val="clear" w:color="auto" w:fill="auto"/>
            <w:vAlign w:val="center"/>
            <w:hideMark/>
          </w:tcPr>
          <w:p>
            <w:pPr>
              <w:spacing w:after="0" w:line="240" w:lineRule="auto"/>
              <w:rPr>
                <w:rFonts w:eastAsia="Times New Roman"/>
                <w:noProof/>
                <w:sz w:val="16"/>
                <w:szCs w:val="16"/>
                <w:lang w:val="en-GB" w:eastAsia="en-GB"/>
              </w:rPr>
            </w:pPr>
            <w:r>
              <w:rPr>
                <w:rFonts w:eastAsia="Times New Roman"/>
                <w:noProof/>
                <w:sz w:val="16"/>
                <w:szCs w:val="16"/>
                <w:lang w:val="en-GB" w:eastAsia="en-GB"/>
              </w:rPr>
              <w:t xml:space="preserve">'Other Special instruments' includes the ‘Emergency Aid Reserve (EAR)’, the ‘European Globalisation Adjustment Fund (EGF)’ and the ‘European Union Solidarity Fund (EUSF)’. </w:t>
            </w:r>
          </w:p>
        </w:tc>
      </w:tr>
    </w:tbl>
    <w:p>
      <w:pPr>
        <w:spacing w:before="240" w:line="240" w:lineRule="auto"/>
        <w:jc w:val="both"/>
        <w:rPr>
          <w:noProof/>
          <w:lang w:val="en-GB"/>
        </w:rPr>
      </w:pPr>
      <w:r>
        <w:rPr>
          <w:noProof/>
          <w:lang w:val="en-GB"/>
        </w:rPr>
        <w:t xml:space="preserve">In terms of </w:t>
      </w:r>
      <w:r>
        <w:rPr>
          <w:b/>
          <w:i/>
          <w:iCs/>
          <w:noProof/>
          <w:lang w:val="en-GB"/>
        </w:rPr>
        <w:t>commitment</w:t>
      </w:r>
      <w:r>
        <w:rPr>
          <w:b/>
          <w:noProof/>
          <w:lang w:val="en-GB"/>
        </w:rPr>
        <w:t xml:space="preserve"> appropriations</w:t>
      </w:r>
      <w:r>
        <w:rPr>
          <w:noProof/>
          <w:lang w:val="en-GB"/>
        </w:rPr>
        <w:t xml:space="preserve"> (including special instruments), </w:t>
      </w:r>
      <w:r>
        <w:rPr>
          <w:bCs/>
          <w:noProof/>
          <w:lang w:val="en-GB"/>
        </w:rPr>
        <w:t>the total expenditure proposed in the second draft budget (DB) 2019</w:t>
      </w:r>
      <w:r>
        <w:rPr>
          <w:noProof/>
          <w:lang w:val="en-GB"/>
        </w:rPr>
        <w:t xml:space="preserve"> is </w:t>
      </w:r>
      <w:r>
        <w:rPr>
          <w:b/>
          <w:noProof/>
          <w:lang w:val="en-GB"/>
        </w:rPr>
        <w:t>EUR 165 605,6 million</w:t>
      </w:r>
      <w:r>
        <w:rPr>
          <w:noProof/>
          <w:lang w:val="en-GB"/>
        </w:rPr>
        <w:t xml:space="preserve">, corresponding to </w:t>
      </w:r>
      <w:r>
        <w:rPr>
          <w:b/>
          <w:noProof/>
          <w:lang w:val="en-GB"/>
        </w:rPr>
        <w:t>1,00 % of GNI</w:t>
      </w:r>
      <w:r>
        <w:rPr>
          <w:noProof/>
          <w:lang w:val="en-GB"/>
        </w:rPr>
        <w:t>, that is EUR 4 909,2 million more than in 2018 (+ 3,1 %), when including amending budgets 1 to 5/2018 and draft amending budget 6/2018. Overall, this leaves a combined margin of EUR 1 291,1 million under the various ceilings of the MFF taking into account the use of the Global margin for commitments (EUR 1 464,7 million), the mobilisation of the Flexibility Instrument (EUR 985,6 million) and the offset of the use of the Contingency Margin for migration-related expenditure mobilised in 2017 (EUR 253,9 million).</w:t>
      </w:r>
    </w:p>
    <w:p>
      <w:pPr>
        <w:spacing w:line="240" w:lineRule="auto"/>
        <w:jc w:val="both"/>
        <w:rPr>
          <w:noProof/>
          <w:lang w:val="en-GB"/>
        </w:rPr>
      </w:pPr>
      <w:r>
        <w:rPr>
          <w:noProof/>
          <w:lang w:val="en-GB"/>
        </w:rPr>
        <w:t xml:space="preserve">For </w:t>
      </w:r>
      <w:r>
        <w:rPr>
          <w:b/>
          <w:i/>
          <w:iCs/>
          <w:noProof/>
          <w:lang w:val="en-GB"/>
        </w:rPr>
        <w:t>payment</w:t>
      </w:r>
      <w:r>
        <w:rPr>
          <w:b/>
          <w:noProof/>
          <w:lang w:val="en-GB"/>
        </w:rPr>
        <w:t xml:space="preserve"> appropriations</w:t>
      </w:r>
      <w:r>
        <w:rPr>
          <w:noProof/>
          <w:lang w:val="en-GB"/>
        </w:rPr>
        <w:t xml:space="preserve"> (including special instruments), the requested total expenditure is </w:t>
      </w:r>
      <w:r>
        <w:rPr>
          <w:b/>
          <w:noProof/>
          <w:lang w:val="en-GB"/>
        </w:rPr>
        <w:t>EUR 148 198,9 million</w:t>
      </w:r>
      <w:r>
        <w:rPr>
          <w:noProof/>
          <w:lang w:val="en-GB"/>
        </w:rPr>
        <w:t>, corresponding to</w:t>
      </w:r>
      <w:r>
        <w:rPr>
          <w:b/>
          <w:noProof/>
          <w:lang w:val="en-GB"/>
        </w:rPr>
        <w:t xml:space="preserve"> 0,90 % of GNI</w:t>
      </w:r>
      <w:r>
        <w:rPr>
          <w:noProof/>
          <w:lang w:val="en-GB"/>
        </w:rPr>
        <w:t>. This is an increase of EUR 3 431,0 million compared to 2018 (+ 2,4 %) when including amending budgets 1 to 5/2018 and draft amending budget 6/2018. This leaves a margin of EUR 19 831,4 million under the MFF ceiling, taking into account the impact on the 2019 payment appropriations of the mobilisations of the Flexibility Instrument in 2016, 2017, 2018 and 2019 (EUR 909,8 million).</w:t>
      </w:r>
    </w:p>
    <w:p>
      <w:pPr>
        <w:spacing w:line="240" w:lineRule="auto"/>
        <w:jc w:val="both"/>
        <w:rPr>
          <w:noProof/>
          <w:lang w:val="en-GB"/>
        </w:rPr>
      </w:pPr>
      <w:r>
        <w:rPr>
          <w:noProof/>
          <w:lang w:val="en-GB"/>
        </w:rPr>
        <w:t xml:space="preserve">Commitment appropriations for </w:t>
      </w:r>
      <w:r>
        <w:rPr>
          <w:b/>
          <w:bCs/>
          <w:noProof/>
          <w:lang w:val="en-GB"/>
        </w:rPr>
        <w:t xml:space="preserve">Competitiveness for Growth and Jobs (heading 1a) </w:t>
      </w:r>
      <w:r>
        <w:rPr>
          <w:noProof/>
          <w:lang w:val="en-GB"/>
        </w:rPr>
        <w:t>are set at EUR 23 145,4 million. This is an increase of 5,2 % compared to 2018, which mainly relates to the Connecting Europe Facility (CEF), Horizon 2020, Erasmus and the European Defence Industrial Development Programme (EDIDP), leaving no margin under this heading and requiring the use of the Global margin for commitments (EUR 63,4 million). Payment appropriations increase by 2,1 % to EUR 20 521,5 million.</w:t>
      </w:r>
    </w:p>
    <w:p>
      <w:pPr>
        <w:spacing w:line="240" w:lineRule="auto"/>
        <w:jc w:val="both"/>
        <w:rPr>
          <w:noProof/>
          <w:lang w:val="en-GB"/>
        </w:rPr>
      </w:pPr>
      <w:r>
        <w:rPr>
          <w:noProof/>
          <w:lang w:val="en-GB"/>
        </w:rPr>
        <w:t xml:space="preserve">For </w:t>
      </w:r>
      <w:r>
        <w:rPr>
          <w:b/>
          <w:noProof/>
          <w:lang w:val="en-GB"/>
        </w:rPr>
        <w:t>Economic, Social and Territorial</w:t>
      </w:r>
      <w:r>
        <w:rPr>
          <w:noProof/>
          <w:lang w:val="en-GB"/>
        </w:rPr>
        <w:t xml:space="preserve"> </w:t>
      </w:r>
      <w:r>
        <w:rPr>
          <w:b/>
          <w:bCs/>
          <w:noProof/>
          <w:lang w:val="en-GB"/>
        </w:rPr>
        <w:t>Cohesion (heading 1b)</w:t>
      </w:r>
      <w:r>
        <w:rPr>
          <w:noProof/>
          <w:lang w:val="en-GB"/>
        </w:rPr>
        <w:t xml:space="preserve"> commitment appropriations increase by 3,0 % to EUR 57 192,0 million, leaving no margin under this heading after the use of the Global Margin for Commitments to finance the Youth Employment Initiative (EUR 350,0 million). Payment appropriations increase by 1,1 % to EUR 47 035,4 million. </w:t>
      </w:r>
    </w:p>
    <w:p>
      <w:pPr>
        <w:spacing w:line="240" w:lineRule="auto"/>
        <w:jc w:val="both"/>
        <w:rPr>
          <w:noProof/>
          <w:lang w:val="en-GB"/>
        </w:rPr>
      </w:pPr>
      <w:r>
        <w:rPr>
          <w:noProof/>
          <w:lang w:val="en-GB"/>
        </w:rPr>
        <w:t xml:space="preserve">Commitment appropriations of EUR 59 642,1 million are proposed for </w:t>
      </w:r>
      <w:r>
        <w:rPr>
          <w:b/>
          <w:bCs/>
          <w:noProof/>
          <w:lang w:val="en-GB"/>
        </w:rPr>
        <w:t>Sustainable Growth: Natural Resources (heading 2)</w:t>
      </w:r>
      <w:r>
        <w:rPr>
          <w:noProof/>
          <w:lang w:val="en-GB"/>
        </w:rPr>
        <w:t>. This level of expenditure represents a 0,7 % increase compared to 2018, leaving a significant margin of EUR 701,9 million under the ceiling. Payment appropriations amount to EUR 57 399,9 million, increasing by 2,4 % compared to 2018. Integrating the latest update on assigned revenue, the funding for market-related expenditure and direct aids is EUR 43 191,9 million in commitment appropriations, and EUR 43 116,4 million in payment appropriations.</w:t>
      </w:r>
    </w:p>
    <w:p>
      <w:pPr>
        <w:spacing w:line="240" w:lineRule="auto"/>
        <w:jc w:val="both"/>
        <w:rPr>
          <w:noProof/>
          <w:lang w:val="en-GB"/>
        </w:rPr>
      </w:pPr>
      <w:r>
        <w:rPr>
          <w:b/>
          <w:bCs/>
          <w:noProof/>
          <w:lang w:val="en-GB"/>
        </w:rPr>
        <w:t>Security and Citizenship (heading 3)</w:t>
      </w:r>
      <w:r>
        <w:rPr>
          <w:noProof/>
          <w:lang w:val="en-GB"/>
        </w:rPr>
        <w:t xml:space="preserve"> sees a 8,4 % increase in commitment appropriations to EUR 3 786,6 million, leaving no margin under this heading after the mobilisation of the Flexibility Instrument (EUR 985,6 million). Payment appropriations increase by 18,3 % to EUR 3 527,4 million.</w:t>
      </w:r>
    </w:p>
    <w:p>
      <w:pPr>
        <w:spacing w:line="240" w:lineRule="auto"/>
        <w:jc w:val="both"/>
        <w:rPr>
          <w:noProof/>
          <w:lang w:val="en-GB"/>
        </w:rPr>
      </w:pPr>
      <w:r>
        <w:rPr>
          <w:b/>
          <w:bCs/>
          <w:noProof/>
          <w:lang w:val="en-GB"/>
        </w:rPr>
        <w:t xml:space="preserve">Global Europe (Heading 4) </w:t>
      </w:r>
      <w:r>
        <w:rPr>
          <w:noProof/>
          <w:lang w:val="en-GB"/>
        </w:rPr>
        <w:t>sees an increase in commitment appropriations of 12,4 % to EUR 11 319,3 million (including the impact of the extension of the Facility for Refugee in Turkey), leaving no margin under this heading and requiring the use of the Global margin for commitments (EUR 1 051,3 million). Payment appropriations increase by 5,1 % to EUR 9 358,3 million.</w:t>
      </w:r>
    </w:p>
    <w:p>
      <w:pPr>
        <w:spacing w:line="240" w:lineRule="auto"/>
        <w:jc w:val="both"/>
        <w:rPr>
          <w:noProof/>
          <w:lang w:val="en-GB"/>
        </w:rPr>
      </w:pPr>
      <w:r>
        <w:rPr>
          <w:noProof/>
          <w:lang w:val="en-GB"/>
        </w:rPr>
        <w:t xml:space="preserve">Commitment and payment appropriations for </w:t>
      </w:r>
      <w:r>
        <w:rPr>
          <w:b/>
          <w:bCs/>
          <w:noProof/>
          <w:lang w:val="en-GB"/>
        </w:rPr>
        <w:t xml:space="preserve">Administration (heading 5) </w:t>
      </w:r>
      <w:r>
        <w:rPr>
          <w:noProof/>
          <w:lang w:val="en-GB"/>
        </w:rPr>
        <w:t>for all institutions combined including pensions and European schools increase by 2,9 % for both commitments (EUR 9 943,0 million) and payments (EUR 9 944,9 million). The resulting unallocated margin is EUR 589,1 million after the offset of the use of the Contingency Margin for migration-related expenditure mobilised in 2017 (EUR 253,9 million).</w:t>
      </w:r>
    </w:p>
    <w:p>
      <w:pPr>
        <w:pStyle w:val="ManualHeading1"/>
        <w:rPr>
          <w:noProof/>
        </w:rPr>
      </w:pPr>
      <w:bookmarkStart w:id="14" w:name="_Toc278112519"/>
      <w:bookmarkStart w:id="15" w:name="_Toc530674097"/>
      <w:r>
        <w:t>3.</w:t>
      </w:r>
      <w:r>
        <w:tab/>
      </w:r>
      <w:r>
        <w:rPr>
          <w:noProof/>
        </w:rPr>
        <w:t>Key Elements of the Second Draft Budget Proposal</w:t>
      </w:r>
      <w:bookmarkEnd w:id="14"/>
      <w:bookmarkEnd w:id="15"/>
    </w:p>
    <w:p>
      <w:pPr>
        <w:spacing w:line="240" w:lineRule="auto"/>
        <w:jc w:val="both"/>
        <w:rPr>
          <w:noProof/>
          <w:lang w:val="en-GB"/>
        </w:rPr>
      </w:pPr>
      <w:r>
        <w:rPr>
          <w:noProof/>
          <w:lang w:val="en-GB"/>
        </w:rPr>
        <w:t xml:space="preserve">Overall, the second draft budget </w:t>
      </w:r>
      <w:r>
        <w:rPr>
          <w:noProof/>
          <w:sz w:val="24"/>
          <w:szCs w:val="24"/>
          <w:lang w:val="en-GB"/>
        </w:rPr>
        <w:t xml:space="preserve">builds on the progress made during the Conciliation Committee. </w:t>
      </w:r>
      <w:r>
        <w:rPr>
          <w:noProof/>
          <w:lang w:val="en-GB"/>
        </w:rPr>
        <w:t>The details of the amendments proposed to the original draft budget, as modified by Amending letter 1/2019, are outlined hereafter.</w:t>
      </w:r>
    </w:p>
    <w:p>
      <w:pPr>
        <w:pStyle w:val="ManualHeading2"/>
        <w:rPr>
          <w:noProof/>
        </w:rPr>
      </w:pPr>
      <w:bookmarkStart w:id="16" w:name="_Toc530674098"/>
      <w:r>
        <w:t>3.1.</w:t>
      </w:r>
      <w:r>
        <w:tab/>
      </w:r>
      <w:r>
        <w:rPr>
          <w:noProof/>
        </w:rPr>
        <w:t>Horizontal issues</w:t>
      </w:r>
      <w:bookmarkEnd w:id="16"/>
    </w:p>
    <w:p>
      <w:pPr>
        <w:pStyle w:val="ManualHeading3"/>
        <w:rPr>
          <w:noProof/>
        </w:rPr>
      </w:pPr>
      <w:bookmarkStart w:id="17" w:name="_Toc530674099"/>
      <w:r>
        <w:t>3.1.1.</w:t>
      </w:r>
      <w:r>
        <w:tab/>
      </w:r>
      <w:r>
        <w:rPr>
          <w:noProof/>
        </w:rPr>
        <w:t>Decentralised agencies</w:t>
      </w:r>
      <w:bookmarkEnd w:id="17"/>
    </w:p>
    <w:p>
      <w:pPr>
        <w:spacing w:line="240" w:lineRule="auto"/>
        <w:jc w:val="both"/>
        <w:rPr>
          <w:noProof/>
          <w:lang w:val="en-GB"/>
        </w:rPr>
      </w:pPr>
      <w:r>
        <w:rPr>
          <w:noProof/>
          <w:lang w:val="en-GB"/>
        </w:rPr>
        <w:t>For decentralised agencies, the EU contribution (in commitment appropriations and in payment appropriations) and the number of posts are proposed to be set at the level of the original draft budget as amended by Amending letter 1/2019, with the following amendments:</w:t>
      </w:r>
    </w:p>
    <w:p>
      <w:pPr>
        <w:pStyle w:val="ListParagraph"/>
        <w:numPr>
          <w:ilvl w:val="0"/>
          <w:numId w:val="39"/>
        </w:numPr>
        <w:spacing w:before="120" w:after="120"/>
        <w:jc w:val="both"/>
        <w:rPr>
          <w:noProof/>
          <w:sz w:val="23"/>
          <w:szCs w:val="23"/>
        </w:rPr>
      </w:pPr>
      <w:r>
        <w:rPr>
          <w:noProof/>
          <w:sz w:val="23"/>
          <w:szCs w:val="23"/>
        </w:rPr>
        <w:t>Under heading 1a:</w:t>
      </w:r>
    </w:p>
    <w:p>
      <w:pPr>
        <w:pStyle w:val="ListParagraph"/>
        <w:numPr>
          <w:ilvl w:val="1"/>
          <w:numId w:val="39"/>
        </w:numPr>
        <w:spacing w:before="120" w:after="120"/>
        <w:jc w:val="both"/>
        <w:rPr>
          <w:noProof/>
          <w:sz w:val="23"/>
          <w:szCs w:val="23"/>
        </w:rPr>
      </w:pPr>
      <w:r>
        <w:rPr>
          <w:noProof/>
          <w:sz w:val="23"/>
          <w:szCs w:val="23"/>
        </w:rPr>
        <w:t>The European GNSS Agency (GSA, budget article 02 05 11) for which 5 additional posts are proposed to be allocated and the level of commitment and payment appropriations is proposed to be increased by EUR 357 500.</w:t>
      </w:r>
    </w:p>
    <w:p>
      <w:pPr>
        <w:pStyle w:val="ListParagraph"/>
        <w:numPr>
          <w:ilvl w:val="1"/>
          <w:numId w:val="39"/>
        </w:numPr>
        <w:spacing w:before="120" w:after="120"/>
        <w:jc w:val="both"/>
        <w:rPr>
          <w:noProof/>
          <w:sz w:val="23"/>
          <w:szCs w:val="23"/>
        </w:rPr>
      </w:pPr>
      <w:r>
        <w:rPr>
          <w:noProof/>
          <w:sz w:val="23"/>
          <w:szCs w:val="23"/>
        </w:rPr>
        <w:t>The European Labour Authority (ELA, budget article 04 03 15) for which the level of commitment and payment appropriations is proposed to be decreased by EUR 8 947 000.</w:t>
      </w:r>
    </w:p>
    <w:p>
      <w:pPr>
        <w:pStyle w:val="ListParagraph"/>
        <w:numPr>
          <w:ilvl w:val="1"/>
          <w:numId w:val="39"/>
        </w:numPr>
        <w:spacing w:before="120" w:after="120"/>
        <w:jc w:val="both"/>
        <w:rPr>
          <w:noProof/>
          <w:sz w:val="23"/>
          <w:szCs w:val="23"/>
        </w:rPr>
      </w:pPr>
      <w:r>
        <w:rPr>
          <w:noProof/>
          <w:sz w:val="23"/>
          <w:szCs w:val="23"/>
        </w:rPr>
        <w:t>The European Network and Information Security Agency (ENISA, budget article 09 02 03), for which the level of commitment and payment appropriations is proposed to be increased by EUR 400 000.</w:t>
      </w:r>
    </w:p>
    <w:p>
      <w:pPr>
        <w:pStyle w:val="ListParagraph"/>
        <w:numPr>
          <w:ilvl w:val="1"/>
          <w:numId w:val="39"/>
        </w:numPr>
        <w:spacing w:before="120" w:after="120"/>
        <w:jc w:val="both"/>
        <w:rPr>
          <w:noProof/>
          <w:sz w:val="23"/>
          <w:szCs w:val="23"/>
        </w:rPr>
      </w:pPr>
      <w:r>
        <w:rPr>
          <w:noProof/>
          <w:sz w:val="23"/>
          <w:szCs w:val="23"/>
        </w:rPr>
        <w:t>The Body of European Regulators for Electronic Communications (BEREC, budget article 09 02 04) for which 2 additional posts are proposed to be allocated and the level of commitment and payment appropriations is proposed to be increased by EUR 143 000.</w:t>
      </w:r>
    </w:p>
    <w:p>
      <w:pPr>
        <w:pStyle w:val="ListParagraph"/>
        <w:numPr>
          <w:ilvl w:val="1"/>
          <w:numId w:val="39"/>
        </w:numPr>
        <w:spacing w:before="120" w:after="120"/>
        <w:jc w:val="both"/>
        <w:rPr>
          <w:noProof/>
          <w:sz w:val="23"/>
          <w:szCs w:val="23"/>
        </w:rPr>
      </w:pPr>
      <w:r>
        <w:rPr>
          <w:noProof/>
          <w:sz w:val="23"/>
          <w:szCs w:val="23"/>
        </w:rPr>
        <w:t>The European Banking Authority (EBA, budget article 12 02 04) for which the establishment plan is proposed to be reduced by 2 posts.</w:t>
      </w:r>
    </w:p>
    <w:p>
      <w:pPr>
        <w:pStyle w:val="ListParagraph"/>
        <w:numPr>
          <w:ilvl w:val="1"/>
          <w:numId w:val="39"/>
        </w:numPr>
        <w:spacing w:before="120" w:after="120"/>
        <w:jc w:val="both"/>
        <w:rPr>
          <w:noProof/>
          <w:sz w:val="23"/>
          <w:szCs w:val="23"/>
        </w:rPr>
      </w:pPr>
      <w:r>
        <w:rPr>
          <w:noProof/>
          <w:sz w:val="23"/>
          <w:szCs w:val="23"/>
        </w:rPr>
        <w:t>The European Insurance and Occupational Pension Authority (EIOPA, budget article 12 02 05) for which the establishment plan is proposed to be reduced by 4 posts and the level of commitment and payment appropriations is proposed to be decreased by EUR 1 100 000.</w:t>
      </w:r>
    </w:p>
    <w:p>
      <w:pPr>
        <w:pStyle w:val="ListParagraph"/>
        <w:numPr>
          <w:ilvl w:val="1"/>
          <w:numId w:val="39"/>
        </w:numPr>
        <w:spacing w:before="120" w:after="120"/>
        <w:jc w:val="both"/>
        <w:rPr>
          <w:noProof/>
          <w:sz w:val="23"/>
          <w:szCs w:val="23"/>
        </w:rPr>
      </w:pPr>
      <w:r>
        <w:rPr>
          <w:noProof/>
          <w:sz w:val="23"/>
          <w:szCs w:val="23"/>
        </w:rPr>
        <w:t>The European Securities and Markets Authority (ESMA, budget article 12 02 06) for which the establishment plan is proposed to be reduced by 23 posts and the level of commitment and payment appropriations is proposed to be decreased by EUR 11 000 000.</w:t>
      </w:r>
    </w:p>
    <w:p>
      <w:pPr>
        <w:pStyle w:val="ListParagraph"/>
        <w:numPr>
          <w:ilvl w:val="0"/>
          <w:numId w:val="39"/>
        </w:numPr>
        <w:spacing w:before="120" w:after="120"/>
        <w:jc w:val="both"/>
        <w:rPr>
          <w:noProof/>
          <w:sz w:val="23"/>
          <w:szCs w:val="23"/>
        </w:rPr>
      </w:pPr>
      <w:r>
        <w:rPr>
          <w:noProof/>
          <w:sz w:val="23"/>
          <w:szCs w:val="23"/>
        </w:rPr>
        <w:t>Under heading 3:</w:t>
      </w:r>
    </w:p>
    <w:p>
      <w:pPr>
        <w:pStyle w:val="ListParagraph"/>
        <w:numPr>
          <w:ilvl w:val="1"/>
          <w:numId w:val="39"/>
        </w:numPr>
        <w:spacing w:before="120" w:after="120"/>
        <w:jc w:val="both"/>
        <w:rPr>
          <w:noProof/>
          <w:sz w:val="23"/>
          <w:szCs w:val="23"/>
        </w:rPr>
      </w:pPr>
      <w:r>
        <w:rPr>
          <w:noProof/>
          <w:sz w:val="23"/>
          <w:szCs w:val="23"/>
        </w:rPr>
        <w:t>The European Union Agency for Law Enforcement Cooperation (EUROPOL, budget article 18 02 04) for which 10 additional posts are proposed to be allocated and the level of commitment and payment appropriations is proposed to be increased by EUR 8 357 500.</w:t>
      </w:r>
    </w:p>
    <w:p>
      <w:pPr>
        <w:pStyle w:val="ListParagraph"/>
        <w:numPr>
          <w:ilvl w:val="1"/>
          <w:numId w:val="39"/>
        </w:numPr>
        <w:spacing w:before="120" w:after="120"/>
        <w:jc w:val="both"/>
        <w:rPr>
          <w:noProof/>
          <w:sz w:val="23"/>
          <w:szCs w:val="23"/>
        </w:rPr>
      </w:pPr>
      <w:r>
        <w:rPr>
          <w:noProof/>
          <w:sz w:val="23"/>
          <w:szCs w:val="23"/>
        </w:rPr>
        <w:t>The European Agency for the operational management of large-scale IT systems in the area of freedom, security and justice (eu-LISA, budget article 18 02 07) for which the level of commitment and payment appropriations is proposed to be increased by EUR 4 000 000.</w:t>
      </w:r>
    </w:p>
    <w:p>
      <w:pPr>
        <w:pStyle w:val="ListParagraph"/>
        <w:numPr>
          <w:ilvl w:val="1"/>
          <w:numId w:val="39"/>
        </w:numPr>
        <w:spacing w:before="120" w:after="120"/>
        <w:jc w:val="both"/>
        <w:rPr>
          <w:noProof/>
          <w:sz w:val="23"/>
          <w:szCs w:val="23"/>
        </w:rPr>
      </w:pPr>
      <w:r>
        <w:rPr>
          <w:noProof/>
          <w:sz w:val="23"/>
          <w:szCs w:val="23"/>
        </w:rPr>
        <w:t>The European Asylum Support Office (EASO, budget article 18 03 02) for which commitment and payment appropriations are proposed to be set at the level proposed by the Commission in the original draft budget. The European Commission will review the funding requirements of EASO for the financial year 2019, once the legislative proposal of 12 September 2018 to reinforce the Agency’s operational support capabilities is adopted. If needed, the Commission will propose corresponding budgetary proposals.</w:t>
      </w:r>
    </w:p>
    <w:p>
      <w:pPr>
        <w:pStyle w:val="ListParagraph"/>
        <w:numPr>
          <w:ilvl w:val="1"/>
          <w:numId w:val="39"/>
        </w:numPr>
        <w:spacing w:before="120" w:after="120"/>
        <w:jc w:val="both"/>
        <w:rPr>
          <w:b/>
          <w:noProof/>
          <w:sz w:val="23"/>
          <w:szCs w:val="23"/>
          <w:u w:val="single"/>
        </w:rPr>
      </w:pPr>
      <w:r>
        <w:rPr>
          <w:noProof/>
          <w:sz w:val="23"/>
          <w:szCs w:val="23"/>
        </w:rPr>
        <w:t>The European Body for the Enhancement of Judicial Cooperation (EUROJUST, budget article 33 03 04) for which 5 additional posts are proposed to be allocated and the level of commitment and payment appropriations is proposed to be increased by EUR 357 500.</w:t>
      </w:r>
    </w:p>
    <w:p>
      <w:pPr>
        <w:pStyle w:val="ManualHeading3"/>
        <w:rPr>
          <w:noProof/>
        </w:rPr>
      </w:pPr>
      <w:bookmarkStart w:id="18" w:name="_Toc530674100"/>
      <w:r>
        <w:t>3.1.2.</w:t>
      </w:r>
      <w:r>
        <w:tab/>
      </w:r>
      <w:r>
        <w:rPr>
          <w:noProof/>
        </w:rPr>
        <w:t>Executive agencies</w:t>
      </w:r>
      <w:bookmarkEnd w:id="18"/>
    </w:p>
    <w:p>
      <w:pPr>
        <w:spacing w:line="240" w:lineRule="auto"/>
        <w:jc w:val="both"/>
        <w:rPr>
          <w:noProof/>
          <w:lang w:val="en-GB"/>
        </w:rPr>
      </w:pPr>
      <w:r>
        <w:rPr>
          <w:noProof/>
          <w:lang w:val="en-GB"/>
        </w:rPr>
        <w:t>For executive agencies, the EU contribution (in commitment appropriations and in payment appropriations) and the number of posts are proposed to be set at the level of the original draft budget, as amended by Amending letter 1/2019.</w:t>
      </w:r>
    </w:p>
    <w:p>
      <w:pPr>
        <w:pStyle w:val="ManualHeading3"/>
        <w:rPr>
          <w:noProof/>
        </w:rPr>
      </w:pPr>
      <w:bookmarkStart w:id="19" w:name="_Toc530674101"/>
      <w:r>
        <w:t>3.1.3.</w:t>
      </w:r>
      <w:r>
        <w:tab/>
      </w:r>
      <w:r>
        <w:rPr>
          <w:noProof/>
        </w:rPr>
        <w:t>Pilot Projects and Preparatory Actions</w:t>
      </w:r>
      <w:bookmarkEnd w:id="19"/>
    </w:p>
    <w:p>
      <w:pPr>
        <w:spacing w:line="240" w:lineRule="auto"/>
        <w:jc w:val="both"/>
        <w:rPr>
          <w:noProof/>
          <w:lang w:val="en-GB"/>
        </w:rPr>
      </w:pPr>
      <w:r>
        <w:rPr>
          <w:noProof/>
          <w:lang w:val="en-GB"/>
        </w:rPr>
        <w:t>The second draft budget includes 75 pilot projects and preparatory actions for a total amount of EUR 114,9 million in commitment appropriations, reflecting the European Parliament's reading of the original draft budget.</w:t>
      </w:r>
    </w:p>
    <w:p>
      <w:pPr>
        <w:spacing w:after="0" w:line="240" w:lineRule="auto"/>
        <w:rPr>
          <w:rFonts w:eastAsia="Times New Roman"/>
          <w:b/>
          <w:bCs/>
          <w:iCs/>
          <w:noProof/>
          <w:sz w:val="24"/>
          <w:szCs w:val="28"/>
          <w:lang w:val="en-GB" w:eastAsia="de-DE"/>
        </w:rPr>
      </w:pPr>
      <w:r>
        <w:rPr>
          <w:noProof/>
          <w:lang w:val="en-GB"/>
        </w:rPr>
        <w:br w:type="page"/>
      </w:r>
    </w:p>
    <w:p>
      <w:pPr>
        <w:pStyle w:val="ManualHeading2"/>
        <w:rPr>
          <w:noProof/>
        </w:rPr>
      </w:pPr>
      <w:bookmarkStart w:id="20" w:name="_Toc530586710"/>
      <w:bookmarkStart w:id="21" w:name="_Toc530586711"/>
      <w:bookmarkStart w:id="22" w:name="_Toc530586713"/>
      <w:bookmarkStart w:id="23" w:name="_Toc530674102"/>
      <w:bookmarkEnd w:id="20"/>
      <w:bookmarkEnd w:id="21"/>
      <w:bookmarkEnd w:id="22"/>
      <w:r>
        <w:t>3.2.</w:t>
      </w:r>
      <w:r>
        <w:tab/>
      </w:r>
      <w:r>
        <w:rPr>
          <w:noProof/>
        </w:rPr>
        <w:t>General approach for commitment appropriations</w:t>
      </w:r>
      <w:bookmarkEnd w:id="23"/>
    </w:p>
    <w:p>
      <w:pPr>
        <w:pStyle w:val="ManualHeading3"/>
        <w:rPr>
          <w:noProof/>
        </w:rPr>
      </w:pPr>
      <w:r>
        <w:t>3.2.1.</w:t>
      </w:r>
      <w:r>
        <w:tab/>
      </w:r>
      <w:r>
        <w:rPr>
          <w:noProof/>
        </w:rPr>
        <w:t xml:space="preserve"> </w:t>
      </w:r>
      <w:bookmarkStart w:id="24" w:name="_Toc530586716"/>
      <w:bookmarkStart w:id="25" w:name="_Toc530674103"/>
      <w:bookmarkEnd w:id="24"/>
      <w:r>
        <w:rPr>
          <w:noProof/>
        </w:rPr>
        <w:t>Heading 1a — Competitiveness for Growth and Jobs</w:t>
      </w:r>
      <w:bookmarkEnd w:id="25"/>
    </w:p>
    <w:p>
      <w:pPr>
        <w:spacing w:line="240" w:lineRule="auto"/>
        <w:jc w:val="both"/>
        <w:rPr>
          <w:noProof/>
          <w:lang w:val="en-GB"/>
        </w:rPr>
      </w:pPr>
      <w:r>
        <w:rPr>
          <w:noProof/>
          <w:lang w:val="en-GB"/>
        </w:rPr>
        <w:t>For heading 1a, commitment appropriations are proposed to be set at the level of the original draft budget, as modified by Amending letter 1/2019, with the amendments included in the table below:</w:t>
      </w:r>
    </w:p>
    <w:tbl>
      <w:tblPr>
        <w:tblW w:w="10536" w:type="dxa"/>
        <w:tblInd w:w="108" w:type="dxa"/>
        <w:tblLook w:val="04A0" w:firstRow="1" w:lastRow="0" w:firstColumn="1" w:lastColumn="0" w:noHBand="0" w:noVBand="1"/>
      </w:tblPr>
      <w:tblGrid>
        <w:gridCol w:w="1240"/>
        <w:gridCol w:w="4940"/>
        <w:gridCol w:w="1480"/>
        <w:gridCol w:w="1480"/>
        <w:gridCol w:w="1396"/>
      </w:tblGrid>
      <w:tr>
        <w:trPr>
          <w:trHeight w:val="255"/>
          <w:tblHeader/>
        </w:trPr>
        <w:tc>
          <w:tcPr>
            <w:tcW w:w="1240" w:type="dxa"/>
            <w:tcBorders>
              <w:top w:val="nil"/>
              <w:left w:val="nil"/>
              <w:bottom w:val="nil"/>
              <w:right w:val="nil"/>
            </w:tcBorders>
            <w:shd w:val="clear" w:color="auto" w:fill="auto"/>
            <w:noWrap/>
            <w:vAlign w:val="center"/>
            <w:hideMark/>
          </w:tcPr>
          <w:p>
            <w:pPr>
              <w:spacing w:after="0" w:line="240" w:lineRule="auto"/>
              <w:rPr>
                <w:rFonts w:eastAsia="Times New Roman"/>
                <w:noProof/>
                <w:sz w:val="20"/>
                <w:szCs w:val="20"/>
                <w:lang w:val="en-GB" w:eastAsia="en-GB"/>
              </w:rPr>
            </w:pPr>
          </w:p>
        </w:tc>
        <w:tc>
          <w:tcPr>
            <w:tcW w:w="4940" w:type="dxa"/>
            <w:tcBorders>
              <w:top w:val="nil"/>
              <w:left w:val="nil"/>
              <w:bottom w:val="nil"/>
              <w:right w:val="nil"/>
            </w:tcBorders>
            <w:shd w:val="clear" w:color="auto" w:fill="auto"/>
            <w:noWrap/>
            <w:vAlign w:val="bottom"/>
            <w:hideMark/>
          </w:tcPr>
          <w:p>
            <w:pPr>
              <w:spacing w:after="0" w:line="240" w:lineRule="auto"/>
              <w:rPr>
                <w:rFonts w:eastAsia="Times New Roman"/>
                <w:noProof/>
                <w:sz w:val="20"/>
                <w:szCs w:val="20"/>
                <w:lang w:val="en-GB" w:eastAsia="en-GB"/>
              </w:rPr>
            </w:pPr>
          </w:p>
        </w:tc>
        <w:tc>
          <w:tcPr>
            <w:tcW w:w="1480" w:type="dxa"/>
            <w:tcBorders>
              <w:top w:val="nil"/>
              <w:left w:val="nil"/>
              <w:bottom w:val="nil"/>
              <w:right w:val="nil"/>
            </w:tcBorders>
            <w:shd w:val="clear" w:color="auto" w:fill="auto"/>
            <w:noWrap/>
            <w:vAlign w:val="center"/>
            <w:hideMark/>
          </w:tcPr>
          <w:p>
            <w:pPr>
              <w:spacing w:after="0" w:line="240" w:lineRule="auto"/>
              <w:rPr>
                <w:rFonts w:eastAsia="Times New Roman"/>
                <w:noProof/>
                <w:sz w:val="20"/>
                <w:szCs w:val="20"/>
                <w:lang w:val="en-GB" w:eastAsia="en-GB"/>
              </w:rPr>
            </w:pPr>
          </w:p>
        </w:tc>
        <w:tc>
          <w:tcPr>
            <w:tcW w:w="1480" w:type="dxa"/>
            <w:tcBorders>
              <w:top w:val="nil"/>
              <w:left w:val="nil"/>
              <w:bottom w:val="nil"/>
              <w:right w:val="nil"/>
            </w:tcBorders>
            <w:shd w:val="clear" w:color="auto" w:fill="auto"/>
            <w:noWrap/>
            <w:vAlign w:val="center"/>
            <w:hideMark/>
          </w:tcPr>
          <w:p>
            <w:pPr>
              <w:spacing w:after="0" w:line="240" w:lineRule="auto"/>
              <w:rPr>
                <w:rFonts w:eastAsia="Times New Roman"/>
                <w:noProof/>
                <w:sz w:val="20"/>
                <w:szCs w:val="20"/>
                <w:lang w:val="en-GB" w:eastAsia="en-GB"/>
              </w:rPr>
            </w:pPr>
          </w:p>
        </w:tc>
        <w:tc>
          <w:tcPr>
            <w:tcW w:w="1396" w:type="dxa"/>
            <w:tcBorders>
              <w:top w:val="nil"/>
              <w:left w:val="nil"/>
              <w:bottom w:val="nil"/>
              <w:right w:val="nil"/>
            </w:tcBorders>
            <w:shd w:val="clear" w:color="auto" w:fill="auto"/>
            <w:noWrap/>
            <w:vAlign w:val="center"/>
            <w:hideMark/>
          </w:tcPr>
          <w:p>
            <w:pPr>
              <w:spacing w:after="0" w:line="240" w:lineRule="auto"/>
              <w:jc w:val="right"/>
              <w:rPr>
                <w:rFonts w:eastAsia="Times New Roman"/>
                <w:i/>
                <w:iCs/>
                <w:noProof/>
                <w:sz w:val="20"/>
                <w:szCs w:val="20"/>
                <w:lang w:val="en-GB" w:eastAsia="en-GB"/>
              </w:rPr>
            </w:pPr>
            <w:r>
              <w:rPr>
                <w:rFonts w:eastAsia="Times New Roman"/>
                <w:i/>
                <w:iCs/>
                <w:noProof/>
                <w:sz w:val="20"/>
                <w:szCs w:val="20"/>
                <w:lang w:val="en-GB" w:eastAsia="en-GB"/>
              </w:rPr>
              <w:t>In EUR</w:t>
            </w:r>
          </w:p>
        </w:tc>
      </w:tr>
      <w:tr>
        <w:trPr>
          <w:trHeight w:val="255"/>
          <w:tblHeader/>
        </w:trPr>
        <w:tc>
          <w:tcPr>
            <w:tcW w:w="1240" w:type="dxa"/>
            <w:vMerge w:val="restart"/>
            <w:tcBorders>
              <w:top w:val="single" w:sz="4" w:space="0" w:color="auto"/>
              <w:left w:val="single" w:sz="4" w:space="0" w:color="auto"/>
              <w:bottom w:val="single" w:sz="4" w:space="0" w:color="000000"/>
              <w:right w:val="nil"/>
            </w:tcBorders>
            <w:shd w:val="clear" w:color="DCE6F1" w:fill="DCE6F1"/>
            <w:vAlign w:val="center"/>
            <w:hideMark/>
          </w:tcPr>
          <w:p>
            <w:pPr>
              <w:spacing w:after="0" w:line="240" w:lineRule="auto"/>
              <w:jc w:val="center"/>
              <w:rPr>
                <w:rFonts w:eastAsia="Times New Roman"/>
                <w:b/>
                <w:bCs/>
                <w:noProof/>
                <w:color w:val="000000"/>
                <w:sz w:val="16"/>
                <w:szCs w:val="16"/>
                <w:lang w:val="en-GB" w:eastAsia="en-GB"/>
              </w:rPr>
            </w:pPr>
            <w:r>
              <w:rPr>
                <w:rFonts w:eastAsia="Times New Roman"/>
                <w:b/>
                <w:bCs/>
                <w:noProof/>
                <w:color w:val="000000"/>
                <w:sz w:val="16"/>
                <w:szCs w:val="16"/>
                <w:lang w:val="en-GB" w:eastAsia="en-GB"/>
              </w:rPr>
              <w:t>Budget line / Programme</w:t>
            </w:r>
          </w:p>
        </w:tc>
        <w:tc>
          <w:tcPr>
            <w:tcW w:w="4940"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pPr>
              <w:spacing w:after="0" w:line="240" w:lineRule="auto"/>
              <w:jc w:val="center"/>
              <w:rPr>
                <w:rFonts w:eastAsia="Times New Roman"/>
                <w:b/>
                <w:bCs/>
                <w:noProof/>
                <w:color w:val="000000"/>
                <w:sz w:val="20"/>
                <w:szCs w:val="20"/>
                <w:lang w:val="en-GB" w:eastAsia="en-GB"/>
              </w:rPr>
            </w:pPr>
            <w:r>
              <w:rPr>
                <w:rFonts w:eastAsia="Times New Roman"/>
                <w:b/>
                <w:bCs/>
                <w:noProof/>
                <w:color w:val="000000"/>
                <w:sz w:val="20"/>
                <w:szCs w:val="20"/>
                <w:lang w:val="en-GB" w:eastAsia="en-GB"/>
              </w:rPr>
              <w:t>Name</w:t>
            </w:r>
          </w:p>
        </w:tc>
        <w:tc>
          <w:tcPr>
            <w:tcW w:w="4356"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pPr>
              <w:spacing w:after="0" w:line="240" w:lineRule="auto"/>
              <w:jc w:val="center"/>
              <w:rPr>
                <w:rFonts w:eastAsia="Times New Roman"/>
                <w:b/>
                <w:bCs/>
                <w:noProof/>
                <w:sz w:val="20"/>
                <w:szCs w:val="20"/>
                <w:lang w:val="en-GB" w:eastAsia="en-GB"/>
              </w:rPr>
            </w:pPr>
            <w:r>
              <w:rPr>
                <w:rFonts w:eastAsia="Times New Roman"/>
                <w:b/>
                <w:bCs/>
                <w:noProof/>
                <w:sz w:val="20"/>
                <w:szCs w:val="20"/>
                <w:lang w:val="en-GB" w:eastAsia="en-GB"/>
              </w:rPr>
              <w:t>Reinforcement in commitment appropriations</w:t>
            </w:r>
          </w:p>
        </w:tc>
      </w:tr>
      <w:tr>
        <w:trPr>
          <w:trHeight w:val="510"/>
          <w:tblHeader/>
        </w:trPr>
        <w:tc>
          <w:tcPr>
            <w:tcW w:w="1240" w:type="dxa"/>
            <w:vMerge/>
            <w:tcBorders>
              <w:top w:val="single" w:sz="4" w:space="0" w:color="auto"/>
              <w:left w:val="single" w:sz="4" w:space="0" w:color="auto"/>
              <w:bottom w:val="single" w:sz="4" w:space="0" w:color="000000"/>
              <w:right w:val="nil"/>
            </w:tcBorders>
            <w:vAlign w:val="center"/>
            <w:hideMark/>
          </w:tcPr>
          <w:p>
            <w:pPr>
              <w:spacing w:after="0" w:line="240" w:lineRule="auto"/>
              <w:rPr>
                <w:rFonts w:eastAsia="Times New Roman"/>
                <w:b/>
                <w:bCs/>
                <w:noProof/>
                <w:color w:val="000000"/>
                <w:sz w:val="16"/>
                <w:szCs w:val="16"/>
                <w:lang w:val="en-GB" w:eastAsia="en-GB"/>
              </w:rPr>
            </w:pPr>
          </w:p>
        </w:tc>
        <w:tc>
          <w:tcPr>
            <w:tcW w:w="494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eastAsia="Times New Roman"/>
                <w:b/>
                <w:bCs/>
                <w:noProof/>
                <w:color w:val="000000"/>
                <w:sz w:val="20"/>
                <w:szCs w:val="20"/>
                <w:lang w:val="en-GB" w:eastAsia="en-GB"/>
              </w:rPr>
            </w:pPr>
          </w:p>
        </w:tc>
        <w:tc>
          <w:tcPr>
            <w:tcW w:w="148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eastAsia="Times New Roman"/>
                <w:b/>
                <w:bCs/>
                <w:noProof/>
                <w:color w:val="000000"/>
                <w:sz w:val="20"/>
                <w:szCs w:val="20"/>
                <w:lang w:val="en-GB" w:eastAsia="en-GB"/>
              </w:rPr>
            </w:pPr>
            <w:r>
              <w:rPr>
                <w:rFonts w:eastAsia="Times New Roman"/>
                <w:b/>
                <w:bCs/>
                <w:noProof/>
                <w:color w:val="000000"/>
                <w:sz w:val="20"/>
                <w:szCs w:val="20"/>
                <w:lang w:val="en-GB" w:eastAsia="en-GB"/>
              </w:rPr>
              <w:t>DB 2019 (incl. AL1)</w:t>
            </w:r>
          </w:p>
        </w:tc>
        <w:tc>
          <w:tcPr>
            <w:tcW w:w="148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eastAsia="Times New Roman"/>
                <w:b/>
                <w:bCs/>
                <w:noProof/>
                <w:color w:val="000000"/>
                <w:sz w:val="20"/>
                <w:szCs w:val="20"/>
                <w:lang w:val="en-GB" w:eastAsia="en-GB"/>
              </w:rPr>
            </w:pPr>
            <w:r>
              <w:rPr>
                <w:rFonts w:eastAsia="Times New Roman"/>
                <w:b/>
                <w:bCs/>
                <w:noProof/>
                <w:color w:val="000000"/>
                <w:sz w:val="20"/>
                <w:szCs w:val="20"/>
                <w:lang w:val="en-GB" w:eastAsia="en-GB"/>
              </w:rPr>
              <w:t>Second Draft Budget 2019</w:t>
            </w:r>
          </w:p>
        </w:tc>
        <w:tc>
          <w:tcPr>
            <w:tcW w:w="1396" w:type="dxa"/>
            <w:tcBorders>
              <w:top w:val="nil"/>
              <w:left w:val="nil"/>
              <w:bottom w:val="single" w:sz="4" w:space="0" w:color="auto"/>
              <w:right w:val="single" w:sz="4" w:space="0" w:color="auto"/>
            </w:tcBorders>
            <w:shd w:val="clear" w:color="DCE6F1" w:fill="DCE6F1"/>
            <w:noWrap/>
            <w:vAlign w:val="center"/>
            <w:hideMark/>
          </w:tcPr>
          <w:p>
            <w:pPr>
              <w:spacing w:after="0" w:line="240" w:lineRule="auto"/>
              <w:jc w:val="center"/>
              <w:rPr>
                <w:rFonts w:eastAsia="Times New Roman"/>
                <w:b/>
                <w:bCs/>
                <w:noProof/>
                <w:color w:val="000000"/>
                <w:sz w:val="20"/>
                <w:szCs w:val="20"/>
                <w:lang w:val="en-GB" w:eastAsia="en-GB"/>
              </w:rPr>
            </w:pPr>
            <w:r>
              <w:rPr>
                <w:rFonts w:eastAsia="Times New Roman"/>
                <w:b/>
                <w:bCs/>
                <w:noProof/>
                <w:color w:val="000000"/>
                <w:sz w:val="20"/>
                <w:szCs w:val="20"/>
                <w:lang w:val="en-GB" w:eastAsia="en-GB"/>
              </w:rPr>
              <w:t>Difference</w:t>
            </w:r>
          </w:p>
        </w:tc>
      </w:tr>
      <w:tr>
        <w:trPr>
          <w:trHeight w:val="54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lang w:val="en-GB" w:eastAsia="en-GB"/>
              </w:rPr>
            </w:pPr>
            <w:r>
              <w:rPr>
                <w:rFonts w:eastAsia="Times New Roman"/>
                <w:b/>
                <w:bCs/>
                <w:i/>
                <w:iCs/>
                <w:noProof/>
                <w:sz w:val="20"/>
                <w:szCs w:val="20"/>
                <w:lang w:val="en-GB" w:eastAsia="en-GB"/>
              </w:rPr>
              <w:t>1.1.12</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lang w:val="en-GB" w:eastAsia="en-GB"/>
              </w:rPr>
            </w:pPr>
            <w:r>
              <w:rPr>
                <w:rFonts w:eastAsia="Times New Roman"/>
                <w:b/>
                <w:bCs/>
                <w:i/>
                <w:iCs/>
                <w:noProof/>
                <w:sz w:val="20"/>
                <w:szCs w:val="20"/>
                <w:lang w:val="en-GB" w:eastAsia="en-GB"/>
              </w:rPr>
              <w:t>International Thermonuclear Experimental Reactor (ITER)</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r>
              <w:rPr>
                <w:rFonts w:eastAsia="Times New Roman"/>
                <w:b/>
                <w:bCs/>
                <w:i/>
                <w:iCs/>
                <w:noProof/>
                <w:sz w:val="20"/>
                <w:szCs w:val="20"/>
                <w:lang w:val="en-GB" w:eastAsia="en-GB"/>
              </w:rPr>
              <w:t>-3 500 000</w:t>
            </w:r>
          </w:p>
        </w:tc>
      </w:tr>
      <w:tr>
        <w:trPr>
          <w:trHeight w:val="76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32 05 01 02</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Construction, operation and exploitation of the ITER facilities — European Joint Undertaking for ITER — Fusion for Energy (F4E)</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354 658 200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351 158 200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-3 500 000</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lang w:val="en-GB" w:eastAsia="en-GB"/>
              </w:rPr>
            </w:pPr>
            <w:r>
              <w:rPr>
                <w:rFonts w:eastAsia="Times New Roman"/>
                <w:b/>
                <w:bCs/>
                <w:i/>
                <w:iCs/>
                <w:noProof/>
                <w:sz w:val="20"/>
                <w:szCs w:val="20"/>
                <w:lang w:val="en-GB" w:eastAsia="en-GB"/>
              </w:rPr>
              <w:t>1.1.13</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lang w:val="en-GB" w:eastAsia="en-GB"/>
              </w:rPr>
            </w:pPr>
            <w:r>
              <w:rPr>
                <w:rFonts w:eastAsia="Times New Roman"/>
                <w:b/>
                <w:bCs/>
                <w:i/>
                <w:iCs/>
                <w:noProof/>
                <w:sz w:val="20"/>
                <w:szCs w:val="20"/>
                <w:lang w:val="en-GB" w:eastAsia="en-GB"/>
              </w:rPr>
              <w:t>European Earth Observation Programme (Copernicus)</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r>
              <w:rPr>
                <w:rFonts w:eastAsia="Times New Roman"/>
                <w:b/>
                <w:bCs/>
                <w:i/>
                <w:iCs/>
                <w:noProof/>
                <w:sz w:val="20"/>
                <w:szCs w:val="20"/>
                <w:lang w:val="en-GB" w:eastAsia="en-GB"/>
              </w:rPr>
              <w:t>-17 500 000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02 06 01</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Delivering operational services relying on space-borne observations and in-situ data (Copernicus)</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189 755 000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188 255 000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-1 500 000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02 06 02</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Building an autonomous Union’s Earth observation capacity (Copernicus)</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686 315 000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670 315 000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-16 000 000</w:t>
            </w:r>
          </w:p>
        </w:tc>
      </w:tr>
      <w:tr>
        <w:trPr>
          <w:trHeight w:val="54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lang w:val="en-GB" w:eastAsia="en-GB"/>
              </w:rPr>
            </w:pPr>
            <w:r>
              <w:rPr>
                <w:rFonts w:eastAsia="Times New Roman"/>
                <w:b/>
                <w:bCs/>
                <w:i/>
                <w:iCs/>
                <w:noProof/>
                <w:sz w:val="20"/>
                <w:szCs w:val="20"/>
                <w:lang w:val="en-GB" w:eastAsia="en-GB"/>
              </w:rPr>
              <w:t>1.1.4</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lang w:val="en-GB" w:eastAsia="en-GB"/>
              </w:rPr>
            </w:pPr>
            <w:r>
              <w:rPr>
                <w:rFonts w:eastAsia="Times New Roman"/>
                <w:b/>
                <w:bCs/>
                <w:i/>
                <w:iCs/>
                <w:noProof/>
                <w:sz w:val="20"/>
                <w:szCs w:val="20"/>
                <w:lang w:val="en-GB" w:eastAsia="en-GB"/>
              </w:rPr>
              <w:t>Competitiveness of enterprises and small and medium-sized enterprises (COSME)</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r>
              <w:rPr>
                <w:rFonts w:eastAsia="Times New Roman"/>
                <w:b/>
                <w:bCs/>
                <w:i/>
                <w:iCs/>
                <w:noProof/>
                <w:sz w:val="20"/>
                <w:szCs w:val="20"/>
                <w:lang w:val="en-GB" w:eastAsia="en-GB"/>
              </w:rPr>
              <w:t>5 000 000</w:t>
            </w:r>
          </w:p>
        </w:tc>
      </w:tr>
      <w:tr>
        <w:trPr>
          <w:trHeight w:val="76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02 02 01</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Promoting entrepreneurship and improving the competitiveness and access to markets of Union enterprises</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128 039 000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130 039 000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2 000 000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02 02 02</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Improving access to finance for small and medium-sized enterprises (SMEs) in the form of equity and debt</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221 430 000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224 430 000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3 000 000</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lang w:val="en-GB" w:eastAsia="en-GB"/>
              </w:rPr>
            </w:pPr>
            <w:r>
              <w:rPr>
                <w:rFonts w:eastAsia="Times New Roman"/>
                <w:b/>
                <w:bCs/>
                <w:i/>
                <w:iCs/>
                <w:noProof/>
                <w:sz w:val="20"/>
                <w:szCs w:val="20"/>
                <w:lang w:val="en-GB" w:eastAsia="en-GB"/>
              </w:rPr>
              <w:t>1.1.5</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lang w:val="en-GB" w:eastAsia="en-GB"/>
              </w:rPr>
            </w:pPr>
            <w:r>
              <w:rPr>
                <w:rFonts w:eastAsia="Times New Roman"/>
                <w:b/>
                <w:bCs/>
                <w:i/>
                <w:iCs/>
                <w:noProof/>
                <w:sz w:val="20"/>
                <w:szCs w:val="20"/>
                <w:lang w:val="en-GB" w:eastAsia="en-GB"/>
              </w:rPr>
              <w:t>Education, Training and Sport (Erasmus+)</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r>
              <w:rPr>
                <w:rFonts w:eastAsia="Times New Roman"/>
                <w:b/>
                <w:bCs/>
                <w:i/>
                <w:iCs/>
                <w:noProof/>
                <w:sz w:val="20"/>
                <w:szCs w:val="20"/>
                <w:lang w:val="en-GB" w:eastAsia="en-GB"/>
              </w:rPr>
              <w:t>200 000 000</w:t>
            </w:r>
          </w:p>
        </w:tc>
      </w:tr>
      <w:tr>
        <w:trPr>
          <w:trHeight w:val="76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15 02 01 01</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Promoting excellence and cooperation in the European education and training area and its relevance to the labour market</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2 217 836 200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2 411 836 200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194 000 000</w:t>
            </w:r>
          </w:p>
        </w:tc>
      </w:tr>
      <w:tr>
        <w:trPr>
          <w:trHeight w:val="76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15 02 01 02</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Promoting excellence and cooperation in the European youth area and the participation of young people in European democratic life</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169 070 000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175 070 000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6 000 000</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lang w:val="en-GB" w:eastAsia="en-GB"/>
              </w:rPr>
            </w:pPr>
            <w:r>
              <w:rPr>
                <w:rFonts w:eastAsia="Times New Roman"/>
                <w:b/>
                <w:bCs/>
                <w:i/>
                <w:iCs/>
                <w:noProof/>
                <w:sz w:val="20"/>
                <w:szCs w:val="20"/>
                <w:lang w:val="en-GB" w:eastAsia="en-GB"/>
              </w:rPr>
              <w:t>1.1.6</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lang w:val="en-GB" w:eastAsia="en-GB"/>
              </w:rPr>
            </w:pPr>
            <w:r>
              <w:rPr>
                <w:rFonts w:eastAsia="Times New Roman"/>
                <w:b/>
                <w:bCs/>
                <w:i/>
                <w:iCs/>
                <w:noProof/>
                <w:sz w:val="20"/>
                <w:szCs w:val="20"/>
                <w:lang w:val="en-GB" w:eastAsia="en-GB"/>
              </w:rPr>
              <w:t>Employment and Social Innovation (EaSI)</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r>
              <w:rPr>
                <w:rFonts w:eastAsia="Times New Roman"/>
                <w:b/>
                <w:bCs/>
                <w:i/>
                <w:iCs/>
                <w:noProof/>
                <w:sz w:val="20"/>
                <w:szCs w:val="20"/>
                <w:lang w:val="en-GB" w:eastAsia="en-GB"/>
              </w:rPr>
              <w:t>6 300 000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04 01 04 02</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Support expenditure for the programme Employment and Social Innovation</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2 950 000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3 400 000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450 000</w:t>
            </w:r>
          </w:p>
        </w:tc>
      </w:tr>
      <w:tr>
        <w:trPr>
          <w:trHeight w:val="76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04 03 02 01</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Progress — Supporting the development, implementation, monitoring and evaluation of Union employment and social policy and working conditions legislation</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77 373 225</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78 873 225</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1 500 000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04 03 02 02</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EURES — Promoting workers’ voluntary geographical mobility and boosting employment opportunities</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28 626 491</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32 976 491</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4 350 000</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lang w:val="en-GB" w:eastAsia="en-GB"/>
              </w:rPr>
            </w:pPr>
            <w:r>
              <w:rPr>
                <w:rFonts w:eastAsia="Times New Roman"/>
                <w:b/>
                <w:bCs/>
                <w:i/>
                <w:iCs/>
                <w:noProof/>
                <w:sz w:val="20"/>
                <w:szCs w:val="20"/>
                <w:lang w:val="en-GB" w:eastAsia="en-GB"/>
              </w:rPr>
              <w:t>1.1.DAG</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lang w:val="en-GB" w:eastAsia="en-GB"/>
              </w:rPr>
            </w:pPr>
            <w:r>
              <w:rPr>
                <w:rFonts w:eastAsia="Times New Roman"/>
                <w:b/>
                <w:bCs/>
                <w:i/>
                <w:iCs/>
                <w:noProof/>
                <w:sz w:val="20"/>
                <w:szCs w:val="20"/>
                <w:lang w:val="en-GB" w:eastAsia="en-GB"/>
              </w:rPr>
              <w:t>Decentralised agencies</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r>
              <w:rPr>
                <w:rFonts w:eastAsia="Times New Roman"/>
                <w:b/>
                <w:bCs/>
                <w:i/>
                <w:iCs/>
                <w:noProof/>
                <w:sz w:val="20"/>
                <w:szCs w:val="20"/>
                <w:lang w:val="en-GB" w:eastAsia="en-GB"/>
              </w:rPr>
              <w:t>-20 146 500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02 05 11</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European GNSS Agency</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32 270 863</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32 628 363</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357 500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09 02 03</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European Union Agency for Network and Information Security (ENISA)</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15 424 465</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15 824 465</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400 000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09 02 04</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Body of European Regulators for Electronic Communications (BEREC) — Office</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5 534 665</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5 677 665</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143 000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12 02 05</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European Insurance and Occupational Pensions Authority (EIOPA)</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13 474 234</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12 374 234</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-1 100 000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12 02 06</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European Securities and Markets Authority (ESMA)</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38 235 160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27 235 160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-11 000 000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04 03 15</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European Labour Authority (ELA)</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11 071 650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2 124 650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-8 947 000</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lang w:val="en-GB" w:eastAsia="en-GB"/>
              </w:rPr>
            </w:pPr>
            <w:r>
              <w:rPr>
                <w:rFonts w:eastAsia="Times New Roman"/>
                <w:b/>
                <w:bCs/>
                <w:i/>
                <w:iCs/>
                <w:noProof/>
                <w:sz w:val="20"/>
                <w:szCs w:val="20"/>
                <w:lang w:val="en-GB" w:eastAsia="en-GB"/>
              </w:rPr>
              <w:t>1.1.OTH</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lang w:val="en-GB" w:eastAsia="en-GB"/>
              </w:rPr>
            </w:pPr>
            <w:r>
              <w:rPr>
                <w:rFonts w:eastAsia="Times New Roman"/>
                <w:b/>
                <w:bCs/>
                <w:i/>
                <w:iCs/>
                <w:noProof/>
                <w:sz w:val="20"/>
                <w:szCs w:val="20"/>
                <w:lang w:val="en-GB" w:eastAsia="en-GB"/>
              </w:rPr>
              <w:t>Other actions and programmes</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r>
              <w:rPr>
                <w:rFonts w:eastAsia="Times New Roman"/>
                <w:b/>
                <w:bCs/>
                <w:i/>
                <w:iCs/>
                <w:noProof/>
                <w:sz w:val="20"/>
                <w:szCs w:val="20"/>
                <w:lang w:val="en-GB" w:eastAsia="en-GB"/>
              </w:rPr>
              <w:t>227 000</w:t>
            </w:r>
          </w:p>
        </w:tc>
      </w:tr>
      <w:tr>
        <w:trPr>
          <w:trHeight w:val="76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04 03 01 03</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Free movement of workers, coordination of social security schemes and measures for migrants, including migrants from third countries</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7 998 950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9 285 950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1 287 000</w:t>
            </w:r>
          </w:p>
        </w:tc>
      </w:tr>
      <w:tr>
        <w:trPr>
          <w:trHeight w:val="102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29 02 01</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Providing quality statistical information, implementing new methods of production of European statistics and strengthening the partnership within the European Statistical System</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73 245 000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72 185 000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-1 060 000</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lang w:val="en-GB" w:eastAsia="en-GB"/>
              </w:rPr>
            </w:pPr>
            <w:r>
              <w:rPr>
                <w:rFonts w:eastAsia="Times New Roman"/>
                <w:b/>
                <w:bCs/>
                <w:i/>
                <w:iCs/>
                <w:noProof/>
                <w:sz w:val="20"/>
                <w:szCs w:val="20"/>
                <w:lang w:val="en-GB" w:eastAsia="en-GB"/>
              </w:rPr>
              <w:t>1.1.PPPA</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lang w:val="en-GB" w:eastAsia="en-GB"/>
              </w:rPr>
            </w:pPr>
            <w:r>
              <w:rPr>
                <w:rFonts w:eastAsia="Times New Roman"/>
                <w:b/>
                <w:bCs/>
                <w:i/>
                <w:iCs/>
                <w:noProof/>
                <w:sz w:val="20"/>
                <w:szCs w:val="20"/>
                <w:lang w:val="en-GB" w:eastAsia="en-GB"/>
              </w:rPr>
              <w:t>Pilot projects and preparatory actions</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r>
              <w:rPr>
                <w:rFonts w:eastAsia="Times New Roman"/>
                <w:b/>
                <w:bCs/>
                <w:i/>
                <w:iCs/>
                <w:noProof/>
                <w:sz w:val="20"/>
                <w:szCs w:val="20"/>
                <w:lang w:val="en-GB" w:eastAsia="en-GB"/>
              </w:rPr>
              <w:t>72 258 000</w:t>
            </w:r>
          </w:p>
        </w:tc>
      </w:tr>
      <w:tr>
        <w:trPr>
          <w:trHeight w:val="81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lang w:val="en-GB" w:eastAsia="en-GB"/>
              </w:rPr>
            </w:pPr>
            <w:r>
              <w:rPr>
                <w:rFonts w:eastAsia="Times New Roman"/>
                <w:b/>
                <w:bCs/>
                <w:i/>
                <w:iCs/>
                <w:noProof/>
                <w:sz w:val="20"/>
                <w:szCs w:val="20"/>
                <w:lang w:val="en-GB" w:eastAsia="en-GB"/>
              </w:rPr>
              <w:t>1.1.SPEC</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lang w:val="en-GB" w:eastAsia="en-GB"/>
              </w:rPr>
            </w:pPr>
            <w:r>
              <w:rPr>
                <w:rFonts w:eastAsia="Times New Roman"/>
                <w:b/>
                <w:bCs/>
                <w:i/>
                <w:iCs/>
                <w:noProof/>
                <w:sz w:val="20"/>
                <w:szCs w:val="20"/>
                <w:lang w:val="en-GB" w:eastAsia="en-GB"/>
              </w:rPr>
              <w:t>Actions financed under the prerogatives of the Commission and specific competences conferred to the Commission</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r>
              <w:rPr>
                <w:rFonts w:eastAsia="Times New Roman"/>
                <w:b/>
                <w:bCs/>
                <w:i/>
                <w:iCs/>
                <w:noProof/>
                <w:sz w:val="20"/>
                <w:szCs w:val="20"/>
                <w:lang w:val="en-GB" w:eastAsia="en-GB"/>
              </w:rPr>
              <w:t>-1 210 000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01 02 01</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Coordination and surveillance of, and communication on, the economic and monetary union, including the euro</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12 000 000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11 730 000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-270 000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04 03 01 06</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Information, consultation and participation of representatives of undertakings</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7 903 000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7 103 000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-800 000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04 03 01 08</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Industrial relations and social dialogue</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16 000 000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15 000 000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-1 000 000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06 02 05</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Support activities to the European transport policy and passenger rights including communication activities</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11 500 000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12 860 000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1 360 000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09 02 01</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Definition and implementation of the Union’s policy in the field of electronic communications</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3 765 000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3 265 000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-500 000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rPr>
                <w:rFonts w:eastAsia="Times New Roman"/>
                <w:b/>
                <w:bCs/>
                <w:noProof/>
                <w:sz w:val="20"/>
                <w:szCs w:val="20"/>
                <w:lang w:val="en-GB" w:eastAsia="en-GB"/>
              </w:rPr>
            </w:pPr>
          </w:p>
        </w:tc>
        <w:tc>
          <w:tcPr>
            <w:tcW w:w="4940" w:type="dxa"/>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rPr>
                <w:rFonts w:eastAsia="Times New Roman"/>
                <w:b/>
                <w:bCs/>
                <w:noProof/>
                <w:sz w:val="20"/>
                <w:szCs w:val="20"/>
                <w:lang w:val="en-GB" w:eastAsia="en-GB"/>
              </w:rPr>
            </w:pPr>
            <w:r>
              <w:rPr>
                <w:rFonts w:eastAsia="Times New Roman"/>
                <w:b/>
                <w:bCs/>
                <w:noProof/>
                <w:sz w:val="20"/>
                <w:szCs w:val="20"/>
                <w:lang w:val="en-GB" w:eastAsia="en-GB"/>
              </w:rPr>
              <w:t>Total</w:t>
            </w:r>
          </w:p>
        </w:tc>
        <w:tc>
          <w:tcPr>
            <w:tcW w:w="148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eastAsia="Times New Roman"/>
                <w:b/>
                <w:bCs/>
                <w:noProof/>
                <w:sz w:val="20"/>
                <w:szCs w:val="20"/>
                <w:lang w:val="en-GB" w:eastAsia="en-GB"/>
              </w:rPr>
            </w:pPr>
          </w:p>
        </w:tc>
        <w:tc>
          <w:tcPr>
            <w:tcW w:w="148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eastAsia="Times New Roman"/>
                <w:b/>
                <w:bCs/>
                <w:noProof/>
                <w:sz w:val="20"/>
                <w:szCs w:val="20"/>
                <w:lang w:val="en-GB" w:eastAsia="en-GB"/>
              </w:rPr>
            </w:pPr>
          </w:p>
        </w:tc>
        <w:tc>
          <w:tcPr>
            <w:tcW w:w="1396"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eastAsia="Times New Roman"/>
                <w:b/>
                <w:bCs/>
                <w:noProof/>
                <w:sz w:val="20"/>
                <w:szCs w:val="20"/>
                <w:lang w:val="en-GB" w:eastAsia="en-GB"/>
              </w:rPr>
            </w:pPr>
            <w:r>
              <w:rPr>
                <w:rFonts w:eastAsia="Times New Roman"/>
                <w:b/>
                <w:bCs/>
                <w:noProof/>
                <w:sz w:val="20"/>
                <w:szCs w:val="20"/>
                <w:lang w:val="en-GB" w:eastAsia="en-GB"/>
              </w:rPr>
              <w:t>241 428 500</w:t>
            </w:r>
          </w:p>
        </w:tc>
      </w:tr>
    </w:tbl>
    <w:p>
      <w:pPr>
        <w:spacing w:before="240" w:line="240" w:lineRule="auto"/>
        <w:jc w:val="both"/>
        <w:rPr>
          <w:noProof/>
          <w:lang w:val="en-GB"/>
        </w:rPr>
      </w:pPr>
      <w:r>
        <w:rPr>
          <w:noProof/>
          <w:lang w:val="en-GB"/>
        </w:rPr>
        <w:t>As a consequence, the level of commitment appropriations is proposed to be set at EUR 23 145,4 million, with no margin left under the expenditure ceiling of heading 1a and the use of the Global margin for commitments for an amount of EUR 63,4 million.</w:t>
      </w:r>
    </w:p>
    <w:p>
      <w:pPr>
        <w:spacing w:line="240" w:lineRule="auto"/>
        <w:jc w:val="both"/>
        <w:rPr>
          <w:noProof/>
          <w:lang w:val="en-GB"/>
        </w:rPr>
      </w:pPr>
      <w:r>
        <w:rPr>
          <w:noProof/>
          <w:lang w:val="en-GB"/>
        </w:rPr>
        <w:t>Further to de-commitments made in 2017 (EUR 412,8 million) as a result of total or partial non-implementation of research projects, and in accordance with Article 15.3 of the Financial Regulation</w:t>
      </w:r>
      <w:r>
        <w:rPr>
          <w:rStyle w:val="FootnoteReference"/>
          <w:noProof/>
        </w:rPr>
        <w:footnoteReference w:id="14"/>
      </w:r>
      <w:r>
        <w:rPr>
          <w:noProof/>
          <w:lang w:val="en-GB"/>
        </w:rPr>
        <w:t xml:space="preserve"> which exclusively applies to research, the Commission proposes to make EUR 100 million commitment appropriations available again for the reinforcement of the pilot initiative on the European Innovation Council within the SME instrument</w:t>
      </w:r>
      <w:r>
        <w:rPr>
          <w:rStyle w:val="FootnoteReference"/>
          <w:noProof/>
        </w:rPr>
        <w:footnoteReference w:id="15"/>
      </w:r>
      <w:r>
        <w:rPr>
          <w:rStyle w:val="FootnoteReference"/>
          <w:noProof/>
          <w:lang w:val="en-GB"/>
        </w:rPr>
        <w:t xml:space="preserve"> </w:t>
      </w:r>
      <w:r>
        <w:rPr>
          <w:noProof/>
          <w:lang w:val="en-GB"/>
        </w:rPr>
        <w:t>on budget line 08 02 08:</w:t>
      </w:r>
    </w:p>
    <w:tbl>
      <w:tblPr>
        <w:tblW w:w="10500" w:type="dxa"/>
        <w:tblInd w:w="108" w:type="dxa"/>
        <w:tblLook w:val="04A0" w:firstRow="1" w:lastRow="0" w:firstColumn="1" w:lastColumn="0" w:noHBand="0" w:noVBand="1"/>
      </w:tblPr>
      <w:tblGrid>
        <w:gridCol w:w="1240"/>
        <w:gridCol w:w="7800"/>
        <w:gridCol w:w="1460"/>
      </w:tblGrid>
      <w:tr>
        <w:trPr>
          <w:trHeight w:val="255"/>
        </w:trPr>
        <w:tc>
          <w:tcPr>
            <w:tcW w:w="10500" w:type="dxa"/>
            <w:gridSpan w:val="3"/>
            <w:tcBorders>
              <w:top w:val="nil"/>
              <w:left w:val="nil"/>
              <w:bottom w:val="single" w:sz="4" w:space="0" w:color="auto"/>
              <w:right w:val="nil"/>
            </w:tcBorders>
            <w:shd w:val="clear" w:color="auto" w:fill="auto"/>
            <w:noWrap/>
            <w:vAlign w:val="center"/>
            <w:hideMark/>
          </w:tcPr>
          <w:p>
            <w:pPr>
              <w:spacing w:after="0" w:line="240" w:lineRule="auto"/>
              <w:jc w:val="right"/>
              <w:rPr>
                <w:rFonts w:eastAsia="Times New Roman"/>
                <w:i/>
                <w:iCs/>
                <w:noProof/>
                <w:sz w:val="20"/>
                <w:szCs w:val="20"/>
                <w:lang w:val="en-GB" w:eastAsia="en-GB"/>
              </w:rPr>
            </w:pPr>
            <w:r>
              <w:rPr>
                <w:rFonts w:eastAsia="Times New Roman"/>
                <w:i/>
                <w:iCs/>
                <w:noProof/>
                <w:sz w:val="20"/>
                <w:szCs w:val="20"/>
                <w:lang w:val="en-GB" w:eastAsia="en-GB"/>
              </w:rPr>
              <w:t>In EUR</w:t>
            </w:r>
          </w:p>
        </w:tc>
      </w:tr>
      <w:tr>
        <w:trPr>
          <w:trHeight w:val="509"/>
        </w:trPr>
        <w:tc>
          <w:tcPr>
            <w:tcW w:w="1240" w:type="dxa"/>
            <w:tcBorders>
              <w:top w:val="nil"/>
              <w:left w:val="single" w:sz="4" w:space="0" w:color="auto"/>
              <w:bottom w:val="single" w:sz="4" w:space="0" w:color="auto"/>
              <w:right w:val="single" w:sz="4" w:space="0" w:color="auto"/>
            </w:tcBorders>
            <w:shd w:val="clear" w:color="DCE6F1" w:fill="DCE6F1"/>
            <w:vAlign w:val="center"/>
            <w:hideMark/>
          </w:tcPr>
          <w:p>
            <w:pPr>
              <w:spacing w:after="0" w:line="240" w:lineRule="auto"/>
              <w:jc w:val="center"/>
              <w:rPr>
                <w:rFonts w:eastAsia="Times New Roman"/>
                <w:b/>
                <w:bCs/>
                <w:noProof/>
                <w:color w:val="000000"/>
                <w:sz w:val="16"/>
                <w:szCs w:val="16"/>
                <w:lang w:val="en-GB" w:eastAsia="en-GB"/>
              </w:rPr>
            </w:pPr>
            <w:r>
              <w:rPr>
                <w:rFonts w:eastAsia="Times New Roman"/>
                <w:b/>
                <w:bCs/>
                <w:noProof/>
                <w:color w:val="000000"/>
                <w:sz w:val="16"/>
                <w:szCs w:val="16"/>
                <w:lang w:val="en-GB" w:eastAsia="en-GB"/>
              </w:rPr>
              <w:t>Budget line / Programme</w:t>
            </w:r>
          </w:p>
        </w:tc>
        <w:tc>
          <w:tcPr>
            <w:tcW w:w="780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eastAsia="Times New Roman"/>
                <w:b/>
                <w:bCs/>
                <w:noProof/>
                <w:color w:val="000000"/>
                <w:sz w:val="20"/>
                <w:szCs w:val="20"/>
                <w:lang w:val="en-GB" w:eastAsia="en-GB"/>
              </w:rPr>
            </w:pPr>
            <w:r>
              <w:rPr>
                <w:rFonts w:eastAsia="Times New Roman"/>
                <w:b/>
                <w:bCs/>
                <w:noProof/>
                <w:color w:val="000000"/>
                <w:sz w:val="20"/>
                <w:szCs w:val="20"/>
                <w:lang w:val="en-GB" w:eastAsia="en-GB"/>
              </w:rPr>
              <w:t>Name</w:t>
            </w:r>
          </w:p>
        </w:tc>
        <w:tc>
          <w:tcPr>
            <w:tcW w:w="1460" w:type="dxa"/>
            <w:tcBorders>
              <w:top w:val="nil"/>
              <w:left w:val="single" w:sz="4" w:space="0" w:color="auto"/>
              <w:bottom w:val="single" w:sz="4" w:space="0" w:color="auto"/>
              <w:right w:val="single" w:sz="4" w:space="0" w:color="auto"/>
            </w:tcBorders>
            <w:shd w:val="clear" w:color="DCE6F1" w:fill="DCE6F1"/>
            <w:vAlign w:val="center"/>
            <w:hideMark/>
          </w:tcPr>
          <w:p>
            <w:pPr>
              <w:spacing w:after="0" w:line="240" w:lineRule="auto"/>
              <w:jc w:val="center"/>
              <w:rPr>
                <w:rFonts w:eastAsia="Times New Roman"/>
                <w:b/>
                <w:bCs/>
                <w:noProof/>
                <w:color w:val="000000"/>
                <w:sz w:val="16"/>
                <w:szCs w:val="16"/>
                <w:lang w:val="en-GB" w:eastAsia="en-GB"/>
              </w:rPr>
            </w:pPr>
            <w:r>
              <w:rPr>
                <w:rFonts w:eastAsia="Times New Roman"/>
                <w:b/>
                <w:bCs/>
                <w:noProof/>
                <w:color w:val="000000"/>
                <w:sz w:val="16"/>
                <w:szCs w:val="16"/>
                <w:lang w:val="en-GB" w:eastAsia="en-GB"/>
              </w:rPr>
              <w:t>Appropriations to be made available again</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lang w:val="en-GB" w:eastAsia="en-GB"/>
              </w:rPr>
            </w:pPr>
            <w:r>
              <w:rPr>
                <w:rFonts w:eastAsia="Times New Roman"/>
                <w:b/>
                <w:bCs/>
                <w:i/>
                <w:iCs/>
                <w:noProof/>
                <w:sz w:val="20"/>
                <w:szCs w:val="20"/>
                <w:lang w:val="en-GB" w:eastAsia="en-GB"/>
              </w:rPr>
              <w:t>1.1.31</w:t>
            </w:r>
          </w:p>
        </w:tc>
        <w:tc>
          <w:tcPr>
            <w:tcW w:w="7800" w:type="dxa"/>
            <w:tcBorders>
              <w:top w:val="single" w:sz="4" w:space="0" w:color="auto"/>
              <w:left w:val="nil"/>
              <w:bottom w:val="single" w:sz="4" w:space="0" w:color="auto"/>
              <w:right w:val="single" w:sz="4" w:space="0" w:color="auto"/>
            </w:tcBorders>
            <w:shd w:val="clear" w:color="000000" w:fill="F2F2F2"/>
            <w:vAlign w:val="center"/>
            <w:hideMark/>
          </w:tcPr>
          <w:p>
            <w:pPr>
              <w:spacing w:after="0" w:line="240" w:lineRule="auto"/>
              <w:rPr>
                <w:rFonts w:eastAsia="Times New Roman"/>
                <w:b/>
                <w:bCs/>
                <w:i/>
                <w:iCs/>
                <w:noProof/>
                <w:sz w:val="20"/>
                <w:szCs w:val="20"/>
                <w:lang w:val="en-GB" w:eastAsia="en-GB"/>
              </w:rPr>
            </w:pPr>
            <w:r>
              <w:rPr>
                <w:rFonts w:eastAsia="Times New Roman"/>
                <w:b/>
                <w:bCs/>
                <w:i/>
                <w:iCs/>
                <w:noProof/>
                <w:sz w:val="20"/>
                <w:szCs w:val="20"/>
                <w:lang w:val="en-GB" w:eastAsia="en-GB"/>
              </w:rPr>
              <w:t>Horizon 2020</w:t>
            </w:r>
          </w:p>
        </w:tc>
        <w:tc>
          <w:tcPr>
            <w:tcW w:w="1460"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r>
              <w:rPr>
                <w:rFonts w:eastAsia="Times New Roman"/>
                <w:b/>
                <w:bCs/>
                <w:i/>
                <w:iCs/>
                <w:noProof/>
                <w:sz w:val="20"/>
                <w:szCs w:val="20"/>
                <w:lang w:val="en-GB" w:eastAsia="en-GB"/>
              </w:rPr>
              <w:t>100 000 000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08 02 08</w:t>
            </w:r>
          </w:p>
        </w:tc>
        <w:tc>
          <w:tcPr>
            <w:tcW w:w="78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SME instrument</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100 000 000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rPr>
                <w:rFonts w:eastAsia="Times New Roman"/>
                <w:b/>
                <w:bCs/>
                <w:noProof/>
                <w:sz w:val="20"/>
                <w:szCs w:val="20"/>
                <w:lang w:val="en-GB" w:eastAsia="en-GB"/>
              </w:rPr>
            </w:pPr>
          </w:p>
        </w:tc>
        <w:tc>
          <w:tcPr>
            <w:tcW w:w="7800" w:type="dxa"/>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rPr>
                <w:rFonts w:eastAsia="Times New Roman"/>
                <w:b/>
                <w:bCs/>
                <w:noProof/>
                <w:sz w:val="20"/>
                <w:szCs w:val="20"/>
                <w:lang w:val="en-GB" w:eastAsia="en-GB"/>
              </w:rPr>
            </w:pPr>
            <w:r>
              <w:rPr>
                <w:rFonts w:eastAsia="Times New Roman"/>
                <w:b/>
                <w:bCs/>
                <w:noProof/>
                <w:sz w:val="20"/>
                <w:szCs w:val="20"/>
                <w:lang w:val="en-GB" w:eastAsia="en-GB"/>
              </w:rPr>
              <w:t>Total</w:t>
            </w:r>
          </w:p>
        </w:tc>
        <w:tc>
          <w:tcPr>
            <w:tcW w:w="14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eastAsia="Times New Roman"/>
                <w:b/>
                <w:bCs/>
                <w:noProof/>
                <w:sz w:val="20"/>
                <w:szCs w:val="20"/>
                <w:lang w:val="en-GB" w:eastAsia="en-GB"/>
              </w:rPr>
            </w:pPr>
            <w:r>
              <w:rPr>
                <w:rFonts w:eastAsia="Times New Roman"/>
                <w:b/>
                <w:bCs/>
                <w:noProof/>
                <w:sz w:val="20"/>
                <w:szCs w:val="20"/>
                <w:lang w:val="en-GB" w:eastAsia="en-GB"/>
              </w:rPr>
              <w:t>100 000 000</w:t>
            </w:r>
          </w:p>
        </w:tc>
      </w:tr>
    </w:tbl>
    <w:p>
      <w:pPr>
        <w:spacing w:before="240"/>
        <w:rPr>
          <w:rFonts w:eastAsia="Times New Roman"/>
          <w:noProof/>
          <w:sz w:val="24"/>
          <w:szCs w:val="26"/>
          <w:lang w:val="en-GB" w:eastAsia="de-DE"/>
        </w:rPr>
      </w:pPr>
      <w:r>
        <w:rPr>
          <w:noProof/>
          <w:lang w:val="en-GB"/>
        </w:rPr>
        <w:t>The budget remark is proposed to be adjusted accordingly.</w:t>
      </w:r>
      <w:r>
        <w:rPr>
          <w:noProof/>
          <w:lang w:val="en-GB"/>
        </w:rPr>
        <w:br w:type="page"/>
      </w:r>
    </w:p>
    <w:p>
      <w:pPr>
        <w:pStyle w:val="ManualHeading3"/>
        <w:rPr>
          <w:noProof/>
        </w:rPr>
      </w:pPr>
      <w:bookmarkStart w:id="26" w:name="_Toc530586720"/>
      <w:bookmarkStart w:id="27" w:name="_Toc530674104"/>
      <w:bookmarkEnd w:id="26"/>
      <w:r>
        <w:t>3.2.2.</w:t>
      </w:r>
      <w:r>
        <w:tab/>
      </w:r>
      <w:r>
        <w:rPr>
          <w:noProof/>
        </w:rPr>
        <w:t>Heading 1b — Economic, Social and Territorial Cohesion</w:t>
      </w:r>
      <w:bookmarkEnd w:id="27"/>
    </w:p>
    <w:p>
      <w:pPr>
        <w:spacing w:line="240" w:lineRule="auto"/>
        <w:jc w:val="both"/>
        <w:rPr>
          <w:noProof/>
          <w:lang w:val="en-GB"/>
        </w:rPr>
      </w:pPr>
      <w:r>
        <w:rPr>
          <w:noProof/>
          <w:lang w:val="en-GB"/>
        </w:rPr>
        <w:t>For heading 1b, commitment appropriations are proposed to be set at the level of the original draft budget, as modified by Amending letter 1/2019, with the amendments included in the table below:</w:t>
      </w:r>
    </w:p>
    <w:tbl>
      <w:tblPr>
        <w:tblW w:w="10536" w:type="dxa"/>
        <w:tblInd w:w="108" w:type="dxa"/>
        <w:tblLook w:val="04A0" w:firstRow="1" w:lastRow="0" w:firstColumn="1" w:lastColumn="0" w:noHBand="0" w:noVBand="1"/>
      </w:tblPr>
      <w:tblGrid>
        <w:gridCol w:w="1240"/>
        <w:gridCol w:w="4940"/>
        <w:gridCol w:w="1480"/>
        <w:gridCol w:w="1480"/>
        <w:gridCol w:w="1396"/>
      </w:tblGrid>
      <w:tr>
        <w:trPr>
          <w:trHeight w:val="255"/>
          <w:tblHeader/>
        </w:trPr>
        <w:tc>
          <w:tcPr>
            <w:tcW w:w="1240" w:type="dxa"/>
            <w:tcBorders>
              <w:top w:val="nil"/>
              <w:left w:val="nil"/>
              <w:bottom w:val="nil"/>
              <w:right w:val="nil"/>
            </w:tcBorders>
            <w:shd w:val="clear" w:color="auto" w:fill="auto"/>
            <w:noWrap/>
            <w:vAlign w:val="center"/>
            <w:hideMark/>
          </w:tcPr>
          <w:p>
            <w:pPr>
              <w:spacing w:after="0" w:line="240" w:lineRule="auto"/>
              <w:rPr>
                <w:rFonts w:eastAsia="Times New Roman"/>
                <w:noProof/>
                <w:sz w:val="20"/>
                <w:szCs w:val="20"/>
                <w:lang w:val="en-GB" w:eastAsia="en-GB"/>
              </w:rPr>
            </w:pPr>
          </w:p>
        </w:tc>
        <w:tc>
          <w:tcPr>
            <w:tcW w:w="4940" w:type="dxa"/>
            <w:tcBorders>
              <w:top w:val="nil"/>
              <w:left w:val="nil"/>
              <w:bottom w:val="nil"/>
              <w:right w:val="nil"/>
            </w:tcBorders>
            <w:shd w:val="clear" w:color="auto" w:fill="auto"/>
            <w:noWrap/>
            <w:vAlign w:val="bottom"/>
            <w:hideMark/>
          </w:tcPr>
          <w:p>
            <w:pPr>
              <w:spacing w:after="0" w:line="240" w:lineRule="auto"/>
              <w:rPr>
                <w:rFonts w:eastAsia="Times New Roman"/>
                <w:noProof/>
                <w:sz w:val="20"/>
                <w:szCs w:val="20"/>
                <w:lang w:val="en-GB" w:eastAsia="en-GB"/>
              </w:rPr>
            </w:pPr>
          </w:p>
        </w:tc>
        <w:tc>
          <w:tcPr>
            <w:tcW w:w="1480" w:type="dxa"/>
            <w:tcBorders>
              <w:top w:val="nil"/>
              <w:left w:val="nil"/>
              <w:bottom w:val="nil"/>
              <w:right w:val="nil"/>
            </w:tcBorders>
            <w:shd w:val="clear" w:color="auto" w:fill="auto"/>
            <w:noWrap/>
            <w:vAlign w:val="center"/>
            <w:hideMark/>
          </w:tcPr>
          <w:p>
            <w:pPr>
              <w:spacing w:after="0" w:line="240" w:lineRule="auto"/>
              <w:rPr>
                <w:rFonts w:eastAsia="Times New Roman"/>
                <w:noProof/>
                <w:sz w:val="20"/>
                <w:szCs w:val="20"/>
                <w:lang w:val="en-GB" w:eastAsia="en-GB"/>
              </w:rPr>
            </w:pPr>
          </w:p>
        </w:tc>
        <w:tc>
          <w:tcPr>
            <w:tcW w:w="1480" w:type="dxa"/>
            <w:tcBorders>
              <w:top w:val="nil"/>
              <w:left w:val="nil"/>
              <w:bottom w:val="nil"/>
              <w:right w:val="nil"/>
            </w:tcBorders>
            <w:shd w:val="clear" w:color="auto" w:fill="auto"/>
            <w:noWrap/>
            <w:vAlign w:val="center"/>
            <w:hideMark/>
          </w:tcPr>
          <w:p>
            <w:pPr>
              <w:spacing w:after="0" w:line="240" w:lineRule="auto"/>
              <w:rPr>
                <w:rFonts w:eastAsia="Times New Roman"/>
                <w:noProof/>
                <w:sz w:val="20"/>
                <w:szCs w:val="20"/>
                <w:lang w:val="en-GB" w:eastAsia="en-GB"/>
              </w:rPr>
            </w:pPr>
          </w:p>
        </w:tc>
        <w:tc>
          <w:tcPr>
            <w:tcW w:w="1396" w:type="dxa"/>
            <w:tcBorders>
              <w:top w:val="nil"/>
              <w:left w:val="nil"/>
              <w:bottom w:val="nil"/>
              <w:right w:val="nil"/>
            </w:tcBorders>
            <w:shd w:val="clear" w:color="auto" w:fill="auto"/>
            <w:noWrap/>
            <w:vAlign w:val="center"/>
            <w:hideMark/>
          </w:tcPr>
          <w:p>
            <w:pPr>
              <w:spacing w:after="0" w:line="240" w:lineRule="auto"/>
              <w:jc w:val="right"/>
              <w:rPr>
                <w:rFonts w:eastAsia="Times New Roman"/>
                <w:i/>
                <w:iCs/>
                <w:noProof/>
                <w:sz w:val="20"/>
                <w:szCs w:val="20"/>
                <w:lang w:val="en-GB" w:eastAsia="en-GB"/>
              </w:rPr>
            </w:pPr>
            <w:r>
              <w:rPr>
                <w:rFonts w:eastAsia="Times New Roman"/>
                <w:i/>
                <w:iCs/>
                <w:noProof/>
                <w:sz w:val="20"/>
                <w:szCs w:val="20"/>
                <w:lang w:val="en-GB" w:eastAsia="en-GB"/>
              </w:rPr>
              <w:t>In EUR</w:t>
            </w:r>
          </w:p>
        </w:tc>
      </w:tr>
      <w:tr>
        <w:trPr>
          <w:trHeight w:val="255"/>
          <w:tblHeader/>
        </w:trPr>
        <w:tc>
          <w:tcPr>
            <w:tcW w:w="1240" w:type="dxa"/>
            <w:vMerge w:val="restart"/>
            <w:tcBorders>
              <w:top w:val="single" w:sz="4" w:space="0" w:color="auto"/>
              <w:left w:val="single" w:sz="4" w:space="0" w:color="auto"/>
              <w:bottom w:val="single" w:sz="4" w:space="0" w:color="000000"/>
              <w:right w:val="nil"/>
            </w:tcBorders>
            <w:shd w:val="clear" w:color="DCE6F1" w:fill="DCE6F1"/>
            <w:vAlign w:val="center"/>
            <w:hideMark/>
          </w:tcPr>
          <w:p>
            <w:pPr>
              <w:spacing w:after="0" w:line="240" w:lineRule="auto"/>
              <w:jc w:val="center"/>
              <w:rPr>
                <w:rFonts w:eastAsia="Times New Roman"/>
                <w:b/>
                <w:bCs/>
                <w:noProof/>
                <w:color w:val="000000"/>
                <w:sz w:val="16"/>
                <w:szCs w:val="16"/>
                <w:lang w:val="en-GB" w:eastAsia="en-GB"/>
              </w:rPr>
            </w:pPr>
            <w:r>
              <w:rPr>
                <w:rFonts w:eastAsia="Times New Roman"/>
                <w:b/>
                <w:bCs/>
                <w:noProof/>
                <w:color w:val="000000"/>
                <w:sz w:val="16"/>
                <w:szCs w:val="16"/>
                <w:lang w:val="en-GB" w:eastAsia="en-GB"/>
              </w:rPr>
              <w:t>Budget line / Programme</w:t>
            </w:r>
          </w:p>
        </w:tc>
        <w:tc>
          <w:tcPr>
            <w:tcW w:w="4940"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pPr>
              <w:spacing w:after="0" w:line="240" w:lineRule="auto"/>
              <w:jc w:val="center"/>
              <w:rPr>
                <w:rFonts w:eastAsia="Times New Roman"/>
                <w:b/>
                <w:bCs/>
                <w:noProof/>
                <w:color w:val="000000"/>
                <w:sz w:val="20"/>
                <w:szCs w:val="20"/>
                <w:lang w:val="en-GB" w:eastAsia="en-GB"/>
              </w:rPr>
            </w:pPr>
            <w:r>
              <w:rPr>
                <w:rFonts w:eastAsia="Times New Roman"/>
                <w:b/>
                <w:bCs/>
                <w:noProof/>
                <w:color w:val="000000"/>
                <w:sz w:val="20"/>
                <w:szCs w:val="20"/>
                <w:lang w:val="en-GB" w:eastAsia="en-GB"/>
              </w:rPr>
              <w:t>Name</w:t>
            </w:r>
          </w:p>
        </w:tc>
        <w:tc>
          <w:tcPr>
            <w:tcW w:w="4356"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pPr>
              <w:spacing w:after="0" w:line="240" w:lineRule="auto"/>
              <w:jc w:val="center"/>
              <w:rPr>
                <w:rFonts w:eastAsia="Times New Roman"/>
                <w:b/>
                <w:bCs/>
                <w:noProof/>
                <w:sz w:val="20"/>
                <w:szCs w:val="20"/>
                <w:lang w:val="en-GB" w:eastAsia="en-GB"/>
              </w:rPr>
            </w:pPr>
            <w:r>
              <w:rPr>
                <w:rFonts w:eastAsia="Times New Roman"/>
                <w:b/>
                <w:bCs/>
                <w:noProof/>
                <w:sz w:val="20"/>
                <w:szCs w:val="20"/>
                <w:lang w:val="en-GB" w:eastAsia="en-GB"/>
              </w:rPr>
              <w:t>Reinforcement in commitment appropriations</w:t>
            </w:r>
          </w:p>
        </w:tc>
      </w:tr>
      <w:tr>
        <w:trPr>
          <w:trHeight w:val="510"/>
          <w:tblHeader/>
        </w:trPr>
        <w:tc>
          <w:tcPr>
            <w:tcW w:w="1240" w:type="dxa"/>
            <w:vMerge/>
            <w:tcBorders>
              <w:top w:val="single" w:sz="4" w:space="0" w:color="auto"/>
              <w:left w:val="single" w:sz="4" w:space="0" w:color="auto"/>
              <w:bottom w:val="single" w:sz="4" w:space="0" w:color="000000"/>
              <w:right w:val="nil"/>
            </w:tcBorders>
            <w:vAlign w:val="center"/>
            <w:hideMark/>
          </w:tcPr>
          <w:p>
            <w:pPr>
              <w:spacing w:after="0" w:line="240" w:lineRule="auto"/>
              <w:rPr>
                <w:rFonts w:eastAsia="Times New Roman"/>
                <w:b/>
                <w:bCs/>
                <w:noProof/>
                <w:color w:val="000000"/>
                <w:sz w:val="16"/>
                <w:szCs w:val="16"/>
                <w:lang w:val="en-GB" w:eastAsia="en-GB"/>
              </w:rPr>
            </w:pPr>
          </w:p>
        </w:tc>
        <w:tc>
          <w:tcPr>
            <w:tcW w:w="494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eastAsia="Times New Roman"/>
                <w:b/>
                <w:bCs/>
                <w:noProof/>
                <w:color w:val="000000"/>
                <w:sz w:val="20"/>
                <w:szCs w:val="20"/>
                <w:lang w:val="en-GB" w:eastAsia="en-GB"/>
              </w:rPr>
            </w:pPr>
          </w:p>
        </w:tc>
        <w:tc>
          <w:tcPr>
            <w:tcW w:w="148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eastAsia="Times New Roman"/>
                <w:b/>
                <w:bCs/>
                <w:noProof/>
                <w:color w:val="000000"/>
                <w:sz w:val="20"/>
                <w:szCs w:val="20"/>
                <w:lang w:val="en-GB" w:eastAsia="en-GB"/>
              </w:rPr>
            </w:pPr>
            <w:r>
              <w:rPr>
                <w:rFonts w:eastAsia="Times New Roman"/>
                <w:b/>
                <w:bCs/>
                <w:noProof/>
                <w:color w:val="000000"/>
                <w:sz w:val="20"/>
                <w:szCs w:val="20"/>
                <w:lang w:val="en-GB" w:eastAsia="en-GB"/>
              </w:rPr>
              <w:t>DB 2019 (incl. AL1)</w:t>
            </w:r>
          </w:p>
        </w:tc>
        <w:tc>
          <w:tcPr>
            <w:tcW w:w="148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eastAsia="Times New Roman"/>
                <w:b/>
                <w:bCs/>
                <w:noProof/>
                <w:color w:val="000000"/>
                <w:sz w:val="20"/>
                <w:szCs w:val="20"/>
                <w:lang w:val="en-GB" w:eastAsia="en-GB"/>
              </w:rPr>
            </w:pPr>
            <w:r>
              <w:rPr>
                <w:rFonts w:eastAsia="Times New Roman"/>
                <w:b/>
                <w:bCs/>
                <w:noProof/>
                <w:color w:val="000000"/>
                <w:sz w:val="20"/>
                <w:szCs w:val="20"/>
                <w:lang w:val="en-GB" w:eastAsia="en-GB"/>
              </w:rPr>
              <w:t>Second draft budget 2019</w:t>
            </w:r>
          </w:p>
        </w:tc>
        <w:tc>
          <w:tcPr>
            <w:tcW w:w="1396" w:type="dxa"/>
            <w:tcBorders>
              <w:top w:val="nil"/>
              <w:left w:val="nil"/>
              <w:bottom w:val="single" w:sz="4" w:space="0" w:color="auto"/>
              <w:right w:val="single" w:sz="4" w:space="0" w:color="auto"/>
            </w:tcBorders>
            <w:shd w:val="clear" w:color="DCE6F1" w:fill="DCE6F1"/>
            <w:noWrap/>
            <w:vAlign w:val="center"/>
            <w:hideMark/>
          </w:tcPr>
          <w:p>
            <w:pPr>
              <w:spacing w:after="0" w:line="240" w:lineRule="auto"/>
              <w:jc w:val="center"/>
              <w:rPr>
                <w:rFonts w:eastAsia="Times New Roman"/>
                <w:b/>
                <w:bCs/>
                <w:noProof/>
                <w:color w:val="000000"/>
                <w:sz w:val="20"/>
                <w:szCs w:val="20"/>
                <w:lang w:val="en-GB" w:eastAsia="en-GB"/>
              </w:rPr>
            </w:pPr>
            <w:r>
              <w:rPr>
                <w:rFonts w:eastAsia="Times New Roman"/>
                <w:b/>
                <w:bCs/>
                <w:noProof/>
                <w:color w:val="000000"/>
                <w:sz w:val="20"/>
                <w:szCs w:val="20"/>
                <w:lang w:val="en-GB" w:eastAsia="en-GB"/>
              </w:rPr>
              <w:t>Difference</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lang w:val="en-GB" w:eastAsia="en-GB"/>
              </w:rPr>
            </w:pPr>
            <w:r>
              <w:rPr>
                <w:rFonts w:eastAsia="Times New Roman"/>
                <w:b/>
                <w:bCs/>
                <w:i/>
                <w:iCs/>
                <w:noProof/>
                <w:sz w:val="20"/>
                <w:szCs w:val="20"/>
                <w:lang w:val="en-GB" w:eastAsia="en-GB"/>
              </w:rPr>
              <w:t>1.2.31</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lang w:val="en-GB" w:eastAsia="en-GB"/>
              </w:rPr>
            </w:pPr>
            <w:r>
              <w:rPr>
                <w:rFonts w:eastAsia="Times New Roman"/>
                <w:b/>
                <w:bCs/>
                <w:i/>
                <w:iCs/>
                <w:noProof/>
                <w:sz w:val="20"/>
                <w:szCs w:val="20"/>
                <w:lang w:val="en-GB" w:eastAsia="en-GB"/>
              </w:rPr>
              <w:t>Technical assistance</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r>
              <w:rPr>
                <w:rFonts w:eastAsia="Times New Roman"/>
                <w:b/>
                <w:bCs/>
                <w:i/>
                <w:iCs/>
                <w:noProof/>
                <w:sz w:val="20"/>
                <w:szCs w:val="20"/>
                <w:lang w:val="en-GB" w:eastAsia="en-GB"/>
              </w:rPr>
              <w:t>-1 744 903</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04 02 63 01</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European Social Fund — Operational technical assistance</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25 078 000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23 333 097</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-1 744 903</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lang w:val="en-GB" w:eastAsia="en-GB"/>
              </w:rPr>
            </w:pPr>
            <w:r>
              <w:rPr>
                <w:rFonts w:eastAsia="Times New Roman"/>
                <w:b/>
                <w:bCs/>
                <w:i/>
                <w:iCs/>
                <w:noProof/>
                <w:sz w:val="20"/>
                <w:szCs w:val="20"/>
                <w:lang w:val="en-GB" w:eastAsia="en-GB"/>
              </w:rPr>
              <w:t>1.2.5</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lang w:val="en-GB" w:eastAsia="en-GB"/>
              </w:rPr>
            </w:pPr>
            <w:r>
              <w:rPr>
                <w:rFonts w:eastAsia="Times New Roman"/>
                <w:b/>
                <w:bCs/>
                <w:i/>
                <w:iCs/>
                <w:noProof/>
                <w:sz w:val="20"/>
                <w:szCs w:val="20"/>
                <w:lang w:val="en-GB" w:eastAsia="en-GB"/>
              </w:rPr>
              <w:t>Youth Employment initiative (specific top-up allocation)</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r>
              <w:rPr>
                <w:rFonts w:eastAsia="Times New Roman"/>
                <w:b/>
                <w:bCs/>
                <w:i/>
                <w:iCs/>
                <w:noProof/>
                <w:sz w:val="20"/>
                <w:szCs w:val="20"/>
                <w:lang w:val="en-GB" w:eastAsia="en-GB"/>
              </w:rPr>
              <w:t>116 666 667</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04 02 64</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Youth Employment Initiative</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233 333 333</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350 000 000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116 666 667</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lang w:val="en-GB" w:eastAsia="en-GB"/>
              </w:rPr>
            </w:pPr>
            <w:r>
              <w:rPr>
                <w:rFonts w:eastAsia="Times New Roman"/>
                <w:b/>
                <w:bCs/>
                <w:i/>
                <w:iCs/>
                <w:noProof/>
                <w:sz w:val="20"/>
                <w:szCs w:val="20"/>
                <w:lang w:val="en-GB" w:eastAsia="en-GB"/>
              </w:rPr>
              <w:t>1.2.PPPA</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lang w:val="en-GB" w:eastAsia="en-GB"/>
              </w:rPr>
            </w:pPr>
            <w:r>
              <w:rPr>
                <w:rFonts w:eastAsia="Times New Roman"/>
                <w:b/>
                <w:bCs/>
                <w:i/>
                <w:iCs/>
                <w:noProof/>
                <w:sz w:val="20"/>
                <w:szCs w:val="20"/>
                <w:lang w:val="en-GB" w:eastAsia="en-GB"/>
              </w:rPr>
              <w:t>Pilot projects and preparatory actions</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r>
              <w:rPr>
                <w:rFonts w:eastAsia="Times New Roman"/>
                <w:b/>
                <w:bCs/>
                <w:i/>
                <w:iCs/>
                <w:noProof/>
                <w:sz w:val="20"/>
                <w:szCs w:val="20"/>
                <w:lang w:val="en-GB" w:eastAsia="en-GB"/>
              </w:rPr>
              <w:t>3 675 000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rPr>
                <w:rFonts w:eastAsia="Times New Roman"/>
                <w:b/>
                <w:bCs/>
                <w:noProof/>
                <w:sz w:val="20"/>
                <w:szCs w:val="20"/>
                <w:lang w:val="en-GB" w:eastAsia="en-GB"/>
              </w:rPr>
            </w:pPr>
          </w:p>
        </w:tc>
        <w:tc>
          <w:tcPr>
            <w:tcW w:w="4940" w:type="dxa"/>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rPr>
                <w:rFonts w:eastAsia="Times New Roman"/>
                <w:b/>
                <w:bCs/>
                <w:noProof/>
                <w:sz w:val="20"/>
                <w:szCs w:val="20"/>
                <w:lang w:val="en-GB" w:eastAsia="en-GB"/>
              </w:rPr>
            </w:pPr>
            <w:r>
              <w:rPr>
                <w:rFonts w:eastAsia="Times New Roman"/>
                <w:b/>
                <w:bCs/>
                <w:noProof/>
                <w:sz w:val="20"/>
                <w:szCs w:val="20"/>
                <w:lang w:val="en-GB" w:eastAsia="en-GB"/>
              </w:rPr>
              <w:t>Total</w:t>
            </w:r>
          </w:p>
        </w:tc>
        <w:tc>
          <w:tcPr>
            <w:tcW w:w="148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eastAsia="Times New Roman"/>
                <w:b/>
                <w:bCs/>
                <w:noProof/>
                <w:sz w:val="20"/>
                <w:szCs w:val="20"/>
                <w:lang w:val="en-GB" w:eastAsia="en-GB"/>
              </w:rPr>
            </w:pPr>
          </w:p>
        </w:tc>
        <w:tc>
          <w:tcPr>
            <w:tcW w:w="148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eastAsia="Times New Roman"/>
                <w:b/>
                <w:bCs/>
                <w:noProof/>
                <w:sz w:val="20"/>
                <w:szCs w:val="20"/>
                <w:lang w:val="en-GB" w:eastAsia="en-GB"/>
              </w:rPr>
            </w:pPr>
          </w:p>
        </w:tc>
        <w:tc>
          <w:tcPr>
            <w:tcW w:w="1396"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eastAsia="Times New Roman"/>
                <w:b/>
                <w:bCs/>
                <w:noProof/>
                <w:sz w:val="20"/>
                <w:szCs w:val="20"/>
                <w:lang w:val="en-GB" w:eastAsia="en-GB"/>
              </w:rPr>
            </w:pPr>
            <w:r>
              <w:rPr>
                <w:rFonts w:eastAsia="Times New Roman"/>
                <w:b/>
                <w:bCs/>
                <w:noProof/>
                <w:sz w:val="20"/>
                <w:szCs w:val="20"/>
                <w:lang w:val="en-GB" w:eastAsia="en-GB"/>
              </w:rPr>
              <w:t>118 596 764</w:t>
            </w:r>
          </w:p>
        </w:tc>
      </w:tr>
    </w:tbl>
    <w:p>
      <w:pPr>
        <w:spacing w:before="240" w:after="120"/>
        <w:jc w:val="both"/>
        <w:rPr>
          <w:noProof/>
          <w:lang w:val="en-GB"/>
        </w:rPr>
      </w:pPr>
      <w:r>
        <w:rPr>
          <w:noProof/>
          <w:lang w:val="en-GB"/>
        </w:rPr>
        <w:t>As a consequence, the level of commitment appropriations is proposed to be set at EUR 57 192,0 million, with no margin left under the expenditure ceiling of heading 1b and the use of the Global margin for commitments for an amount of EUR 350,0 million.</w:t>
      </w:r>
    </w:p>
    <w:p>
      <w:pPr>
        <w:pStyle w:val="ManualHeading3"/>
        <w:rPr>
          <w:noProof/>
        </w:rPr>
      </w:pPr>
      <w:bookmarkStart w:id="28" w:name="_Toc530586722"/>
      <w:bookmarkStart w:id="29" w:name="_Ref340817102"/>
      <w:bookmarkStart w:id="30" w:name="_Toc530674105"/>
      <w:bookmarkEnd w:id="28"/>
      <w:r>
        <w:t>3.2.3.</w:t>
      </w:r>
      <w:r>
        <w:tab/>
      </w:r>
      <w:r>
        <w:rPr>
          <w:noProof/>
        </w:rPr>
        <w:t>Heading 2 — Sustainable Growth: Natural Resources</w:t>
      </w:r>
      <w:bookmarkEnd w:id="29"/>
      <w:bookmarkEnd w:id="30"/>
    </w:p>
    <w:p>
      <w:pPr>
        <w:spacing w:line="240" w:lineRule="auto"/>
        <w:jc w:val="both"/>
        <w:rPr>
          <w:noProof/>
          <w:lang w:val="en-GB"/>
        </w:rPr>
      </w:pPr>
      <w:r>
        <w:rPr>
          <w:noProof/>
          <w:lang w:val="en-GB"/>
        </w:rPr>
        <w:t>For heading 2, commitment appropriations are proposed to be set at the level of the original draft budget, as modified by Amending letter 1/2019, with the amendments included in the table below:</w:t>
      </w:r>
    </w:p>
    <w:tbl>
      <w:tblPr>
        <w:tblW w:w="10536" w:type="dxa"/>
        <w:tblInd w:w="108" w:type="dxa"/>
        <w:tblLook w:val="04A0" w:firstRow="1" w:lastRow="0" w:firstColumn="1" w:lastColumn="0" w:noHBand="0" w:noVBand="1"/>
      </w:tblPr>
      <w:tblGrid>
        <w:gridCol w:w="1240"/>
        <w:gridCol w:w="4940"/>
        <w:gridCol w:w="1480"/>
        <w:gridCol w:w="1480"/>
        <w:gridCol w:w="1396"/>
      </w:tblGrid>
      <w:tr>
        <w:trPr>
          <w:trHeight w:val="255"/>
          <w:tblHeader/>
        </w:trPr>
        <w:tc>
          <w:tcPr>
            <w:tcW w:w="1240" w:type="dxa"/>
            <w:tcBorders>
              <w:top w:val="nil"/>
              <w:left w:val="nil"/>
              <w:bottom w:val="nil"/>
              <w:right w:val="nil"/>
            </w:tcBorders>
            <w:shd w:val="clear" w:color="auto" w:fill="auto"/>
            <w:noWrap/>
            <w:vAlign w:val="center"/>
            <w:hideMark/>
          </w:tcPr>
          <w:p>
            <w:pPr>
              <w:spacing w:after="0" w:line="240" w:lineRule="auto"/>
              <w:rPr>
                <w:rFonts w:eastAsia="Times New Roman"/>
                <w:noProof/>
                <w:sz w:val="20"/>
                <w:szCs w:val="20"/>
                <w:lang w:val="en-GB" w:eastAsia="en-GB"/>
              </w:rPr>
            </w:pPr>
          </w:p>
        </w:tc>
        <w:tc>
          <w:tcPr>
            <w:tcW w:w="4940" w:type="dxa"/>
            <w:tcBorders>
              <w:top w:val="nil"/>
              <w:left w:val="nil"/>
              <w:bottom w:val="nil"/>
              <w:right w:val="nil"/>
            </w:tcBorders>
            <w:shd w:val="clear" w:color="auto" w:fill="auto"/>
            <w:noWrap/>
            <w:vAlign w:val="bottom"/>
            <w:hideMark/>
          </w:tcPr>
          <w:p>
            <w:pPr>
              <w:spacing w:after="0" w:line="240" w:lineRule="auto"/>
              <w:rPr>
                <w:rFonts w:eastAsia="Times New Roman"/>
                <w:noProof/>
                <w:sz w:val="20"/>
                <w:szCs w:val="20"/>
                <w:lang w:val="en-GB" w:eastAsia="en-GB"/>
              </w:rPr>
            </w:pPr>
          </w:p>
        </w:tc>
        <w:tc>
          <w:tcPr>
            <w:tcW w:w="1480" w:type="dxa"/>
            <w:tcBorders>
              <w:top w:val="nil"/>
              <w:left w:val="nil"/>
              <w:bottom w:val="nil"/>
              <w:right w:val="nil"/>
            </w:tcBorders>
            <w:shd w:val="clear" w:color="auto" w:fill="auto"/>
            <w:noWrap/>
            <w:vAlign w:val="center"/>
            <w:hideMark/>
          </w:tcPr>
          <w:p>
            <w:pPr>
              <w:spacing w:after="0" w:line="240" w:lineRule="auto"/>
              <w:rPr>
                <w:rFonts w:eastAsia="Times New Roman"/>
                <w:noProof/>
                <w:sz w:val="20"/>
                <w:szCs w:val="20"/>
                <w:lang w:val="en-GB" w:eastAsia="en-GB"/>
              </w:rPr>
            </w:pPr>
          </w:p>
        </w:tc>
        <w:tc>
          <w:tcPr>
            <w:tcW w:w="1480" w:type="dxa"/>
            <w:tcBorders>
              <w:top w:val="nil"/>
              <w:left w:val="nil"/>
              <w:bottom w:val="nil"/>
              <w:right w:val="nil"/>
            </w:tcBorders>
            <w:shd w:val="clear" w:color="auto" w:fill="auto"/>
            <w:noWrap/>
            <w:vAlign w:val="center"/>
            <w:hideMark/>
          </w:tcPr>
          <w:p>
            <w:pPr>
              <w:spacing w:after="0" w:line="240" w:lineRule="auto"/>
              <w:rPr>
                <w:rFonts w:eastAsia="Times New Roman"/>
                <w:noProof/>
                <w:sz w:val="20"/>
                <w:szCs w:val="20"/>
                <w:lang w:val="en-GB" w:eastAsia="en-GB"/>
              </w:rPr>
            </w:pPr>
          </w:p>
        </w:tc>
        <w:tc>
          <w:tcPr>
            <w:tcW w:w="1396" w:type="dxa"/>
            <w:tcBorders>
              <w:top w:val="nil"/>
              <w:left w:val="nil"/>
              <w:bottom w:val="nil"/>
              <w:right w:val="nil"/>
            </w:tcBorders>
            <w:shd w:val="clear" w:color="auto" w:fill="auto"/>
            <w:noWrap/>
            <w:vAlign w:val="center"/>
            <w:hideMark/>
          </w:tcPr>
          <w:p>
            <w:pPr>
              <w:spacing w:after="0" w:line="240" w:lineRule="auto"/>
              <w:jc w:val="right"/>
              <w:rPr>
                <w:rFonts w:eastAsia="Times New Roman"/>
                <w:i/>
                <w:iCs/>
                <w:noProof/>
                <w:sz w:val="20"/>
                <w:szCs w:val="20"/>
                <w:lang w:val="en-GB" w:eastAsia="en-GB"/>
              </w:rPr>
            </w:pPr>
            <w:r>
              <w:rPr>
                <w:rFonts w:eastAsia="Times New Roman"/>
                <w:i/>
                <w:iCs/>
                <w:noProof/>
                <w:sz w:val="20"/>
                <w:szCs w:val="20"/>
                <w:lang w:val="en-GB" w:eastAsia="en-GB"/>
              </w:rPr>
              <w:t>In EUR</w:t>
            </w:r>
          </w:p>
        </w:tc>
      </w:tr>
      <w:tr>
        <w:trPr>
          <w:trHeight w:val="255"/>
          <w:tblHeader/>
        </w:trPr>
        <w:tc>
          <w:tcPr>
            <w:tcW w:w="1240" w:type="dxa"/>
            <w:vMerge w:val="restart"/>
            <w:tcBorders>
              <w:top w:val="single" w:sz="4" w:space="0" w:color="auto"/>
              <w:left w:val="single" w:sz="4" w:space="0" w:color="auto"/>
              <w:bottom w:val="single" w:sz="4" w:space="0" w:color="000000"/>
              <w:right w:val="nil"/>
            </w:tcBorders>
            <w:shd w:val="clear" w:color="DCE6F1" w:fill="DCE6F1"/>
            <w:vAlign w:val="center"/>
            <w:hideMark/>
          </w:tcPr>
          <w:p>
            <w:pPr>
              <w:spacing w:after="0" w:line="240" w:lineRule="auto"/>
              <w:jc w:val="center"/>
              <w:rPr>
                <w:rFonts w:eastAsia="Times New Roman"/>
                <w:b/>
                <w:bCs/>
                <w:noProof/>
                <w:color w:val="000000"/>
                <w:sz w:val="16"/>
                <w:szCs w:val="16"/>
                <w:lang w:val="en-GB" w:eastAsia="en-GB"/>
              </w:rPr>
            </w:pPr>
            <w:r>
              <w:rPr>
                <w:rFonts w:eastAsia="Times New Roman"/>
                <w:b/>
                <w:bCs/>
                <w:noProof/>
                <w:color w:val="000000"/>
                <w:sz w:val="16"/>
                <w:szCs w:val="16"/>
                <w:lang w:val="en-GB" w:eastAsia="en-GB"/>
              </w:rPr>
              <w:t>Budget line / Programme</w:t>
            </w:r>
          </w:p>
        </w:tc>
        <w:tc>
          <w:tcPr>
            <w:tcW w:w="4940"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pPr>
              <w:spacing w:after="0" w:line="240" w:lineRule="auto"/>
              <w:jc w:val="center"/>
              <w:rPr>
                <w:rFonts w:eastAsia="Times New Roman"/>
                <w:b/>
                <w:bCs/>
                <w:noProof/>
                <w:color w:val="000000"/>
                <w:sz w:val="20"/>
                <w:szCs w:val="20"/>
                <w:lang w:val="en-GB" w:eastAsia="en-GB"/>
              </w:rPr>
            </w:pPr>
            <w:r>
              <w:rPr>
                <w:rFonts w:eastAsia="Times New Roman"/>
                <w:b/>
                <w:bCs/>
                <w:noProof/>
                <w:color w:val="000000"/>
                <w:sz w:val="20"/>
                <w:szCs w:val="20"/>
                <w:lang w:val="en-GB" w:eastAsia="en-GB"/>
              </w:rPr>
              <w:t>Name</w:t>
            </w:r>
          </w:p>
        </w:tc>
        <w:tc>
          <w:tcPr>
            <w:tcW w:w="4356"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pPr>
              <w:spacing w:after="0" w:line="240" w:lineRule="auto"/>
              <w:jc w:val="center"/>
              <w:rPr>
                <w:rFonts w:eastAsia="Times New Roman"/>
                <w:b/>
                <w:bCs/>
                <w:noProof/>
                <w:sz w:val="20"/>
                <w:szCs w:val="20"/>
                <w:lang w:val="en-GB" w:eastAsia="en-GB"/>
              </w:rPr>
            </w:pPr>
            <w:r>
              <w:rPr>
                <w:rFonts w:eastAsia="Times New Roman"/>
                <w:b/>
                <w:bCs/>
                <w:noProof/>
                <w:sz w:val="20"/>
                <w:szCs w:val="20"/>
                <w:lang w:val="en-GB" w:eastAsia="en-GB"/>
              </w:rPr>
              <w:t>Reinforcement in commitment appropriations</w:t>
            </w:r>
          </w:p>
        </w:tc>
      </w:tr>
      <w:tr>
        <w:trPr>
          <w:trHeight w:val="510"/>
          <w:tblHeader/>
        </w:trPr>
        <w:tc>
          <w:tcPr>
            <w:tcW w:w="1240" w:type="dxa"/>
            <w:vMerge/>
            <w:tcBorders>
              <w:top w:val="single" w:sz="4" w:space="0" w:color="auto"/>
              <w:left w:val="single" w:sz="4" w:space="0" w:color="auto"/>
              <w:bottom w:val="single" w:sz="4" w:space="0" w:color="000000"/>
              <w:right w:val="nil"/>
            </w:tcBorders>
            <w:vAlign w:val="center"/>
            <w:hideMark/>
          </w:tcPr>
          <w:p>
            <w:pPr>
              <w:spacing w:after="0" w:line="240" w:lineRule="auto"/>
              <w:rPr>
                <w:rFonts w:eastAsia="Times New Roman"/>
                <w:b/>
                <w:bCs/>
                <w:noProof/>
                <w:color w:val="000000"/>
                <w:sz w:val="16"/>
                <w:szCs w:val="16"/>
                <w:lang w:val="en-GB" w:eastAsia="en-GB"/>
              </w:rPr>
            </w:pPr>
          </w:p>
        </w:tc>
        <w:tc>
          <w:tcPr>
            <w:tcW w:w="494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eastAsia="Times New Roman"/>
                <w:b/>
                <w:bCs/>
                <w:noProof/>
                <w:color w:val="000000"/>
                <w:sz w:val="20"/>
                <w:szCs w:val="20"/>
                <w:lang w:val="en-GB" w:eastAsia="en-GB"/>
              </w:rPr>
            </w:pPr>
          </w:p>
        </w:tc>
        <w:tc>
          <w:tcPr>
            <w:tcW w:w="148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eastAsia="Times New Roman"/>
                <w:b/>
                <w:bCs/>
                <w:noProof/>
                <w:color w:val="000000"/>
                <w:sz w:val="20"/>
                <w:szCs w:val="20"/>
                <w:lang w:val="en-GB" w:eastAsia="en-GB"/>
              </w:rPr>
            </w:pPr>
            <w:r>
              <w:rPr>
                <w:rFonts w:eastAsia="Times New Roman"/>
                <w:b/>
                <w:bCs/>
                <w:noProof/>
                <w:color w:val="000000"/>
                <w:sz w:val="20"/>
                <w:szCs w:val="20"/>
                <w:lang w:val="en-GB" w:eastAsia="en-GB"/>
              </w:rPr>
              <w:t>DB 2019 (incl. AL1)</w:t>
            </w:r>
          </w:p>
        </w:tc>
        <w:tc>
          <w:tcPr>
            <w:tcW w:w="148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eastAsia="Times New Roman"/>
                <w:b/>
                <w:bCs/>
                <w:noProof/>
                <w:color w:val="000000"/>
                <w:sz w:val="20"/>
                <w:szCs w:val="20"/>
                <w:lang w:val="en-GB" w:eastAsia="en-GB"/>
              </w:rPr>
            </w:pPr>
            <w:r>
              <w:rPr>
                <w:rFonts w:eastAsia="Times New Roman"/>
                <w:b/>
                <w:bCs/>
                <w:noProof/>
                <w:color w:val="000000"/>
                <w:sz w:val="20"/>
                <w:szCs w:val="20"/>
                <w:lang w:val="en-GB" w:eastAsia="en-GB"/>
              </w:rPr>
              <w:t>Second draft budget 2019</w:t>
            </w:r>
          </w:p>
        </w:tc>
        <w:tc>
          <w:tcPr>
            <w:tcW w:w="1396" w:type="dxa"/>
            <w:tcBorders>
              <w:top w:val="nil"/>
              <w:left w:val="nil"/>
              <w:bottom w:val="single" w:sz="4" w:space="0" w:color="auto"/>
              <w:right w:val="single" w:sz="4" w:space="0" w:color="auto"/>
            </w:tcBorders>
            <w:shd w:val="clear" w:color="DCE6F1" w:fill="DCE6F1"/>
            <w:noWrap/>
            <w:vAlign w:val="center"/>
            <w:hideMark/>
          </w:tcPr>
          <w:p>
            <w:pPr>
              <w:spacing w:after="0" w:line="240" w:lineRule="auto"/>
              <w:jc w:val="center"/>
              <w:rPr>
                <w:rFonts w:eastAsia="Times New Roman"/>
                <w:b/>
                <w:bCs/>
                <w:noProof/>
                <w:color w:val="000000"/>
                <w:sz w:val="20"/>
                <w:szCs w:val="20"/>
                <w:lang w:val="en-GB" w:eastAsia="en-GB"/>
              </w:rPr>
            </w:pPr>
            <w:r>
              <w:rPr>
                <w:rFonts w:eastAsia="Times New Roman"/>
                <w:b/>
                <w:bCs/>
                <w:noProof/>
                <w:color w:val="000000"/>
                <w:sz w:val="20"/>
                <w:szCs w:val="20"/>
                <w:lang w:val="en-GB" w:eastAsia="en-GB"/>
              </w:rPr>
              <w:t>Difference</w:t>
            </w:r>
          </w:p>
        </w:tc>
      </w:tr>
      <w:tr>
        <w:trPr>
          <w:trHeight w:val="54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lang w:val="en-GB" w:eastAsia="en-GB"/>
              </w:rPr>
            </w:pPr>
            <w:r>
              <w:rPr>
                <w:rFonts w:eastAsia="Times New Roman"/>
                <w:b/>
                <w:bCs/>
                <w:i/>
                <w:iCs/>
                <w:noProof/>
                <w:sz w:val="20"/>
                <w:szCs w:val="20"/>
                <w:lang w:val="en-GB" w:eastAsia="en-GB"/>
              </w:rPr>
              <w:t>2.0.10</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lang w:val="en-GB" w:eastAsia="en-GB"/>
              </w:rPr>
            </w:pPr>
            <w:r>
              <w:rPr>
                <w:rFonts w:eastAsia="Times New Roman"/>
                <w:b/>
                <w:bCs/>
                <w:i/>
                <w:iCs/>
                <w:noProof/>
                <w:sz w:val="20"/>
                <w:szCs w:val="20"/>
                <w:lang w:val="en-GB" w:eastAsia="en-GB"/>
              </w:rPr>
              <w:t>European Agricultural Guarantee Fund (EAGF) — Market related expenditure and direct payments</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r>
              <w:rPr>
                <w:rFonts w:eastAsia="Times New Roman"/>
                <w:b/>
                <w:bCs/>
                <w:i/>
                <w:iCs/>
                <w:noProof/>
                <w:sz w:val="20"/>
                <w:szCs w:val="20"/>
                <w:lang w:val="en-GB" w:eastAsia="en-GB"/>
              </w:rPr>
              <w:t>-237 500 000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05 02 06 99</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Other measures for olive oil</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100 000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600 000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500 000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05 02 15 99</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Other measures for pigmeat, poultry, eggs, bee-keeping, other animal products</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13 000 000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28 000 000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15 000 000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05 03 01 10</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Basic payment scheme (BPS)</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16 464 000 000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16 211 000 000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-253 000 000</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lang w:val="en-GB" w:eastAsia="en-GB"/>
              </w:rPr>
            </w:pPr>
            <w:r>
              <w:rPr>
                <w:rFonts w:eastAsia="Times New Roman"/>
                <w:b/>
                <w:bCs/>
                <w:i/>
                <w:iCs/>
                <w:noProof/>
                <w:sz w:val="20"/>
                <w:szCs w:val="20"/>
                <w:lang w:val="en-GB" w:eastAsia="en-GB"/>
              </w:rPr>
              <w:t>2.0.4</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lang w:val="en-GB" w:eastAsia="en-GB"/>
              </w:rPr>
            </w:pPr>
            <w:r>
              <w:rPr>
                <w:rFonts w:eastAsia="Times New Roman"/>
                <w:b/>
                <w:bCs/>
                <w:i/>
                <w:iCs/>
                <w:noProof/>
                <w:sz w:val="20"/>
                <w:szCs w:val="20"/>
                <w:lang w:val="en-GB" w:eastAsia="en-GB"/>
              </w:rPr>
              <w:t>Environment and climate action (LIFE)</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r>
              <w:rPr>
                <w:rFonts w:eastAsia="Times New Roman"/>
                <w:b/>
                <w:bCs/>
                <w:i/>
                <w:iCs/>
                <w:noProof/>
                <w:sz w:val="20"/>
                <w:szCs w:val="20"/>
                <w:lang w:val="en-GB" w:eastAsia="en-GB"/>
              </w:rPr>
              <w:t>4 000 000</w:t>
            </w:r>
          </w:p>
        </w:tc>
      </w:tr>
      <w:tr>
        <w:trPr>
          <w:trHeight w:val="76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07 02 01</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Contributing to a greener and more resource-efficient economy and to the development and implementation of Union environmental policy and legislation</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148 835 000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150 335 000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1 500 000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07 02 02</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Halting and reversing biodiversity loss</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211 620 000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213 620 000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2 000 000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07 02 03</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Supporting better environmental governance and information at all levels</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47 500 000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48 000 000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500 000</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lang w:val="en-GB" w:eastAsia="en-GB"/>
              </w:rPr>
            </w:pPr>
            <w:r>
              <w:rPr>
                <w:rFonts w:eastAsia="Times New Roman"/>
                <w:b/>
                <w:bCs/>
                <w:i/>
                <w:iCs/>
                <w:noProof/>
                <w:sz w:val="20"/>
                <w:szCs w:val="20"/>
                <w:lang w:val="en-GB" w:eastAsia="en-GB"/>
              </w:rPr>
              <w:t>2.0.PPPA</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lang w:val="en-GB" w:eastAsia="en-GB"/>
              </w:rPr>
            </w:pPr>
            <w:r>
              <w:rPr>
                <w:rFonts w:eastAsia="Times New Roman"/>
                <w:b/>
                <w:bCs/>
                <w:i/>
                <w:iCs/>
                <w:noProof/>
                <w:sz w:val="20"/>
                <w:szCs w:val="20"/>
                <w:lang w:val="en-GB" w:eastAsia="en-GB"/>
              </w:rPr>
              <w:t>Pilot projects and preparatory actions</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r>
              <w:rPr>
                <w:rFonts w:eastAsia="Times New Roman"/>
                <w:b/>
                <w:bCs/>
                <w:i/>
                <w:iCs/>
                <w:noProof/>
                <w:sz w:val="20"/>
                <w:szCs w:val="20"/>
                <w:lang w:val="en-GB" w:eastAsia="en-GB"/>
              </w:rPr>
              <w:t>13 500 000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rPr>
                <w:rFonts w:eastAsia="Times New Roman"/>
                <w:b/>
                <w:bCs/>
                <w:noProof/>
                <w:sz w:val="20"/>
                <w:szCs w:val="20"/>
                <w:lang w:val="en-GB" w:eastAsia="en-GB"/>
              </w:rPr>
            </w:pPr>
          </w:p>
        </w:tc>
        <w:tc>
          <w:tcPr>
            <w:tcW w:w="4940" w:type="dxa"/>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rPr>
                <w:rFonts w:eastAsia="Times New Roman"/>
                <w:b/>
                <w:bCs/>
                <w:noProof/>
                <w:sz w:val="20"/>
                <w:szCs w:val="20"/>
                <w:lang w:val="en-GB" w:eastAsia="en-GB"/>
              </w:rPr>
            </w:pPr>
            <w:r>
              <w:rPr>
                <w:rFonts w:eastAsia="Times New Roman"/>
                <w:b/>
                <w:bCs/>
                <w:noProof/>
                <w:sz w:val="20"/>
                <w:szCs w:val="20"/>
                <w:lang w:val="en-GB" w:eastAsia="en-GB"/>
              </w:rPr>
              <w:t>Total</w:t>
            </w:r>
          </w:p>
        </w:tc>
        <w:tc>
          <w:tcPr>
            <w:tcW w:w="148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eastAsia="Times New Roman"/>
                <w:b/>
                <w:bCs/>
                <w:noProof/>
                <w:sz w:val="20"/>
                <w:szCs w:val="20"/>
                <w:lang w:val="en-GB" w:eastAsia="en-GB"/>
              </w:rPr>
            </w:pPr>
          </w:p>
        </w:tc>
        <w:tc>
          <w:tcPr>
            <w:tcW w:w="148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eastAsia="Times New Roman"/>
                <w:b/>
                <w:bCs/>
                <w:noProof/>
                <w:sz w:val="20"/>
                <w:szCs w:val="20"/>
                <w:lang w:val="en-GB" w:eastAsia="en-GB"/>
              </w:rPr>
            </w:pPr>
          </w:p>
        </w:tc>
        <w:tc>
          <w:tcPr>
            <w:tcW w:w="1396"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eastAsia="Times New Roman"/>
                <w:b/>
                <w:bCs/>
                <w:noProof/>
                <w:sz w:val="20"/>
                <w:szCs w:val="20"/>
                <w:lang w:val="en-GB" w:eastAsia="en-GB"/>
              </w:rPr>
            </w:pPr>
            <w:r>
              <w:rPr>
                <w:rFonts w:eastAsia="Times New Roman"/>
                <w:b/>
                <w:bCs/>
                <w:noProof/>
                <w:sz w:val="20"/>
                <w:szCs w:val="20"/>
                <w:lang w:val="en-GB" w:eastAsia="en-GB"/>
              </w:rPr>
              <w:t>-220 000 000</w:t>
            </w:r>
          </w:p>
        </w:tc>
      </w:tr>
    </w:tbl>
    <w:p>
      <w:pPr>
        <w:spacing w:before="240" w:after="120"/>
        <w:jc w:val="both"/>
        <w:rPr>
          <w:noProof/>
          <w:lang w:val="en-GB"/>
        </w:rPr>
      </w:pPr>
      <w:r>
        <w:rPr>
          <w:noProof/>
          <w:lang w:val="en-GB"/>
        </w:rPr>
        <w:t xml:space="preserve">The decrease of commitment appropriations is fully attributed to higher assigned revenue arising from the EAGF surplus of 31 October 2018 which will cover the full needs of the sector as updated in Amending letter 1/2019. </w:t>
      </w:r>
    </w:p>
    <w:p>
      <w:pPr>
        <w:spacing w:before="240" w:after="120"/>
        <w:jc w:val="both"/>
        <w:rPr>
          <w:noProof/>
          <w:lang w:val="en-GB"/>
        </w:rPr>
      </w:pPr>
      <w:r>
        <w:rPr>
          <w:noProof/>
          <w:lang w:val="en-GB"/>
        </w:rPr>
        <w:t>As a consequence, the level of commitments is proposed to be set at EUR 59 642,1 million, leaving a margin of EUR 701,9 million under the expenditure ceiling of heading 2.</w:t>
      </w:r>
    </w:p>
    <w:p>
      <w:pPr>
        <w:pStyle w:val="ManualHeading3"/>
        <w:rPr>
          <w:noProof/>
        </w:rPr>
      </w:pPr>
      <w:bookmarkStart w:id="31" w:name="_Toc530674106"/>
      <w:r>
        <w:t>3.2.4.</w:t>
      </w:r>
      <w:r>
        <w:tab/>
      </w:r>
      <w:r>
        <w:rPr>
          <w:noProof/>
        </w:rPr>
        <w:t>Heading 3 — Security and Citizenship</w:t>
      </w:r>
      <w:bookmarkEnd w:id="31"/>
    </w:p>
    <w:p>
      <w:pPr>
        <w:spacing w:line="240" w:lineRule="auto"/>
        <w:jc w:val="both"/>
        <w:rPr>
          <w:noProof/>
          <w:lang w:val="en-GB"/>
        </w:rPr>
      </w:pPr>
      <w:r>
        <w:rPr>
          <w:noProof/>
          <w:lang w:val="en-GB"/>
        </w:rPr>
        <w:t>For heading 3, commitment appropriations are proposed to be set at the level of the original draft budget, as modified by Amending letter 1/2019, with the amendments included in the table below:</w:t>
      </w:r>
    </w:p>
    <w:tbl>
      <w:tblPr>
        <w:tblW w:w="10536" w:type="dxa"/>
        <w:tblInd w:w="108" w:type="dxa"/>
        <w:tblLook w:val="04A0" w:firstRow="1" w:lastRow="0" w:firstColumn="1" w:lastColumn="0" w:noHBand="0" w:noVBand="1"/>
      </w:tblPr>
      <w:tblGrid>
        <w:gridCol w:w="1240"/>
        <w:gridCol w:w="4940"/>
        <w:gridCol w:w="1480"/>
        <w:gridCol w:w="1480"/>
        <w:gridCol w:w="1396"/>
      </w:tblGrid>
      <w:tr>
        <w:trPr>
          <w:trHeight w:val="255"/>
          <w:tblHeader/>
        </w:trPr>
        <w:tc>
          <w:tcPr>
            <w:tcW w:w="1240" w:type="dxa"/>
            <w:tcBorders>
              <w:top w:val="nil"/>
              <w:left w:val="nil"/>
              <w:bottom w:val="nil"/>
              <w:right w:val="nil"/>
            </w:tcBorders>
            <w:shd w:val="clear" w:color="auto" w:fill="auto"/>
            <w:noWrap/>
            <w:vAlign w:val="center"/>
            <w:hideMark/>
          </w:tcPr>
          <w:p>
            <w:pPr>
              <w:spacing w:after="0" w:line="240" w:lineRule="auto"/>
              <w:rPr>
                <w:rFonts w:eastAsia="Times New Roman"/>
                <w:noProof/>
                <w:sz w:val="20"/>
                <w:szCs w:val="20"/>
                <w:lang w:val="en-GB" w:eastAsia="en-GB"/>
              </w:rPr>
            </w:pPr>
          </w:p>
        </w:tc>
        <w:tc>
          <w:tcPr>
            <w:tcW w:w="4940" w:type="dxa"/>
            <w:tcBorders>
              <w:top w:val="nil"/>
              <w:left w:val="nil"/>
              <w:bottom w:val="nil"/>
              <w:right w:val="nil"/>
            </w:tcBorders>
            <w:shd w:val="clear" w:color="auto" w:fill="auto"/>
            <w:noWrap/>
            <w:vAlign w:val="bottom"/>
            <w:hideMark/>
          </w:tcPr>
          <w:p>
            <w:pPr>
              <w:spacing w:after="0" w:line="240" w:lineRule="auto"/>
              <w:rPr>
                <w:rFonts w:eastAsia="Times New Roman"/>
                <w:noProof/>
                <w:sz w:val="20"/>
                <w:szCs w:val="20"/>
                <w:lang w:val="en-GB" w:eastAsia="en-GB"/>
              </w:rPr>
            </w:pPr>
          </w:p>
        </w:tc>
        <w:tc>
          <w:tcPr>
            <w:tcW w:w="1480" w:type="dxa"/>
            <w:tcBorders>
              <w:top w:val="nil"/>
              <w:left w:val="nil"/>
              <w:bottom w:val="nil"/>
              <w:right w:val="nil"/>
            </w:tcBorders>
            <w:shd w:val="clear" w:color="auto" w:fill="auto"/>
            <w:noWrap/>
            <w:vAlign w:val="center"/>
            <w:hideMark/>
          </w:tcPr>
          <w:p>
            <w:pPr>
              <w:spacing w:after="0" w:line="240" w:lineRule="auto"/>
              <w:rPr>
                <w:rFonts w:eastAsia="Times New Roman"/>
                <w:noProof/>
                <w:sz w:val="20"/>
                <w:szCs w:val="20"/>
                <w:lang w:val="en-GB" w:eastAsia="en-GB"/>
              </w:rPr>
            </w:pPr>
          </w:p>
        </w:tc>
        <w:tc>
          <w:tcPr>
            <w:tcW w:w="1480" w:type="dxa"/>
            <w:tcBorders>
              <w:top w:val="nil"/>
              <w:left w:val="nil"/>
              <w:bottom w:val="nil"/>
              <w:right w:val="nil"/>
            </w:tcBorders>
            <w:shd w:val="clear" w:color="auto" w:fill="auto"/>
            <w:noWrap/>
            <w:vAlign w:val="center"/>
            <w:hideMark/>
          </w:tcPr>
          <w:p>
            <w:pPr>
              <w:spacing w:after="0" w:line="240" w:lineRule="auto"/>
              <w:rPr>
                <w:rFonts w:eastAsia="Times New Roman"/>
                <w:noProof/>
                <w:sz w:val="20"/>
                <w:szCs w:val="20"/>
                <w:lang w:val="en-GB" w:eastAsia="en-GB"/>
              </w:rPr>
            </w:pPr>
          </w:p>
        </w:tc>
        <w:tc>
          <w:tcPr>
            <w:tcW w:w="1396" w:type="dxa"/>
            <w:tcBorders>
              <w:top w:val="nil"/>
              <w:left w:val="nil"/>
              <w:bottom w:val="nil"/>
              <w:right w:val="nil"/>
            </w:tcBorders>
            <w:shd w:val="clear" w:color="auto" w:fill="auto"/>
            <w:noWrap/>
            <w:vAlign w:val="center"/>
            <w:hideMark/>
          </w:tcPr>
          <w:p>
            <w:pPr>
              <w:spacing w:after="0" w:line="240" w:lineRule="auto"/>
              <w:jc w:val="right"/>
              <w:rPr>
                <w:rFonts w:eastAsia="Times New Roman"/>
                <w:i/>
                <w:iCs/>
                <w:noProof/>
                <w:sz w:val="20"/>
                <w:szCs w:val="20"/>
                <w:lang w:val="en-GB" w:eastAsia="en-GB"/>
              </w:rPr>
            </w:pPr>
            <w:r>
              <w:rPr>
                <w:rFonts w:eastAsia="Times New Roman"/>
                <w:i/>
                <w:iCs/>
                <w:noProof/>
                <w:sz w:val="20"/>
                <w:szCs w:val="20"/>
                <w:lang w:val="en-GB" w:eastAsia="en-GB"/>
              </w:rPr>
              <w:t>In EUR</w:t>
            </w:r>
          </w:p>
        </w:tc>
      </w:tr>
      <w:tr>
        <w:trPr>
          <w:trHeight w:val="255"/>
          <w:tblHeader/>
        </w:trPr>
        <w:tc>
          <w:tcPr>
            <w:tcW w:w="1240" w:type="dxa"/>
            <w:vMerge w:val="restart"/>
            <w:tcBorders>
              <w:top w:val="single" w:sz="4" w:space="0" w:color="auto"/>
              <w:left w:val="single" w:sz="4" w:space="0" w:color="auto"/>
              <w:bottom w:val="single" w:sz="4" w:space="0" w:color="000000"/>
              <w:right w:val="nil"/>
            </w:tcBorders>
            <w:shd w:val="clear" w:color="DCE6F1" w:fill="DCE6F1"/>
            <w:vAlign w:val="center"/>
            <w:hideMark/>
          </w:tcPr>
          <w:p>
            <w:pPr>
              <w:spacing w:after="0" w:line="240" w:lineRule="auto"/>
              <w:jc w:val="center"/>
              <w:rPr>
                <w:rFonts w:eastAsia="Times New Roman"/>
                <w:b/>
                <w:bCs/>
                <w:noProof/>
                <w:color w:val="000000"/>
                <w:sz w:val="16"/>
                <w:szCs w:val="16"/>
                <w:lang w:val="en-GB" w:eastAsia="en-GB"/>
              </w:rPr>
            </w:pPr>
            <w:r>
              <w:rPr>
                <w:rFonts w:eastAsia="Times New Roman"/>
                <w:b/>
                <w:bCs/>
                <w:noProof/>
                <w:color w:val="000000"/>
                <w:sz w:val="16"/>
                <w:szCs w:val="16"/>
                <w:lang w:val="en-GB" w:eastAsia="en-GB"/>
              </w:rPr>
              <w:t>Budget line / Programme</w:t>
            </w:r>
          </w:p>
        </w:tc>
        <w:tc>
          <w:tcPr>
            <w:tcW w:w="4940"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pPr>
              <w:spacing w:after="0" w:line="240" w:lineRule="auto"/>
              <w:jc w:val="center"/>
              <w:rPr>
                <w:rFonts w:eastAsia="Times New Roman"/>
                <w:b/>
                <w:bCs/>
                <w:noProof/>
                <w:color w:val="000000"/>
                <w:sz w:val="20"/>
                <w:szCs w:val="20"/>
                <w:lang w:val="en-GB" w:eastAsia="en-GB"/>
              </w:rPr>
            </w:pPr>
            <w:r>
              <w:rPr>
                <w:rFonts w:eastAsia="Times New Roman"/>
                <w:b/>
                <w:bCs/>
                <w:noProof/>
                <w:color w:val="000000"/>
                <w:sz w:val="20"/>
                <w:szCs w:val="20"/>
                <w:lang w:val="en-GB" w:eastAsia="en-GB"/>
              </w:rPr>
              <w:t>Name</w:t>
            </w:r>
          </w:p>
        </w:tc>
        <w:tc>
          <w:tcPr>
            <w:tcW w:w="4356"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pPr>
              <w:spacing w:after="0" w:line="240" w:lineRule="auto"/>
              <w:jc w:val="center"/>
              <w:rPr>
                <w:rFonts w:eastAsia="Times New Roman"/>
                <w:b/>
                <w:bCs/>
                <w:noProof/>
                <w:sz w:val="20"/>
                <w:szCs w:val="20"/>
                <w:lang w:val="en-GB" w:eastAsia="en-GB"/>
              </w:rPr>
            </w:pPr>
            <w:r>
              <w:rPr>
                <w:rFonts w:eastAsia="Times New Roman"/>
                <w:b/>
                <w:bCs/>
                <w:noProof/>
                <w:sz w:val="20"/>
                <w:szCs w:val="20"/>
                <w:lang w:val="en-GB" w:eastAsia="en-GB"/>
              </w:rPr>
              <w:t>Reinforcement in commitment appropriations</w:t>
            </w:r>
          </w:p>
        </w:tc>
      </w:tr>
      <w:tr>
        <w:trPr>
          <w:trHeight w:val="510"/>
          <w:tblHeader/>
        </w:trPr>
        <w:tc>
          <w:tcPr>
            <w:tcW w:w="1240" w:type="dxa"/>
            <w:vMerge/>
            <w:tcBorders>
              <w:top w:val="single" w:sz="4" w:space="0" w:color="auto"/>
              <w:left w:val="single" w:sz="4" w:space="0" w:color="auto"/>
              <w:bottom w:val="single" w:sz="4" w:space="0" w:color="000000"/>
              <w:right w:val="nil"/>
            </w:tcBorders>
            <w:vAlign w:val="center"/>
            <w:hideMark/>
          </w:tcPr>
          <w:p>
            <w:pPr>
              <w:spacing w:after="0" w:line="240" w:lineRule="auto"/>
              <w:rPr>
                <w:rFonts w:eastAsia="Times New Roman"/>
                <w:b/>
                <w:bCs/>
                <w:noProof/>
                <w:color w:val="000000"/>
                <w:sz w:val="16"/>
                <w:szCs w:val="16"/>
                <w:lang w:val="en-GB" w:eastAsia="en-GB"/>
              </w:rPr>
            </w:pPr>
          </w:p>
        </w:tc>
        <w:tc>
          <w:tcPr>
            <w:tcW w:w="494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eastAsia="Times New Roman"/>
                <w:b/>
                <w:bCs/>
                <w:noProof/>
                <w:color w:val="000000"/>
                <w:sz w:val="20"/>
                <w:szCs w:val="20"/>
                <w:lang w:val="en-GB" w:eastAsia="en-GB"/>
              </w:rPr>
            </w:pPr>
          </w:p>
        </w:tc>
        <w:tc>
          <w:tcPr>
            <w:tcW w:w="148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eastAsia="Times New Roman"/>
                <w:b/>
                <w:bCs/>
                <w:noProof/>
                <w:color w:val="000000"/>
                <w:sz w:val="20"/>
                <w:szCs w:val="20"/>
                <w:lang w:val="en-GB" w:eastAsia="en-GB"/>
              </w:rPr>
            </w:pPr>
            <w:r>
              <w:rPr>
                <w:rFonts w:eastAsia="Times New Roman"/>
                <w:b/>
                <w:bCs/>
                <w:noProof/>
                <w:color w:val="000000"/>
                <w:sz w:val="20"/>
                <w:szCs w:val="20"/>
                <w:lang w:val="en-GB" w:eastAsia="en-GB"/>
              </w:rPr>
              <w:t>DB 2019 (incl. AL1)</w:t>
            </w:r>
          </w:p>
        </w:tc>
        <w:tc>
          <w:tcPr>
            <w:tcW w:w="148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eastAsia="Times New Roman"/>
                <w:b/>
                <w:bCs/>
                <w:noProof/>
                <w:color w:val="000000"/>
                <w:sz w:val="20"/>
                <w:szCs w:val="20"/>
                <w:lang w:val="en-GB" w:eastAsia="en-GB"/>
              </w:rPr>
            </w:pPr>
            <w:r>
              <w:rPr>
                <w:rFonts w:eastAsia="Times New Roman"/>
                <w:b/>
                <w:bCs/>
                <w:noProof/>
                <w:color w:val="000000"/>
                <w:sz w:val="20"/>
                <w:szCs w:val="20"/>
                <w:lang w:val="en-GB" w:eastAsia="en-GB"/>
              </w:rPr>
              <w:t>Second draft budget 2019</w:t>
            </w:r>
          </w:p>
        </w:tc>
        <w:tc>
          <w:tcPr>
            <w:tcW w:w="1396" w:type="dxa"/>
            <w:tcBorders>
              <w:top w:val="nil"/>
              <w:left w:val="nil"/>
              <w:bottom w:val="single" w:sz="4" w:space="0" w:color="auto"/>
              <w:right w:val="single" w:sz="4" w:space="0" w:color="auto"/>
            </w:tcBorders>
            <w:shd w:val="clear" w:color="DCE6F1" w:fill="DCE6F1"/>
            <w:noWrap/>
            <w:vAlign w:val="center"/>
            <w:hideMark/>
          </w:tcPr>
          <w:p>
            <w:pPr>
              <w:spacing w:after="0" w:line="240" w:lineRule="auto"/>
              <w:jc w:val="center"/>
              <w:rPr>
                <w:rFonts w:eastAsia="Times New Roman"/>
                <w:b/>
                <w:bCs/>
                <w:noProof/>
                <w:color w:val="000000"/>
                <w:sz w:val="20"/>
                <w:szCs w:val="20"/>
                <w:lang w:val="en-GB" w:eastAsia="en-GB"/>
              </w:rPr>
            </w:pPr>
            <w:r>
              <w:rPr>
                <w:rFonts w:eastAsia="Times New Roman"/>
                <w:b/>
                <w:bCs/>
                <w:noProof/>
                <w:color w:val="000000"/>
                <w:sz w:val="20"/>
                <w:szCs w:val="20"/>
                <w:lang w:val="en-GB" w:eastAsia="en-GB"/>
              </w:rPr>
              <w:t>Difference</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lang w:val="en-GB" w:eastAsia="en-GB"/>
              </w:rPr>
            </w:pPr>
            <w:r>
              <w:rPr>
                <w:rFonts w:eastAsia="Times New Roman"/>
                <w:b/>
                <w:bCs/>
                <w:i/>
                <w:iCs/>
                <w:noProof/>
                <w:sz w:val="20"/>
                <w:szCs w:val="20"/>
                <w:lang w:val="en-GB" w:eastAsia="en-GB"/>
              </w:rPr>
              <w:t>3.0.11</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lang w:val="en-GB" w:eastAsia="en-GB"/>
              </w:rPr>
            </w:pPr>
            <w:r>
              <w:rPr>
                <w:rFonts w:eastAsia="Times New Roman"/>
                <w:b/>
                <w:bCs/>
                <w:i/>
                <w:iCs/>
                <w:noProof/>
                <w:sz w:val="20"/>
                <w:szCs w:val="20"/>
                <w:lang w:val="en-GB" w:eastAsia="en-GB"/>
              </w:rPr>
              <w:t>Creative Europe</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r>
              <w:rPr>
                <w:rFonts w:eastAsia="Times New Roman"/>
                <w:b/>
                <w:bCs/>
                <w:i/>
                <w:iCs/>
                <w:noProof/>
                <w:sz w:val="20"/>
                <w:szCs w:val="20"/>
                <w:lang w:val="en-GB" w:eastAsia="en-GB"/>
              </w:rPr>
              <w:t>3 000 000</w:t>
            </w:r>
          </w:p>
        </w:tc>
      </w:tr>
      <w:tr>
        <w:trPr>
          <w:trHeight w:val="76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09 05 01</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MEDIA Sub-programme — Operating transnationally and internationally and promoting transnational circulation and mobility</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117 260 000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120 260 000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3 000 000</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lang w:val="en-GB" w:eastAsia="en-GB"/>
              </w:rPr>
            </w:pPr>
            <w:r>
              <w:rPr>
                <w:rFonts w:eastAsia="Times New Roman"/>
                <w:b/>
                <w:bCs/>
                <w:i/>
                <w:iCs/>
                <w:noProof/>
                <w:sz w:val="20"/>
                <w:szCs w:val="20"/>
                <w:lang w:val="en-GB" w:eastAsia="en-GB"/>
              </w:rPr>
              <w:t>3.0.2</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lang w:val="en-GB" w:eastAsia="en-GB"/>
              </w:rPr>
            </w:pPr>
            <w:r>
              <w:rPr>
                <w:rFonts w:eastAsia="Times New Roman"/>
                <w:b/>
                <w:bCs/>
                <w:i/>
                <w:iCs/>
                <w:noProof/>
                <w:sz w:val="20"/>
                <w:szCs w:val="20"/>
                <w:lang w:val="en-GB" w:eastAsia="en-GB"/>
              </w:rPr>
              <w:t>Internal Security Fund</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r>
              <w:rPr>
                <w:rFonts w:eastAsia="Times New Roman"/>
                <w:b/>
                <w:bCs/>
                <w:i/>
                <w:iCs/>
                <w:noProof/>
                <w:sz w:val="20"/>
                <w:szCs w:val="20"/>
                <w:lang w:val="en-GB" w:eastAsia="en-GB"/>
              </w:rPr>
              <w:t>5 000 000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18 02 01 01</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Support of border management and a common visa policy to facilitate legitimate travel</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330 317 547</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335 317 547</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5 000 000</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lang w:val="en-GB" w:eastAsia="en-GB"/>
              </w:rPr>
            </w:pPr>
            <w:r>
              <w:rPr>
                <w:rFonts w:eastAsia="Times New Roman"/>
                <w:b/>
                <w:bCs/>
                <w:i/>
                <w:iCs/>
                <w:noProof/>
                <w:sz w:val="20"/>
                <w:szCs w:val="20"/>
                <w:lang w:val="en-GB" w:eastAsia="en-GB"/>
              </w:rPr>
              <w:t>3.0.8</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lang w:val="en-GB" w:eastAsia="en-GB"/>
              </w:rPr>
            </w:pPr>
            <w:r>
              <w:rPr>
                <w:rFonts w:eastAsia="Times New Roman"/>
                <w:b/>
                <w:bCs/>
                <w:i/>
                <w:iCs/>
                <w:noProof/>
                <w:sz w:val="20"/>
                <w:szCs w:val="20"/>
                <w:lang w:val="en-GB" w:eastAsia="en-GB"/>
              </w:rPr>
              <w:t>Food and feed</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r>
              <w:rPr>
                <w:rFonts w:eastAsia="Times New Roman"/>
                <w:b/>
                <w:bCs/>
                <w:i/>
                <w:iCs/>
                <w:noProof/>
                <w:sz w:val="20"/>
                <w:szCs w:val="20"/>
                <w:lang w:val="en-GB" w:eastAsia="en-GB"/>
              </w:rPr>
              <w:t>-8 000 000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17 04 01</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Ensuring a higher animal health status and high level of protection of animals in the Union</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163 500 000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155 500 000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-8 000 000</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lang w:val="en-GB" w:eastAsia="en-GB"/>
              </w:rPr>
            </w:pPr>
            <w:r>
              <w:rPr>
                <w:rFonts w:eastAsia="Times New Roman"/>
                <w:b/>
                <w:bCs/>
                <w:i/>
                <w:iCs/>
                <w:noProof/>
                <w:sz w:val="20"/>
                <w:szCs w:val="20"/>
                <w:lang w:val="en-GB" w:eastAsia="en-GB"/>
              </w:rPr>
              <w:t>3.0.DAG</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lang w:val="en-GB" w:eastAsia="en-GB"/>
              </w:rPr>
            </w:pPr>
            <w:r>
              <w:rPr>
                <w:rFonts w:eastAsia="Times New Roman"/>
                <w:b/>
                <w:bCs/>
                <w:i/>
                <w:iCs/>
                <w:noProof/>
                <w:sz w:val="20"/>
                <w:szCs w:val="20"/>
                <w:lang w:val="en-GB" w:eastAsia="en-GB"/>
              </w:rPr>
              <w:t>Decentralised agencies</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r>
              <w:rPr>
                <w:rFonts w:eastAsia="Times New Roman"/>
                <w:b/>
                <w:bCs/>
                <w:i/>
                <w:iCs/>
                <w:noProof/>
                <w:sz w:val="20"/>
                <w:szCs w:val="20"/>
                <w:lang w:val="en-GB" w:eastAsia="en-GB"/>
              </w:rPr>
              <w:t>-42 285 000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18 02 04</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European Union Agency for Law Enforcement Cooperation (Europol)</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128 789 065</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137 146 565</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8 357 500</w:t>
            </w:r>
          </w:p>
        </w:tc>
      </w:tr>
      <w:tr>
        <w:trPr>
          <w:trHeight w:val="76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18 02 07</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European Agency for the operational management of large-scale IT systems in the area of freedom, security and justice (‘eu-LISA’)</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291 350 509</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295 350 509</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4 000 000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18 03 02</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European Asylum Support Office (EASO)</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149 032 843</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94 032 843</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-55 000 000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33 03 04</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The European Union’s Judicial Cooperation Unit (Eurojust)</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37 316 059</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37 673 559</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357 500</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lang w:val="en-GB" w:eastAsia="en-GB"/>
              </w:rPr>
            </w:pPr>
            <w:r>
              <w:rPr>
                <w:rFonts w:eastAsia="Times New Roman"/>
                <w:b/>
                <w:bCs/>
                <w:i/>
                <w:iCs/>
                <w:noProof/>
                <w:sz w:val="20"/>
                <w:szCs w:val="20"/>
                <w:lang w:val="en-GB" w:eastAsia="en-GB"/>
              </w:rPr>
              <w:t>3.0.PPPA</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lang w:val="en-GB" w:eastAsia="en-GB"/>
              </w:rPr>
            </w:pPr>
            <w:r>
              <w:rPr>
                <w:rFonts w:eastAsia="Times New Roman"/>
                <w:b/>
                <w:bCs/>
                <w:i/>
                <w:iCs/>
                <w:noProof/>
                <w:sz w:val="20"/>
                <w:szCs w:val="20"/>
                <w:lang w:val="en-GB" w:eastAsia="en-GB"/>
              </w:rPr>
              <w:t>Pilot projects and preparatory actions</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r>
              <w:rPr>
                <w:rFonts w:eastAsia="Times New Roman"/>
                <w:b/>
                <w:bCs/>
                <w:i/>
                <w:iCs/>
                <w:noProof/>
                <w:sz w:val="20"/>
                <w:szCs w:val="20"/>
                <w:lang w:val="en-GB" w:eastAsia="en-GB"/>
              </w:rPr>
              <w:t>15 075 000</w:t>
            </w:r>
          </w:p>
        </w:tc>
      </w:tr>
      <w:tr>
        <w:trPr>
          <w:trHeight w:val="81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lang w:val="en-GB" w:eastAsia="en-GB"/>
              </w:rPr>
            </w:pPr>
            <w:r>
              <w:rPr>
                <w:rFonts w:eastAsia="Times New Roman"/>
                <w:b/>
                <w:bCs/>
                <w:i/>
                <w:iCs/>
                <w:noProof/>
                <w:sz w:val="20"/>
                <w:szCs w:val="20"/>
                <w:lang w:val="en-GB" w:eastAsia="en-GB"/>
              </w:rPr>
              <w:t>3.0.SPEC</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lang w:val="en-GB" w:eastAsia="en-GB"/>
              </w:rPr>
            </w:pPr>
            <w:r>
              <w:rPr>
                <w:rFonts w:eastAsia="Times New Roman"/>
                <w:b/>
                <w:bCs/>
                <w:i/>
                <w:iCs/>
                <w:noProof/>
                <w:sz w:val="20"/>
                <w:szCs w:val="20"/>
                <w:lang w:val="en-GB" w:eastAsia="en-GB"/>
              </w:rPr>
              <w:t>Actions financed under the prerogatives of the Commission and specific competences conferred to the Commission</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r>
              <w:rPr>
                <w:rFonts w:eastAsia="Times New Roman"/>
                <w:b/>
                <w:bCs/>
                <w:i/>
                <w:iCs/>
                <w:noProof/>
                <w:sz w:val="20"/>
                <w:szCs w:val="20"/>
                <w:lang w:val="en-GB" w:eastAsia="en-GB"/>
              </w:rPr>
              <w:t>3 000 000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09 05 05</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Multimedia actions</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20 346 000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23 546 000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3 200 000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16 03 01 03</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Information outlets</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15 800 000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15 600 000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-200 000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rPr>
                <w:rFonts w:eastAsia="Times New Roman"/>
                <w:b/>
                <w:bCs/>
                <w:noProof/>
                <w:sz w:val="20"/>
                <w:szCs w:val="20"/>
                <w:lang w:val="en-GB" w:eastAsia="en-GB"/>
              </w:rPr>
            </w:pPr>
          </w:p>
        </w:tc>
        <w:tc>
          <w:tcPr>
            <w:tcW w:w="4940" w:type="dxa"/>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rPr>
                <w:rFonts w:eastAsia="Times New Roman"/>
                <w:b/>
                <w:bCs/>
                <w:noProof/>
                <w:sz w:val="20"/>
                <w:szCs w:val="20"/>
                <w:lang w:val="en-GB" w:eastAsia="en-GB"/>
              </w:rPr>
            </w:pPr>
            <w:r>
              <w:rPr>
                <w:rFonts w:eastAsia="Times New Roman"/>
                <w:b/>
                <w:bCs/>
                <w:noProof/>
                <w:sz w:val="20"/>
                <w:szCs w:val="20"/>
                <w:lang w:val="en-GB" w:eastAsia="en-GB"/>
              </w:rPr>
              <w:t>Total</w:t>
            </w:r>
          </w:p>
        </w:tc>
        <w:tc>
          <w:tcPr>
            <w:tcW w:w="148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eastAsia="Times New Roman"/>
                <w:b/>
                <w:bCs/>
                <w:noProof/>
                <w:sz w:val="20"/>
                <w:szCs w:val="20"/>
                <w:lang w:val="en-GB" w:eastAsia="en-GB"/>
              </w:rPr>
            </w:pPr>
          </w:p>
        </w:tc>
        <w:tc>
          <w:tcPr>
            <w:tcW w:w="148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eastAsia="Times New Roman"/>
                <w:b/>
                <w:bCs/>
                <w:noProof/>
                <w:sz w:val="20"/>
                <w:szCs w:val="20"/>
                <w:lang w:val="en-GB" w:eastAsia="en-GB"/>
              </w:rPr>
            </w:pPr>
          </w:p>
        </w:tc>
        <w:tc>
          <w:tcPr>
            <w:tcW w:w="1396"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eastAsia="Times New Roman"/>
                <w:b/>
                <w:bCs/>
                <w:noProof/>
                <w:sz w:val="20"/>
                <w:szCs w:val="20"/>
                <w:lang w:val="en-GB" w:eastAsia="en-GB"/>
              </w:rPr>
            </w:pPr>
            <w:r>
              <w:rPr>
                <w:rFonts w:eastAsia="Times New Roman"/>
                <w:b/>
                <w:bCs/>
                <w:noProof/>
                <w:sz w:val="20"/>
                <w:szCs w:val="20"/>
                <w:lang w:val="en-GB" w:eastAsia="en-GB"/>
              </w:rPr>
              <w:t>-24 210 000</w:t>
            </w:r>
          </w:p>
        </w:tc>
      </w:tr>
    </w:tbl>
    <w:p>
      <w:pPr>
        <w:spacing w:before="240" w:line="240" w:lineRule="auto"/>
        <w:jc w:val="both"/>
        <w:rPr>
          <w:noProof/>
          <w:lang w:val="en-GB"/>
        </w:rPr>
      </w:pPr>
      <w:r>
        <w:rPr>
          <w:noProof/>
          <w:lang w:val="en-GB"/>
        </w:rPr>
        <w:t>As a consequence, the level of commitments is proposed to be set at EUR 3 786,6 million, with no margin left under the expenditure ceiling of heading 3 and the mobilisation of the Flexibility Instrument for an amount of EUR 985,6 million.</w:t>
      </w:r>
    </w:p>
    <w:p>
      <w:pPr>
        <w:pStyle w:val="ManualHeading3"/>
        <w:rPr>
          <w:noProof/>
        </w:rPr>
      </w:pPr>
      <w:bookmarkStart w:id="32" w:name="_Toc530674107"/>
      <w:r>
        <w:t>3.2.5.</w:t>
      </w:r>
      <w:r>
        <w:tab/>
      </w:r>
      <w:r>
        <w:rPr>
          <w:noProof/>
        </w:rPr>
        <w:t>Heading 4 — Global Europe</w:t>
      </w:r>
      <w:bookmarkEnd w:id="32"/>
    </w:p>
    <w:p>
      <w:pPr>
        <w:spacing w:line="240" w:lineRule="auto"/>
        <w:jc w:val="both"/>
        <w:rPr>
          <w:noProof/>
          <w:lang w:val="en-GB"/>
        </w:rPr>
      </w:pPr>
      <w:r>
        <w:rPr>
          <w:noProof/>
          <w:lang w:val="en-GB"/>
        </w:rPr>
        <w:t>For heading 4, commitment appropriations are proposed to be set at the level of the original draft budget, as modified by Amending letter 1/2019, with the amendments included in the table below:</w:t>
      </w:r>
    </w:p>
    <w:tbl>
      <w:tblPr>
        <w:tblW w:w="10536" w:type="dxa"/>
        <w:tblInd w:w="108" w:type="dxa"/>
        <w:tblLook w:val="04A0" w:firstRow="1" w:lastRow="0" w:firstColumn="1" w:lastColumn="0" w:noHBand="0" w:noVBand="1"/>
      </w:tblPr>
      <w:tblGrid>
        <w:gridCol w:w="1240"/>
        <w:gridCol w:w="4940"/>
        <w:gridCol w:w="1480"/>
        <w:gridCol w:w="1480"/>
        <w:gridCol w:w="1396"/>
      </w:tblGrid>
      <w:tr>
        <w:trPr>
          <w:trHeight w:val="255"/>
          <w:tblHeader/>
        </w:trPr>
        <w:tc>
          <w:tcPr>
            <w:tcW w:w="1240" w:type="dxa"/>
            <w:tcBorders>
              <w:top w:val="nil"/>
              <w:left w:val="nil"/>
              <w:bottom w:val="nil"/>
              <w:right w:val="nil"/>
            </w:tcBorders>
            <w:shd w:val="clear" w:color="auto" w:fill="auto"/>
            <w:noWrap/>
            <w:vAlign w:val="center"/>
            <w:hideMark/>
          </w:tcPr>
          <w:p>
            <w:pPr>
              <w:spacing w:after="0" w:line="240" w:lineRule="auto"/>
              <w:rPr>
                <w:rFonts w:eastAsia="Times New Roman"/>
                <w:noProof/>
                <w:sz w:val="20"/>
                <w:szCs w:val="20"/>
                <w:lang w:val="en-GB" w:eastAsia="en-GB"/>
              </w:rPr>
            </w:pPr>
          </w:p>
        </w:tc>
        <w:tc>
          <w:tcPr>
            <w:tcW w:w="4940" w:type="dxa"/>
            <w:tcBorders>
              <w:top w:val="nil"/>
              <w:left w:val="nil"/>
              <w:bottom w:val="nil"/>
              <w:right w:val="nil"/>
            </w:tcBorders>
            <w:shd w:val="clear" w:color="auto" w:fill="auto"/>
            <w:noWrap/>
            <w:vAlign w:val="bottom"/>
            <w:hideMark/>
          </w:tcPr>
          <w:p>
            <w:pPr>
              <w:spacing w:after="0" w:line="240" w:lineRule="auto"/>
              <w:rPr>
                <w:rFonts w:eastAsia="Times New Roman"/>
                <w:noProof/>
                <w:sz w:val="20"/>
                <w:szCs w:val="20"/>
                <w:lang w:val="en-GB" w:eastAsia="en-GB"/>
              </w:rPr>
            </w:pPr>
          </w:p>
        </w:tc>
        <w:tc>
          <w:tcPr>
            <w:tcW w:w="1480" w:type="dxa"/>
            <w:tcBorders>
              <w:top w:val="nil"/>
              <w:left w:val="nil"/>
              <w:bottom w:val="nil"/>
              <w:right w:val="nil"/>
            </w:tcBorders>
            <w:shd w:val="clear" w:color="auto" w:fill="auto"/>
            <w:noWrap/>
            <w:vAlign w:val="center"/>
            <w:hideMark/>
          </w:tcPr>
          <w:p>
            <w:pPr>
              <w:spacing w:after="0" w:line="240" w:lineRule="auto"/>
              <w:rPr>
                <w:rFonts w:eastAsia="Times New Roman"/>
                <w:noProof/>
                <w:sz w:val="20"/>
                <w:szCs w:val="20"/>
                <w:lang w:val="en-GB" w:eastAsia="en-GB"/>
              </w:rPr>
            </w:pPr>
          </w:p>
        </w:tc>
        <w:tc>
          <w:tcPr>
            <w:tcW w:w="1480" w:type="dxa"/>
            <w:tcBorders>
              <w:top w:val="nil"/>
              <w:left w:val="nil"/>
              <w:bottom w:val="nil"/>
              <w:right w:val="nil"/>
            </w:tcBorders>
            <w:shd w:val="clear" w:color="auto" w:fill="auto"/>
            <w:noWrap/>
            <w:vAlign w:val="center"/>
            <w:hideMark/>
          </w:tcPr>
          <w:p>
            <w:pPr>
              <w:spacing w:after="0" w:line="240" w:lineRule="auto"/>
              <w:rPr>
                <w:rFonts w:eastAsia="Times New Roman"/>
                <w:noProof/>
                <w:sz w:val="20"/>
                <w:szCs w:val="20"/>
                <w:lang w:val="en-GB" w:eastAsia="en-GB"/>
              </w:rPr>
            </w:pPr>
          </w:p>
        </w:tc>
        <w:tc>
          <w:tcPr>
            <w:tcW w:w="1396" w:type="dxa"/>
            <w:tcBorders>
              <w:top w:val="nil"/>
              <w:left w:val="nil"/>
              <w:bottom w:val="nil"/>
              <w:right w:val="nil"/>
            </w:tcBorders>
            <w:shd w:val="clear" w:color="auto" w:fill="auto"/>
            <w:noWrap/>
            <w:vAlign w:val="center"/>
            <w:hideMark/>
          </w:tcPr>
          <w:p>
            <w:pPr>
              <w:spacing w:after="0" w:line="240" w:lineRule="auto"/>
              <w:jc w:val="right"/>
              <w:rPr>
                <w:rFonts w:eastAsia="Times New Roman"/>
                <w:i/>
                <w:iCs/>
                <w:noProof/>
                <w:sz w:val="20"/>
                <w:szCs w:val="20"/>
                <w:lang w:val="en-GB" w:eastAsia="en-GB"/>
              </w:rPr>
            </w:pPr>
            <w:r>
              <w:rPr>
                <w:rFonts w:eastAsia="Times New Roman"/>
                <w:i/>
                <w:iCs/>
                <w:noProof/>
                <w:sz w:val="20"/>
                <w:szCs w:val="20"/>
                <w:lang w:val="en-GB" w:eastAsia="en-GB"/>
              </w:rPr>
              <w:t>In EUR</w:t>
            </w:r>
          </w:p>
        </w:tc>
      </w:tr>
      <w:tr>
        <w:trPr>
          <w:trHeight w:val="255"/>
          <w:tblHeader/>
        </w:trPr>
        <w:tc>
          <w:tcPr>
            <w:tcW w:w="1240" w:type="dxa"/>
            <w:vMerge w:val="restart"/>
            <w:tcBorders>
              <w:top w:val="single" w:sz="4" w:space="0" w:color="auto"/>
              <w:left w:val="single" w:sz="4" w:space="0" w:color="auto"/>
              <w:bottom w:val="single" w:sz="4" w:space="0" w:color="000000"/>
              <w:right w:val="nil"/>
            </w:tcBorders>
            <w:shd w:val="clear" w:color="DCE6F1" w:fill="DCE6F1"/>
            <w:vAlign w:val="center"/>
            <w:hideMark/>
          </w:tcPr>
          <w:p>
            <w:pPr>
              <w:spacing w:after="0" w:line="240" w:lineRule="auto"/>
              <w:jc w:val="center"/>
              <w:rPr>
                <w:rFonts w:eastAsia="Times New Roman"/>
                <w:b/>
                <w:bCs/>
                <w:noProof/>
                <w:color w:val="000000"/>
                <w:sz w:val="16"/>
                <w:szCs w:val="16"/>
                <w:lang w:val="en-GB" w:eastAsia="en-GB"/>
              </w:rPr>
            </w:pPr>
            <w:r>
              <w:rPr>
                <w:rFonts w:eastAsia="Times New Roman"/>
                <w:b/>
                <w:bCs/>
                <w:noProof/>
                <w:color w:val="000000"/>
                <w:sz w:val="16"/>
                <w:szCs w:val="16"/>
                <w:lang w:val="en-GB" w:eastAsia="en-GB"/>
              </w:rPr>
              <w:t>Budget line / Programme</w:t>
            </w:r>
          </w:p>
        </w:tc>
        <w:tc>
          <w:tcPr>
            <w:tcW w:w="4940"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pPr>
              <w:spacing w:after="0" w:line="240" w:lineRule="auto"/>
              <w:jc w:val="center"/>
              <w:rPr>
                <w:rFonts w:eastAsia="Times New Roman"/>
                <w:b/>
                <w:bCs/>
                <w:noProof/>
                <w:color w:val="000000"/>
                <w:sz w:val="20"/>
                <w:szCs w:val="20"/>
                <w:lang w:val="en-GB" w:eastAsia="en-GB"/>
              </w:rPr>
            </w:pPr>
            <w:r>
              <w:rPr>
                <w:rFonts w:eastAsia="Times New Roman"/>
                <w:b/>
                <w:bCs/>
                <w:noProof/>
                <w:color w:val="000000"/>
                <w:sz w:val="20"/>
                <w:szCs w:val="20"/>
                <w:lang w:val="en-GB" w:eastAsia="en-GB"/>
              </w:rPr>
              <w:t>Name</w:t>
            </w:r>
          </w:p>
        </w:tc>
        <w:tc>
          <w:tcPr>
            <w:tcW w:w="4356"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pPr>
              <w:spacing w:after="0" w:line="240" w:lineRule="auto"/>
              <w:jc w:val="center"/>
              <w:rPr>
                <w:rFonts w:eastAsia="Times New Roman"/>
                <w:b/>
                <w:bCs/>
                <w:noProof/>
                <w:sz w:val="20"/>
                <w:szCs w:val="20"/>
                <w:lang w:val="en-GB" w:eastAsia="en-GB"/>
              </w:rPr>
            </w:pPr>
            <w:r>
              <w:rPr>
                <w:rFonts w:eastAsia="Times New Roman"/>
                <w:b/>
                <w:bCs/>
                <w:noProof/>
                <w:sz w:val="20"/>
                <w:szCs w:val="20"/>
                <w:lang w:val="en-GB" w:eastAsia="en-GB"/>
              </w:rPr>
              <w:t>Reinforcement in commitment appropriations</w:t>
            </w:r>
          </w:p>
        </w:tc>
      </w:tr>
      <w:tr>
        <w:trPr>
          <w:trHeight w:val="510"/>
          <w:tblHeader/>
        </w:trPr>
        <w:tc>
          <w:tcPr>
            <w:tcW w:w="1240" w:type="dxa"/>
            <w:vMerge/>
            <w:tcBorders>
              <w:top w:val="single" w:sz="4" w:space="0" w:color="auto"/>
              <w:left w:val="single" w:sz="4" w:space="0" w:color="auto"/>
              <w:bottom w:val="single" w:sz="4" w:space="0" w:color="000000"/>
              <w:right w:val="nil"/>
            </w:tcBorders>
            <w:vAlign w:val="center"/>
            <w:hideMark/>
          </w:tcPr>
          <w:p>
            <w:pPr>
              <w:spacing w:after="0" w:line="240" w:lineRule="auto"/>
              <w:rPr>
                <w:rFonts w:eastAsia="Times New Roman"/>
                <w:b/>
                <w:bCs/>
                <w:noProof/>
                <w:color w:val="000000"/>
                <w:sz w:val="16"/>
                <w:szCs w:val="16"/>
                <w:lang w:val="en-GB" w:eastAsia="en-GB"/>
              </w:rPr>
            </w:pPr>
          </w:p>
        </w:tc>
        <w:tc>
          <w:tcPr>
            <w:tcW w:w="494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eastAsia="Times New Roman"/>
                <w:b/>
                <w:bCs/>
                <w:noProof/>
                <w:color w:val="000000"/>
                <w:sz w:val="20"/>
                <w:szCs w:val="20"/>
                <w:lang w:val="en-GB" w:eastAsia="en-GB"/>
              </w:rPr>
            </w:pPr>
          </w:p>
        </w:tc>
        <w:tc>
          <w:tcPr>
            <w:tcW w:w="148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eastAsia="Times New Roman"/>
                <w:b/>
                <w:bCs/>
                <w:noProof/>
                <w:color w:val="000000"/>
                <w:sz w:val="20"/>
                <w:szCs w:val="20"/>
                <w:lang w:val="en-GB" w:eastAsia="en-GB"/>
              </w:rPr>
            </w:pPr>
            <w:r>
              <w:rPr>
                <w:rFonts w:eastAsia="Times New Roman"/>
                <w:b/>
                <w:bCs/>
                <w:noProof/>
                <w:color w:val="000000"/>
                <w:sz w:val="20"/>
                <w:szCs w:val="20"/>
                <w:lang w:val="en-GB" w:eastAsia="en-GB"/>
              </w:rPr>
              <w:t>DB 2019 (incl. AL1)</w:t>
            </w:r>
          </w:p>
        </w:tc>
        <w:tc>
          <w:tcPr>
            <w:tcW w:w="148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eastAsia="Times New Roman"/>
                <w:b/>
                <w:bCs/>
                <w:noProof/>
                <w:color w:val="000000"/>
                <w:sz w:val="20"/>
                <w:szCs w:val="20"/>
                <w:lang w:val="en-GB" w:eastAsia="en-GB"/>
              </w:rPr>
            </w:pPr>
            <w:r>
              <w:rPr>
                <w:rFonts w:eastAsia="Times New Roman"/>
                <w:b/>
                <w:bCs/>
                <w:noProof/>
                <w:color w:val="000000"/>
                <w:sz w:val="20"/>
                <w:szCs w:val="20"/>
                <w:lang w:val="en-GB" w:eastAsia="en-GB"/>
              </w:rPr>
              <w:t>Second draft budget 2019</w:t>
            </w:r>
          </w:p>
        </w:tc>
        <w:tc>
          <w:tcPr>
            <w:tcW w:w="1396" w:type="dxa"/>
            <w:tcBorders>
              <w:top w:val="nil"/>
              <w:left w:val="nil"/>
              <w:bottom w:val="single" w:sz="4" w:space="0" w:color="auto"/>
              <w:right w:val="single" w:sz="4" w:space="0" w:color="auto"/>
            </w:tcBorders>
            <w:shd w:val="clear" w:color="DCE6F1" w:fill="DCE6F1"/>
            <w:noWrap/>
            <w:vAlign w:val="center"/>
            <w:hideMark/>
          </w:tcPr>
          <w:p>
            <w:pPr>
              <w:spacing w:after="0" w:line="240" w:lineRule="auto"/>
              <w:jc w:val="center"/>
              <w:rPr>
                <w:rFonts w:eastAsia="Times New Roman"/>
                <w:b/>
                <w:bCs/>
                <w:noProof/>
                <w:color w:val="000000"/>
                <w:sz w:val="20"/>
                <w:szCs w:val="20"/>
                <w:lang w:val="en-GB" w:eastAsia="en-GB"/>
              </w:rPr>
            </w:pPr>
            <w:r>
              <w:rPr>
                <w:rFonts w:eastAsia="Times New Roman"/>
                <w:b/>
                <w:bCs/>
                <w:noProof/>
                <w:color w:val="000000"/>
                <w:sz w:val="20"/>
                <w:szCs w:val="20"/>
                <w:lang w:val="en-GB" w:eastAsia="en-GB"/>
              </w:rPr>
              <w:t>Difference</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lang w:val="en-GB" w:eastAsia="en-GB"/>
              </w:rPr>
            </w:pPr>
            <w:r>
              <w:rPr>
                <w:rFonts w:eastAsia="Times New Roman"/>
                <w:b/>
                <w:bCs/>
                <w:i/>
                <w:iCs/>
                <w:noProof/>
                <w:sz w:val="20"/>
                <w:szCs w:val="20"/>
                <w:lang w:val="en-GB" w:eastAsia="en-GB"/>
              </w:rPr>
              <w:t>4.0.1</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lang w:val="en-GB" w:eastAsia="en-GB"/>
              </w:rPr>
            </w:pPr>
            <w:r>
              <w:rPr>
                <w:rFonts w:eastAsia="Times New Roman"/>
                <w:b/>
                <w:bCs/>
                <w:i/>
                <w:iCs/>
                <w:noProof/>
                <w:sz w:val="20"/>
                <w:szCs w:val="20"/>
                <w:lang w:val="en-GB" w:eastAsia="en-GB"/>
              </w:rPr>
              <w:t>Instrument for Pre-accession assistance (IPA II)</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r>
              <w:rPr>
                <w:rFonts w:eastAsia="Times New Roman"/>
                <w:b/>
                <w:bCs/>
                <w:i/>
                <w:iCs/>
                <w:noProof/>
                <w:sz w:val="20"/>
                <w:szCs w:val="20"/>
                <w:lang w:val="en-GB" w:eastAsia="en-GB"/>
              </w:rPr>
              <w:t>-138 700 000</w:t>
            </w:r>
          </w:p>
        </w:tc>
      </w:tr>
      <w:tr>
        <w:trPr>
          <w:trHeight w:val="76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05 05 04 02</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Turkey - Support for economic, social and territorial development and related progressive alignment with the Union acquis</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56 800 000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40 000 000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-16 800 000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22 02 01 01</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Western Balkans - Support for political reforms and related progressive alignment with the Union acquis</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189 267 000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193 267 000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4 000 000</w:t>
            </w:r>
          </w:p>
        </w:tc>
      </w:tr>
      <w:tr>
        <w:trPr>
          <w:trHeight w:val="76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22 02 01 02</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Western Balkans - Support for economic, social and territorial development and related progressive alignment with the Union acquis</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306 439 000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310 439 000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4 000 000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22 02 03 01</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Turkey - Support for political reforms and related progressive alignment with the Union acquis</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244 100 000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160 000 000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-84 100 000</w:t>
            </w:r>
          </w:p>
        </w:tc>
      </w:tr>
      <w:tr>
        <w:trPr>
          <w:trHeight w:val="76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22 02 03 02</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Turkey - Support for economic, social and territorial development and related progressive alignment with the Union acquis</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944 500 000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898 700 000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-45 800 000</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lang w:val="en-GB" w:eastAsia="en-GB"/>
              </w:rPr>
            </w:pPr>
            <w:r>
              <w:rPr>
                <w:rFonts w:eastAsia="Times New Roman"/>
                <w:b/>
                <w:bCs/>
                <w:i/>
                <w:iCs/>
                <w:noProof/>
                <w:sz w:val="20"/>
                <w:szCs w:val="20"/>
                <w:lang w:val="en-GB" w:eastAsia="en-GB"/>
              </w:rPr>
              <w:t>4.0.10</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lang w:val="en-GB" w:eastAsia="en-GB"/>
              </w:rPr>
            </w:pPr>
            <w:r>
              <w:rPr>
                <w:rFonts w:eastAsia="Times New Roman"/>
                <w:b/>
                <w:bCs/>
                <w:i/>
                <w:iCs/>
                <w:noProof/>
                <w:sz w:val="20"/>
                <w:szCs w:val="20"/>
                <w:lang w:val="en-GB" w:eastAsia="en-GB"/>
              </w:rPr>
              <w:t>Macro-financial Assistance (MFA)</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r>
              <w:rPr>
                <w:rFonts w:eastAsia="Times New Roman"/>
                <w:b/>
                <w:bCs/>
                <w:i/>
                <w:iCs/>
                <w:noProof/>
                <w:sz w:val="20"/>
                <w:szCs w:val="20"/>
                <w:lang w:val="en-GB" w:eastAsia="en-GB"/>
              </w:rPr>
              <w:t>-15 000 000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01 03 02</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Macro-financial assistance</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42 000 000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27 000 000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-15 000 000</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lang w:val="en-GB" w:eastAsia="en-GB"/>
              </w:rPr>
            </w:pPr>
            <w:r>
              <w:rPr>
                <w:rFonts w:eastAsia="Times New Roman"/>
                <w:b/>
                <w:bCs/>
                <w:i/>
                <w:iCs/>
                <w:noProof/>
                <w:sz w:val="20"/>
                <w:szCs w:val="20"/>
                <w:lang w:val="en-GB" w:eastAsia="en-GB"/>
              </w:rPr>
              <w:t>4.0.11</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lang w:val="en-GB" w:eastAsia="en-GB"/>
              </w:rPr>
            </w:pPr>
            <w:r>
              <w:rPr>
                <w:rFonts w:eastAsia="Times New Roman"/>
                <w:b/>
                <w:bCs/>
                <w:i/>
                <w:iCs/>
                <w:noProof/>
                <w:sz w:val="20"/>
                <w:szCs w:val="20"/>
                <w:lang w:val="en-GB" w:eastAsia="en-GB"/>
              </w:rPr>
              <w:t>Guarantee Fund for external actions (GF)</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r>
              <w:rPr>
                <w:rFonts w:eastAsia="Times New Roman"/>
                <w:b/>
                <w:bCs/>
                <w:i/>
                <w:iCs/>
                <w:noProof/>
                <w:sz w:val="20"/>
                <w:szCs w:val="20"/>
                <w:lang w:val="en-GB" w:eastAsia="en-GB"/>
              </w:rPr>
              <w:t>-48 222 935</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01 03 06</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Provisioning of the Guarantee Fund for external actions</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48 222 935</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-48 222 935</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lang w:val="en-GB" w:eastAsia="en-GB"/>
              </w:rPr>
            </w:pPr>
            <w:r>
              <w:rPr>
                <w:rFonts w:eastAsia="Times New Roman"/>
                <w:b/>
                <w:bCs/>
                <w:i/>
                <w:iCs/>
                <w:noProof/>
                <w:sz w:val="20"/>
                <w:szCs w:val="20"/>
                <w:lang w:val="en-GB" w:eastAsia="en-GB"/>
              </w:rPr>
              <w:t>4.0.2</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lang w:val="en-GB" w:eastAsia="en-GB"/>
              </w:rPr>
            </w:pPr>
            <w:r>
              <w:rPr>
                <w:rFonts w:eastAsia="Times New Roman"/>
                <w:b/>
                <w:bCs/>
                <w:i/>
                <w:iCs/>
                <w:noProof/>
                <w:sz w:val="20"/>
                <w:szCs w:val="20"/>
                <w:lang w:val="en-GB" w:eastAsia="en-GB"/>
              </w:rPr>
              <w:t>European Neighbourhood Instrument (ENI)</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r>
              <w:rPr>
                <w:rFonts w:eastAsia="Times New Roman"/>
                <w:b/>
                <w:bCs/>
                <w:i/>
                <w:iCs/>
                <w:noProof/>
                <w:sz w:val="20"/>
                <w:szCs w:val="20"/>
                <w:lang w:val="en-GB" w:eastAsia="en-GB"/>
              </w:rPr>
              <w:t>97 119 000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22 04 01 01</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Mediterranean countries — Human rights, good governance and mobility</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125 838 308</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133 923 308</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8 085 000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22 04 01 02</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Mediterranean countries — Poverty reduction and sustainable development</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629 108 985</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668 160 985</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39 052 000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22 04 01 03</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Mediterranean countries — Confidence building, security and the prevention and settlement of conflicts</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415 324 409</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423 718 409</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8 394 000</w:t>
            </w:r>
          </w:p>
        </w:tc>
      </w:tr>
      <w:tr>
        <w:trPr>
          <w:trHeight w:val="76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22 04 01 04</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Support to the peace process and financial assistance to Palestine and to the United Nations Relief and Works Agency for Palestine Refugees (UNRWA)</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308 811 939</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329 811 939</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21 000 000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22 04 02 01</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Eastern Partnership — Human rights, good governance and mobility</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241 931 953</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250 016 953</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8 085 000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22 04 02 02</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Eastern Partnership — Poverty reduction and sustainable development</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371 016 900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380 730 900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9 714 000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22 04 02 03</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Eastern Partnership — Confidence building, security and the prevention and settlement of conflicts</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12 231 062</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12 770 062</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539 000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22 04 20</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Erasmus+ — Contribution from the European Neighbourhood Instrument (ENI)</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84 544 000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86 794 000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2 250 000</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lang w:val="en-GB" w:eastAsia="en-GB"/>
              </w:rPr>
            </w:pPr>
            <w:r>
              <w:rPr>
                <w:rFonts w:eastAsia="Times New Roman"/>
                <w:b/>
                <w:bCs/>
                <w:i/>
                <w:iCs/>
                <w:noProof/>
                <w:sz w:val="20"/>
                <w:szCs w:val="20"/>
                <w:lang w:val="en-GB" w:eastAsia="en-GB"/>
              </w:rPr>
              <w:t>4.0.3</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lang w:val="en-GB" w:eastAsia="en-GB"/>
              </w:rPr>
            </w:pPr>
            <w:r>
              <w:rPr>
                <w:rFonts w:eastAsia="Times New Roman"/>
                <w:b/>
                <w:bCs/>
                <w:i/>
                <w:iCs/>
                <w:noProof/>
                <w:sz w:val="20"/>
                <w:szCs w:val="20"/>
                <w:lang w:val="en-GB" w:eastAsia="en-GB"/>
              </w:rPr>
              <w:t>Development Cooperation Instrument (DCI)</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r>
              <w:rPr>
                <w:rFonts w:eastAsia="Times New Roman"/>
                <w:b/>
                <w:bCs/>
                <w:i/>
                <w:iCs/>
                <w:noProof/>
                <w:sz w:val="20"/>
                <w:szCs w:val="20"/>
                <w:lang w:val="en-GB" w:eastAsia="en-GB"/>
              </w:rPr>
              <w:t>31 556 000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21 02 02</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Cooperation with Asia</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810 388 665</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794 388 665</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-16 000 000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21 02 04</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Cooperation with the Middle East</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194 531 328</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178 531 328</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-16 000 000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21 02 07 01</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Environment and climate change</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215 593 156</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224 576 156</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8 983 000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21 02 07 02</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Sustainable energy</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95 819 181</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99 412 181</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3 593 000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21 02 07 03</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Human development</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205 589 346</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238 149 346</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32 560 000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21 02 07 05</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Migration and asylum</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54 951 845</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56 748 845</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1 797 000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21 02 08 01</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Civil society in development</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219 626 756</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230 999 756</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11 373 000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21 02 20</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Erasmus+ — Contribution from the development cooperation instrument (DCI)</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98 638 290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103 888 290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5 250 000</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lang w:val="en-GB" w:eastAsia="en-GB"/>
              </w:rPr>
            </w:pPr>
            <w:r>
              <w:rPr>
                <w:rFonts w:eastAsia="Times New Roman"/>
                <w:b/>
                <w:bCs/>
                <w:i/>
                <w:iCs/>
                <w:noProof/>
                <w:sz w:val="20"/>
                <w:szCs w:val="20"/>
                <w:lang w:val="en-GB" w:eastAsia="en-GB"/>
              </w:rPr>
              <w:t>4.0.OTH</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lang w:val="en-GB" w:eastAsia="en-GB"/>
              </w:rPr>
            </w:pPr>
            <w:r>
              <w:rPr>
                <w:rFonts w:eastAsia="Times New Roman"/>
                <w:b/>
                <w:bCs/>
                <w:i/>
                <w:iCs/>
                <w:noProof/>
                <w:sz w:val="20"/>
                <w:szCs w:val="20"/>
                <w:lang w:val="en-GB" w:eastAsia="en-GB"/>
              </w:rPr>
              <w:t>Other actions and programmes</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r>
              <w:rPr>
                <w:rFonts w:eastAsia="Times New Roman"/>
                <w:b/>
                <w:bCs/>
                <w:i/>
                <w:iCs/>
                <w:noProof/>
                <w:sz w:val="20"/>
                <w:szCs w:val="20"/>
                <w:lang w:val="en-GB" w:eastAsia="en-GB"/>
              </w:rPr>
              <w:t>2 000 000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13 07 01</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Financial support for encouraging the economic development of the Turkish Cypriot community</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33 122 000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35 122 000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2 000 000</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lang w:val="en-GB" w:eastAsia="en-GB"/>
              </w:rPr>
            </w:pPr>
            <w:r>
              <w:rPr>
                <w:rFonts w:eastAsia="Times New Roman"/>
                <w:b/>
                <w:bCs/>
                <w:i/>
                <w:iCs/>
                <w:noProof/>
                <w:sz w:val="20"/>
                <w:szCs w:val="20"/>
                <w:lang w:val="en-GB" w:eastAsia="en-GB"/>
              </w:rPr>
              <w:t>4.0.PPPA</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lang w:val="en-GB" w:eastAsia="en-GB"/>
              </w:rPr>
            </w:pPr>
            <w:r>
              <w:rPr>
                <w:rFonts w:eastAsia="Times New Roman"/>
                <w:b/>
                <w:bCs/>
                <w:i/>
                <w:iCs/>
                <w:noProof/>
                <w:sz w:val="20"/>
                <w:szCs w:val="20"/>
                <w:lang w:val="en-GB" w:eastAsia="en-GB"/>
              </w:rPr>
              <w:t>Pilot projects and preparatory actions</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r>
              <w:rPr>
                <w:rFonts w:eastAsia="Times New Roman"/>
                <w:b/>
                <w:bCs/>
                <w:i/>
                <w:iCs/>
                <w:noProof/>
                <w:sz w:val="20"/>
                <w:szCs w:val="20"/>
                <w:lang w:val="en-GB" w:eastAsia="en-GB"/>
              </w:rPr>
              <w:t>6 325 000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rPr>
                <w:rFonts w:eastAsia="Times New Roman"/>
                <w:b/>
                <w:bCs/>
                <w:noProof/>
                <w:sz w:val="20"/>
                <w:szCs w:val="20"/>
                <w:lang w:val="en-GB" w:eastAsia="en-GB"/>
              </w:rPr>
            </w:pPr>
          </w:p>
        </w:tc>
        <w:tc>
          <w:tcPr>
            <w:tcW w:w="4940" w:type="dxa"/>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rPr>
                <w:rFonts w:eastAsia="Times New Roman"/>
                <w:b/>
                <w:bCs/>
                <w:noProof/>
                <w:sz w:val="20"/>
                <w:szCs w:val="20"/>
                <w:lang w:val="en-GB" w:eastAsia="en-GB"/>
              </w:rPr>
            </w:pPr>
            <w:r>
              <w:rPr>
                <w:rFonts w:eastAsia="Times New Roman"/>
                <w:b/>
                <w:bCs/>
                <w:noProof/>
                <w:sz w:val="20"/>
                <w:szCs w:val="20"/>
                <w:lang w:val="en-GB" w:eastAsia="en-GB"/>
              </w:rPr>
              <w:t>Total</w:t>
            </w:r>
          </w:p>
        </w:tc>
        <w:tc>
          <w:tcPr>
            <w:tcW w:w="148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eastAsia="Times New Roman"/>
                <w:b/>
                <w:bCs/>
                <w:noProof/>
                <w:sz w:val="20"/>
                <w:szCs w:val="20"/>
                <w:lang w:val="en-GB" w:eastAsia="en-GB"/>
              </w:rPr>
            </w:pPr>
          </w:p>
        </w:tc>
        <w:tc>
          <w:tcPr>
            <w:tcW w:w="148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eastAsia="Times New Roman"/>
                <w:b/>
                <w:bCs/>
                <w:noProof/>
                <w:sz w:val="20"/>
                <w:szCs w:val="20"/>
                <w:lang w:val="en-GB" w:eastAsia="en-GB"/>
              </w:rPr>
            </w:pPr>
          </w:p>
        </w:tc>
        <w:tc>
          <w:tcPr>
            <w:tcW w:w="1396"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eastAsia="Times New Roman"/>
                <w:b/>
                <w:bCs/>
                <w:noProof/>
                <w:sz w:val="20"/>
                <w:szCs w:val="20"/>
                <w:lang w:val="en-GB" w:eastAsia="en-GB"/>
              </w:rPr>
            </w:pPr>
            <w:r>
              <w:rPr>
                <w:rFonts w:eastAsia="Times New Roman"/>
                <w:b/>
                <w:bCs/>
                <w:noProof/>
                <w:sz w:val="20"/>
                <w:szCs w:val="20"/>
                <w:lang w:val="en-GB" w:eastAsia="en-GB"/>
              </w:rPr>
              <w:t>-64 922 935</w:t>
            </w:r>
          </w:p>
        </w:tc>
      </w:tr>
    </w:tbl>
    <w:p>
      <w:pPr>
        <w:spacing w:before="240" w:line="240" w:lineRule="auto"/>
        <w:jc w:val="both"/>
        <w:rPr>
          <w:noProof/>
          <w:lang w:val="en-GB"/>
        </w:rPr>
      </w:pPr>
      <w:r>
        <w:rPr>
          <w:noProof/>
          <w:lang w:val="en-GB"/>
        </w:rPr>
        <w:t>As a consequence, the level of commitments is proposed to be set at EUR 11 319,3 million, with no margin left under the expenditure ceiling of heading 4 and the use of the Global margin for commitments for an amount of EUR 1 051,3 million.</w:t>
      </w:r>
    </w:p>
    <w:p>
      <w:pPr>
        <w:pStyle w:val="ManualHeading3"/>
        <w:rPr>
          <w:noProof/>
        </w:rPr>
      </w:pPr>
      <w:bookmarkStart w:id="33" w:name="_Ref340815968"/>
      <w:bookmarkStart w:id="34" w:name="_Toc530674108"/>
      <w:r>
        <w:t>3.2.6.</w:t>
      </w:r>
      <w:r>
        <w:tab/>
      </w:r>
      <w:r>
        <w:rPr>
          <w:noProof/>
        </w:rPr>
        <w:t>Heading 5 — Administration</w:t>
      </w:r>
      <w:bookmarkEnd w:id="33"/>
      <w:bookmarkEnd w:id="34"/>
    </w:p>
    <w:p>
      <w:pPr>
        <w:spacing w:before="120"/>
        <w:jc w:val="both"/>
        <w:rPr>
          <w:noProof/>
          <w:lang w:val="en-GB"/>
        </w:rPr>
      </w:pPr>
      <w:r>
        <w:rPr>
          <w:noProof/>
          <w:lang w:val="en-GB"/>
        </w:rPr>
        <w:t>For heading 5, the number of posts in the establishment plans of the Institutions and the appropriations are proposed to be set at the level of the original draft budget, as amended by Amending letter 1/2019 with the following exceptions:</w:t>
      </w:r>
    </w:p>
    <w:p>
      <w:pPr>
        <w:pStyle w:val="ListParagraph"/>
        <w:numPr>
          <w:ilvl w:val="0"/>
          <w:numId w:val="38"/>
        </w:numPr>
        <w:spacing w:before="120" w:after="120"/>
        <w:jc w:val="both"/>
        <w:rPr>
          <w:noProof/>
          <w:sz w:val="23"/>
          <w:szCs w:val="23"/>
        </w:rPr>
      </w:pPr>
      <w:r>
        <w:rPr>
          <w:noProof/>
          <w:sz w:val="23"/>
          <w:szCs w:val="23"/>
        </w:rPr>
        <w:t>The section of the Parliament, for which its reading of the original draft budget is approved taking account of the adjustments included in the Amending letter 1/2019 concerning the Authority for European Political Parties and European Political Foundations;</w:t>
      </w:r>
    </w:p>
    <w:p>
      <w:pPr>
        <w:pStyle w:val="ListParagraph"/>
        <w:numPr>
          <w:ilvl w:val="0"/>
          <w:numId w:val="38"/>
        </w:numPr>
        <w:spacing w:before="120" w:after="120"/>
        <w:jc w:val="both"/>
        <w:rPr>
          <w:noProof/>
          <w:sz w:val="23"/>
          <w:szCs w:val="23"/>
        </w:rPr>
      </w:pPr>
      <w:r>
        <w:rPr>
          <w:noProof/>
          <w:sz w:val="23"/>
          <w:szCs w:val="23"/>
        </w:rPr>
        <w:t>The section of the Council, for which its reading of the original draft budget is approved;</w:t>
      </w:r>
    </w:p>
    <w:p>
      <w:pPr>
        <w:pStyle w:val="ListParagraph"/>
        <w:numPr>
          <w:ilvl w:val="0"/>
          <w:numId w:val="38"/>
        </w:numPr>
        <w:spacing w:before="120" w:after="120"/>
        <w:jc w:val="both"/>
        <w:rPr>
          <w:noProof/>
          <w:sz w:val="23"/>
          <w:szCs w:val="23"/>
        </w:rPr>
      </w:pPr>
      <w:r>
        <w:rPr>
          <w:noProof/>
          <w:sz w:val="23"/>
          <w:szCs w:val="23"/>
        </w:rPr>
        <w:t>The section of the European Data Protection Supervisor, for which the Council's reading of the original draft budget is approved.</w:t>
      </w:r>
    </w:p>
    <w:p>
      <w:pPr>
        <w:spacing w:before="120" w:after="120"/>
        <w:jc w:val="both"/>
        <w:rPr>
          <w:noProof/>
          <w:lang w:val="en-GB"/>
        </w:rPr>
      </w:pPr>
      <w:r>
        <w:rPr>
          <w:noProof/>
          <w:lang w:val="en-GB"/>
        </w:rPr>
        <w:t>Moreover, the following amendments are proposed on the number of posts in the establishment plans and the appropriations included in the original draft budget, as amended by Amending letter 1/2019, for the following Institutions:</w:t>
      </w:r>
    </w:p>
    <w:p>
      <w:pPr>
        <w:pStyle w:val="ListParagraph"/>
        <w:numPr>
          <w:ilvl w:val="0"/>
          <w:numId w:val="38"/>
        </w:numPr>
        <w:spacing w:before="120" w:after="120"/>
        <w:jc w:val="both"/>
        <w:rPr>
          <w:noProof/>
          <w:sz w:val="23"/>
          <w:szCs w:val="23"/>
        </w:rPr>
      </w:pPr>
      <w:r>
        <w:rPr>
          <w:noProof/>
          <w:sz w:val="23"/>
          <w:szCs w:val="23"/>
        </w:rPr>
        <w:t>The section of the Court of Justice of the European Union, for which 5 additional posts are proposed to be allocated</w:t>
      </w:r>
      <w:r>
        <w:rPr>
          <w:rStyle w:val="FootnoteReference"/>
          <w:noProof/>
          <w:sz w:val="23"/>
          <w:szCs w:val="23"/>
        </w:rPr>
        <w:footnoteReference w:id="16"/>
      </w:r>
      <w:r>
        <w:rPr>
          <w:noProof/>
          <w:sz w:val="23"/>
          <w:szCs w:val="23"/>
        </w:rPr>
        <w:t xml:space="preserve"> and the level of commitment and payment appropriations are proposed to be increased by EUR 415 016 (EUR 246 875 on budget line 1 2 0 0 </w:t>
      </w:r>
      <w:r>
        <w:rPr>
          <w:i/>
          <w:noProof/>
          <w:sz w:val="23"/>
          <w:szCs w:val="23"/>
        </w:rPr>
        <w:t>Remunerations and allowances</w:t>
      </w:r>
      <w:r>
        <w:rPr>
          <w:noProof/>
          <w:sz w:val="23"/>
          <w:szCs w:val="23"/>
        </w:rPr>
        <w:t xml:space="preserve"> and EUR 168 141 on budget line 2 1 0 0 </w:t>
      </w:r>
      <w:r>
        <w:rPr>
          <w:i/>
          <w:noProof/>
          <w:sz w:val="23"/>
          <w:szCs w:val="23"/>
        </w:rPr>
        <w:t>Purchase, servicing and maintenance of equipment and software</w:t>
      </w:r>
      <w:r>
        <w:rPr>
          <w:noProof/>
          <w:sz w:val="23"/>
          <w:szCs w:val="23"/>
        </w:rPr>
        <w:t>);</w:t>
      </w:r>
    </w:p>
    <w:p>
      <w:pPr>
        <w:pStyle w:val="ListParagraph"/>
        <w:numPr>
          <w:ilvl w:val="0"/>
          <w:numId w:val="38"/>
        </w:numPr>
        <w:spacing w:before="120" w:after="120"/>
        <w:jc w:val="both"/>
        <w:rPr>
          <w:noProof/>
          <w:sz w:val="23"/>
          <w:szCs w:val="23"/>
        </w:rPr>
      </w:pPr>
      <w:r>
        <w:rPr>
          <w:noProof/>
          <w:sz w:val="23"/>
          <w:szCs w:val="23"/>
        </w:rPr>
        <w:t>The section of the European External Action Service, for which the level of commitment and payment appropriations is proposed to be decreased by EUR 3 050 000, being the combined result of a proposed increase of EUR 1 200 000 on budget line 2 2 1 4 </w:t>
      </w:r>
      <w:r>
        <w:rPr>
          <w:i/>
          <w:noProof/>
          <w:sz w:val="23"/>
          <w:szCs w:val="23"/>
        </w:rPr>
        <w:t xml:space="preserve">Strategic Communication Capacity </w:t>
      </w:r>
      <w:r>
        <w:rPr>
          <w:noProof/>
          <w:sz w:val="23"/>
          <w:szCs w:val="23"/>
        </w:rPr>
        <w:t>and proposed decreases of - EUR 4 250 000 on the following budget lines: 1 1 0 0 </w:t>
      </w:r>
      <w:r>
        <w:rPr>
          <w:i/>
          <w:noProof/>
          <w:sz w:val="23"/>
          <w:szCs w:val="23"/>
        </w:rPr>
        <w:t>Basic salaries</w:t>
      </w:r>
      <w:r>
        <w:rPr>
          <w:noProof/>
          <w:sz w:val="23"/>
          <w:szCs w:val="23"/>
        </w:rPr>
        <w:t xml:space="preserve"> (-EUR 3 280 000), 1 1 0 1 </w:t>
      </w:r>
      <w:r>
        <w:rPr>
          <w:i/>
          <w:noProof/>
          <w:sz w:val="23"/>
          <w:szCs w:val="23"/>
        </w:rPr>
        <w:t>Entitlements under the Staff Regulations related to the post held</w:t>
      </w:r>
      <w:r>
        <w:rPr>
          <w:noProof/>
          <w:sz w:val="23"/>
          <w:szCs w:val="23"/>
        </w:rPr>
        <w:t xml:space="preserve"> (-EUR 10 000), 1 1 0 2 </w:t>
      </w:r>
      <w:r>
        <w:rPr>
          <w:i/>
          <w:noProof/>
          <w:sz w:val="23"/>
          <w:szCs w:val="23"/>
        </w:rPr>
        <w:t>Entitlements under the Staff Regulations related to the personal circumstances of the staff member</w:t>
      </w:r>
      <w:r>
        <w:rPr>
          <w:noProof/>
          <w:sz w:val="23"/>
          <w:szCs w:val="23"/>
        </w:rPr>
        <w:t xml:space="preserve"> (-EUR 840 000) and 1 1 0 3 </w:t>
      </w:r>
      <w:r>
        <w:rPr>
          <w:i/>
          <w:noProof/>
          <w:sz w:val="23"/>
          <w:szCs w:val="23"/>
        </w:rPr>
        <w:t>Social security cover</w:t>
      </w:r>
      <w:r>
        <w:rPr>
          <w:noProof/>
          <w:sz w:val="23"/>
          <w:szCs w:val="23"/>
        </w:rPr>
        <w:t xml:space="preserve"> (-EUR 120 000).</w:t>
      </w:r>
    </w:p>
    <w:p>
      <w:pPr>
        <w:spacing w:before="120" w:after="120"/>
        <w:jc w:val="both"/>
        <w:rPr>
          <w:noProof/>
          <w:lang w:val="en-GB"/>
        </w:rPr>
      </w:pPr>
      <w:r>
        <w:rPr>
          <w:noProof/>
          <w:lang w:val="en-GB"/>
        </w:rPr>
        <w:t>The impact in the 2019 budget of the automatic salary update to be applied from 1 July 2018 (1.7 % instead of 2.0 %) is proposed to be integrated in all sections of the draft budget as follows:</w:t>
      </w:r>
    </w:p>
    <w:tbl>
      <w:tblPr>
        <w:tblW w:w="5152" w:type="dxa"/>
        <w:jc w:val="center"/>
        <w:tblCellMar>
          <w:left w:w="0" w:type="dxa"/>
          <w:right w:w="0" w:type="dxa"/>
        </w:tblCellMar>
        <w:tblLook w:val="04A0" w:firstRow="1" w:lastRow="0" w:firstColumn="1" w:lastColumn="0" w:noHBand="0" w:noVBand="1"/>
      </w:tblPr>
      <w:tblGrid>
        <w:gridCol w:w="3910"/>
        <w:gridCol w:w="1258"/>
      </w:tblGrid>
      <w:tr>
        <w:trPr>
          <w:trHeight w:val="255"/>
          <w:jc w:val="center"/>
        </w:trPr>
        <w:tc>
          <w:tcPr>
            <w:tcW w:w="3910" w:type="dxa"/>
            <w:tcBorders>
              <w:top w:val="nil"/>
              <w:left w:val="nil"/>
              <w:bottom w:val="nil"/>
              <w:right w:val="nil"/>
            </w:tcBorders>
            <w:shd w:val="clear" w:color="auto" w:fill="auto"/>
            <w:noWrap/>
            <w:vAlign w:val="center"/>
            <w:hideMark/>
          </w:tcPr>
          <w:p>
            <w:pPr>
              <w:spacing w:after="0"/>
              <w:jc w:val="right"/>
              <w:rPr>
                <w:b/>
                <w:bCs/>
                <w:noProof/>
                <w:sz w:val="20"/>
                <w:szCs w:val="20"/>
                <w:lang w:val="en-GB"/>
              </w:rPr>
            </w:pPr>
          </w:p>
        </w:tc>
        <w:tc>
          <w:tcPr>
            <w:tcW w:w="1242" w:type="dxa"/>
            <w:tcBorders>
              <w:top w:val="nil"/>
              <w:left w:val="nil"/>
              <w:bottom w:val="nil"/>
              <w:right w:val="nil"/>
            </w:tcBorders>
            <w:shd w:val="clear" w:color="auto" w:fill="auto"/>
            <w:noWrap/>
            <w:vAlign w:val="center"/>
            <w:hideMark/>
          </w:tcPr>
          <w:p>
            <w:pPr>
              <w:spacing w:after="0"/>
              <w:jc w:val="right"/>
              <w:rPr>
                <w:i/>
                <w:iCs/>
                <w:noProof/>
                <w:sz w:val="20"/>
                <w:szCs w:val="20"/>
              </w:rPr>
            </w:pPr>
            <w:r>
              <w:rPr>
                <w:i/>
                <w:iCs/>
                <w:noProof/>
                <w:sz w:val="20"/>
                <w:szCs w:val="20"/>
              </w:rPr>
              <w:t>in EUR</w:t>
            </w:r>
          </w:p>
        </w:tc>
      </w:tr>
      <w:tr>
        <w:trPr>
          <w:trHeight w:val="255"/>
          <w:jc w:val="center"/>
        </w:trPr>
        <w:tc>
          <w:tcPr>
            <w:tcW w:w="3910" w:type="dxa"/>
            <w:tcBorders>
              <w:top w:val="single" w:sz="4" w:space="0" w:color="auto"/>
              <w:left w:val="single" w:sz="4" w:space="0" w:color="auto"/>
              <w:bottom w:val="nil"/>
              <w:right w:val="single" w:sz="4" w:space="0" w:color="auto"/>
            </w:tcBorders>
            <w:shd w:val="clear" w:color="auto" w:fill="auto"/>
            <w:noWrap/>
            <w:vAlign w:val="center"/>
            <w:hideMark/>
          </w:tcPr>
          <w:p>
            <w:pPr>
              <w:spacing w:after="0"/>
              <w:ind w:left="142"/>
              <w:rPr>
                <w:noProof/>
                <w:sz w:val="20"/>
                <w:szCs w:val="20"/>
                <w:lang w:val="en-GB"/>
              </w:rPr>
            </w:pPr>
            <w:r>
              <w:rPr>
                <w:noProof/>
                <w:sz w:val="20"/>
                <w:szCs w:val="20"/>
                <w:lang w:val="en-GB"/>
              </w:rPr>
              <w:t>European Parliament</w:t>
            </w:r>
          </w:p>
        </w:tc>
        <w:tc>
          <w:tcPr>
            <w:tcW w:w="1242" w:type="dxa"/>
            <w:tcBorders>
              <w:top w:val="single" w:sz="4" w:space="0" w:color="auto"/>
              <w:left w:val="single" w:sz="4" w:space="0" w:color="auto"/>
              <w:bottom w:val="nil"/>
              <w:right w:val="single" w:sz="4" w:space="0" w:color="auto"/>
            </w:tcBorders>
            <w:shd w:val="clear" w:color="auto" w:fill="auto"/>
            <w:noWrap/>
            <w:vAlign w:val="center"/>
            <w:hideMark/>
          </w:tcPr>
          <w:p>
            <w:pPr>
              <w:spacing w:after="0"/>
              <w:jc w:val="right"/>
              <w:rPr>
                <w:noProof/>
                <w:sz w:val="20"/>
                <w:szCs w:val="20"/>
              </w:rPr>
            </w:pPr>
            <w:r>
              <w:rPr>
                <w:noProof/>
                <w:sz w:val="20"/>
                <w:szCs w:val="20"/>
              </w:rPr>
              <w:t>-2 851 238</w:t>
            </w:r>
          </w:p>
        </w:tc>
      </w:tr>
      <w:tr>
        <w:trPr>
          <w:trHeight w:val="255"/>
          <w:jc w:val="center"/>
        </w:trPr>
        <w:tc>
          <w:tcPr>
            <w:tcW w:w="3910" w:type="dxa"/>
            <w:tcBorders>
              <w:top w:val="nil"/>
              <w:left w:val="single" w:sz="4" w:space="0" w:color="auto"/>
              <w:bottom w:val="nil"/>
              <w:right w:val="single" w:sz="4" w:space="0" w:color="auto"/>
            </w:tcBorders>
            <w:shd w:val="clear" w:color="auto" w:fill="auto"/>
            <w:noWrap/>
            <w:vAlign w:val="center"/>
            <w:hideMark/>
          </w:tcPr>
          <w:p>
            <w:pPr>
              <w:spacing w:after="0"/>
              <w:ind w:left="142"/>
              <w:rPr>
                <w:noProof/>
                <w:sz w:val="20"/>
                <w:szCs w:val="20"/>
                <w:lang w:val="en-GB"/>
              </w:rPr>
            </w:pPr>
            <w:r>
              <w:rPr>
                <w:noProof/>
                <w:sz w:val="20"/>
                <w:szCs w:val="20"/>
                <w:lang w:val="en-GB"/>
              </w:rPr>
              <w:t>European Council and Council</w:t>
            </w:r>
          </w:p>
        </w:tc>
        <w:tc>
          <w:tcPr>
            <w:tcW w:w="1242" w:type="dxa"/>
            <w:tcBorders>
              <w:top w:val="nil"/>
              <w:left w:val="nil"/>
              <w:bottom w:val="nil"/>
              <w:right w:val="single" w:sz="4" w:space="0" w:color="auto"/>
            </w:tcBorders>
            <w:shd w:val="clear" w:color="auto" w:fill="auto"/>
            <w:noWrap/>
            <w:vAlign w:val="center"/>
            <w:hideMark/>
          </w:tcPr>
          <w:p>
            <w:pPr>
              <w:spacing w:after="0"/>
              <w:jc w:val="right"/>
              <w:rPr>
                <w:noProof/>
                <w:sz w:val="20"/>
                <w:szCs w:val="20"/>
              </w:rPr>
            </w:pPr>
            <w:r>
              <w:rPr>
                <w:noProof/>
                <w:sz w:val="20"/>
                <w:szCs w:val="20"/>
              </w:rPr>
              <w:t>-965 489</w:t>
            </w:r>
          </w:p>
        </w:tc>
      </w:tr>
      <w:tr>
        <w:trPr>
          <w:trHeight w:val="255"/>
          <w:jc w:val="center"/>
        </w:trPr>
        <w:tc>
          <w:tcPr>
            <w:tcW w:w="3910" w:type="dxa"/>
            <w:tcBorders>
              <w:top w:val="nil"/>
              <w:left w:val="single" w:sz="4" w:space="0" w:color="auto"/>
              <w:bottom w:val="nil"/>
              <w:right w:val="single" w:sz="4" w:space="0" w:color="auto"/>
            </w:tcBorders>
            <w:shd w:val="clear" w:color="auto" w:fill="auto"/>
            <w:noWrap/>
            <w:vAlign w:val="center"/>
            <w:hideMark/>
          </w:tcPr>
          <w:p>
            <w:pPr>
              <w:spacing w:after="0"/>
              <w:ind w:left="142"/>
              <w:rPr>
                <w:noProof/>
                <w:sz w:val="20"/>
                <w:szCs w:val="20"/>
                <w:lang w:val="en-GB"/>
              </w:rPr>
            </w:pPr>
            <w:r>
              <w:rPr>
                <w:noProof/>
                <w:sz w:val="20"/>
                <w:szCs w:val="20"/>
                <w:lang w:val="en-GB"/>
              </w:rPr>
              <w:t>European Commission (including pensions)</w:t>
            </w:r>
          </w:p>
        </w:tc>
        <w:tc>
          <w:tcPr>
            <w:tcW w:w="1242" w:type="dxa"/>
            <w:tcBorders>
              <w:top w:val="nil"/>
              <w:left w:val="nil"/>
              <w:bottom w:val="nil"/>
              <w:right w:val="single" w:sz="4" w:space="0" w:color="auto"/>
            </w:tcBorders>
            <w:shd w:val="clear" w:color="auto" w:fill="auto"/>
            <w:noWrap/>
            <w:vAlign w:val="center"/>
            <w:hideMark/>
          </w:tcPr>
          <w:p>
            <w:pPr>
              <w:spacing w:after="0"/>
              <w:jc w:val="right"/>
              <w:rPr>
                <w:noProof/>
                <w:sz w:val="20"/>
                <w:szCs w:val="20"/>
              </w:rPr>
            </w:pPr>
            <w:r>
              <w:rPr>
                <w:noProof/>
                <w:sz w:val="20"/>
                <w:szCs w:val="20"/>
              </w:rPr>
              <w:t>-13 781 615</w:t>
            </w:r>
          </w:p>
        </w:tc>
      </w:tr>
      <w:tr>
        <w:trPr>
          <w:trHeight w:val="255"/>
          <w:jc w:val="center"/>
        </w:trPr>
        <w:tc>
          <w:tcPr>
            <w:tcW w:w="3910" w:type="dxa"/>
            <w:tcBorders>
              <w:top w:val="nil"/>
              <w:left w:val="single" w:sz="4" w:space="0" w:color="auto"/>
              <w:bottom w:val="nil"/>
              <w:right w:val="single" w:sz="4" w:space="0" w:color="auto"/>
            </w:tcBorders>
            <w:shd w:val="clear" w:color="auto" w:fill="auto"/>
            <w:noWrap/>
            <w:vAlign w:val="center"/>
            <w:hideMark/>
          </w:tcPr>
          <w:p>
            <w:pPr>
              <w:spacing w:after="0"/>
              <w:ind w:left="142"/>
              <w:rPr>
                <w:noProof/>
                <w:sz w:val="20"/>
                <w:szCs w:val="20"/>
                <w:lang w:val="en-GB"/>
              </w:rPr>
            </w:pPr>
            <w:r>
              <w:rPr>
                <w:noProof/>
                <w:sz w:val="20"/>
                <w:szCs w:val="20"/>
                <w:lang w:val="en-GB"/>
              </w:rPr>
              <w:t>Court of Justice of the European Union</w:t>
            </w:r>
          </w:p>
        </w:tc>
        <w:tc>
          <w:tcPr>
            <w:tcW w:w="1242" w:type="dxa"/>
            <w:tcBorders>
              <w:top w:val="nil"/>
              <w:left w:val="nil"/>
              <w:bottom w:val="nil"/>
              <w:right w:val="single" w:sz="4" w:space="0" w:color="auto"/>
            </w:tcBorders>
            <w:shd w:val="clear" w:color="auto" w:fill="auto"/>
            <w:noWrap/>
            <w:vAlign w:val="center"/>
            <w:hideMark/>
          </w:tcPr>
          <w:p>
            <w:pPr>
              <w:spacing w:after="0"/>
              <w:jc w:val="right"/>
              <w:rPr>
                <w:noProof/>
                <w:sz w:val="20"/>
                <w:szCs w:val="20"/>
              </w:rPr>
            </w:pPr>
            <w:r>
              <w:rPr>
                <w:noProof/>
                <w:sz w:val="20"/>
                <w:szCs w:val="20"/>
              </w:rPr>
              <w:t>-891 000</w:t>
            </w:r>
          </w:p>
        </w:tc>
      </w:tr>
      <w:tr>
        <w:trPr>
          <w:trHeight w:val="255"/>
          <w:jc w:val="center"/>
        </w:trPr>
        <w:tc>
          <w:tcPr>
            <w:tcW w:w="3910" w:type="dxa"/>
            <w:tcBorders>
              <w:top w:val="nil"/>
              <w:left w:val="single" w:sz="4" w:space="0" w:color="auto"/>
              <w:bottom w:val="nil"/>
              <w:right w:val="single" w:sz="4" w:space="0" w:color="auto"/>
            </w:tcBorders>
            <w:shd w:val="clear" w:color="auto" w:fill="auto"/>
            <w:noWrap/>
            <w:vAlign w:val="center"/>
            <w:hideMark/>
          </w:tcPr>
          <w:p>
            <w:pPr>
              <w:spacing w:after="0"/>
              <w:ind w:left="142"/>
              <w:rPr>
                <w:noProof/>
                <w:sz w:val="20"/>
                <w:szCs w:val="20"/>
                <w:lang w:val="en-GB"/>
              </w:rPr>
            </w:pPr>
            <w:r>
              <w:rPr>
                <w:noProof/>
                <w:sz w:val="20"/>
                <w:szCs w:val="20"/>
                <w:lang w:val="en-GB"/>
              </w:rPr>
              <w:t>European Court of Auditors</w:t>
            </w:r>
          </w:p>
        </w:tc>
        <w:tc>
          <w:tcPr>
            <w:tcW w:w="1242" w:type="dxa"/>
            <w:tcBorders>
              <w:top w:val="nil"/>
              <w:left w:val="nil"/>
              <w:bottom w:val="nil"/>
              <w:right w:val="single" w:sz="4" w:space="0" w:color="auto"/>
            </w:tcBorders>
            <w:shd w:val="clear" w:color="auto" w:fill="auto"/>
            <w:noWrap/>
            <w:vAlign w:val="center"/>
            <w:hideMark/>
          </w:tcPr>
          <w:p>
            <w:pPr>
              <w:spacing w:after="0"/>
              <w:jc w:val="right"/>
              <w:rPr>
                <w:noProof/>
                <w:sz w:val="20"/>
                <w:szCs w:val="20"/>
              </w:rPr>
            </w:pPr>
            <w:r>
              <w:rPr>
                <w:noProof/>
                <w:sz w:val="20"/>
                <w:szCs w:val="20"/>
              </w:rPr>
              <w:t>-359 000</w:t>
            </w:r>
          </w:p>
        </w:tc>
      </w:tr>
      <w:tr>
        <w:trPr>
          <w:trHeight w:val="255"/>
          <w:jc w:val="center"/>
        </w:trPr>
        <w:tc>
          <w:tcPr>
            <w:tcW w:w="3910" w:type="dxa"/>
            <w:tcBorders>
              <w:top w:val="nil"/>
              <w:left w:val="single" w:sz="4" w:space="0" w:color="auto"/>
              <w:bottom w:val="nil"/>
              <w:right w:val="single" w:sz="4" w:space="0" w:color="auto"/>
            </w:tcBorders>
            <w:shd w:val="clear" w:color="auto" w:fill="auto"/>
            <w:noWrap/>
            <w:vAlign w:val="center"/>
            <w:hideMark/>
          </w:tcPr>
          <w:p>
            <w:pPr>
              <w:spacing w:after="0"/>
              <w:ind w:left="142"/>
              <w:rPr>
                <w:noProof/>
                <w:sz w:val="20"/>
                <w:szCs w:val="20"/>
                <w:lang w:val="en-GB"/>
              </w:rPr>
            </w:pPr>
            <w:r>
              <w:rPr>
                <w:noProof/>
                <w:sz w:val="20"/>
                <w:szCs w:val="20"/>
                <w:lang w:val="en-GB"/>
              </w:rPr>
              <w:t>European Economic &amp; Social Committee</w:t>
            </w:r>
          </w:p>
        </w:tc>
        <w:tc>
          <w:tcPr>
            <w:tcW w:w="1242" w:type="dxa"/>
            <w:tcBorders>
              <w:top w:val="nil"/>
              <w:left w:val="nil"/>
              <w:bottom w:val="nil"/>
              <w:right w:val="single" w:sz="4" w:space="0" w:color="auto"/>
            </w:tcBorders>
            <w:shd w:val="clear" w:color="auto" w:fill="auto"/>
            <w:noWrap/>
            <w:vAlign w:val="center"/>
            <w:hideMark/>
          </w:tcPr>
          <w:p>
            <w:pPr>
              <w:spacing w:after="0"/>
              <w:jc w:val="right"/>
              <w:rPr>
                <w:noProof/>
                <w:sz w:val="20"/>
                <w:szCs w:val="20"/>
              </w:rPr>
            </w:pPr>
            <w:r>
              <w:rPr>
                <w:noProof/>
                <w:sz w:val="20"/>
                <w:szCs w:val="20"/>
              </w:rPr>
              <w:t>-220 825</w:t>
            </w:r>
          </w:p>
        </w:tc>
      </w:tr>
      <w:tr>
        <w:trPr>
          <w:trHeight w:val="255"/>
          <w:jc w:val="center"/>
        </w:trPr>
        <w:tc>
          <w:tcPr>
            <w:tcW w:w="3910" w:type="dxa"/>
            <w:tcBorders>
              <w:top w:val="nil"/>
              <w:left w:val="single" w:sz="4" w:space="0" w:color="auto"/>
              <w:bottom w:val="nil"/>
              <w:right w:val="single" w:sz="4" w:space="0" w:color="auto"/>
            </w:tcBorders>
            <w:shd w:val="clear" w:color="auto" w:fill="auto"/>
            <w:noWrap/>
            <w:vAlign w:val="center"/>
            <w:hideMark/>
          </w:tcPr>
          <w:p>
            <w:pPr>
              <w:spacing w:after="0"/>
              <w:ind w:left="142"/>
              <w:rPr>
                <w:noProof/>
                <w:sz w:val="20"/>
                <w:szCs w:val="20"/>
                <w:lang w:val="en-GB"/>
              </w:rPr>
            </w:pPr>
            <w:r>
              <w:rPr>
                <w:noProof/>
                <w:sz w:val="20"/>
                <w:szCs w:val="20"/>
                <w:lang w:val="en-GB"/>
              </w:rPr>
              <w:t>European Committee of the Regions</w:t>
            </w:r>
          </w:p>
        </w:tc>
        <w:tc>
          <w:tcPr>
            <w:tcW w:w="1242" w:type="dxa"/>
            <w:tcBorders>
              <w:top w:val="nil"/>
              <w:left w:val="nil"/>
              <w:bottom w:val="nil"/>
              <w:right w:val="single" w:sz="4" w:space="0" w:color="auto"/>
            </w:tcBorders>
            <w:shd w:val="clear" w:color="auto" w:fill="auto"/>
            <w:noWrap/>
            <w:vAlign w:val="center"/>
            <w:hideMark/>
          </w:tcPr>
          <w:p>
            <w:pPr>
              <w:spacing w:after="0"/>
              <w:jc w:val="right"/>
              <w:rPr>
                <w:noProof/>
                <w:sz w:val="20"/>
                <w:szCs w:val="20"/>
              </w:rPr>
            </w:pPr>
            <w:r>
              <w:rPr>
                <w:noProof/>
                <w:sz w:val="20"/>
                <w:szCs w:val="20"/>
              </w:rPr>
              <w:t>-160 594</w:t>
            </w:r>
          </w:p>
        </w:tc>
      </w:tr>
      <w:tr>
        <w:trPr>
          <w:trHeight w:val="255"/>
          <w:jc w:val="center"/>
        </w:trPr>
        <w:tc>
          <w:tcPr>
            <w:tcW w:w="3910" w:type="dxa"/>
            <w:tcBorders>
              <w:top w:val="nil"/>
              <w:left w:val="single" w:sz="4" w:space="0" w:color="auto"/>
              <w:bottom w:val="nil"/>
              <w:right w:val="single" w:sz="4" w:space="0" w:color="auto"/>
            </w:tcBorders>
            <w:shd w:val="clear" w:color="auto" w:fill="auto"/>
            <w:noWrap/>
            <w:vAlign w:val="center"/>
            <w:hideMark/>
          </w:tcPr>
          <w:p>
            <w:pPr>
              <w:spacing w:after="0"/>
              <w:ind w:left="142"/>
              <w:rPr>
                <w:noProof/>
                <w:sz w:val="20"/>
                <w:szCs w:val="20"/>
                <w:lang w:val="en-GB"/>
              </w:rPr>
            </w:pPr>
            <w:r>
              <w:rPr>
                <w:noProof/>
                <w:sz w:val="20"/>
                <w:szCs w:val="20"/>
                <w:lang w:val="en-GB"/>
              </w:rPr>
              <w:t>European Ombudsman</w:t>
            </w:r>
          </w:p>
        </w:tc>
        <w:tc>
          <w:tcPr>
            <w:tcW w:w="1242" w:type="dxa"/>
            <w:tcBorders>
              <w:top w:val="nil"/>
              <w:left w:val="nil"/>
              <w:bottom w:val="nil"/>
              <w:right w:val="single" w:sz="4" w:space="0" w:color="auto"/>
            </w:tcBorders>
            <w:shd w:val="clear" w:color="auto" w:fill="auto"/>
            <w:noWrap/>
            <w:vAlign w:val="center"/>
            <w:hideMark/>
          </w:tcPr>
          <w:p>
            <w:pPr>
              <w:spacing w:after="0"/>
              <w:jc w:val="right"/>
              <w:rPr>
                <w:noProof/>
                <w:sz w:val="20"/>
                <w:szCs w:val="20"/>
              </w:rPr>
            </w:pPr>
            <w:r>
              <w:rPr>
                <w:noProof/>
                <w:sz w:val="20"/>
                <w:szCs w:val="20"/>
              </w:rPr>
              <w:t>-26 880</w:t>
            </w:r>
          </w:p>
        </w:tc>
      </w:tr>
      <w:tr>
        <w:trPr>
          <w:trHeight w:val="255"/>
          <w:jc w:val="center"/>
        </w:trPr>
        <w:tc>
          <w:tcPr>
            <w:tcW w:w="3910" w:type="dxa"/>
            <w:tcBorders>
              <w:top w:val="nil"/>
              <w:left w:val="single" w:sz="4" w:space="0" w:color="auto"/>
              <w:bottom w:val="nil"/>
              <w:right w:val="single" w:sz="4" w:space="0" w:color="auto"/>
            </w:tcBorders>
            <w:shd w:val="clear" w:color="auto" w:fill="auto"/>
            <w:noWrap/>
            <w:vAlign w:val="center"/>
            <w:hideMark/>
          </w:tcPr>
          <w:p>
            <w:pPr>
              <w:spacing w:after="0"/>
              <w:ind w:left="142"/>
              <w:rPr>
                <w:noProof/>
                <w:sz w:val="20"/>
                <w:szCs w:val="20"/>
                <w:lang w:val="en-GB"/>
              </w:rPr>
            </w:pPr>
            <w:r>
              <w:rPr>
                <w:noProof/>
                <w:sz w:val="20"/>
                <w:szCs w:val="20"/>
                <w:lang w:val="en-GB"/>
              </w:rPr>
              <w:t>European Data Protection Supervisor</w:t>
            </w:r>
          </w:p>
        </w:tc>
        <w:tc>
          <w:tcPr>
            <w:tcW w:w="1242" w:type="dxa"/>
            <w:tcBorders>
              <w:top w:val="nil"/>
              <w:left w:val="nil"/>
              <w:bottom w:val="nil"/>
              <w:right w:val="single" w:sz="4" w:space="0" w:color="auto"/>
            </w:tcBorders>
            <w:shd w:val="clear" w:color="auto" w:fill="auto"/>
            <w:noWrap/>
            <w:vAlign w:val="center"/>
            <w:hideMark/>
          </w:tcPr>
          <w:p>
            <w:pPr>
              <w:spacing w:after="0"/>
              <w:jc w:val="right"/>
              <w:rPr>
                <w:noProof/>
                <w:sz w:val="20"/>
                <w:szCs w:val="20"/>
              </w:rPr>
            </w:pPr>
            <w:r>
              <w:rPr>
                <w:noProof/>
                <w:sz w:val="20"/>
                <w:szCs w:val="20"/>
              </w:rPr>
              <w:t>-14 568</w:t>
            </w:r>
          </w:p>
        </w:tc>
      </w:tr>
      <w:tr>
        <w:trPr>
          <w:trHeight w:val="255"/>
          <w:jc w:val="center"/>
        </w:trPr>
        <w:tc>
          <w:tcPr>
            <w:tcW w:w="3910" w:type="dxa"/>
            <w:tcBorders>
              <w:top w:val="nil"/>
              <w:left w:val="single" w:sz="4" w:space="0" w:color="auto"/>
              <w:bottom w:val="single" w:sz="4" w:space="0" w:color="auto"/>
              <w:right w:val="single" w:sz="4" w:space="0" w:color="auto"/>
            </w:tcBorders>
            <w:shd w:val="clear" w:color="auto" w:fill="auto"/>
            <w:noWrap/>
            <w:vAlign w:val="center"/>
            <w:hideMark/>
          </w:tcPr>
          <w:p>
            <w:pPr>
              <w:spacing w:after="0"/>
              <w:ind w:left="142"/>
              <w:rPr>
                <w:noProof/>
                <w:sz w:val="20"/>
                <w:szCs w:val="20"/>
                <w:lang w:val="en-GB"/>
              </w:rPr>
            </w:pPr>
            <w:r>
              <w:rPr>
                <w:noProof/>
                <w:sz w:val="20"/>
                <w:szCs w:val="20"/>
                <w:lang w:val="en-GB"/>
              </w:rPr>
              <w:t>European External Action Service</w:t>
            </w:r>
          </w:p>
        </w:tc>
        <w:tc>
          <w:tcPr>
            <w:tcW w:w="1242" w:type="dxa"/>
            <w:tcBorders>
              <w:top w:val="nil"/>
              <w:left w:val="single" w:sz="4" w:space="0" w:color="auto"/>
              <w:bottom w:val="single" w:sz="4" w:space="0" w:color="auto"/>
              <w:right w:val="single" w:sz="4" w:space="0" w:color="auto"/>
            </w:tcBorders>
            <w:shd w:val="clear" w:color="auto" w:fill="auto"/>
            <w:noWrap/>
            <w:vAlign w:val="center"/>
            <w:hideMark/>
          </w:tcPr>
          <w:p>
            <w:pPr>
              <w:spacing w:after="0"/>
              <w:jc w:val="right"/>
              <w:rPr>
                <w:noProof/>
                <w:sz w:val="20"/>
                <w:szCs w:val="20"/>
              </w:rPr>
            </w:pPr>
            <w:r>
              <w:rPr>
                <w:noProof/>
                <w:sz w:val="20"/>
                <w:szCs w:val="20"/>
              </w:rPr>
              <w:t>-911 839</w:t>
            </w:r>
          </w:p>
        </w:tc>
      </w:tr>
      <w:tr>
        <w:trPr>
          <w:trHeight w:val="255"/>
          <w:jc w:val="center"/>
        </w:trPr>
        <w:tc>
          <w:tcPr>
            <w:tcW w:w="3910" w:type="dxa"/>
            <w:tcBorders>
              <w:top w:val="nil"/>
              <w:left w:val="single" w:sz="4" w:space="0" w:color="auto"/>
              <w:bottom w:val="single" w:sz="4" w:space="0" w:color="auto"/>
              <w:right w:val="single" w:sz="4" w:space="0" w:color="auto"/>
            </w:tcBorders>
            <w:shd w:val="clear" w:color="DCE6F1" w:fill="DCE6F1"/>
            <w:vAlign w:val="center"/>
            <w:hideMark/>
          </w:tcPr>
          <w:p>
            <w:pPr>
              <w:spacing w:after="0"/>
              <w:jc w:val="center"/>
              <w:rPr>
                <w:b/>
                <w:bCs/>
                <w:noProof/>
                <w:color w:val="000000"/>
                <w:sz w:val="20"/>
                <w:szCs w:val="20"/>
              </w:rPr>
            </w:pPr>
            <w:r>
              <w:rPr>
                <w:b/>
                <w:bCs/>
                <w:noProof/>
                <w:color w:val="000000"/>
                <w:sz w:val="20"/>
                <w:szCs w:val="20"/>
              </w:rPr>
              <w:t>Total</w:t>
            </w:r>
          </w:p>
        </w:tc>
        <w:tc>
          <w:tcPr>
            <w:tcW w:w="1242" w:type="dxa"/>
            <w:tcBorders>
              <w:top w:val="nil"/>
              <w:left w:val="nil"/>
              <w:bottom w:val="single" w:sz="4" w:space="0" w:color="auto"/>
              <w:right w:val="single" w:sz="4" w:space="0" w:color="auto"/>
            </w:tcBorders>
            <w:shd w:val="clear" w:color="DCE6F1" w:fill="DCE6F1"/>
            <w:vAlign w:val="center"/>
            <w:hideMark/>
          </w:tcPr>
          <w:p>
            <w:pPr>
              <w:spacing w:after="0"/>
              <w:jc w:val="right"/>
              <w:rPr>
                <w:b/>
                <w:bCs/>
                <w:noProof/>
                <w:color w:val="000000"/>
                <w:sz w:val="20"/>
                <w:szCs w:val="20"/>
              </w:rPr>
            </w:pPr>
            <w:r>
              <w:rPr>
                <w:b/>
                <w:bCs/>
                <w:noProof/>
                <w:color w:val="000000"/>
                <w:sz w:val="20"/>
                <w:szCs w:val="20"/>
              </w:rPr>
              <w:t>-20 183 048</w:t>
            </w:r>
          </w:p>
        </w:tc>
      </w:tr>
    </w:tbl>
    <w:p>
      <w:pPr>
        <w:spacing w:after="0" w:line="240" w:lineRule="auto"/>
        <w:rPr>
          <w:noProof/>
          <w:lang w:val="en-GB"/>
        </w:rPr>
      </w:pPr>
      <w:r>
        <w:rPr>
          <w:noProof/>
          <w:lang w:val="en-GB"/>
        </w:rPr>
        <w:br w:type="page"/>
      </w:r>
    </w:p>
    <w:p>
      <w:pPr>
        <w:spacing w:before="120" w:after="120"/>
        <w:jc w:val="both"/>
        <w:rPr>
          <w:noProof/>
          <w:lang w:val="en-GB"/>
        </w:rPr>
      </w:pPr>
      <w:r>
        <w:rPr>
          <w:noProof/>
          <w:lang w:val="en-GB"/>
        </w:rPr>
        <w:t>Finally, additional reductions of EUR 0,8 million were identified and proposed across all Institutions, with the exception of the European Parliament, for expenditure related to buildings, as follows:</w:t>
      </w:r>
    </w:p>
    <w:tbl>
      <w:tblPr>
        <w:tblW w:w="5103" w:type="dxa"/>
        <w:jc w:val="center"/>
        <w:tblLook w:val="04A0" w:firstRow="1" w:lastRow="0" w:firstColumn="1" w:lastColumn="0" w:noHBand="0" w:noVBand="1"/>
      </w:tblPr>
      <w:tblGrid>
        <w:gridCol w:w="3933"/>
        <w:gridCol w:w="1170"/>
      </w:tblGrid>
      <w:tr>
        <w:trPr>
          <w:trHeight w:val="255"/>
          <w:jc w:val="center"/>
        </w:trPr>
        <w:tc>
          <w:tcPr>
            <w:tcW w:w="3933" w:type="dxa"/>
            <w:tcBorders>
              <w:top w:val="nil"/>
              <w:left w:val="nil"/>
              <w:bottom w:val="nil"/>
              <w:right w:val="nil"/>
            </w:tcBorders>
            <w:shd w:val="clear" w:color="auto" w:fill="auto"/>
            <w:noWrap/>
            <w:vAlign w:val="center"/>
            <w:hideMark/>
          </w:tcPr>
          <w:p>
            <w:pPr>
              <w:spacing w:after="0"/>
              <w:jc w:val="right"/>
              <w:rPr>
                <w:b/>
                <w:bCs/>
                <w:noProof/>
                <w:sz w:val="20"/>
                <w:szCs w:val="20"/>
                <w:lang w:val="en-GB"/>
              </w:rPr>
            </w:pPr>
          </w:p>
        </w:tc>
        <w:tc>
          <w:tcPr>
            <w:tcW w:w="1170" w:type="dxa"/>
            <w:tcBorders>
              <w:top w:val="nil"/>
              <w:left w:val="nil"/>
              <w:bottom w:val="nil"/>
              <w:right w:val="nil"/>
            </w:tcBorders>
            <w:shd w:val="clear" w:color="auto" w:fill="auto"/>
            <w:noWrap/>
            <w:vAlign w:val="center"/>
            <w:hideMark/>
          </w:tcPr>
          <w:p>
            <w:pPr>
              <w:spacing w:after="0"/>
              <w:jc w:val="right"/>
              <w:rPr>
                <w:i/>
                <w:iCs/>
                <w:noProof/>
                <w:sz w:val="20"/>
                <w:szCs w:val="20"/>
                <w:lang w:val="en-GB"/>
              </w:rPr>
            </w:pPr>
            <w:r>
              <w:rPr>
                <w:i/>
                <w:iCs/>
                <w:noProof/>
                <w:sz w:val="20"/>
                <w:szCs w:val="20"/>
                <w:lang w:val="en-GB"/>
              </w:rPr>
              <w:t>in EUR</w:t>
            </w:r>
          </w:p>
        </w:tc>
      </w:tr>
      <w:tr>
        <w:trPr>
          <w:trHeight w:val="255"/>
          <w:jc w:val="center"/>
        </w:trPr>
        <w:tc>
          <w:tcPr>
            <w:tcW w:w="3933" w:type="dxa"/>
            <w:tcBorders>
              <w:top w:val="single" w:sz="4" w:space="0" w:color="auto"/>
              <w:left w:val="single" w:sz="4" w:space="0" w:color="auto"/>
              <w:bottom w:val="nil"/>
              <w:right w:val="nil"/>
            </w:tcBorders>
            <w:shd w:val="clear" w:color="auto" w:fill="auto"/>
            <w:noWrap/>
            <w:vAlign w:val="center"/>
            <w:hideMark/>
          </w:tcPr>
          <w:p>
            <w:pPr>
              <w:spacing w:after="0"/>
              <w:rPr>
                <w:noProof/>
                <w:sz w:val="20"/>
                <w:szCs w:val="20"/>
                <w:lang w:val="en-GB"/>
              </w:rPr>
            </w:pPr>
            <w:r>
              <w:rPr>
                <w:noProof/>
                <w:sz w:val="20"/>
                <w:szCs w:val="20"/>
                <w:lang w:val="en-GB"/>
              </w:rPr>
              <w:t>European Council and Council</w:t>
            </w:r>
          </w:p>
        </w:tc>
        <w:tc>
          <w:tcPr>
            <w:tcW w:w="1170" w:type="dxa"/>
            <w:tcBorders>
              <w:top w:val="single" w:sz="4" w:space="0" w:color="auto"/>
              <w:left w:val="single" w:sz="4" w:space="0" w:color="auto"/>
              <w:bottom w:val="nil"/>
              <w:right w:val="single" w:sz="4" w:space="0" w:color="auto"/>
            </w:tcBorders>
            <w:shd w:val="clear" w:color="auto" w:fill="auto"/>
            <w:noWrap/>
            <w:vAlign w:val="center"/>
            <w:hideMark/>
          </w:tcPr>
          <w:p>
            <w:pPr>
              <w:spacing w:after="0"/>
              <w:jc w:val="right"/>
              <w:rPr>
                <w:noProof/>
                <w:sz w:val="20"/>
                <w:szCs w:val="20"/>
                <w:lang w:val="en-GB"/>
              </w:rPr>
            </w:pPr>
            <w:r>
              <w:rPr>
                <w:noProof/>
                <w:sz w:val="20"/>
                <w:szCs w:val="20"/>
                <w:lang w:val="en-GB"/>
              </w:rPr>
              <w:t>-20 052</w:t>
            </w:r>
          </w:p>
        </w:tc>
      </w:tr>
      <w:tr>
        <w:trPr>
          <w:trHeight w:val="255"/>
          <w:jc w:val="center"/>
        </w:trPr>
        <w:tc>
          <w:tcPr>
            <w:tcW w:w="3933" w:type="dxa"/>
            <w:tcBorders>
              <w:top w:val="nil"/>
              <w:left w:val="single" w:sz="4" w:space="0" w:color="auto"/>
              <w:bottom w:val="nil"/>
              <w:right w:val="nil"/>
            </w:tcBorders>
            <w:shd w:val="clear" w:color="auto" w:fill="auto"/>
            <w:noWrap/>
            <w:vAlign w:val="center"/>
            <w:hideMark/>
          </w:tcPr>
          <w:p>
            <w:pPr>
              <w:spacing w:after="0"/>
              <w:rPr>
                <w:noProof/>
                <w:sz w:val="20"/>
                <w:szCs w:val="20"/>
                <w:lang w:val="en-GB"/>
              </w:rPr>
            </w:pPr>
            <w:r>
              <w:rPr>
                <w:noProof/>
                <w:sz w:val="20"/>
                <w:szCs w:val="20"/>
                <w:lang w:val="en-GB"/>
              </w:rPr>
              <w:t>European Commission</w:t>
            </w:r>
          </w:p>
        </w:tc>
        <w:tc>
          <w:tcPr>
            <w:tcW w:w="1170" w:type="dxa"/>
            <w:tcBorders>
              <w:top w:val="nil"/>
              <w:left w:val="single" w:sz="4" w:space="0" w:color="auto"/>
              <w:bottom w:val="nil"/>
              <w:right w:val="single" w:sz="4" w:space="0" w:color="auto"/>
            </w:tcBorders>
            <w:shd w:val="clear" w:color="auto" w:fill="auto"/>
            <w:noWrap/>
            <w:vAlign w:val="center"/>
            <w:hideMark/>
          </w:tcPr>
          <w:p>
            <w:pPr>
              <w:spacing w:after="0"/>
              <w:jc w:val="right"/>
              <w:rPr>
                <w:noProof/>
                <w:sz w:val="20"/>
                <w:szCs w:val="20"/>
                <w:lang w:val="en-GB"/>
              </w:rPr>
            </w:pPr>
            <w:r>
              <w:rPr>
                <w:noProof/>
                <w:sz w:val="20"/>
                <w:szCs w:val="20"/>
                <w:lang w:val="en-GB"/>
              </w:rPr>
              <w:t>-557 239</w:t>
            </w:r>
          </w:p>
        </w:tc>
      </w:tr>
      <w:tr>
        <w:trPr>
          <w:trHeight w:val="255"/>
          <w:jc w:val="center"/>
        </w:trPr>
        <w:tc>
          <w:tcPr>
            <w:tcW w:w="3933" w:type="dxa"/>
            <w:tcBorders>
              <w:top w:val="nil"/>
              <w:left w:val="single" w:sz="4" w:space="0" w:color="auto"/>
              <w:bottom w:val="nil"/>
              <w:right w:val="nil"/>
            </w:tcBorders>
            <w:shd w:val="clear" w:color="auto" w:fill="auto"/>
            <w:noWrap/>
            <w:vAlign w:val="center"/>
            <w:hideMark/>
          </w:tcPr>
          <w:p>
            <w:pPr>
              <w:spacing w:after="0"/>
              <w:rPr>
                <w:noProof/>
                <w:sz w:val="20"/>
                <w:szCs w:val="20"/>
                <w:lang w:val="en-GB"/>
              </w:rPr>
            </w:pPr>
            <w:r>
              <w:rPr>
                <w:noProof/>
                <w:sz w:val="20"/>
                <w:szCs w:val="20"/>
                <w:lang w:val="en-GB"/>
              </w:rPr>
              <w:t>Court of Justice of the European Union</w:t>
            </w:r>
          </w:p>
        </w:tc>
        <w:tc>
          <w:tcPr>
            <w:tcW w:w="1170" w:type="dxa"/>
            <w:tcBorders>
              <w:top w:val="nil"/>
              <w:left w:val="single" w:sz="4" w:space="0" w:color="auto"/>
              <w:bottom w:val="nil"/>
              <w:right w:val="single" w:sz="4" w:space="0" w:color="auto"/>
            </w:tcBorders>
            <w:shd w:val="clear" w:color="auto" w:fill="auto"/>
            <w:noWrap/>
            <w:vAlign w:val="center"/>
            <w:hideMark/>
          </w:tcPr>
          <w:p>
            <w:pPr>
              <w:spacing w:after="0"/>
              <w:jc w:val="right"/>
              <w:rPr>
                <w:noProof/>
                <w:sz w:val="20"/>
                <w:szCs w:val="20"/>
                <w:lang w:val="en-GB"/>
              </w:rPr>
            </w:pPr>
            <w:r>
              <w:rPr>
                <w:noProof/>
                <w:sz w:val="20"/>
                <w:szCs w:val="20"/>
                <w:lang w:val="en-GB"/>
              </w:rPr>
              <w:t>-77 689</w:t>
            </w:r>
          </w:p>
        </w:tc>
      </w:tr>
      <w:tr>
        <w:trPr>
          <w:trHeight w:val="224"/>
          <w:jc w:val="center"/>
        </w:trPr>
        <w:tc>
          <w:tcPr>
            <w:tcW w:w="3933" w:type="dxa"/>
            <w:tcBorders>
              <w:top w:val="nil"/>
              <w:left w:val="single" w:sz="4" w:space="0" w:color="auto"/>
              <w:bottom w:val="nil"/>
              <w:right w:val="nil"/>
            </w:tcBorders>
            <w:shd w:val="clear" w:color="auto" w:fill="auto"/>
            <w:noWrap/>
            <w:vAlign w:val="center"/>
            <w:hideMark/>
          </w:tcPr>
          <w:p>
            <w:pPr>
              <w:spacing w:after="0"/>
              <w:rPr>
                <w:noProof/>
                <w:sz w:val="20"/>
                <w:szCs w:val="20"/>
                <w:lang w:val="en-GB"/>
              </w:rPr>
            </w:pPr>
            <w:r>
              <w:rPr>
                <w:noProof/>
                <w:sz w:val="20"/>
                <w:szCs w:val="20"/>
                <w:lang w:val="en-GB"/>
              </w:rPr>
              <w:t>European Court of Auditors</w:t>
            </w:r>
          </w:p>
        </w:tc>
        <w:tc>
          <w:tcPr>
            <w:tcW w:w="1170" w:type="dxa"/>
            <w:tcBorders>
              <w:top w:val="nil"/>
              <w:left w:val="single" w:sz="4" w:space="0" w:color="auto"/>
              <w:bottom w:val="nil"/>
              <w:right w:val="single" w:sz="4" w:space="0" w:color="auto"/>
            </w:tcBorders>
            <w:shd w:val="clear" w:color="auto" w:fill="auto"/>
            <w:noWrap/>
            <w:vAlign w:val="center"/>
            <w:hideMark/>
          </w:tcPr>
          <w:p>
            <w:pPr>
              <w:spacing w:after="0"/>
              <w:jc w:val="right"/>
              <w:rPr>
                <w:noProof/>
                <w:sz w:val="20"/>
                <w:szCs w:val="20"/>
                <w:lang w:val="en-GB"/>
              </w:rPr>
            </w:pPr>
            <w:r>
              <w:rPr>
                <w:noProof/>
                <w:sz w:val="20"/>
                <w:szCs w:val="20"/>
                <w:lang w:val="en-GB"/>
              </w:rPr>
              <w:t>-482</w:t>
            </w:r>
          </w:p>
        </w:tc>
      </w:tr>
      <w:tr>
        <w:trPr>
          <w:trHeight w:val="255"/>
          <w:jc w:val="center"/>
        </w:trPr>
        <w:tc>
          <w:tcPr>
            <w:tcW w:w="3933" w:type="dxa"/>
            <w:tcBorders>
              <w:top w:val="nil"/>
              <w:left w:val="single" w:sz="4" w:space="0" w:color="auto"/>
              <w:bottom w:val="nil"/>
              <w:right w:val="nil"/>
            </w:tcBorders>
            <w:shd w:val="clear" w:color="auto" w:fill="auto"/>
            <w:noWrap/>
            <w:vAlign w:val="center"/>
            <w:hideMark/>
          </w:tcPr>
          <w:p>
            <w:pPr>
              <w:spacing w:after="0"/>
              <w:rPr>
                <w:noProof/>
                <w:sz w:val="20"/>
                <w:szCs w:val="20"/>
                <w:lang w:val="en-GB"/>
              </w:rPr>
            </w:pPr>
            <w:r>
              <w:rPr>
                <w:noProof/>
                <w:sz w:val="20"/>
                <w:szCs w:val="20"/>
                <w:lang w:val="en-GB"/>
              </w:rPr>
              <w:t>European Economic &amp; Social Committee</w:t>
            </w:r>
          </w:p>
        </w:tc>
        <w:tc>
          <w:tcPr>
            <w:tcW w:w="1170" w:type="dxa"/>
            <w:tcBorders>
              <w:top w:val="nil"/>
              <w:left w:val="single" w:sz="4" w:space="0" w:color="auto"/>
              <w:bottom w:val="nil"/>
              <w:right w:val="single" w:sz="4" w:space="0" w:color="auto"/>
            </w:tcBorders>
            <w:shd w:val="clear" w:color="auto" w:fill="auto"/>
            <w:noWrap/>
            <w:vAlign w:val="center"/>
            <w:hideMark/>
          </w:tcPr>
          <w:p>
            <w:pPr>
              <w:spacing w:after="0"/>
              <w:jc w:val="right"/>
              <w:rPr>
                <w:noProof/>
                <w:sz w:val="20"/>
                <w:szCs w:val="20"/>
              </w:rPr>
            </w:pPr>
            <w:r>
              <w:rPr>
                <w:noProof/>
                <w:sz w:val="20"/>
                <w:szCs w:val="20"/>
              </w:rPr>
              <w:t>-27 215</w:t>
            </w:r>
          </w:p>
        </w:tc>
      </w:tr>
      <w:tr>
        <w:trPr>
          <w:trHeight w:val="255"/>
          <w:jc w:val="center"/>
        </w:trPr>
        <w:tc>
          <w:tcPr>
            <w:tcW w:w="3933" w:type="dxa"/>
            <w:tcBorders>
              <w:top w:val="nil"/>
              <w:left w:val="single" w:sz="4" w:space="0" w:color="auto"/>
              <w:bottom w:val="nil"/>
              <w:right w:val="nil"/>
            </w:tcBorders>
            <w:shd w:val="clear" w:color="auto" w:fill="auto"/>
            <w:noWrap/>
            <w:vAlign w:val="center"/>
            <w:hideMark/>
          </w:tcPr>
          <w:p>
            <w:pPr>
              <w:spacing w:after="0"/>
              <w:rPr>
                <w:noProof/>
                <w:sz w:val="20"/>
                <w:szCs w:val="20"/>
                <w:lang w:val="en-GB"/>
              </w:rPr>
            </w:pPr>
            <w:r>
              <w:rPr>
                <w:noProof/>
                <w:sz w:val="20"/>
                <w:szCs w:val="20"/>
                <w:lang w:val="en-GB"/>
              </w:rPr>
              <w:t>European Committee of the Regions</w:t>
            </w:r>
          </w:p>
        </w:tc>
        <w:tc>
          <w:tcPr>
            <w:tcW w:w="1170" w:type="dxa"/>
            <w:tcBorders>
              <w:top w:val="nil"/>
              <w:left w:val="single" w:sz="4" w:space="0" w:color="auto"/>
              <w:bottom w:val="nil"/>
              <w:right w:val="single" w:sz="4" w:space="0" w:color="auto"/>
            </w:tcBorders>
            <w:shd w:val="clear" w:color="auto" w:fill="auto"/>
            <w:noWrap/>
            <w:vAlign w:val="center"/>
            <w:hideMark/>
          </w:tcPr>
          <w:p>
            <w:pPr>
              <w:spacing w:after="0"/>
              <w:jc w:val="right"/>
              <w:rPr>
                <w:noProof/>
                <w:sz w:val="20"/>
                <w:szCs w:val="20"/>
              </w:rPr>
            </w:pPr>
            <w:r>
              <w:rPr>
                <w:noProof/>
                <w:sz w:val="20"/>
                <w:szCs w:val="20"/>
              </w:rPr>
              <w:t>-20 008</w:t>
            </w:r>
          </w:p>
        </w:tc>
      </w:tr>
      <w:tr>
        <w:trPr>
          <w:trHeight w:val="270"/>
          <w:jc w:val="center"/>
        </w:trPr>
        <w:tc>
          <w:tcPr>
            <w:tcW w:w="3933" w:type="dxa"/>
            <w:tcBorders>
              <w:top w:val="nil"/>
              <w:left w:val="single" w:sz="4" w:space="0" w:color="auto"/>
              <w:bottom w:val="nil"/>
              <w:right w:val="nil"/>
            </w:tcBorders>
            <w:shd w:val="clear" w:color="auto" w:fill="auto"/>
            <w:noWrap/>
            <w:vAlign w:val="center"/>
            <w:hideMark/>
          </w:tcPr>
          <w:p>
            <w:pPr>
              <w:spacing w:after="0"/>
              <w:rPr>
                <w:noProof/>
                <w:sz w:val="20"/>
                <w:szCs w:val="20"/>
                <w:lang w:val="en-GB"/>
              </w:rPr>
            </w:pPr>
            <w:r>
              <w:rPr>
                <w:noProof/>
                <w:sz w:val="20"/>
                <w:szCs w:val="20"/>
                <w:lang w:val="en-GB"/>
              </w:rPr>
              <w:t>European Ombudsman</w:t>
            </w:r>
          </w:p>
        </w:tc>
        <w:tc>
          <w:tcPr>
            <w:tcW w:w="1170" w:type="dxa"/>
            <w:tcBorders>
              <w:top w:val="nil"/>
              <w:left w:val="single" w:sz="4" w:space="0" w:color="auto"/>
              <w:bottom w:val="nil"/>
              <w:right w:val="single" w:sz="4" w:space="0" w:color="auto"/>
            </w:tcBorders>
            <w:shd w:val="clear" w:color="auto" w:fill="auto"/>
            <w:noWrap/>
            <w:vAlign w:val="center"/>
            <w:hideMark/>
          </w:tcPr>
          <w:p>
            <w:pPr>
              <w:spacing w:after="0"/>
              <w:jc w:val="right"/>
              <w:rPr>
                <w:noProof/>
                <w:sz w:val="20"/>
                <w:szCs w:val="20"/>
              </w:rPr>
            </w:pPr>
            <w:r>
              <w:rPr>
                <w:noProof/>
                <w:sz w:val="20"/>
                <w:szCs w:val="20"/>
              </w:rPr>
              <w:t>-2 287</w:t>
            </w:r>
          </w:p>
        </w:tc>
      </w:tr>
      <w:tr>
        <w:trPr>
          <w:trHeight w:val="270"/>
          <w:jc w:val="center"/>
        </w:trPr>
        <w:tc>
          <w:tcPr>
            <w:tcW w:w="3933" w:type="dxa"/>
            <w:tcBorders>
              <w:top w:val="nil"/>
              <w:left w:val="single" w:sz="4" w:space="0" w:color="auto"/>
              <w:bottom w:val="nil"/>
              <w:right w:val="nil"/>
            </w:tcBorders>
            <w:shd w:val="clear" w:color="auto" w:fill="auto"/>
            <w:noWrap/>
            <w:vAlign w:val="center"/>
            <w:hideMark/>
          </w:tcPr>
          <w:p>
            <w:pPr>
              <w:spacing w:after="0"/>
              <w:rPr>
                <w:noProof/>
                <w:sz w:val="20"/>
                <w:szCs w:val="20"/>
                <w:lang w:val="en-GB"/>
              </w:rPr>
            </w:pPr>
            <w:r>
              <w:rPr>
                <w:noProof/>
                <w:sz w:val="20"/>
                <w:szCs w:val="20"/>
                <w:lang w:val="en-GB"/>
              </w:rPr>
              <w:t>European Data Protection Supervisor</w:t>
            </w:r>
          </w:p>
        </w:tc>
        <w:tc>
          <w:tcPr>
            <w:tcW w:w="1170" w:type="dxa"/>
            <w:tcBorders>
              <w:top w:val="nil"/>
              <w:left w:val="single" w:sz="4" w:space="0" w:color="auto"/>
              <w:bottom w:val="nil"/>
              <w:right w:val="single" w:sz="4" w:space="0" w:color="auto"/>
            </w:tcBorders>
            <w:shd w:val="clear" w:color="auto" w:fill="auto"/>
            <w:noWrap/>
            <w:vAlign w:val="center"/>
            <w:hideMark/>
          </w:tcPr>
          <w:p>
            <w:pPr>
              <w:spacing w:after="0"/>
              <w:jc w:val="right"/>
              <w:rPr>
                <w:noProof/>
                <w:sz w:val="20"/>
                <w:szCs w:val="20"/>
              </w:rPr>
            </w:pPr>
            <w:r>
              <w:rPr>
                <w:noProof/>
                <w:sz w:val="20"/>
                <w:szCs w:val="20"/>
              </w:rPr>
              <w:t>-4 026</w:t>
            </w:r>
          </w:p>
        </w:tc>
      </w:tr>
      <w:tr>
        <w:trPr>
          <w:trHeight w:val="270"/>
          <w:jc w:val="center"/>
        </w:trPr>
        <w:tc>
          <w:tcPr>
            <w:tcW w:w="3933" w:type="dxa"/>
            <w:tcBorders>
              <w:top w:val="nil"/>
              <w:left w:val="single" w:sz="4" w:space="0" w:color="auto"/>
              <w:bottom w:val="single" w:sz="4" w:space="0" w:color="auto"/>
              <w:right w:val="nil"/>
            </w:tcBorders>
            <w:shd w:val="clear" w:color="auto" w:fill="auto"/>
            <w:noWrap/>
            <w:vAlign w:val="center"/>
            <w:hideMark/>
          </w:tcPr>
          <w:p>
            <w:pPr>
              <w:spacing w:after="0"/>
              <w:rPr>
                <w:noProof/>
                <w:sz w:val="20"/>
                <w:szCs w:val="20"/>
                <w:lang w:val="en-GB"/>
              </w:rPr>
            </w:pPr>
            <w:r>
              <w:rPr>
                <w:noProof/>
                <w:sz w:val="20"/>
                <w:szCs w:val="20"/>
                <w:lang w:val="en-GB"/>
              </w:rPr>
              <w:t>European External Action Service</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pPr>
              <w:spacing w:after="0"/>
              <w:jc w:val="right"/>
              <w:rPr>
                <w:noProof/>
                <w:sz w:val="20"/>
                <w:szCs w:val="20"/>
              </w:rPr>
            </w:pPr>
            <w:r>
              <w:rPr>
                <w:noProof/>
                <w:sz w:val="20"/>
                <w:szCs w:val="20"/>
              </w:rPr>
              <w:t>-41 002</w:t>
            </w:r>
          </w:p>
        </w:tc>
      </w:tr>
      <w:tr>
        <w:trPr>
          <w:trHeight w:val="270"/>
          <w:jc w:val="center"/>
        </w:trPr>
        <w:tc>
          <w:tcPr>
            <w:tcW w:w="3933" w:type="dxa"/>
            <w:tcBorders>
              <w:top w:val="nil"/>
              <w:left w:val="single" w:sz="4" w:space="0" w:color="auto"/>
              <w:bottom w:val="single" w:sz="4" w:space="0" w:color="auto"/>
              <w:right w:val="single" w:sz="4" w:space="0" w:color="auto"/>
            </w:tcBorders>
            <w:shd w:val="clear" w:color="DCE6F1" w:fill="DCE6F1"/>
            <w:vAlign w:val="center"/>
            <w:hideMark/>
          </w:tcPr>
          <w:p>
            <w:pPr>
              <w:spacing w:after="0"/>
              <w:jc w:val="center"/>
              <w:rPr>
                <w:b/>
                <w:bCs/>
                <w:noProof/>
                <w:color w:val="000000"/>
                <w:sz w:val="20"/>
                <w:szCs w:val="20"/>
              </w:rPr>
            </w:pPr>
            <w:r>
              <w:rPr>
                <w:b/>
                <w:bCs/>
                <w:noProof/>
                <w:color w:val="000000"/>
                <w:sz w:val="20"/>
                <w:szCs w:val="20"/>
              </w:rPr>
              <w:t>Total</w:t>
            </w:r>
          </w:p>
        </w:tc>
        <w:tc>
          <w:tcPr>
            <w:tcW w:w="1170" w:type="dxa"/>
            <w:tcBorders>
              <w:top w:val="nil"/>
              <w:left w:val="nil"/>
              <w:bottom w:val="single" w:sz="4" w:space="0" w:color="auto"/>
              <w:right w:val="single" w:sz="4" w:space="0" w:color="auto"/>
            </w:tcBorders>
            <w:shd w:val="clear" w:color="DCE6F1" w:fill="DCE6F1"/>
            <w:vAlign w:val="center"/>
            <w:hideMark/>
          </w:tcPr>
          <w:p>
            <w:pPr>
              <w:spacing w:after="0"/>
              <w:jc w:val="right"/>
              <w:rPr>
                <w:b/>
                <w:bCs/>
                <w:noProof/>
                <w:color w:val="000000"/>
                <w:sz w:val="20"/>
                <w:szCs w:val="20"/>
              </w:rPr>
            </w:pPr>
            <w:r>
              <w:rPr>
                <w:b/>
                <w:bCs/>
                <w:noProof/>
                <w:color w:val="000000"/>
                <w:sz w:val="20"/>
                <w:szCs w:val="20"/>
              </w:rPr>
              <w:t>-750 000</w:t>
            </w:r>
          </w:p>
        </w:tc>
      </w:tr>
    </w:tbl>
    <w:p>
      <w:pPr>
        <w:spacing w:before="240" w:line="240" w:lineRule="auto"/>
        <w:jc w:val="both"/>
        <w:rPr>
          <w:noProof/>
          <w:lang w:val="en-GB"/>
        </w:rPr>
      </w:pPr>
      <w:r>
        <w:rPr>
          <w:noProof/>
          <w:lang w:val="en-GB"/>
        </w:rPr>
        <w:t>As a consequence, and after taking into account pilot projects and preparatory actions (EUR 4,1 million) proposed under section 3.1.3 above, the level of commitment appropriations is proposed to be set at EUR 9 943,0 million, leaving a margin of EUR 589,1 million under the expenditure ceiling of heading 5, after the use of EUR 253,9 million of the margin to offset the mobilisation of the Contingency margin in 2017.</w:t>
      </w:r>
    </w:p>
    <w:p>
      <w:pPr>
        <w:pStyle w:val="ManualHeading3"/>
        <w:rPr>
          <w:noProof/>
        </w:rPr>
      </w:pPr>
      <w:bookmarkStart w:id="35" w:name="_Toc530674109"/>
      <w:r>
        <w:t>3.2.7.</w:t>
      </w:r>
      <w:r>
        <w:tab/>
      </w:r>
      <w:r>
        <w:rPr>
          <w:noProof/>
        </w:rPr>
        <w:t>Special instruments: EGF, EAR and EUSF</w:t>
      </w:r>
      <w:bookmarkEnd w:id="35"/>
    </w:p>
    <w:p>
      <w:pPr>
        <w:spacing w:before="120" w:after="120"/>
        <w:jc w:val="both"/>
        <w:rPr>
          <w:noProof/>
          <w:lang w:val="en-GB"/>
        </w:rPr>
      </w:pPr>
      <w:r>
        <w:rPr>
          <w:noProof/>
          <w:lang w:val="en-GB"/>
        </w:rPr>
        <w:t>Commitment appropriations for the European Globalisation Adjustment Fund (EGF), for the Emergency Aid Reserve (EAR) and for the European Union Solidarity Fund (EUSF) are proposed to be set at the level of the original draft budget, as amended by Amending letter 1/2019.</w:t>
      </w:r>
    </w:p>
    <w:p>
      <w:pPr>
        <w:pStyle w:val="ManualHeading2"/>
        <w:rPr>
          <w:noProof/>
        </w:rPr>
      </w:pPr>
      <w:bookmarkStart w:id="36" w:name="_Toc530586728"/>
      <w:bookmarkStart w:id="37" w:name="_Toc278112520"/>
      <w:bookmarkStart w:id="38" w:name="_Toc530674110"/>
      <w:bookmarkEnd w:id="36"/>
      <w:r>
        <w:t>3.3.</w:t>
      </w:r>
      <w:r>
        <w:tab/>
      </w:r>
      <w:r>
        <w:rPr>
          <w:noProof/>
        </w:rPr>
        <w:t>General approach for payment appropriations</w:t>
      </w:r>
      <w:bookmarkEnd w:id="37"/>
      <w:bookmarkEnd w:id="38"/>
    </w:p>
    <w:p>
      <w:pPr>
        <w:spacing w:before="120" w:after="120"/>
        <w:jc w:val="both"/>
        <w:rPr>
          <w:noProof/>
          <w:lang w:val="en-GB"/>
        </w:rPr>
      </w:pPr>
      <w:r>
        <w:rPr>
          <w:noProof/>
          <w:lang w:val="en-GB"/>
        </w:rPr>
        <w:t>The overall level of payment appropriations is proposed to be set at the level of the original draft budget, as amended by Amending letter 1/2019, with the following amendments:</w:t>
      </w:r>
    </w:p>
    <w:p>
      <w:pPr>
        <w:numPr>
          <w:ilvl w:val="0"/>
          <w:numId w:val="44"/>
        </w:numPr>
        <w:spacing w:before="120" w:after="120" w:line="240" w:lineRule="auto"/>
        <w:jc w:val="both"/>
        <w:rPr>
          <w:noProof/>
          <w:lang w:val="en-GB"/>
        </w:rPr>
      </w:pPr>
      <w:r>
        <w:rPr>
          <w:noProof/>
          <w:lang w:val="en-GB"/>
        </w:rPr>
        <w:t>Firstly, account is taken of the proposed level of commitment appropriations for non-differentiated expenditure, for which the proposed level of payment appropriations is equal to the level of commitment appropriations. This includes the additional reduction of agricultural expenditure by EUR 253,0 million. This approach is applied, by analogy, to the EU contribution to decentralised agencies and the Guarantee Fund for external actions. The combined effect is a proposed decrease of EUR 375,0 million;</w:t>
      </w:r>
    </w:p>
    <w:p>
      <w:pPr>
        <w:numPr>
          <w:ilvl w:val="0"/>
          <w:numId w:val="44"/>
        </w:numPr>
        <w:spacing w:before="120" w:after="120" w:line="240" w:lineRule="auto"/>
        <w:jc w:val="both"/>
        <w:rPr>
          <w:noProof/>
          <w:lang w:val="en-GB"/>
        </w:rPr>
      </w:pPr>
      <w:r>
        <w:rPr>
          <w:noProof/>
          <w:lang w:val="en-GB"/>
        </w:rPr>
        <w:t xml:space="preserve">The payment appropriations for all </w:t>
      </w:r>
      <w:r>
        <w:rPr>
          <w:i/>
          <w:noProof/>
          <w:lang w:val="en-GB"/>
        </w:rPr>
        <w:t>new</w:t>
      </w:r>
      <w:r>
        <w:rPr>
          <w:noProof/>
          <w:lang w:val="en-GB"/>
        </w:rPr>
        <w:t xml:space="preserve"> pilot projects and preparatory actions included in the second draft budget are proposed to be set at 50% of the corresponding commitment appropriations, or at the level proposed by Parliament in its reading of the original draft budget, if lower. In the case of extension of </w:t>
      </w:r>
      <w:r>
        <w:rPr>
          <w:i/>
          <w:noProof/>
          <w:lang w:val="en-GB"/>
        </w:rPr>
        <w:t>existing</w:t>
      </w:r>
      <w:r>
        <w:rPr>
          <w:noProof/>
          <w:lang w:val="en-GB"/>
        </w:rPr>
        <w:t xml:space="preserve"> pilot projects and preparatory actions, the level of payment appropriations is proposed to be that defined in the original draft budget plus 50% of the corresponding new proposed commitment appropriations, or at the level proposed by Parliament in its reading of the original draft budget, if lower. The combined effect is a proposed increase of EUR 57,5 million;</w:t>
      </w:r>
    </w:p>
    <w:p>
      <w:pPr>
        <w:spacing w:after="0" w:line="240" w:lineRule="auto"/>
        <w:rPr>
          <w:noProof/>
          <w:lang w:val="en-GB"/>
        </w:rPr>
      </w:pPr>
      <w:r>
        <w:rPr>
          <w:noProof/>
          <w:lang w:val="en-GB"/>
        </w:rPr>
        <w:br w:type="page"/>
      </w:r>
    </w:p>
    <w:p>
      <w:pPr>
        <w:numPr>
          <w:ilvl w:val="0"/>
          <w:numId w:val="44"/>
        </w:numPr>
        <w:spacing w:before="120" w:after="120" w:line="240" w:lineRule="auto"/>
        <w:jc w:val="both"/>
        <w:rPr>
          <w:noProof/>
          <w:lang w:val="en-GB"/>
        </w:rPr>
      </w:pPr>
      <w:r>
        <w:rPr>
          <w:noProof/>
          <w:lang w:val="en-GB"/>
        </w:rPr>
        <w:t>The amendments on the following budget lines are proposed as a result of the evolution in commitment appropriations for differentiated expenditure:</w:t>
      </w:r>
      <w:bookmarkStart w:id="39" w:name="_Toc278112536"/>
    </w:p>
    <w:tbl>
      <w:tblPr>
        <w:tblW w:w="10536" w:type="dxa"/>
        <w:tblInd w:w="108" w:type="dxa"/>
        <w:tblLook w:val="04A0" w:firstRow="1" w:lastRow="0" w:firstColumn="1" w:lastColumn="0" w:noHBand="0" w:noVBand="1"/>
      </w:tblPr>
      <w:tblGrid>
        <w:gridCol w:w="1240"/>
        <w:gridCol w:w="4940"/>
        <w:gridCol w:w="1480"/>
        <w:gridCol w:w="1480"/>
        <w:gridCol w:w="1396"/>
      </w:tblGrid>
      <w:tr>
        <w:trPr>
          <w:trHeight w:val="255"/>
          <w:tblHeader/>
        </w:trPr>
        <w:tc>
          <w:tcPr>
            <w:tcW w:w="1240" w:type="dxa"/>
            <w:tcBorders>
              <w:top w:val="nil"/>
              <w:left w:val="nil"/>
              <w:bottom w:val="nil"/>
              <w:right w:val="nil"/>
            </w:tcBorders>
            <w:shd w:val="clear" w:color="auto" w:fill="auto"/>
            <w:noWrap/>
            <w:vAlign w:val="center"/>
            <w:hideMark/>
          </w:tcPr>
          <w:p>
            <w:pPr>
              <w:spacing w:after="0" w:line="240" w:lineRule="auto"/>
              <w:rPr>
                <w:rFonts w:eastAsia="Times New Roman"/>
                <w:noProof/>
                <w:sz w:val="20"/>
                <w:szCs w:val="20"/>
                <w:lang w:val="en-GB" w:eastAsia="en-GB"/>
              </w:rPr>
            </w:pPr>
          </w:p>
        </w:tc>
        <w:tc>
          <w:tcPr>
            <w:tcW w:w="4940" w:type="dxa"/>
            <w:tcBorders>
              <w:top w:val="nil"/>
              <w:left w:val="nil"/>
              <w:bottom w:val="nil"/>
              <w:right w:val="nil"/>
            </w:tcBorders>
            <w:shd w:val="clear" w:color="auto" w:fill="auto"/>
            <w:noWrap/>
            <w:vAlign w:val="bottom"/>
            <w:hideMark/>
          </w:tcPr>
          <w:p>
            <w:pPr>
              <w:spacing w:after="0" w:line="240" w:lineRule="auto"/>
              <w:rPr>
                <w:rFonts w:eastAsia="Times New Roman"/>
                <w:noProof/>
                <w:sz w:val="20"/>
                <w:szCs w:val="20"/>
                <w:lang w:val="en-GB" w:eastAsia="en-GB"/>
              </w:rPr>
            </w:pPr>
          </w:p>
        </w:tc>
        <w:tc>
          <w:tcPr>
            <w:tcW w:w="1480" w:type="dxa"/>
            <w:tcBorders>
              <w:top w:val="nil"/>
              <w:left w:val="nil"/>
              <w:bottom w:val="nil"/>
              <w:right w:val="nil"/>
            </w:tcBorders>
            <w:shd w:val="clear" w:color="auto" w:fill="auto"/>
            <w:noWrap/>
            <w:vAlign w:val="center"/>
            <w:hideMark/>
          </w:tcPr>
          <w:p>
            <w:pPr>
              <w:spacing w:after="0" w:line="240" w:lineRule="auto"/>
              <w:rPr>
                <w:rFonts w:eastAsia="Times New Roman"/>
                <w:noProof/>
                <w:sz w:val="20"/>
                <w:szCs w:val="20"/>
                <w:lang w:val="en-GB" w:eastAsia="en-GB"/>
              </w:rPr>
            </w:pPr>
          </w:p>
        </w:tc>
        <w:tc>
          <w:tcPr>
            <w:tcW w:w="1480" w:type="dxa"/>
            <w:tcBorders>
              <w:top w:val="nil"/>
              <w:left w:val="nil"/>
              <w:bottom w:val="nil"/>
              <w:right w:val="nil"/>
            </w:tcBorders>
            <w:shd w:val="clear" w:color="auto" w:fill="auto"/>
            <w:noWrap/>
            <w:vAlign w:val="center"/>
            <w:hideMark/>
          </w:tcPr>
          <w:p>
            <w:pPr>
              <w:spacing w:after="0" w:line="240" w:lineRule="auto"/>
              <w:rPr>
                <w:rFonts w:eastAsia="Times New Roman"/>
                <w:noProof/>
                <w:sz w:val="20"/>
                <w:szCs w:val="20"/>
                <w:lang w:val="en-GB" w:eastAsia="en-GB"/>
              </w:rPr>
            </w:pPr>
          </w:p>
        </w:tc>
        <w:tc>
          <w:tcPr>
            <w:tcW w:w="1396" w:type="dxa"/>
            <w:tcBorders>
              <w:top w:val="nil"/>
              <w:left w:val="nil"/>
              <w:bottom w:val="nil"/>
              <w:right w:val="nil"/>
            </w:tcBorders>
            <w:shd w:val="clear" w:color="auto" w:fill="auto"/>
            <w:noWrap/>
            <w:vAlign w:val="center"/>
            <w:hideMark/>
          </w:tcPr>
          <w:p>
            <w:pPr>
              <w:spacing w:after="0" w:line="240" w:lineRule="auto"/>
              <w:jc w:val="right"/>
              <w:rPr>
                <w:rFonts w:eastAsia="Times New Roman"/>
                <w:i/>
                <w:iCs/>
                <w:noProof/>
                <w:sz w:val="20"/>
                <w:szCs w:val="20"/>
                <w:lang w:val="en-GB" w:eastAsia="en-GB"/>
              </w:rPr>
            </w:pPr>
            <w:r>
              <w:rPr>
                <w:rFonts w:eastAsia="Times New Roman"/>
                <w:i/>
                <w:iCs/>
                <w:noProof/>
                <w:sz w:val="20"/>
                <w:szCs w:val="20"/>
                <w:lang w:val="en-GB" w:eastAsia="en-GB"/>
              </w:rPr>
              <w:t>In EUR</w:t>
            </w:r>
          </w:p>
        </w:tc>
      </w:tr>
      <w:tr>
        <w:trPr>
          <w:trHeight w:val="255"/>
          <w:tblHeader/>
        </w:trPr>
        <w:tc>
          <w:tcPr>
            <w:tcW w:w="1240" w:type="dxa"/>
            <w:vMerge w:val="restart"/>
            <w:tcBorders>
              <w:top w:val="single" w:sz="4" w:space="0" w:color="auto"/>
              <w:left w:val="single" w:sz="4" w:space="0" w:color="auto"/>
              <w:bottom w:val="single" w:sz="4" w:space="0" w:color="000000"/>
              <w:right w:val="nil"/>
            </w:tcBorders>
            <w:shd w:val="clear" w:color="DCE6F1" w:fill="DCE6F1"/>
            <w:vAlign w:val="center"/>
            <w:hideMark/>
          </w:tcPr>
          <w:p>
            <w:pPr>
              <w:spacing w:after="0" w:line="240" w:lineRule="auto"/>
              <w:jc w:val="center"/>
              <w:rPr>
                <w:rFonts w:eastAsia="Times New Roman"/>
                <w:b/>
                <w:bCs/>
                <w:noProof/>
                <w:color w:val="000000"/>
                <w:sz w:val="16"/>
                <w:szCs w:val="16"/>
                <w:lang w:val="en-GB" w:eastAsia="en-GB"/>
              </w:rPr>
            </w:pPr>
            <w:r>
              <w:rPr>
                <w:rFonts w:eastAsia="Times New Roman"/>
                <w:b/>
                <w:bCs/>
                <w:noProof/>
                <w:color w:val="000000"/>
                <w:sz w:val="16"/>
                <w:szCs w:val="16"/>
                <w:lang w:val="en-GB" w:eastAsia="en-GB"/>
              </w:rPr>
              <w:t>Budget line / Programme</w:t>
            </w:r>
          </w:p>
        </w:tc>
        <w:tc>
          <w:tcPr>
            <w:tcW w:w="4940"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pPr>
              <w:spacing w:after="0" w:line="240" w:lineRule="auto"/>
              <w:jc w:val="center"/>
              <w:rPr>
                <w:rFonts w:eastAsia="Times New Roman"/>
                <w:b/>
                <w:bCs/>
                <w:noProof/>
                <w:color w:val="000000"/>
                <w:sz w:val="20"/>
                <w:szCs w:val="20"/>
                <w:lang w:val="en-GB" w:eastAsia="en-GB"/>
              </w:rPr>
            </w:pPr>
            <w:r>
              <w:rPr>
                <w:rFonts w:eastAsia="Times New Roman"/>
                <w:b/>
                <w:bCs/>
                <w:noProof/>
                <w:color w:val="000000"/>
                <w:sz w:val="20"/>
                <w:szCs w:val="20"/>
                <w:lang w:val="en-GB" w:eastAsia="en-GB"/>
              </w:rPr>
              <w:t>Name</w:t>
            </w:r>
          </w:p>
        </w:tc>
        <w:tc>
          <w:tcPr>
            <w:tcW w:w="4356"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pPr>
              <w:spacing w:after="0" w:line="240" w:lineRule="auto"/>
              <w:jc w:val="center"/>
              <w:rPr>
                <w:rFonts w:eastAsia="Times New Roman"/>
                <w:b/>
                <w:bCs/>
                <w:noProof/>
                <w:sz w:val="20"/>
                <w:szCs w:val="20"/>
                <w:lang w:val="en-GB" w:eastAsia="en-GB"/>
              </w:rPr>
            </w:pPr>
            <w:r>
              <w:rPr>
                <w:rFonts w:eastAsia="Times New Roman"/>
                <w:b/>
                <w:bCs/>
                <w:noProof/>
                <w:sz w:val="20"/>
                <w:szCs w:val="20"/>
                <w:lang w:val="en-GB" w:eastAsia="en-GB"/>
              </w:rPr>
              <w:t>Reinforcement in commitment appropriations</w:t>
            </w:r>
          </w:p>
        </w:tc>
      </w:tr>
      <w:tr>
        <w:trPr>
          <w:trHeight w:val="510"/>
          <w:tblHeader/>
        </w:trPr>
        <w:tc>
          <w:tcPr>
            <w:tcW w:w="1240" w:type="dxa"/>
            <w:vMerge/>
            <w:tcBorders>
              <w:top w:val="single" w:sz="4" w:space="0" w:color="auto"/>
              <w:left w:val="single" w:sz="4" w:space="0" w:color="auto"/>
              <w:bottom w:val="single" w:sz="4" w:space="0" w:color="000000"/>
              <w:right w:val="nil"/>
            </w:tcBorders>
            <w:vAlign w:val="center"/>
            <w:hideMark/>
          </w:tcPr>
          <w:p>
            <w:pPr>
              <w:spacing w:after="0" w:line="240" w:lineRule="auto"/>
              <w:rPr>
                <w:rFonts w:eastAsia="Times New Roman"/>
                <w:b/>
                <w:bCs/>
                <w:noProof/>
                <w:color w:val="000000"/>
                <w:sz w:val="16"/>
                <w:szCs w:val="16"/>
                <w:lang w:val="en-GB" w:eastAsia="en-GB"/>
              </w:rPr>
            </w:pPr>
          </w:p>
        </w:tc>
        <w:tc>
          <w:tcPr>
            <w:tcW w:w="494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eastAsia="Times New Roman"/>
                <w:b/>
                <w:bCs/>
                <w:noProof/>
                <w:color w:val="000000"/>
                <w:sz w:val="20"/>
                <w:szCs w:val="20"/>
                <w:lang w:val="en-GB" w:eastAsia="en-GB"/>
              </w:rPr>
            </w:pPr>
          </w:p>
        </w:tc>
        <w:tc>
          <w:tcPr>
            <w:tcW w:w="148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eastAsia="Times New Roman"/>
                <w:b/>
                <w:bCs/>
                <w:noProof/>
                <w:color w:val="000000"/>
                <w:sz w:val="20"/>
                <w:szCs w:val="20"/>
                <w:lang w:val="en-GB" w:eastAsia="en-GB"/>
              </w:rPr>
            </w:pPr>
            <w:r>
              <w:rPr>
                <w:rFonts w:eastAsia="Times New Roman"/>
                <w:b/>
                <w:bCs/>
                <w:noProof/>
                <w:color w:val="000000"/>
                <w:sz w:val="20"/>
                <w:szCs w:val="20"/>
                <w:lang w:val="en-GB" w:eastAsia="en-GB"/>
              </w:rPr>
              <w:t>DB 2019 (incl. AL1)</w:t>
            </w:r>
          </w:p>
        </w:tc>
        <w:tc>
          <w:tcPr>
            <w:tcW w:w="148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eastAsia="Times New Roman"/>
                <w:b/>
                <w:bCs/>
                <w:noProof/>
                <w:color w:val="000000"/>
                <w:sz w:val="20"/>
                <w:szCs w:val="20"/>
                <w:lang w:val="en-GB" w:eastAsia="en-GB"/>
              </w:rPr>
            </w:pPr>
            <w:r>
              <w:rPr>
                <w:rFonts w:eastAsia="Times New Roman"/>
                <w:b/>
                <w:bCs/>
                <w:noProof/>
                <w:color w:val="000000"/>
                <w:sz w:val="20"/>
                <w:szCs w:val="20"/>
                <w:lang w:val="en-GB" w:eastAsia="en-GB"/>
              </w:rPr>
              <w:t>Second Draft Budget 2019</w:t>
            </w:r>
          </w:p>
        </w:tc>
        <w:tc>
          <w:tcPr>
            <w:tcW w:w="1396" w:type="dxa"/>
            <w:tcBorders>
              <w:top w:val="nil"/>
              <w:left w:val="nil"/>
              <w:bottom w:val="single" w:sz="4" w:space="0" w:color="auto"/>
              <w:right w:val="single" w:sz="4" w:space="0" w:color="auto"/>
            </w:tcBorders>
            <w:shd w:val="clear" w:color="DCE6F1" w:fill="DCE6F1"/>
            <w:noWrap/>
            <w:vAlign w:val="center"/>
            <w:hideMark/>
          </w:tcPr>
          <w:p>
            <w:pPr>
              <w:spacing w:after="0" w:line="240" w:lineRule="auto"/>
              <w:jc w:val="center"/>
              <w:rPr>
                <w:rFonts w:eastAsia="Times New Roman"/>
                <w:b/>
                <w:bCs/>
                <w:noProof/>
                <w:color w:val="000000"/>
                <w:sz w:val="20"/>
                <w:szCs w:val="20"/>
                <w:lang w:val="en-GB" w:eastAsia="en-GB"/>
              </w:rPr>
            </w:pPr>
            <w:r>
              <w:rPr>
                <w:rFonts w:eastAsia="Times New Roman"/>
                <w:b/>
                <w:bCs/>
                <w:noProof/>
                <w:color w:val="000000"/>
                <w:sz w:val="20"/>
                <w:szCs w:val="20"/>
                <w:lang w:val="en-GB" w:eastAsia="en-GB"/>
              </w:rPr>
              <w:t>Difference</w:t>
            </w:r>
          </w:p>
        </w:tc>
      </w:tr>
      <w:tr>
        <w:trPr>
          <w:trHeight w:val="54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lang w:val="en-GB" w:eastAsia="en-GB"/>
              </w:rPr>
            </w:pPr>
            <w:r>
              <w:rPr>
                <w:rFonts w:eastAsia="Times New Roman"/>
                <w:b/>
                <w:bCs/>
                <w:i/>
                <w:iCs/>
                <w:noProof/>
                <w:sz w:val="20"/>
                <w:szCs w:val="20"/>
                <w:lang w:val="en-GB" w:eastAsia="en-GB"/>
              </w:rPr>
              <w:t>1.1.12</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lang w:val="en-GB" w:eastAsia="en-GB"/>
              </w:rPr>
            </w:pPr>
            <w:r>
              <w:rPr>
                <w:rFonts w:eastAsia="Times New Roman"/>
                <w:b/>
                <w:bCs/>
                <w:i/>
                <w:iCs/>
                <w:noProof/>
                <w:sz w:val="20"/>
                <w:szCs w:val="20"/>
                <w:lang w:val="en-GB" w:eastAsia="en-GB"/>
              </w:rPr>
              <w:t>International Thermonuclear Experimental Reactor (ITER)</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r>
              <w:rPr>
                <w:rFonts w:eastAsia="Times New Roman"/>
                <w:b/>
                <w:bCs/>
                <w:i/>
                <w:iCs/>
                <w:noProof/>
                <w:sz w:val="20"/>
                <w:szCs w:val="20"/>
                <w:lang w:val="en-GB" w:eastAsia="en-GB"/>
              </w:rPr>
              <w:t>-3 500 000</w:t>
            </w:r>
          </w:p>
        </w:tc>
      </w:tr>
      <w:tr>
        <w:trPr>
          <w:trHeight w:val="76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32 05 01 02</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Construction, operation and exploitation of the ITER facilities — European Joint Undertaking for ITER — Fusion for Energy (F4E)</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366 696 185</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363 196 185</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-3 500 000</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lang w:val="en-GB" w:eastAsia="en-GB"/>
              </w:rPr>
            </w:pPr>
            <w:r>
              <w:rPr>
                <w:rFonts w:eastAsia="Times New Roman"/>
                <w:b/>
                <w:bCs/>
                <w:i/>
                <w:iCs/>
                <w:noProof/>
                <w:sz w:val="20"/>
                <w:szCs w:val="20"/>
                <w:lang w:val="en-GB" w:eastAsia="en-GB"/>
              </w:rPr>
              <w:t>1.1.13</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lang w:val="en-GB" w:eastAsia="en-GB"/>
              </w:rPr>
            </w:pPr>
            <w:r>
              <w:rPr>
                <w:rFonts w:eastAsia="Times New Roman"/>
                <w:b/>
                <w:bCs/>
                <w:i/>
                <w:iCs/>
                <w:noProof/>
                <w:sz w:val="20"/>
                <w:szCs w:val="20"/>
                <w:lang w:val="en-GB" w:eastAsia="en-GB"/>
              </w:rPr>
              <w:t>European Earth Observation Programme (Copernicus)</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r>
              <w:rPr>
                <w:rFonts w:eastAsia="Times New Roman"/>
                <w:b/>
                <w:bCs/>
                <w:i/>
                <w:iCs/>
                <w:noProof/>
                <w:sz w:val="20"/>
                <w:szCs w:val="20"/>
                <w:lang w:val="en-GB" w:eastAsia="en-GB"/>
              </w:rPr>
              <w:t>-12 500 000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02 06 01</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Delivering operational services relying on space-borne observations and in-situ data (Copernicus)</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140 000 000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139 000 000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-1 000 000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02 06 02</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Building an autonomous Union’s Earth observation capacity (Copernicus)</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472 000 000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460 500 000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-11 500 000</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lang w:val="en-GB" w:eastAsia="en-GB"/>
              </w:rPr>
            </w:pPr>
            <w:r>
              <w:rPr>
                <w:rFonts w:eastAsia="Times New Roman"/>
                <w:b/>
                <w:bCs/>
                <w:i/>
                <w:iCs/>
                <w:noProof/>
                <w:sz w:val="20"/>
                <w:szCs w:val="20"/>
                <w:lang w:val="en-GB" w:eastAsia="en-GB"/>
              </w:rPr>
              <w:t>1.1.31</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lang w:val="en-GB" w:eastAsia="en-GB"/>
              </w:rPr>
            </w:pPr>
            <w:r>
              <w:rPr>
                <w:rFonts w:eastAsia="Times New Roman"/>
                <w:b/>
                <w:bCs/>
                <w:i/>
                <w:iCs/>
                <w:noProof/>
                <w:sz w:val="20"/>
                <w:szCs w:val="20"/>
                <w:lang w:val="en-GB" w:eastAsia="en-GB"/>
              </w:rPr>
              <w:t>Horizon 2020</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r>
              <w:rPr>
                <w:rFonts w:eastAsia="Times New Roman"/>
                <w:b/>
                <w:bCs/>
                <w:i/>
                <w:iCs/>
                <w:noProof/>
                <w:sz w:val="20"/>
                <w:szCs w:val="20"/>
                <w:lang w:val="en-GB" w:eastAsia="en-GB"/>
              </w:rPr>
              <w:t>30 000 000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08 02 08</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SME instrument</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482 502 033</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512 502 033</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30 000 000</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lang w:val="en-GB" w:eastAsia="en-GB"/>
              </w:rPr>
            </w:pPr>
            <w:r>
              <w:rPr>
                <w:rFonts w:eastAsia="Times New Roman"/>
                <w:b/>
                <w:bCs/>
                <w:i/>
                <w:iCs/>
                <w:noProof/>
                <w:sz w:val="20"/>
                <w:szCs w:val="20"/>
                <w:lang w:val="en-GB" w:eastAsia="en-GB"/>
              </w:rPr>
              <w:t>1.1.5</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lang w:val="en-GB" w:eastAsia="en-GB"/>
              </w:rPr>
            </w:pPr>
            <w:r>
              <w:rPr>
                <w:rFonts w:eastAsia="Times New Roman"/>
                <w:b/>
                <w:bCs/>
                <w:i/>
                <w:iCs/>
                <w:noProof/>
                <w:sz w:val="20"/>
                <w:szCs w:val="20"/>
                <w:lang w:val="en-GB" w:eastAsia="en-GB"/>
              </w:rPr>
              <w:t>Education, Training and Sport (Erasmus+)</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r>
              <w:rPr>
                <w:rFonts w:eastAsia="Times New Roman"/>
                <w:b/>
                <w:bCs/>
                <w:i/>
                <w:iCs/>
                <w:noProof/>
                <w:sz w:val="20"/>
                <w:szCs w:val="20"/>
                <w:lang w:val="en-GB" w:eastAsia="en-GB"/>
              </w:rPr>
              <w:t>170 000 000</w:t>
            </w:r>
          </w:p>
        </w:tc>
      </w:tr>
      <w:tr>
        <w:trPr>
          <w:trHeight w:val="76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15 02 01 01</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Promoting excellence and cooperation in the European education and training area and its relevance to the labour market</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2 096 100 000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2 261 000 000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164 900 000</w:t>
            </w:r>
          </w:p>
        </w:tc>
      </w:tr>
      <w:tr>
        <w:trPr>
          <w:trHeight w:val="76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15 02 01 02</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Promoting excellence and cooperation in the European youth area and the participation of young people in European democratic life</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170 850 000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175 950 000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5 100 000</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lang w:val="en-GB" w:eastAsia="en-GB"/>
              </w:rPr>
            </w:pPr>
            <w:r>
              <w:rPr>
                <w:rFonts w:eastAsia="Times New Roman"/>
                <w:b/>
                <w:bCs/>
                <w:i/>
                <w:iCs/>
                <w:noProof/>
                <w:sz w:val="20"/>
                <w:szCs w:val="20"/>
                <w:lang w:val="en-GB" w:eastAsia="en-GB"/>
              </w:rPr>
              <w:t>3.0.8</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lang w:val="en-GB" w:eastAsia="en-GB"/>
              </w:rPr>
            </w:pPr>
            <w:r>
              <w:rPr>
                <w:rFonts w:eastAsia="Times New Roman"/>
                <w:b/>
                <w:bCs/>
                <w:i/>
                <w:iCs/>
                <w:noProof/>
                <w:sz w:val="20"/>
                <w:szCs w:val="20"/>
                <w:lang w:val="en-GB" w:eastAsia="en-GB"/>
              </w:rPr>
              <w:t>Food and feed</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r>
              <w:rPr>
                <w:rFonts w:eastAsia="Times New Roman"/>
                <w:b/>
                <w:bCs/>
                <w:i/>
                <w:iCs/>
                <w:noProof/>
                <w:sz w:val="20"/>
                <w:szCs w:val="20"/>
                <w:lang w:val="en-GB" w:eastAsia="en-GB"/>
              </w:rPr>
              <w:t>-6 500 000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17 04 01</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Ensuring a higher animal health status and high level of protection of animals in the Union</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134 040 000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127 540 000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-6 500 000</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lang w:val="en-GB" w:eastAsia="en-GB"/>
              </w:rPr>
            </w:pPr>
            <w:r>
              <w:rPr>
                <w:rFonts w:eastAsia="Times New Roman"/>
                <w:b/>
                <w:bCs/>
                <w:i/>
                <w:iCs/>
                <w:noProof/>
                <w:sz w:val="20"/>
                <w:szCs w:val="20"/>
                <w:lang w:val="en-GB" w:eastAsia="en-GB"/>
              </w:rPr>
              <w:t>4.0.1</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lang w:val="en-GB" w:eastAsia="en-GB"/>
              </w:rPr>
            </w:pPr>
            <w:r>
              <w:rPr>
                <w:rFonts w:eastAsia="Times New Roman"/>
                <w:b/>
                <w:bCs/>
                <w:i/>
                <w:iCs/>
                <w:noProof/>
                <w:sz w:val="20"/>
                <w:szCs w:val="20"/>
                <w:lang w:val="en-GB" w:eastAsia="en-GB"/>
              </w:rPr>
              <w:t>Instrument for Pre-accession assistance (IPA II)</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r>
              <w:rPr>
                <w:rFonts w:eastAsia="Times New Roman"/>
                <w:b/>
                <w:bCs/>
                <w:i/>
                <w:iCs/>
                <w:noProof/>
                <w:sz w:val="20"/>
                <w:szCs w:val="20"/>
                <w:lang w:val="en-GB" w:eastAsia="en-GB"/>
              </w:rPr>
              <w:t>-90 000 000</w:t>
            </w:r>
          </w:p>
        </w:tc>
      </w:tr>
      <w:tr>
        <w:trPr>
          <w:trHeight w:val="76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05 05 04 02</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Turkey - Support for economic, social and territorial development and related progressive alignment with the Union acquis</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50 000 000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35 000 000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-15 000 000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22 02 03 01</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Turkey - Support for political reforms and related progressive alignment with the Union acquis</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150 719 568</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105 719 568</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-45 000 000</w:t>
            </w:r>
          </w:p>
        </w:tc>
      </w:tr>
      <w:tr>
        <w:trPr>
          <w:trHeight w:val="76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22 02 03 02</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Turkey - Support for economic, social and territorial development and related progressive alignment with the Union acquis</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708 080 653</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678 080 653</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-30 000 000</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lang w:val="en-GB" w:eastAsia="en-GB"/>
              </w:rPr>
            </w:pPr>
            <w:r>
              <w:rPr>
                <w:rFonts w:eastAsia="Times New Roman"/>
                <w:b/>
                <w:bCs/>
                <w:i/>
                <w:iCs/>
                <w:noProof/>
                <w:sz w:val="20"/>
                <w:szCs w:val="20"/>
                <w:lang w:val="en-GB" w:eastAsia="en-GB"/>
              </w:rPr>
              <w:t>4.0.10</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lang w:val="en-GB" w:eastAsia="en-GB"/>
              </w:rPr>
            </w:pPr>
            <w:r>
              <w:rPr>
                <w:rFonts w:eastAsia="Times New Roman"/>
                <w:b/>
                <w:bCs/>
                <w:i/>
                <w:iCs/>
                <w:noProof/>
                <w:sz w:val="20"/>
                <w:szCs w:val="20"/>
                <w:lang w:val="en-GB" w:eastAsia="en-GB"/>
              </w:rPr>
              <w:t>Macro-financial Assistance (MFA)</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lang w:val="en-GB" w:eastAsia="en-GB"/>
              </w:rPr>
            </w:pPr>
            <w:r>
              <w:rPr>
                <w:rFonts w:eastAsia="Times New Roman"/>
                <w:b/>
                <w:bCs/>
                <w:i/>
                <w:iCs/>
                <w:noProof/>
                <w:sz w:val="20"/>
                <w:szCs w:val="20"/>
                <w:lang w:val="en-GB" w:eastAsia="en-GB"/>
              </w:rPr>
              <w:t>-15 000 000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01 03 02</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Macro-financial assistance</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42 000 000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27 000 000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en-GB" w:eastAsia="en-GB"/>
              </w:rPr>
            </w:pPr>
            <w:r>
              <w:rPr>
                <w:rFonts w:eastAsia="Times New Roman"/>
                <w:noProof/>
                <w:sz w:val="20"/>
                <w:szCs w:val="20"/>
                <w:lang w:val="en-GB" w:eastAsia="en-GB"/>
              </w:rPr>
              <w:t>-15 000 000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rPr>
                <w:rFonts w:eastAsia="Times New Roman"/>
                <w:b/>
                <w:bCs/>
                <w:noProof/>
                <w:sz w:val="20"/>
                <w:szCs w:val="20"/>
                <w:lang w:val="en-GB" w:eastAsia="en-GB"/>
              </w:rPr>
            </w:pPr>
          </w:p>
        </w:tc>
        <w:tc>
          <w:tcPr>
            <w:tcW w:w="4940" w:type="dxa"/>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rPr>
                <w:rFonts w:eastAsia="Times New Roman"/>
                <w:b/>
                <w:bCs/>
                <w:noProof/>
                <w:sz w:val="20"/>
                <w:szCs w:val="20"/>
                <w:lang w:val="en-GB" w:eastAsia="en-GB"/>
              </w:rPr>
            </w:pPr>
            <w:r>
              <w:rPr>
                <w:rFonts w:eastAsia="Times New Roman"/>
                <w:b/>
                <w:bCs/>
                <w:noProof/>
                <w:sz w:val="20"/>
                <w:szCs w:val="20"/>
                <w:lang w:val="en-GB" w:eastAsia="en-GB"/>
              </w:rPr>
              <w:t>Total</w:t>
            </w:r>
          </w:p>
        </w:tc>
        <w:tc>
          <w:tcPr>
            <w:tcW w:w="148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eastAsia="Times New Roman"/>
                <w:b/>
                <w:bCs/>
                <w:noProof/>
                <w:sz w:val="20"/>
                <w:szCs w:val="20"/>
                <w:lang w:val="en-GB" w:eastAsia="en-GB"/>
              </w:rPr>
            </w:pPr>
          </w:p>
        </w:tc>
        <w:tc>
          <w:tcPr>
            <w:tcW w:w="148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eastAsia="Times New Roman"/>
                <w:b/>
                <w:bCs/>
                <w:noProof/>
                <w:sz w:val="20"/>
                <w:szCs w:val="20"/>
                <w:lang w:val="en-GB" w:eastAsia="en-GB"/>
              </w:rPr>
            </w:pPr>
          </w:p>
        </w:tc>
        <w:tc>
          <w:tcPr>
            <w:tcW w:w="1396"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eastAsia="Times New Roman"/>
                <w:b/>
                <w:bCs/>
                <w:noProof/>
                <w:sz w:val="20"/>
                <w:szCs w:val="20"/>
                <w:lang w:val="en-GB" w:eastAsia="en-GB"/>
              </w:rPr>
            </w:pPr>
            <w:r>
              <w:rPr>
                <w:rFonts w:eastAsia="Times New Roman"/>
                <w:b/>
                <w:bCs/>
                <w:noProof/>
                <w:sz w:val="20"/>
                <w:szCs w:val="20"/>
                <w:lang w:val="en-GB" w:eastAsia="en-GB"/>
              </w:rPr>
              <w:t>72 500 000</w:t>
            </w:r>
          </w:p>
        </w:tc>
      </w:tr>
    </w:tbl>
    <w:p>
      <w:pPr>
        <w:numPr>
          <w:ilvl w:val="0"/>
          <w:numId w:val="44"/>
        </w:numPr>
        <w:spacing w:before="120" w:after="120" w:line="240" w:lineRule="auto"/>
        <w:jc w:val="both"/>
        <w:rPr>
          <w:noProof/>
          <w:lang w:val="en-GB"/>
        </w:rPr>
      </w:pPr>
      <w:r>
        <w:rPr>
          <w:noProof/>
          <w:lang w:val="en-GB"/>
        </w:rPr>
        <w:t>An additional reduction in payment appropriations is proposed on budget line 01 04 05 where it is proposed that the provisioning of the EFSI guarantee fund be reduced by the amount frontloaded in the budgetary authority transfer (DEC) No 22/2018 as follows:</w:t>
      </w:r>
    </w:p>
    <w:tbl>
      <w:tblPr>
        <w:tblW w:w="10239" w:type="dxa"/>
        <w:jc w:val="center"/>
        <w:tblLook w:val="04A0" w:firstRow="1" w:lastRow="0" w:firstColumn="1" w:lastColumn="0" w:noHBand="0" w:noVBand="1"/>
      </w:tblPr>
      <w:tblGrid>
        <w:gridCol w:w="1240"/>
        <w:gridCol w:w="4643"/>
        <w:gridCol w:w="1480"/>
        <w:gridCol w:w="1480"/>
        <w:gridCol w:w="1396"/>
      </w:tblGrid>
      <w:tr>
        <w:trPr>
          <w:trHeight w:val="255"/>
          <w:tblHeader/>
          <w:jc w:val="center"/>
        </w:trPr>
        <w:tc>
          <w:tcPr>
            <w:tcW w:w="1240" w:type="dxa"/>
            <w:tcBorders>
              <w:top w:val="nil"/>
              <w:left w:val="nil"/>
              <w:bottom w:val="nil"/>
              <w:right w:val="nil"/>
            </w:tcBorders>
            <w:shd w:val="clear" w:color="auto" w:fill="auto"/>
            <w:noWrap/>
            <w:vAlign w:val="center"/>
            <w:hideMark/>
          </w:tcPr>
          <w:p>
            <w:pPr>
              <w:spacing w:after="0"/>
              <w:rPr>
                <w:noProof/>
                <w:sz w:val="20"/>
                <w:szCs w:val="20"/>
                <w:lang w:val="en-GB"/>
              </w:rPr>
            </w:pPr>
          </w:p>
        </w:tc>
        <w:tc>
          <w:tcPr>
            <w:tcW w:w="4643" w:type="dxa"/>
            <w:tcBorders>
              <w:top w:val="nil"/>
              <w:left w:val="nil"/>
              <w:bottom w:val="nil"/>
              <w:right w:val="nil"/>
            </w:tcBorders>
            <w:shd w:val="clear" w:color="auto" w:fill="auto"/>
            <w:vAlign w:val="center"/>
            <w:hideMark/>
          </w:tcPr>
          <w:p>
            <w:pPr>
              <w:spacing w:after="0"/>
              <w:rPr>
                <w:noProof/>
                <w:sz w:val="20"/>
                <w:szCs w:val="20"/>
                <w:lang w:val="en-GB"/>
              </w:rPr>
            </w:pPr>
          </w:p>
        </w:tc>
        <w:tc>
          <w:tcPr>
            <w:tcW w:w="1480" w:type="dxa"/>
            <w:tcBorders>
              <w:top w:val="nil"/>
              <w:left w:val="nil"/>
              <w:bottom w:val="nil"/>
              <w:right w:val="nil"/>
            </w:tcBorders>
            <w:shd w:val="clear" w:color="auto" w:fill="auto"/>
            <w:noWrap/>
            <w:vAlign w:val="center"/>
            <w:hideMark/>
          </w:tcPr>
          <w:p>
            <w:pPr>
              <w:spacing w:after="0"/>
              <w:rPr>
                <w:noProof/>
                <w:sz w:val="20"/>
                <w:szCs w:val="20"/>
                <w:lang w:val="en-GB"/>
              </w:rPr>
            </w:pPr>
          </w:p>
        </w:tc>
        <w:tc>
          <w:tcPr>
            <w:tcW w:w="1480" w:type="dxa"/>
            <w:tcBorders>
              <w:top w:val="nil"/>
              <w:left w:val="nil"/>
              <w:bottom w:val="nil"/>
              <w:right w:val="nil"/>
            </w:tcBorders>
            <w:shd w:val="clear" w:color="auto" w:fill="auto"/>
            <w:noWrap/>
            <w:vAlign w:val="center"/>
            <w:hideMark/>
          </w:tcPr>
          <w:p>
            <w:pPr>
              <w:spacing w:after="0"/>
              <w:rPr>
                <w:noProof/>
                <w:sz w:val="20"/>
                <w:szCs w:val="20"/>
                <w:lang w:val="en-GB"/>
              </w:rPr>
            </w:pPr>
          </w:p>
        </w:tc>
        <w:tc>
          <w:tcPr>
            <w:tcW w:w="1396" w:type="dxa"/>
            <w:tcBorders>
              <w:top w:val="nil"/>
              <w:left w:val="nil"/>
              <w:bottom w:val="nil"/>
              <w:right w:val="nil"/>
            </w:tcBorders>
            <w:shd w:val="clear" w:color="auto" w:fill="auto"/>
            <w:noWrap/>
            <w:vAlign w:val="center"/>
            <w:hideMark/>
          </w:tcPr>
          <w:p>
            <w:pPr>
              <w:spacing w:after="0"/>
              <w:jc w:val="right"/>
              <w:rPr>
                <w:i/>
                <w:iCs/>
                <w:noProof/>
                <w:sz w:val="20"/>
                <w:szCs w:val="20"/>
                <w:lang w:val="en-US"/>
              </w:rPr>
            </w:pPr>
            <w:r>
              <w:rPr>
                <w:i/>
                <w:iCs/>
                <w:noProof/>
                <w:sz w:val="20"/>
                <w:szCs w:val="20"/>
                <w:lang w:val="en-US"/>
              </w:rPr>
              <w:t>In EUR</w:t>
            </w:r>
          </w:p>
        </w:tc>
      </w:tr>
      <w:tr>
        <w:trPr>
          <w:trHeight w:val="510"/>
          <w:tblHeader/>
          <w:jc w:val="center"/>
        </w:trPr>
        <w:tc>
          <w:tcPr>
            <w:tcW w:w="1240" w:type="dxa"/>
            <w:tcBorders>
              <w:top w:val="single" w:sz="4" w:space="0" w:color="auto"/>
              <w:left w:val="single" w:sz="4" w:space="0" w:color="auto"/>
              <w:bottom w:val="single" w:sz="4" w:space="0" w:color="auto"/>
              <w:right w:val="single" w:sz="4" w:space="0" w:color="auto"/>
            </w:tcBorders>
            <w:shd w:val="clear" w:color="DCE6F1" w:fill="DCE6F1"/>
            <w:vAlign w:val="center"/>
            <w:hideMark/>
          </w:tcPr>
          <w:p>
            <w:pPr>
              <w:spacing w:after="0"/>
              <w:jc w:val="center"/>
              <w:rPr>
                <w:b/>
                <w:bCs/>
                <w:noProof/>
                <w:color w:val="000000"/>
                <w:sz w:val="16"/>
                <w:szCs w:val="16"/>
                <w:lang w:val="en-US"/>
              </w:rPr>
            </w:pPr>
            <w:r>
              <w:rPr>
                <w:b/>
                <w:bCs/>
                <w:noProof/>
                <w:color w:val="000000"/>
                <w:sz w:val="16"/>
                <w:szCs w:val="16"/>
                <w:lang w:val="en-US"/>
              </w:rPr>
              <w:t>Budget line / Programme</w:t>
            </w:r>
          </w:p>
        </w:tc>
        <w:tc>
          <w:tcPr>
            <w:tcW w:w="4643" w:type="dxa"/>
            <w:tcBorders>
              <w:top w:val="single" w:sz="4" w:space="0" w:color="auto"/>
              <w:left w:val="nil"/>
              <w:bottom w:val="single" w:sz="4" w:space="0" w:color="auto"/>
              <w:right w:val="single" w:sz="4" w:space="0" w:color="auto"/>
            </w:tcBorders>
            <w:shd w:val="clear" w:color="DCE6F1" w:fill="DCE6F1"/>
            <w:vAlign w:val="center"/>
            <w:hideMark/>
          </w:tcPr>
          <w:p>
            <w:pPr>
              <w:spacing w:after="0"/>
              <w:jc w:val="center"/>
              <w:rPr>
                <w:b/>
                <w:bCs/>
                <w:noProof/>
                <w:color w:val="000000"/>
                <w:sz w:val="20"/>
                <w:szCs w:val="20"/>
                <w:lang w:val="en-US"/>
              </w:rPr>
            </w:pPr>
            <w:r>
              <w:rPr>
                <w:b/>
                <w:bCs/>
                <w:noProof/>
                <w:color w:val="000000"/>
                <w:sz w:val="20"/>
                <w:szCs w:val="20"/>
                <w:lang w:val="en-US"/>
              </w:rPr>
              <w:t>Name</w:t>
            </w:r>
          </w:p>
        </w:tc>
        <w:tc>
          <w:tcPr>
            <w:tcW w:w="1480" w:type="dxa"/>
            <w:tcBorders>
              <w:top w:val="single" w:sz="4" w:space="0" w:color="auto"/>
              <w:left w:val="nil"/>
              <w:bottom w:val="single" w:sz="4" w:space="0" w:color="auto"/>
              <w:right w:val="single" w:sz="4" w:space="0" w:color="auto"/>
            </w:tcBorders>
            <w:shd w:val="clear" w:color="DCE6F1" w:fill="DCE6F1"/>
            <w:vAlign w:val="center"/>
            <w:hideMark/>
          </w:tcPr>
          <w:p>
            <w:pPr>
              <w:spacing w:after="0"/>
              <w:jc w:val="center"/>
              <w:rPr>
                <w:b/>
                <w:bCs/>
                <w:noProof/>
                <w:color w:val="000000"/>
                <w:sz w:val="20"/>
                <w:szCs w:val="20"/>
                <w:lang w:val="en-US"/>
              </w:rPr>
            </w:pPr>
            <w:r>
              <w:rPr>
                <w:b/>
                <w:bCs/>
                <w:noProof/>
                <w:color w:val="000000"/>
                <w:sz w:val="20"/>
                <w:szCs w:val="20"/>
                <w:lang w:val="en-US"/>
              </w:rPr>
              <w:t>DB 2019 (incl. AL1)</w:t>
            </w:r>
          </w:p>
        </w:tc>
        <w:tc>
          <w:tcPr>
            <w:tcW w:w="1480" w:type="dxa"/>
            <w:tcBorders>
              <w:top w:val="single" w:sz="4" w:space="0" w:color="auto"/>
              <w:left w:val="nil"/>
              <w:bottom w:val="single" w:sz="4" w:space="0" w:color="auto"/>
              <w:right w:val="single" w:sz="4" w:space="0" w:color="auto"/>
            </w:tcBorders>
            <w:shd w:val="clear" w:color="DCE6F1" w:fill="DCE6F1"/>
            <w:noWrap/>
            <w:vAlign w:val="center"/>
            <w:hideMark/>
          </w:tcPr>
          <w:p>
            <w:pPr>
              <w:spacing w:after="0"/>
              <w:jc w:val="center"/>
              <w:rPr>
                <w:b/>
                <w:bCs/>
                <w:noProof/>
                <w:color w:val="000000"/>
                <w:sz w:val="20"/>
                <w:szCs w:val="20"/>
                <w:lang w:val="en-US"/>
              </w:rPr>
            </w:pPr>
            <w:r>
              <w:rPr>
                <w:b/>
                <w:bCs/>
                <w:noProof/>
                <w:color w:val="000000"/>
                <w:sz w:val="20"/>
                <w:szCs w:val="20"/>
                <w:lang w:val="en-US"/>
              </w:rPr>
              <w:t>Budget 2019</w:t>
            </w:r>
          </w:p>
        </w:tc>
        <w:tc>
          <w:tcPr>
            <w:tcW w:w="1396" w:type="dxa"/>
            <w:tcBorders>
              <w:top w:val="single" w:sz="4" w:space="0" w:color="auto"/>
              <w:left w:val="nil"/>
              <w:bottom w:val="single" w:sz="4" w:space="0" w:color="auto"/>
              <w:right w:val="single" w:sz="4" w:space="0" w:color="auto"/>
            </w:tcBorders>
            <w:shd w:val="clear" w:color="DCE6F1" w:fill="DCE6F1"/>
            <w:noWrap/>
            <w:vAlign w:val="center"/>
            <w:hideMark/>
          </w:tcPr>
          <w:p>
            <w:pPr>
              <w:spacing w:after="0"/>
              <w:jc w:val="center"/>
              <w:rPr>
                <w:b/>
                <w:bCs/>
                <w:noProof/>
                <w:color w:val="000000"/>
                <w:sz w:val="20"/>
                <w:szCs w:val="20"/>
                <w:lang w:val="en-US"/>
              </w:rPr>
            </w:pPr>
            <w:r>
              <w:rPr>
                <w:b/>
                <w:bCs/>
                <w:noProof/>
                <w:color w:val="000000"/>
                <w:sz w:val="20"/>
                <w:szCs w:val="20"/>
                <w:lang w:val="en-US"/>
              </w:rPr>
              <w:t>Difference</w:t>
            </w:r>
          </w:p>
        </w:tc>
      </w:tr>
      <w:tr>
        <w:trPr>
          <w:trHeight w:val="409"/>
          <w:jc w:val="center"/>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rPr>
                <w:b/>
                <w:bCs/>
                <w:i/>
                <w:iCs/>
                <w:noProof/>
                <w:sz w:val="20"/>
                <w:szCs w:val="20"/>
                <w:lang w:val="en-US"/>
              </w:rPr>
            </w:pPr>
            <w:r>
              <w:rPr>
                <w:b/>
                <w:bCs/>
                <w:i/>
                <w:iCs/>
                <w:noProof/>
                <w:sz w:val="20"/>
                <w:szCs w:val="20"/>
                <w:lang w:val="en-US"/>
              </w:rPr>
              <w:t>1.1.10</w:t>
            </w:r>
          </w:p>
        </w:tc>
        <w:tc>
          <w:tcPr>
            <w:tcW w:w="4643" w:type="dxa"/>
            <w:tcBorders>
              <w:top w:val="single" w:sz="4" w:space="0" w:color="auto"/>
              <w:left w:val="nil"/>
              <w:bottom w:val="single" w:sz="4" w:space="0" w:color="auto"/>
              <w:right w:val="nil"/>
            </w:tcBorders>
            <w:shd w:val="clear" w:color="000000" w:fill="F2F2F2"/>
            <w:vAlign w:val="center"/>
            <w:hideMark/>
          </w:tcPr>
          <w:p>
            <w:pPr>
              <w:spacing w:after="0"/>
              <w:rPr>
                <w:b/>
                <w:bCs/>
                <w:i/>
                <w:iCs/>
                <w:noProof/>
                <w:sz w:val="20"/>
                <w:szCs w:val="20"/>
                <w:lang w:val="en-GB"/>
              </w:rPr>
            </w:pPr>
            <w:r>
              <w:rPr>
                <w:b/>
                <w:bCs/>
                <w:i/>
                <w:iCs/>
                <w:noProof/>
                <w:sz w:val="20"/>
                <w:szCs w:val="20"/>
                <w:lang w:val="en-GB"/>
              </w:rPr>
              <w:t>European Fund for Strategic Investments (EFSI)</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jc w:val="right"/>
              <w:rPr>
                <w:b/>
                <w:bCs/>
                <w:i/>
                <w:iCs/>
                <w:noProof/>
                <w:sz w:val="20"/>
                <w:szCs w:val="20"/>
                <w:lang w:val="en-GB"/>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jc w:val="right"/>
              <w:rPr>
                <w:b/>
                <w:bCs/>
                <w:i/>
                <w:iCs/>
                <w:noProof/>
                <w:sz w:val="20"/>
                <w:szCs w:val="20"/>
                <w:lang w:val="en-GB"/>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jc w:val="right"/>
              <w:rPr>
                <w:b/>
                <w:bCs/>
                <w:i/>
                <w:iCs/>
                <w:noProof/>
                <w:sz w:val="20"/>
                <w:szCs w:val="20"/>
              </w:rPr>
            </w:pPr>
            <w:r>
              <w:rPr>
                <w:b/>
                <w:bCs/>
                <w:i/>
                <w:iCs/>
                <w:noProof/>
                <w:sz w:val="20"/>
                <w:szCs w:val="20"/>
              </w:rPr>
              <w:t>-150 000 000</w:t>
            </w:r>
          </w:p>
        </w:tc>
      </w:tr>
      <w:tr>
        <w:trPr>
          <w:trHeight w:val="255"/>
          <w:jc w:val="center"/>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rPr>
                <w:noProof/>
                <w:sz w:val="20"/>
                <w:szCs w:val="20"/>
              </w:rPr>
            </w:pPr>
            <w:r>
              <w:rPr>
                <w:noProof/>
                <w:sz w:val="20"/>
                <w:szCs w:val="20"/>
              </w:rPr>
              <w:t>01 04 05</w:t>
            </w: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rPr>
                <w:noProof/>
                <w:sz w:val="20"/>
                <w:szCs w:val="20"/>
                <w:lang w:val="en-GB"/>
              </w:rPr>
            </w:pPr>
            <w:r>
              <w:rPr>
                <w:noProof/>
                <w:sz w:val="20"/>
                <w:szCs w:val="20"/>
                <w:lang w:val="en-GB"/>
              </w:rPr>
              <w:t>Provisioning of the EFSI guarantee fund</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right"/>
              <w:rPr>
                <w:noProof/>
                <w:sz w:val="20"/>
                <w:szCs w:val="20"/>
              </w:rPr>
            </w:pPr>
            <w:r>
              <w:rPr>
                <w:noProof/>
                <w:sz w:val="20"/>
                <w:szCs w:val="20"/>
              </w:rPr>
              <w:t>1 150 000 000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right"/>
              <w:rPr>
                <w:noProof/>
                <w:sz w:val="20"/>
                <w:szCs w:val="20"/>
              </w:rPr>
            </w:pPr>
            <w:r>
              <w:rPr>
                <w:noProof/>
                <w:sz w:val="20"/>
                <w:szCs w:val="20"/>
              </w:rPr>
              <w:t>1 000 000 000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right"/>
              <w:rPr>
                <w:noProof/>
                <w:sz w:val="20"/>
                <w:szCs w:val="20"/>
              </w:rPr>
            </w:pPr>
            <w:r>
              <w:rPr>
                <w:noProof/>
                <w:sz w:val="20"/>
                <w:szCs w:val="20"/>
              </w:rPr>
              <w:t>-150 000 000</w:t>
            </w:r>
          </w:p>
        </w:tc>
      </w:tr>
      <w:tr>
        <w:trPr>
          <w:trHeight w:val="255"/>
          <w:jc w:val="center"/>
        </w:trPr>
        <w:tc>
          <w:tcPr>
            <w:tcW w:w="12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rPr>
                <w:b/>
                <w:bCs/>
                <w:noProof/>
                <w:sz w:val="20"/>
                <w:szCs w:val="20"/>
              </w:rPr>
            </w:pPr>
          </w:p>
        </w:tc>
        <w:tc>
          <w:tcPr>
            <w:tcW w:w="4643" w:type="dxa"/>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rPr>
                <w:b/>
                <w:bCs/>
                <w:noProof/>
                <w:sz w:val="20"/>
                <w:szCs w:val="20"/>
              </w:rPr>
            </w:pPr>
            <w:r>
              <w:rPr>
                <w:b/>
                <w:bCs/>
                <w:noProof/>
                <w:sz w:val="20"/>
                <w:szCs w:val="20"/>
              </w:rPr>
              <w:t>Total</w:t>
            </w:r>
          </w:p>
        </w:tc>
        <w:tc>
          <w:tcPr>
            <w:tcW w:w="148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jc w:val="right"/>
              <w:rPr>
                <w:b/>
                <w:bCs/>
                <w:noProof/>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jc w:val="right"/>
              <w:rPr>
                <w:b/>
                <w:bCs/>
                <w:noProof/>
                <w:sz w:val="20"/>
                <w:szCs w:val="20"/>
              </w:rPr>
            </w:pPr>
          </w:p>
        </w:tc>
        <w:tc>
          <w:tcPr>
            <w:tcW w:w="1396"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jc w:val="right"/>
              <w:rPr>
                <w:b/>
                <w:bCs/>
                <w:noProof/>
                <w:sz w:val="20"/>
                <w:szCs w:val="20"/>
              </w:rPr>
            </w:pPr>
            <w:r>
              <w:rPr>
                <w:b/>
                <w:bCs/>
                <w:noProof/>
                <w:sz w:val="20"/>
                <w:szCs w:val="20"/>
              </w:rPr>
              <w:t>-150 000 000</w:t>
            </w:r>
          </w:p>
        </w:tc>
      </w:tr>
    </w:tbl>
    <w:p>
      <w:pPr>
        <w:pStyle w:val="ManualHeading2"/>
        <w:rPr>
          <w:noProof/>
        </w:rPr>
      </w:pPr>
      <w:bookmarkStart w:id="40" w:name="_Toc530674111"/>
      <w:r>
        <w:t>3.4.</w:t>
      </w:r>
      <w:r>
        <w:tab/>
      </w:r>
      <w:r>
        <w:rPr>
          <w:noProof/>
        </w:rPr>
        <w:t>Reserves</w:t>
      </w:r>
      <w:bookmarkEnd w:id="40"/>
    </w:p>
    <w:p>
      <w:pPr>
        <w:spacing w:before="120" w:after="120"/>
        <w:jc w:val="both"/>
        <w:rPr>
          <w:noProof/>
          <w:lang w:val="en-GB"/>
        </w:rPr>
      </w:pPr>
      <w:r>
        <w:rPr>
          <w:noProof/>
          <w:lang w:val="en-GB"/>
        </w:rPr>
        <w:t>Reserves are proposed to be set in accordance with the Council's reading of the original draft budget, taking into account the changes proposed in the Amending letter 1/2019, with the following amendments:</w:t>
      </w:r>
    </w:p>
    <w:p>
      <w:pPr>
        <w:pStyle w:val="ListParagraph"/>
        <w:numPr>
          <w:ilvl w:val="0"/>
          <w:numId w:val="41"/>
        </w:numPr>
        <w:spacing w:before="120" w:after="120"/>
        <w:jc w:val="both"/>
        <w:rPr>
          <w:noProof/>
          <w:sz w:val="23"/>
          <w:szCs w:val="23"/>
        </w:rPr>
      </w:pPr>
      <w:r>
        <w:rPr>
          <w:noProof/>
          <w:sz w:val="23"/>
          <w:szCs w:val="23"/>
        </w:rPr>
        <w:t>The modalities for lifting the reserve on budget line 18 03 01 01 are proposed as follows:</w:t>
      </w:r>
    </w:p>
    <w:p>
      <w:pPr>
        <w:spacing w:before="120" w:after="120"/>
        <w:ind w:left="708"/>
        <w:jc w:val="both"/>
        <w:rPr>
          <w:i/>
          <w:noProof/>
          <w:szCs w:val="23"/>
          <w:lang w:val="en-GB"/>
        </w:rPr>
      </w:pPr>
      <w:r>
        <w:rPr>
          <w:i/>
          <w:noProof/>
          <w:szCs w:val="23"/>
          <w:lang w:val="en-GB"/>
        </w:rPr>
        <w:t>"An amount of EUR 460 million foreseen in the legislative financial statement of the Commission proposal to recast the Dublin III Regulation (COM(2016)270 final of 4 May 2016) is put in reserve pending the adoption of that legislative proposal. This reserve may be released by means of a transfer in accordance with Article 30.2(a) of the Financial Regulation following the adoption of the basic act.</w:t>
      </w:r>
    </w:p>
    <w:p>
      <w:pPr>
        <w:spacing w:before="120" w:after="120"/>
        <w:ind w:left="708"/>
        <w:jc w:val="both"/>
        <w:rPr>
          <w:i/>
          <w:noProof/>
          <w:szCs w:val="23"/>
          <w:lang w:val="en-GB"/>
        </w:rPr>
      </w:pPr>
      <w:r>
        <w:rPr>
          <w:i/>
          <w:noProof/>
          <w:szCs w:val="23"/>
          <w:lang w:val="en-GB"/>
        </w:rPr>
        <w:t>If the act has not been adopted by 1 February 2019, the Commission may present one or more proposals for transfers in accordance with Article 31 of the Financial Regulation to make alternative use of that amount for the benefit of budget line 18 03 01 01."</w:t>
      </w:r>
    </w:p>
    <w:p>
      <w:pPr>
        <w:spacing w:before="120" w:after="120"/>
        <w:ind w:firstLine="708"/>
        <w:jc w:val="both"/>
        <w:rPr>
          <w:noProof/>
          <w:lang w:val="en-GB"/>
        </w:rPr>
      </w:pPr>
      <w:r>
        <w:rPr>
          <w:noProof/>
          <w:lang w:val="en-GB"/>
        </w:rPr>
        <w:t>It is proposed to modify the budget remark of budget item 18 03 01 01 accordingly.</w:t>
      </w:r>
    </w:p>
    <w:p>
      <w:pPr>
        <w:pStyle w:val="ListParagraph"/>
        <w:numPr>
          <w:ilvl w:val="0"/>
          <w:numId w:val="41"/>
        </w:numPr>
        <w:spacing w:before="120" w:after="120"/>
        <w:jc w:val="both"/>
        <w:rPr>
          <w:noProof/>
          <w:sz w:val="23"/>
          <w:szCs w:val="23"/>
        </w:rPr>
      </w:pPr>
      <w:r>
        <w:rPr>
          <w:noProof/>
          <w:sz w:val="23"/>
          <w:szCs w:val="23"/>
        </w:rPr>
        <w:t>Given the adoption, on 28 September 2018, of the legal base of the European High Performance Computing Joint Undertaking</w:t>
      </w:r>
      <w:r>
        <w:rPr>
          <w:rStyle w:val="FootnoteReference"/>
          <w:noProof/>
          <w:sz w:val="23"/>
          <w:szCs w:val="23"/>
        </w:rPr>
        <w:footnoteReference w:id="17"/>
      </w:r>
      <w:r>
        <w:rPr>
          <w:noProof/>
          <w:sz w:val="23"/>
          <w:szCs w:val="23"/>
        </w:rPr>
        <w:t>, the reserves on the budget lines 09 03 05 31, 09 04 07 33 and 09 04 07 34 are proposed to be lifted.</w:t>
      </w:r>
    </w:p>
    <w:p>
      <w:pPr>
        <w:pStyle w:val="ManualHeading2"/>
        <w:rPr>
          <w:noProof/>
        </w:rPr>
      </w:pPr>
      <w:bookmarkStart w:id="41" w:name="_Toc530674112"/>
      <w:r>
        <w:t>3.5.</w:t>
      </w:r>
      <w:r>
        <w:tab/>
      </w:r>
      <w:r>
        <w:rPr>
          <w:noProof/>
        </w:rPr>
        <w:t>Changes in nomenclature and budget remarks</w:t>
      </w:r>
      <w:bookmarkEnd w:id="41"/>
    </w:p>
    <w:p>
      <w:pPr>
        <w:pStyle w:val="ManualHeading3"/>
        <w:rPr>
          <w:noProof/>
        </w:rPr>
      </w:pPr>
      <w:bookmarkStart w:id="42" w:name="_Toc530674113"/>
      <w:r>
        <w:t>3.5.1.</w:t>
      </w:r>
      <w:r>
        <w:tab/>
      </w:r>
      <w:r>
        <w:rPr>
          <w:noProof/>
        </w:rPr>
        <w:t>Budget remarks</w:t>
      </w:r>
      <w:bookmarkEnd w:id="42"/>
    </w:p>
    <w:p>
      <w:pPr>
        <w:spacing w:before="120" w:after="120"/>
        <w:jc w:val="both"/>
        <w:rPr>
          <w:noProof/>
          <w:lang w:val="en-GB"/>
        </w:rPr>
      </w:pPr>
      <w:r>
        <w:rPr>
          <w:noProof/>
          <w:lang w:val="en-GB"/>
        </w:rPr>
        <w:t>Besides the amendment proposed to the text of the budget remark of article 08 02 08 in section 3.2.1 above, it is also proposed to include amendments introduced by the European Parliament to the text of budget remarks in its reading of the original draft budget in the second draft budget, with the exception of those on budget lines listed in the table below. This is on the understanding that amendments introduced by the European Parliament cannot modify or extend the scope of an existing legal base, or impinge on the administrative autonomy of institutions, and that the action can be covered by available resources.</w:t>
      </w:r>
    </w:p>
    <w:tbl>
      <w:tblPr>
        <w:tblW w:w="10160" w:type="dxa"/>
        <w:tblInd w:w="103" w:type="dxa"/>
        <w:tblLook w:val="04A0" w:firstRow="1" w:lastRow="0" w:firstColumn="1" w:lastColumn="0" w:noHBand="0" w:noVBand="1"/>
      </w:tblPr>
      <w:tblGrid>
        <w:gridCol w:w="1440"/>
        <w:gridCol w:w="8720"/>
      </w:tblGrid>
      <w:tr>
        <w:trPr>
          <w:trHeight w:val="255"/>
          <w:tblHeader/>
        </w:trPr>
        <w:tc>
          <w:tcPr>
            <w:tcW w:w="1440" w:type="dxa"/>
            <w:tcBorders>
              <w:top w:val="single" w:sz="4" w:space="0" w:color="auto"/>
              <w:left w:val="single" w:sz="4" w:space="0" w:color="auto"/>
              <w:bottom w:val="single" w:sz="4" w:space="0" w:color="auto"/>
              <w:right w:val="single" w:sz="4" w:space="0" w:color="auto"/>
            </w:tcBorders>
            <w:shd w:val="clear" w:color="DCE6F1" w:fill="DCE6F1"/>
            <w:vAlign w:val="center"/>
            <w:hideMark/>
          </w:tcPr>
          <w:p>
            <w:pPr>
              <w:spacing w:after="0" w:line="240" w:lineRule="auto"/>
              <w:jc w:val="center"/>
              <w:rPr>
                <w:rFonts w:eastAsia="Times New Roman"/>
                <w:b/>
                <w:bCs/>
                <w:noProof/>
                <w:color w:val="000000"/>
                <w:sz w:val="20"/>
                <w:szCs w:val="20"/>
                <w:lang w:val="en-GB" w:eastAsia="en-GB"/>
              </w:rPr>
            </w:pPr>
            <w:r>
              <w:rPr>
                <w:rFonts w:eastAsia="Times New Roman"/>
                <w:b/>
                <w:bCs/>
                <w:noProof/>
                <w:color w:val="000000"/>
                <w:sz w:val="20"/>
                <w:szCs w:val="20"/>
                <w:lang w:val="en-GB" w:eastAsia="en-GB"/>
              </w:rPr>
              <w:t>Budget line</w:t>
            </w:r>
          </w:p>
        </w:tc>
        <w:tc>
          <w:tcPr>
            <w:tcW w:w="8720" w:type="dxa"/>
            <w:tcBorders>
              <w:top w:val="single" w:sz="4" w:space="0" w:color="auto"/>
              <w:left w:val="nil"/>
              <w:bottom w:val="single" w:sz="4" w:space="0" w:color="auto"/>
              <w:right w:val="single" w:sz="4" w:space="0" w:color="auto"/>
            </w:tcBorders>
            <w:shd w:val="clear" w:color="DCE6F1" w:fill="DCE6F1"/>
            <w:vAlign w:val="center"/>
            <w:hideMark/>
          </w:tcPr>
          <w:p>
            <w:pPr>
              <w:spacing w:after="0" w:line="240" w:lineRule="auto"/>
              <w:jc w:val="center"/>
              <w:rPr>
                <w:rFonts w:eastAsia="Times New Roman"/>
                <w:b/>
                <w:bCs/>
                <w:noProof/>
                <w:color w:val="000000"/>
                <w:sz w:val="20"/>
                <w:szCs w:val="20"/>
                <w:lang w:val="en-GB" w:eastAsia="en-GB"/>
              </w:rPr>
            </w:pPr>
            <w:r>
              <w:rPr>
                <w:rFonts w:eastAsia="Times New Roman"/>
                <w:b/>
                <w:bCs/>
                <w:noProof/>
                <w:color w:val="000000"/>
                <w:sz w:val="20"/>
                <w:szCs w:val="20"/>
                <w:lang w:val="en-GB" w:eastAsia="en-GB"/>
              </w:rPr>
              <w:t>Name</w:t>
            </w:r>
          </w:p>
        </w:tc>
      </w:tr>
      <w:tr>
        <w:trPr>
          <w:trHeight w:val="51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02 02 77 40</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Pilot project — Satellite broadband internet access for bringing educational multimedia content to unconnected schools</w:t>
            </w:r>
          </w:p>
        </w:tc>
      </w:tr>
      <w:tr>
        <w:trPr>
          <w:trHeight w:val="255"/>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eastAsia="en-GB"/>
              </w:rPr>
              <w:t>04 06 01</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Promoting social cohesion and alleviating the worst forms of poverty in the Union</w:t>
            </w:r>
          </w:p>
        </w:tc>
      </w:tr>
      <w:tr>
        <w:trPr>
          <w:trHeight w:val="51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eastAsia="en-GB"/>
              </w:rPr>
              <w:t>15 04 02</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Culture sub-programme — Supporting cross-border actions and promoting transnational circulation and mobility</w:t>
            </w:r>
          </w:p>
        </w:tc>
      </w:tr>
      <w:tr>
        <w:trPr>
          <w:trHeight w:val="51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18 02 01 02</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Prevention and fight against cross-border organised crime and better management of security- related risks and crisis</w:t>
            </w:r>
          </w:p>
        </w:tc>
      </w:tr>
      <w:tr>
        <w:trPr>
          <w:trHeight w:val="51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18 03 01 01</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Strengthening and developing the common European asylum system and enhancing solidarity and responsibility-sharing between the Member States</w:t>
            </w:r>
          </w:p>
        </w:tc>
      </w:tr>
      <w:tr>
        <w:trPr>
          <w:trHeight w:val="51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18 03 01 02</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Supporting legal migration to the Union and promoting the effective integration of third-country nationals and enhancing fair and effective return strategies</w:t>
            </w:r>
          </w:p>
        </w:tc>
      </w:tr>
      <w:tr>
        <w:trPr>
          <w:trHeight w:val="51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eastAsia="en-GB"/>
              </w:rPr>
              <w:t>18 04 01 01</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Europe for citizens — Strengthening remembrance and enhancing capacity for civic participation at the Union level</w:t>
            </w:r>
          </w:p>
        </w:tc>
      </w:tr>
      <w:tr>
        <w:trPr>
          <w:trHeight w:val="255"/>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19 02 01</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Response to crisis and emerging crisis</w:t>
            </w:r>
          </w:p>
        </w:tc>
      </w:tr>
      <w:tr>
        <w:trPr>
          <w:trHeight w:val="255"/>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eastAsia="en-GB"/>
              </w:rPr>
              <w:t>21 02 01</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Cooperation with Latin America</w:t>
            </w:r>
          </w:p>
        </w:tc>
      </w:tr>
      <w:tr>
        <w:trPr>
          <w:trHeight w:val="255"/>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eastAsia="en-GB"/>
              </w:rPr>
              <w:t>21 02 07 03</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Human development</w:t>
            </w:r>
          </w:p>
        </w:tc>
      </w:tr>
      <w:tr>
        <w:trPr>
          <w:trHeight w:val="255"/>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eastAsia="en-GB"/>
              </w:rPr>
              <w:t>21 02 08 01</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Civil society in development</w:t>
            </w:r>
          </w:p>
        </w:tc>
      </w:tr>
      <w:tr>
        <w:trPr>
          <w:trHeight w:val="255"/>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33 02 01</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Ensuring the protection of rights and empowering citizens</w:t>
            </w:r>
          </w:p>
        </w:tc>
      </w:tr>
    </w:tbl>
    <w:p>
      <w:pPr>
        <w:pStyle w:val="ManualHeading3"/>
        <w:rPr>
          <w:noProof/>
        </w:rPr>
      </w:pPr>
      <w:bookmarkStart w:id="43" w:name="_Toc530674114"/>
      <w:r>
        <w:t>3.5.2.</w:t>
      </w:r>
      <w:r>
        <w:tab/>
      </w:r>
      <w:r>
        <w:rPr>
          <w:noProof/>
        </w:rPr>
        <w:t>Nomenclature</w:t>
      </w:r>
      <w:bookmarkEnd w:id="43"/>
    </w:p>
    <w:p>
      <w:pPr>
        <w:jc w:val="both"/>
        <w:rPr>
          <w:noProof/>
          <w:lang w:val="en-GB"/>
        </w:rPr>
      </w:pPr>
      <w:r>
        <w:rPr>
          <w:noProof/>
          <w:lang w:val="en-GB"/>
        </w:rPr>
        <w:t xml:space="preserve">The budget nomenclature of the original draft budget, as amended by Amending letter 1/2019, is proposed in the second draft budget with the inclusion of the </w:t>
      </w:r>
      <w:r>
        <w:rPr>
          <w:i/>
          <w:noProof/>
          <w:lang w:val="en-GB"/>
        </w:rPr>
        <w:t>new</w:t>
      </w:r>
      <w:r>
        <w:rPr>
          <w:noProof/>
          <w:lang w:val="en-GB"/>
        </w:rPr>
        <w:t xml:space="preserve"> pilot projects and preparatory actions with the following name changes:</w:t>
      </w:r>
    </w:p>
    <w:tbl>
      <w:tblPr>
        <w:tblW w:w="10160" w:type="dxa"/>
        <w:tblInd w:w="103" w:type="dxa"/>
        <w:tblLook w:val="04A0" w:firstRow="1" w:lastRow="0" w:firstColumn="1" w:lastColumn="0" w:noHBand="0" w:noVBand="1"/>
      </w:tblPr>
      <w:tblGrid>
        <w:gridCol w:w="1440"/>
        <w:gridCol w:w="8720"/>
      </w:tblGrid>
      <w:tr>
        <w:trPr>
          <w:trHeight w:val="255"/>
        </w:trPr>
        <w:tc>
          <w:tcPr>
            <w:tcW w:w="1440" w:type="dxa"/>
            <w:tcBorders>
              <w:top w:val="single" w:sz="4" w:space="0" w:color="auto"/>
              <w:left w:val="single" w:sz="4" w:space="0" w:color="auto"/>
              <w:bottom w:val="single" w:sz="4" w:space="0" w:color="auto"/>
              <w:right w:val="single" w:sz="4" w:space="0" w:color="auto"/>
            </w:tcBorders>
            <w:shd w:val="clear" w:color="DCE6F1" w:fill="DCE6F1"/>
            <w:vAlign w:val="center"/>
            <w:hideMark/>
          </w:tcPr>
          <w:p>
            <w:pPr>
              <w:spacing w:after="0" w:line="240" w:lineRule="auto"/>
              <w:jc w:val="center"/>
              <w:rPr>
                <w:rFonts w:eastAsia="Times New Roman"/>
                <w:b/>
                <w:bCs/>
                <w:noProof/>
                <w:color w:val="000000"/>
                <w:sz w:val="20"/>
                <w:szCs w:val="20"/>
                <w:lang w:val="en-GB" w:eastAsia="en-GB"/>
              </w:rPr>
            </w:pPr>
            <w:r>
              <w:rPr>
                <w:rFonts w:eastAsia="Times New Roman"/>
                <w:b/>
                <w:bCs/>
                <w:noProof/>
                <w:color w:val="000000"/>
                <w:sz w:val="20"/>
                <w:szCs w:val="20"/>
                <w:lang w:val="en-GB" w:eastAsia="en-GB"/>
              </w:rPr>
              <w:t>Budget line</w:t>
            </w:r>
          </w:p>
        </w:tc>
        <w:tc>
          <w:tcPr>
            <w:tcW w:w="8720" w:type="dxa"/>
            <w:tcBorders>
              <w:top w:val="single" w:sz="4" w:space="0" w:color="auto"/>
              <w:left w:val="nil"/>
              <w:bottom w:val="single" w:sz="4" w:space="0" w:color="auto"/>
              <w:right w:val="single" w:sz="4" w:space="0" w:color="auto"/>
            </w:tcBorders>
            <w:shd w:val="clear" w:color="DCE6F1" w:fill="DCE6F1"/>
            <w:vAlign w:val="center"/>
            <w:hideMark/>
          </w:tcPr>
          <w:p>
            <w:pPr>
              <w:spacing w:after="0" w:line="240" w:lineRule="auto"/>
              <w:jc w:val="center"/>
              <w:rPr>
                <w:rFonts w:eastAsia="Times New Roman"/>
                <w:b/>
                <w:bCs/>
                <w:noProof/>
                <w:color w:val="000000"/>
                <w:sz w:val="20"/>
                <w:szCs w:val="20"/>
                <w:lang w:val="en-GB" w:eastAsia="en-GB"/>
              </w:rPr>
            </w:pPr>
            <w:r>
              <w:rPr>
                <w:rFonts w:eastAsia="Times New Roman"/>
                <w:b/>
                <w:bCs/>
                <w:noProof/>
                <w:color w:val="000000"/>
                <w:sz w:val="20"/>
                <w:szCs w:val="20"/>
                <w:lang w:val="en-GB" w:eastAsia="en-GB"/>
              </w:rPr>
              <w:t>Name</w:t>
            </w:r>
          </w:p>
        </w:tc>
      </w:tr>
      <w:tr>
        <w:trPr>
          <w:trHeight w:val="255"/>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02 04 77 07</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Preparatory action — Preparing the new EU GOVSATCOM programme</w:t>
            </w:r>
          </w:p>
        </w:tc>
      </w:tr>
      <w:tr>
        <w:trPr>
          <w:trHeight w:val="51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05 08 77 18</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en-GB" w:eastAsia="en-GB"/>
              </w:rPr>
            </w:pPr>
            <w:r>
              <w:rPr>
                <w:rFonts w:eastAsia="Times New Roman"/>
                <w:noProof/>
                <w:sz w:val="20"/>
                <w:szCs w:val="20"/>
                <w:lang w:val="en-GB" w:eastAsia="en-GB"/>
              </w:rPr>
              <w:t>Pilot project —  Establishing an operational programme structuring the agri-food sectors to safeguard the handing-on of family farms and the sustainability of local agriculture</w:t>
            </w:r>
          </w:p>
        </w:tc>
      </w:tr>
    </w:tbl>
    <w:p>
      <w:pPr>
        <w:pStyle w:val="ManualHeading1"/>
        <w:rPr>
          <w:noProof/>
        </w:rPr>
      </w:pPr>
      <w:bookmarkStart w:id="44" w:name="_Toc530586747"/>
      <w:bookmarkStart w:id="45" w:name="_Toc530674115"/>
      <w:bookmarkEnd w:id="44"/>
      <w:r>
        <w:t>4.</w:t>
      </w:r>
      <w:r>
        <w:tab/>
      </w:r>
      <w:r>
        <w:rPr>
          <w:noProof/>
        </w:rPr>
        <w:t>Concluding Remarks</w:t>
      </w:r>
      <w:bookmarkEnd w:id="39"/>
      <w:bookmarkEnd w:id="45"/>
    </w:p>
    <w:p>
      <w:pPr>
        <w:spacing w:line="240" w:lineRule="auto"/>
        <w:jc w:val="both"/>
        <w:rPr>
          <w:noProof/>
          <w:lang w:val="en-GB"/>
        </w:rPr>
      </w:pPr>
      <w:r>
        <w:rPr>
          <w:noProof/>
          <w:lang w:val="en-GB"/>
        </w:rPr>
        <w:t xml:space="preserve">By proposing a second 2019 draft budget, which </w:t>
      </w:r>
      <w:r>
        <w:rPr>
          <w:noProof/>
          <w:sz w:val="24"/>
          <w:szCs w:val="24"/>
          <w:lang w:val="en-GB"/>
        </w:rPr>
        <w:t>builds on the progress made in the Conciliation Committee</w:t>
      </w:r>
      <w:r>
        <w:rPr>
          <w:noProof/>
          <w:lang w:val="en-GB"/>
        </w:rPr>
        <w:t>, the Commission seeks to create the conditions for a swift adoption of the 2019 budget, within the tight timeframe before the end of the year 2018.</w:t>
      </w:r>
    </w:p>
    <w:p>
      <w:pPr>
        <w:spacing w:line="240" w:lineRule="auto"/>
        <w:jc w:val="both"/>
        <w:rPr>
          <w:noProof/>
          <w:lang w:val="en-GB"/>
        </w:rPr>
      </w:pPr>
      <w:r>
        <w:rPr>
          <w:noProof/>
          <w:lang w:val="en-GB"/>
        </w:rPr>
        <w:t>The timely adoption and entry into force of the 2019 budget will ensure the proper implementation of the policies and programmes of the European Union. The Commission will do its utmost to achieve this goal.</w:t>
      </w:r>
    </w:p>
    <w:p>
      <w:pPr>
        <w:rPr>
          <w:noProof/>
        </w:rPr>
        <w:sectPr>
          <w:headerReference w:type="even" r:id="rId29"/>
          <w:headerReference w:type="default" r:id="rId30"/>
          <w:footerReference w:type="even" r:id="rId31"/>
          <w:footerReference w:type="default" r:id="rId32"/>
          <w:headerReference w:type="first" r:id="rId33"/>
          <w:footerReference w:type="first" r:id="rId34"/>
          <w:pgSz w:w="11907" w:h="16839"/>
          <w:pgMar w:top="567" w:right="850" w:bottom="567" w:left="709" w:header="709" w:footer="709" w:gutter="0"/>
          <w:cols w:space="720"/>
          <w:docGrid w:linePitch="360"/>
        </w:sectPr>
      </w:pPr>
    </w:p>
    <w:p>
      <w:pPr>
        <w:pStyle w:val="ManualHeading1"/>
        <w:rPr>
          <w:noProof/>
        </w:rPr>
      </w:pPr>
      <w:bookmarkStart w:id="46" w:name="_Toc530674116"/>
      <w:r>
        <w:t>5.</w:t>
      </w:r>
      <w:r>
        <w:tab/>
      </w:r>
      <w:r>
        <w:rPr>
          <w:noProof/>
        </w:rPr>
        <w:t>2019 second draft budget by financial framework headings and main programmes</w:t>
      </w:r>
      <w:bookmarkEnd w:id="46"/>
    </w:p>
    <w:tbl>
      <w:tblPr>
        <w:tblW w:w="10649" w:type="dxa"/>
        <w:tblInd w:w="108" w:type="dxa"/>
        <w:tblLook w:val="04A0" w:firstRow="1" w:lastRow="0" w:firstColumn="1" w:lastColumn="0" w:noHBand="0" w:noVBand="1"/>
      </w:tblPr>
      <w:tblGrid>
        <w:gridCol w:w="366"/>
        <w:gridCol w:w="2806"/>
        <w:gridCol w:w="1016"/>
        <w:gridCol w:w="1016"/>
        <w:gridCol w:w="1016"/>
        <w:gridCol w:w="1016"/>
        <w:gridCol w:w="939"/>
        <w:gridCol w:w="923"/>
        <w:gridCol w:w="776"/>
        <w:gridCol w:w="776"/>
      </w:tblGrid>
      <w:tr>
        <w:trPr>
          <w:trHeight w:val="255"/>
          <w:tblHeader/>
        </w:trPr>
        <w:tc>
          <w:tcPr>
            <w:tcW w:w="9097" w:type="dxa"/>
            <w:gridSpan w:val="8"/>
            <w:tcBorders>
              <w:top w:val="nil"/>
              <w:left w:val="nil"/>
              <w:bottom w:val="single" w:sz="4" w:space="0" w:color="auto"/>
              <w:right w:val="nil"/>
            </w:tcBorders>
            <w:shd w:val="clear" w:color="auto" w:fill="auto"/>
            <w:noWrap/>
            <w:vAlign w:val="bottom"/>
            <w:hideMark/>
          </w:tcPr>
          <w:p>
            <w:pPr>
              <w:spacing w:after="0" w:line="240" w:lineRule="auto"/>
              <w:jc w:val="right"/>
              <w:rPr>
                <w:rFonts w:eastAsia="Times New Roman"/>
                <w:i/>
                <w:iCs/>
                <w:noProof/>
                <w:color w:val="000000"/>
                <w:sz w:val="20"/>
                <w:szCs w:val="20"/>
                <w:lang w:val="en-GB" w:eastAsia="en-GB"/>
              </w:rPr>
            </w:pPr>
            <w:r>
              <w:rPr>
                <w:rFonts w:eastAsia="Times New Roman"/>
                <w:i/>
                <w:iCs/>
                <w:noProof/>
                <w:color w:val="000000"/>
                <w:sz w:val="20"/>
                <w:szCs w:val="20"/>
                <w:lang w:val="en-GB" w:eastAsia="en-GB"/>
              </w:rPr>
              <w:t>(Commitment (CA) and payment (PA) appropriations in million EUR, rounded figures at current prices)</w:t>
            </w:r>
          </w:p>
        </w:tc>
        <w:tc>
          <w:tcPr>
            <w:tcW w:w="776" w:type="dxa"/>
            <w:tcBorders>
              <w:top w:val="nil"/>
              <w:left w:val="nil"/>
              <w:bottom w:val="nil"/>
              <w:right w:val="nil"/>
            </w:tcBorders>
            <w:shd w:val="clear" w:color="auto" w:fill="auto"/>
            <w:noWrap/>
            <w:vAlign w:val="bottom"/>
            <w:hideMark/>
          </w:tcPr>
          <w:p>
            <w:pPr>
              <w:spacing w:after="0" w:line="240" w:lineRule="auto"/>
              <w:jc w:val="right"/>
              <w:rPr>
                <w:rFonts w:eastAsia="Times New Roman"/>
                <w:i/>
                <w:iCs/>
                <w:noProof/>
                <w:color w:val="000000"/>
                <w:sz w:val="20"/>
                <w:szCs w:val="20"/>
                <w:lang w:val="en-GB" w:eastAsia="en-GB"/>
              </w:rPr>
            </w:pPr>
          </w:p>
        </w:tc>
        <w:tc>
          <w:tcPr>
            <w:tcW w:w="776" w:type="dxa"/>
            <w:tcBorders>
              <w:top w:val="nil"/>
              <w:left w:val="nil"/>
              <w:bottom w:val="nil"/>
              <w:right w:val="nil"/>
            </w:tcBorders>
            <w:shd w:val="clear" w:color="auto" w:fill="auto"/>
            <w:noWrap/>
            <w:vAlign w:val="bottom"/>
            <w:hideMark/>
          </w:tcPr>
          <w:p>
            <w:pPr>
              <w:spacing w:after="0" w:line="240" w:lineRule="auto"/>
              <w:jc w:val="right"/>
              <w:rPr>
                <w:rFonts w:eastAsia="Times New Roman"/>
                <w:i/>
                <w:iCs/>
                <w:noProof/>
                <w:color w:val="000000"/>
                <w:sz w:val="20"/>
                <w:szCs w:val="20"/>
                <w:lang w:val="en-GB" w:eastAsia="en-GB"/>
              </w:rPr>
            </w:pPr>
          </w:p>
        </w:tc>
      </w:tr>
      <w:tr>
        <w:trPr>
          <w:trHeight w:val="255"/>
          <w:tblHeader/>
        </w:trPr>
        <w:tc>
          <w:tcPr>
            <w:tcW w:w="3115" w:type="dxa"/>
            <w:gridSpan w:val="2"/>
            <w:vMerge w:val="restart"/>
            <w:tcBorders>
              <w:top w:val="single" w:sz="4" w:space="0" w:color="auto"/>
              <w:left w:val="single" w:sz="4" w:space="0" w:color="auto"/>
              <w:bottom w:val="nil"/>
              <w:right w:val="single" w:sz="4" w:space="0" w:color="000000"/>
            </w:tcBorders>
            <w:shd w:val="clear" w:color="000000" w:fill="D9D9D9"/>
            <w:vAlign w:val="center"/>
            <w:hideMark/>
          </w:tcPr>
          <w:p>
            <w:pPr>
              <w:spacing w:after="0" w:line="240" w:lineRule="auto"/>
              <w:jc w:val="center"/>
              <w:rPr>
                <w:rFonts w:eastAsia="Times New Roman"/>
                <w:b/>
                <w:bCs/>
                <w:noProof/>
                <w:sz w:val="15"/>
                <w:szCs w:val="15"/>
                <w:lang w:val="en-GB" w:eastAsia="en-GB"/>
              </w:rPr>
            </w:pPr>
            <w:r>
              <w:rPr>
                <w:rFonts w:eastAsia="Times New Roman"/>
                <w:b/>
                <w:bCs/>
                <w:noProof/>
                <w:sz w:val="15"/>
                <w:szCs w:val="15"/>
                <w:lang w:val="en-GB" w:eastAsia="en-GB"/>
              </w:rPr>
              <w:t>Heading</w:t>
            </w:r>
          </w:p>
        </w:tc>
        <w:tc>
          <w:tcPr>
            <w:tcW w:w="2032" w:type="dxa"/>
            <w:gridSpan w:val="2"/>
            <w:tcBorders>
              <w:top w:val="single" w:sz="4" w:space="0" w:color="auto"/>
              <w:left w:val="single" w:sz="4" w:space="0" w:color="auto"/>
              <w:bottom w:val="nil"/>
              <w:right w:val="single" w:sz="4" w:space="0" w:color="000000"/>
            </w:tcBorders>
            <w:shd w:val="clear" w:color="000000" w:fill="D9D9D9"/>
            <w:vAlign w:val="center"/>
            <w:hideMark/>
          </w:tcPr>
          <w:p>
            <w:pPr>
              <w:spacing w:after="0" w:line="240" w:lineRule="auto"/>
              <w:jc w:val="center"/>
              <w:rPr>
                <w:rFonts w:eastAsia="Times New Roman"/>
                <w:b/>
                <w:bCs/>
                <w:noProof/>
                <w:sz w:val="16"/>
                <w:szCs w:val="16"/>
                <w:lang w:val="en-GB" w:eastAsia="en-GB"/>
              </w:rPr>
            </w:pPr>
            <w:r>
              <w:rPr>
                <w:rFonts w:eastAsia="Times New Roman"/>
                <w:b/>
                <w:bCs/>
                <w:noProof/>
                <w:sz w:val="16"/>
                <w:szCs w:val="16"/>
                <w:lang w:val="en-GB" w:eastAsia="en-GB"/>
              </w:rPr>
              <w:t>Budget</w:t>
            </w:r>
          </w:p>
        </w:tc>
        <w:tc>
          <w:tcPr>
            <w:tcW w:w="2032" w:type="dxa"/>
            <w:gridSpan w:val="2"/>
            <w:tcBorders>
              <w:top w:val="single" w:sz="4" w:space="0" w:color="auto"/>
              <w:left w:val="single" w:sz="4" w:space="0" w:color="auto"/>
              <w:bottom w:val="nil"/>
              <w:right w:val="single" w:sz="4" w:space="0" w:color="000000"/>
            </w:tcBorders>
            <w:shd w:val="clear" w:color="000000" w:fill="D9D9D9"/>
            <w:vAlign w:val="center"/>
            <w:hideMark/>
          </w:tcPr>
          <w:p>
            <w:pPr>
              <w:spacing w:after="0" w:line="240" w:lineRule="auto"/>
              <w:jc w:val="center"/>
              <w:rPr>
                <w:rFonts w:eastAsia="Times New Roman"/>
                <w:b/>
                <w:bCs/>
                <w:noProof/>
                <w:sz w:val="16"/>
                <w:szCs w:val="16"/>
                <w:lang w:val="en-GB" w:eastAsia="en-GB"/>
              </w:rPr>
            </w:pPr>
            <w:r>
              <w:rPr>
                <w:rFonts w:eastAsia="Times New Roman"/>
                <w:b/>
                <w:bCs/>
                <w:noProof/>
                <w:sz w:val="16"/>
                <w:szCs w:val="16"/>
                <w:lang w:val="en-GB" w:eastAsia="en-GB"/>
              </w:rPr>
              <w:t>Second Draft budget</w:t>
            </w:r>
          </w:p>
        </w:tc>
        <w:tc>
          <w:tcPr>
            <w:tcW w:w="1918" w:type="dxa"/>
            <w:gridSpan w:val="2"/>
            <w:tcBorders>
              <w:top w:val="single" w:sz="4" w:space="0" w:color="auto"/>
              <w:left w:val="single" w:sz="4" w:space="0" w:color="auto"/>
              <w:bottom w:val="nil"/>
              <w:right w:val="single" w:sz="4" w:space="0" w:color="000000"/>
            </w:tcBorders>
            <w:shd w:val="clear" w:color="000000" w:fill="D9D9D9"/>
            <w:vAlign w:val="center"/>
            <w:hideMark/>
          </w:tcPr>
          <w:p>
            <w:pPr>
              <w:spacing w:after="0" w:line="240" w:lineRule="auto"/>
              <w:jc w:val="center"/>
              <w:rPr>
                <w:rFonts w:eastAsia="Times New Roman"/>
                <w:b/>
                <w:bCs/>
                <w:noProof/>
                <w:sz w:val="16"/>
                <w:szCs w:val="16"/>
                <w:lang w:val="en-GB" w:eastAsia="en-GB"/>
              </w:rPr>
            </w:pPr>
            <w:r>
              <w:rPr>
                <w:rFonts w:eastAsia="Times New Roman"/>
                <w:b/>
                <w:bCs/>
                <w:noProof/>
                <w:sz w:val="16"/>
                <w:szCs w:val="16"/>
                <w:lang w:val="en-GB" w:eastAsia="en-GB"/>
              </w:rPr>
              <w:t>Difference</w:t>
            </w:r>
          </w:p>
        </w:tc>
        <w:tc>
          <w:tcPr>
            <w:tcW w:w="1552" w:type="dxa"/>
            <w:gridSpan w:val="2"/>
            <w:tcBorders>
              <w:top w:val="single" w:sz="4" w:space="0" w:color="auto"/>
              <w:left w:val="nil"/>
              <w:bottom w:val="nil"/>
              <w:right w:val="single" w:sz="4" w:space="0" w:color="000000"/>
            </w:tcBorders>
            <w:shd w:val="clear" w:color="000000" w:fill="D9D9D9"/>
            <w:vAlign w:val="center"/>
            <w:hideMark/>
          </w:tcPr>
          <w:p>
            <w:pPr>
              <w:spacing w:after="0" w:line="240" w:lineRule="auto"/>
              <w:jc w:val="center"/>
              <w:rPr>
                <w:rFonts w:eastAsia="Times New Roman"/>
                <w:b/>
                <w:bCs/>
                <w:noProof/>
                <w:sz w:val="16"/>
                <w:szCs w:val="16"/>
                <w:lang w:val="en-GB" w:eastAsia="en-GB"/>
              </w:rPr>
            </w:pPr>
            <w:r>
              <w:rPr>
                <w:rFonts w:eastAsia="Times New Roman"/>
                <w:b/>
                <w:bCs/>
                <w:noProof/>
                <w:sz w:val="16"/>
                <w:szCs w:val="16"/>
                <w:lang w:val="en-GB" w:eastAsia="en-GB"/>
              </w:rPr>
              <w:t>Difference</w:t>
            </w:r>
          </w:p>
        </w:tc>
      </w:tr>
      <w:tr>
        <w:trPr>
          <w:trHeight w:val="255"/>
          <w:tblHeader/>
        </w:trPr>
        <w:tc>
          <w:tcPr>
            <w:tcW w:w="3115" w:type="dxa"/>
            <w:gridSpan w:val="2"/>
            <w:vMerge/>
            <w:tcBorders>
              <w:top w:val="single" w:sz="4" w:space="0" w:color="auto"/>
              <w:left w:val="single" w:sz="4" w:space="0" w:color="auto"/>
              <w:bottom w:val="nil"/>
              <w:right w:val="single" w:sz="4" w:space="0" w:color="000000"/>
            </w:tcBorders>
            <w:vAlign w:val="center"/>
            <w:hideMark/>
          </w:tcPr>
          <w:p>
            <w:pPr>
              <w:spacing w:after="0" w:line="240" w:lineRule="auto"/>
              <w:rPr>
                <w:rFonts w:eastAsia="Times New Roman"/>
                <w:b/>
                <w:bCs/>
                <w:noProof/>
                <w:sz w:val="15"/>
                <w:szCs w:val="15"/>
                <w:lang w:val="en-GB" w:eastAsia="en-GB"/>
              </w:rPr>
            </w:pPr>
          </w:p>
        </w:tc>
        <w:tc>
          <w:tcPr>
            <w:tcW w:w="2032" w:type="dxa"/>
            <w:gridSpan w:val="2"/>
            <w:tcBorders>
              <w:top w:val="nil"/>
              <w:left w:val="single" w:sz="4" w:space="0" w:color="auto"/>
              <w:bottom w:val="single" w:sz="4" w:space="0" w:color="auto"/>
              <w:right w:val="single" w:sz="4" w:space="0" w:color="000000"/>
            </w:tcBorders>
            <w:shd w:val="clear" w:color="000000" w:fill="D9D9D9"/>
            <w:vAlign w:val="center"/>
            <w:hideMark/>
          </w:tcPr>
          <w:p>
            <w:pPr>
              <w:spacing w:after="0" w:line="240" w:lineRule="auto"/>
              <w:jc w:val="center"/>
              <w:rPr>
                <w:rFonts w:eastAsia="Times New Roman"/>
                <w:b/>
                <w:bCs/>
                <w:noProof/>
                <w:sz w:val="16"/>
                <w:szCs w:val="16"/>
                <w:lang w:val="en-GB" w:eastAsia="en-GB"/>
              </w:rPr>
            </w:pPr>
            <w:r>
              <w:rPr>
                <w:rFonts w:eastAsia="Times New Roman"/>
                <w:b/>
                <w:bCs/>
                <w:noProof/>
                <w:sz w:val="16"/>
                <w:szCs w:val="16"/>
                <w:lang w:val="en-GB" w:eastAsia="en-GB"/>
              </w:rPr>
              <w:t xml:space="preserve">2018 </w:t>
            </w:r>
            <w:r>
              <w:rPr>
                <w:rFonts w:eastAsia="Times New Roman"/>
                <w:noProof/>
                <w:sz w:val="16"/>
                <w:szCs w:val="16"/>
                <w:vertAlign w:val="superscript"/>
                <w:lang w:val="en-GB" w:eastAsia="en-GB"/>
              </w:rPr>
              <w:t>(1)</w:t>
            </w:r>
          </w:p>
        </w:tc>
        <w:tc>
          <w:tcPr>
            <w:tcW w:w="2032" w:type="dxa"/>
            <w:gridSpan w:val="2"/>
            <w:tcBorders>
              <w:top w:val="nil"/>
              <w:left w:val="single" w:sz="4" w:space="0" w:color="auto"/>
              <w:bottom w:val="single" w:sz="4" w:space="0" w:color="auto"/>
              <w:right w:val="single" w:sz="4" w:space="0" w:color="000000"/>
            </w:tcBorders>
            <w:shd w:val="clear" w:color="000000" w:fill="D9D9D9"/>
            <w:vAlign w:val="center"/>
            <w:hideMark/>
          </w:tcPr>
          <w:p>
            <w:pPr>
              <w:spacing w:after="0" w:line="240" w:lineRule="auto"/>
              <w:jc w:val="center"/>
              <w:rPr>
                <w:rFonts w:eastAsia="Times New Roman"/>
                <w:b/>
                <w:bCs/>
                <w:noProof/>
                <w:sz w:val="16"/>
                <w:szCs w:val="16"/>
                <w:lang w:val="en-GB" w:eastAsia="en-GB"/>
              </w:rPr>
            </w:pPr>
            <w:r>
              <w:rPr>
                <w:rFonts w:eastAsia="Times New Roman"/>
                <w:b/>
                <w:bCs/>
                <w:noProof/>
                <w:sz w:val="16"/>
                <w:szCs w:val="16"/>
                <w:lang w:val="en-GB" w:eastAsia="en-GB"/>
              </w:rPr>
              <w:t>2019</w:t>
            </w:r>
          </w:p>
        </w:tc>
        <w:tc>
          <w:tcPr>
            <w:tcW w:w="1918" w:type="dxa"/>
            <w:gridSpan w:val="2"/>
            <w:tcBorders>
              <w:top w:val="nil"/>
              <w:left w:val="nil"/>
              <w:bottom w:val="single" w:sz="4" w:space="0" w:color="auto"/>
              <w:right w:val="single" w:sz="4" w:space="0" w:color="000000"/>
            </w:tcBorders>
            <w:shd w:val="clear" w:color="000000" w:fill="D9D9D9"/>
            <w:vAlign w:val="center"/>
            <w:hideMark/>
          </w:tcPr>
          <w:p>
            <w:pPr>
              <w:spacing w:after="0" w:line="240" w:lineRule="auto"/>
              <w:jc w:val="center"/>
              <w:rPr>
                <w:rFonts w:eastAsia="Times New Roman"/>
                <w:b/>
                <w:bCs/>
                <w:noProof/>
                <w:sz w:val="16"/>
                <w:szCs w:val="16"/>
                <w:lang w:val="en-GB" w:eastAsia="en-GB"/>
              </w:rPr>
            </w:pPr>
            <w:r>
              <w:rPr>
                <w:rFonts w:eastAsia="Times New Roman"/>
                <w:b/>
                <w:bCs/>
                <w:noProof/>
                <w:sz w:val="16"/>
                <w:szCs w:val="16"/>
                <w:lang w:val="en-GB" w:eastAsia="en-GB"/>
              </w:rPr>
              <w:t>2019 / 2018</w:t>
            </w:r>
          </w:p>
        </w:tc>
        <w:tc>
          <w:tcPr>
            <w:tcW w:w="1552" w:type="dxa"/>
            <w:gridSpan w:val="2"/>
            <w:tcBorders>
              <w:top w:val="nil"/>
              <w:left w:val="nil"/>
              <w:bottom w:val="single" w:sz="4" w:space="0" w:color="auto"/>
              <w:right w:val="single" w:sz="4" w:space="0" w:color="000000"/>
            </w:tcBorders>
            <w:shd w:val="clear" w:color="000000" w:fill="D9D9D9"/>
            <w:vAlign w:val="center"/>
            <w:hideMark/>
          </w:tcPr>
          <w:p>
            <w:pPr>
              <w:spacing w:after="0" w:line="240" w:lineRule="auto"/>
              <w:jc w:val="center"/>
              <w:rPr>
                <w:rFonts w:eastAsia="Times New Roman"/>
                <w:b/>
                <w:bCs/>
                <w:noProof/>
                <w:sz w:val="16"/>
                <w:szCs w:val="16"/>
                <w:lang w:val="en-GB" w:eastAsia="en-GB"/>
              </w:rPr>
            </w:pPr>
            <w:r>
              <w:rPr>
                <w:rFonts w:eastAsia="Times New Roman"/>
                <w:b/>
                <w:bCs/>
                <w:noProof/>
                <w:sz w:val="16"/>
                <w:szCs w:val="16"/>
                <w:lang w:val="en-GB" w:eastAsia="en-GB"/>
              </w:rPr>
              <w:t>2019 / 2018</w:t>
            </w:r>
          </w:p>
        </w:tc>
      </w:tr>
      <w:tr>
        <w:trPr>
          <w:trHeight w:val="345"/>
          <w:tblHeader/>
        </w:trPr>
        <w:tc>
          <w:tcPr>
            <w:tcW w:w="3115" w:type="dxa"/>
            <w:gridSpan w:val="2"/>
            <w:vMerge/>
            <w:tcBorders>
              <w:top w:val="single" w:sz="4" w:space="0" w:color="auto"/>
              <w:left w:val="single" w:sz="4" w:space="0" w:color="auto"/>
              <w:bottom w:val="nil"/>
              <w:right w:val="single" w:sz="4" w:space="0" w:color="000000"/>
            </w:tcBorders>
            <w:vAlign w:val="center"/>
            <w:hideMark/>
          </w:tcPr>
          <w:p>
            <w:pPr>
              <w:spacing w:after="0" w:line="240" w:lineRule="auto"/>
              <w:rPr>
                <w:rFonts w:eastAsia="Times New Roman"/>
                <w:b/>
                <w:bCs/>
                <w:noProof/>
                <w:sz w:val="15"/>
                <w:szCs w:val="15"/>
                <w:lang w:val="en-GB" w:eastAsia="en-GB"/>
              </w:rPr>
            </w:pPr>
          </w:p>
        </w:tc>
        <w:tc>
          <w:tcPr>
            <w:tcW w:w="2032" w:type="dxa"/>
            <w:gridSpan w:val="2"/>
            <w:tcBorders>
              <w:top w:val="single" w:sz="4" w:space="0" w:color="auto"/>
              <w:left w:val="nil"/>
              <w:bottom w:val="single" w:sz="4" w:space="0" w:color="auto"/>
              <w:right w:val="single" w:sz="4" w:space="0" w:color="000000"/>
            </w:tcBorders>
            <w:shd w:val="clear" w:color="000000" w:fill="D9D9D9"/>
            <w:vAlign w:val="center"/>
            <w:hideMark/>
          </w:tcPr>
          <w:p>
            <w:pPr>
              <w:spacing w:after="0" w:line="240" w:lineRule="auto"/>
              <w:jc w:val="center"/>
              <w:rPr>
                <w:rFonts w:eastAsia="Times New Roman"/>
                <w:b/>
                <w:bCs/>
                <w:noProof/>
                <w:sz w:val="16"/>
                <w:szCs w:val="16"/>
                <w:lang w:val="en-GB" w:eastAsia="en-GB"/>
              </w:rPr>
            </w:pPr>
            <w:r>
              <w:rPr>
                <w:rFonts w:eastAsia="Times New Roman"/>
                <w:b/>
                <w:bCs/>
                <w:noProof/>
                <w:sz w:val="16"/>
                <w:szCs w:val="16"/>
                <w:lang w:val="en-GB" w:eastAsia="en-GB"/>
              </w:rPr>
              <w:t>(1)</w:t>
            </w:r>
          </w:p>
        </w:tc>
        <w:tc>
          <w:tcPr>
            <w:tcW w:w="2032" w:type="dxa"/>
            <w:gridSpan w:val="2"/>
            <w:tcBorders>
              <w:top w:val="single" w:sz="4" w:space="0" w:color="auto"/>
              <w:left w:val="nil"/>
              <w:bottom w:val="single" w:sz="4" w:space="0" w:color="auto"/>
              <w:right w:val="single" w:sz="4" w:space="0" w:color="000000"/>
            </w:tcBorders>
            <w:shd w:val="clear" w:color="000000" w:fill="D9D9D9"/>
            <w:vAlign w:val="center"/>
            <w:hideMark/>
          </w:tcPr>
          <w:p>
            <w:pPr>
              <w:spacing w:after="0" w:line="240" w:lineRule="auto"/>
              <w:jc w:val="center"/>
              <w:rPr>
                <w:rFonts w:eastAsia="Times New Roman"/>
                <w:b/>
                <w:bCs/>
                <w:noProof/>
                <w:sz w:val="16"/>
                <w:szCs w:val="16"/>
                <w:lang w:val="en-GB" w:eastAsia="en-GB"/>
              </w:rPr>
            </w:pPr>
            <w:r>
              <w:rPr>
                <w:rFonts w:eastAsia="Times New Roman"/>
                <w:b/>
                <w:bCs/>
                <w:noProof/>
                <w:sz w:val="16"/>
                <w:szCs w:val="16"/>
                <w:lang w:val="en-GB" w:eastAsia="en-GB"/>
              </w:rPr>
              <w:t>(2)</w:t>
            </w:r>
          </w:p>
        </w:tc>
        <w:tc>
          <w:tcPr>
            <w:tcW w:w="1918" w:type="dxa"/>
            <w:gridSpan w:val="2"/>
            <w:tcBorders>
              <w:top w:val="single" w:sz="4" w:space="0" w:color="auto"/>
              <w:left w:val="nil"/>
              <w:bottom w:val="single" w:sz="4" w:space="0" w:color="auto"/>
              <w:right w:val="single" w:sz="4" w:space="0" w:color="000000"/>
            </w:tcBorders>
            <w:shd w:val="clear" w:color="000000" w:fill="D9D9D9"/>
            <w:vAlign w:val="center"/>
            <w:hideMark/>
          </w:tcPr>
          <w:p>
            <w:pPr>
              <w:spacing w:after="0" w:line="240" w:lineRule="auto"/>
              <w:jc w:val="center"/>
              <w:rPr>
                <w:rFonts w:eastAsia="Times New Roman"/>
                <w:b/>
                <w:bCs/>
                <w:noProof/>
                <w:sz w:val="16"/>
                <w:szCs w:val="16"/>
                <w:lang w:val="en-GB" w:eastAsia="en-GB"/>
              </w:rPr>
            </w:pPr>
            <w:r>
              <w:rPr>
                <w:rFonts w:eastAsia="Times New Roman"/>
                <w:b/>
                <w:bCs/>
                <w:noProof/>
                <w:sz w:val="16"/>
                <w:szCs w:val="16"/>
                <w:lang w:val="en-GB" w:eastAsia="en-GB"/>
              </w:rPr>
              <w:t>(2 – 1)</w:t>
            </w:r>
          </w:p>
        </w:tc>
        <w:tc>
          <w:tcPr>
            <w:tcW w:w="1552" w:type="dxa"/>
            <w:gridSpan w:val="2"/>
            <w:tcBorders>
              <w:top w:val="single" w:sz="4" w:space="0" w:color="auto"/>
              <w:left w:val="nil"/>
              <w:bottom w:val="single" w:sz="4" w:space="0" w:color="auto"/>
              <w:right w:val="single" w:sz="4" w:space="0" w:color="000000"/>
            </w:tcBorders>
            <w:shd w:val="clear" w:color="000000" w:fill="D9D9D9"/>
            <w:vAlign w:val="center"/>
            <w:hideMark/>
          </w:tcPr>
          <w:p>
            <w:pPr>
              <w:spacing w:after="0" w:line="240" w:lineRule="auto"/>
              <w:jc w:val="center"/>
              <w:rPr>
                <w:rFonts w:eastAsia="Times New Roman"/>
                <w:b/>
                <w:bCs/>
                <w:noProof/>
                <w:sz w:val="16"/>
                <w:szCs w:val="16"/>
                <w:lang w:val="en-GB" w:eastAsia="en-GB"/>
              </w:rPr>
            </w:pPr>
            <w:r>
              <w:rPr>
                <w:rFonts w:eastAsia="Times New Roman"/>
                <w:b/>
                <w:bCs/>
                <w:noProof/>
                <w:sz w:val="16"/>
                <w:szCs w:val="16"/>
                <w:lang w:val="en-GB" w:eastAsia="en-GB"/>
              </w:rPr>
              <w:t>(2 / 1)</w:t>
            </w:r>
          </w:p>
        </w:tc>
      </w:tr>
      <w:tr>
        <w:trPr>
          <w:trHeight w:val="255"/>
          <w:tblHeader/>
        </w:trPr>
        <w:tc>
          <w:tcPr>
            <w:tcW w:w="3115" w:type="dxa"/>
            <w:gridSpan w:val="2"/>
            <w:vMerge/>
            <w:tcBorders>
              <w:top w:val="single" w:sz="4" w:space="0" w:color="auto"/>
              <w:left w:val="single" w:sz="4" w:space="0" w:color="auto"/>
              <w:bottom w:val="nil"/>
              <w:right w:val="single" w:sz="4" w:space="0" w:color="000000"/>
            </w:tcBorders>
            <w:vAlign w:val="center"/>
            <w:hideMark/>
          </w:tcPr>
          <w:p>
            <w:pPr>
              <w:spacing w:after="0" w:line="240" w:lineRule="auto"/>
              <w:rPr>
                <w:rFonts w:eastAsia="Times New Roman"/>
                <w:b/>
                <w:bCs/>
                <w:noProof/>
                <w:sz w:val="15"/>
                <w:szCs w:val="15"/>
                <w:lang w:val="en-GB" w:eastAsia="en-GB"/>
              </w:rPr>
            </w:pPr>
          </w:p>
        </w:tc>
        <w:tc>
          <w:tcPr>
            <w:tcW w:w="1016"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eastAsia="Times New Roman"/>
                <w:b/>
                <w:bCs/>
                <w:noProof/>
                <w:sz w:val="16"/>
                <w:szCs w:val="16"/>
                <w:lang w:val="en-GB" w:eastAsia="en-GB"/>
              </w:rPr>
            </w:pPr>
            <w:r>
              <w:rPr>
                <w:rFonts w:eastAsia="Times New Roman"/>
                <w:b/>
                <w:bCs/>
                <w:noProof/>
                <w:sz w:val="16"/>
                <w:szCs w:val="16"/>
                <w:lang w:val="en-GB" w:eastAsia="en-GB"/>
              </w:rPr>
              <w:t>CA</w:t>
            </w:r>
          </w:p>
        </w:tc>
        <w:tc>
          <w:tcPr>
            <w:tcW w:w="1016"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eastAsia="Times New Roman"/>
                <w:b/>
                <w:bCs/>
                <w:noProof/>
                <w:sz w:val="16"/>
                <w:szCs w:val="16"/>
                <w:lang w:val="en-GB" w:eastAsia="en-GB"/>
              </w:rPr>
            </w:pPr>
            <w:r>
              <w:rPr>
                <w:rFonts w:eastAsia="Times New Roman"/>
                <w:b/>
                <w:bCs/>
                <w:noProof/>
                <w:sz w:val="16"/>
                <w:szCs w:val="16"/>
                <w:lang w:val="en-GB" w:eastAsia="en-GB"/>
              </w:rPr>
              <w:t>PA</w:t>
            </w:r>
          </w:p>
        </w:tc>
        <w:tc>
          <w:tcPr>
            <w:tcW w:w="1016"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eastAsia="Times New Roman"/>
                <w:b/>
                <w:bCs/>
                <w:noProof/>
                <w:sz w:val="16"/>
                <w:szCs w:val="16"/>
                <w:lang w:val="en-GB" w:eastAsia="en-GB"/>
              </w:rPr>
            </w:pPr>
            <w:r>
              <w:rPr>
                <w:rFonts w:eastAsia="Times New Roman"/>
                <w:b/>
                <w:bCs/>
                <w:noProof/>
                <w:sz w:val="16"/>
                <w:szCs w:val="16"/>
                <w:lang w:val="en-GB" w:eastAsia="en-GB"/>
              </w:rPr>
              <w:t>CA</w:t>
            </w:r>
          </w:p>
        </w:tc>
        <w:tc>
          <w:tcPr>
            <w:tcW w:w="1016"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eastAsia="Times New Roman"/>
                <w:b/>
                <w:bCs/>
                <w:noProof/>
                <w:sz w:val="16"/>
                <w:szCs w:val="16"/>
                <w:lang w:val="en-GB" w:eastAsia="en-GB"/>
              </w:rPr>
            </w:pPr>
            <w:r>
              <w:rPr>
                <w:rFonts w:eastAsia="Times New Roman"/>
                <w:b/>
                <w:bCs/>
                <w:noProof/>
                <w:sz w:val="16"/>
                <w:szCs w:val="16"/>
                <w:lang w:val="en-GB" w:eastAsia="en-GB"/>
              </w:rPr>
              <w:t>PA</w:t>
            </w:r>
          </w:p>
        </w:tc>
        <w:tc>
          <w:tcPr>
            <w:tcW w:w="959"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eastAsia="Times New Roman"/>
                <w:b/>
                <w:bCs/>
                <w:noProof/>
                <w:sz w:val="16"/>
                <w:szCs w:val="16"/>
                <w:lang w:val="en-GB" w:eastAsia="en-GB"/>
              </w:rPr>
            </w:pPr>
            <w:r>
              <w:rPr>
                <w:rFonts w:eastAsia="Times New Roman"/>
                <w:b/>
                <w:bCs/>
                <w:noProof/>
                <w:sz w:val="16"/>
                <w:szCs w:val="16"/>
                <w:lang w:val="en-GB" w:eastAsia="en-GB"/>
              </w:rPr>
              <w:t>CA</w:t>
            </w:r>
          </w:p>
        </w:tc>
        <w:tc>
          <w:tcPr>
            <w:tcW w:w="959"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eastAsia="Times New Roman"/>
                <w:b/>
                <w:bCs/>
                <w:noProof/>
                <w:sz w:val="16"/>
                <w:szCs w:val="16"/>
                <w:lang w:val="en-GB" w:eastAsia="en-GB"/>
              </w:rPr>
            </w:pPr>
            <w:r>
              <w:rPr>
                <w:rFonts w:eastAsia="Times New Roman"/>
                <w:b/>
                <w:bCs/>
                <w:noProof/>
                <w:sz w:val="16"/>
                <w:szCs w:val="16"/>
                <w:lang w:val="en-GB" w:eastAsia="en-GB"/>
              </w:rPr>
              <w:t>PA</w:t>
            </w:r>
          </w:p>
        </w:tc>
        <w:tc>
          <w:tcPr>
            <w:tcW w:w="776"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eastAsia="Times New Roman"/>
                <w:b/>
                <w:bCs/>
                <w:noProof/>
                <w:sz w:val="16"/>
                <w:szCs w:val="16"/>
                <w:lang w:val="en-GB" w:eastAsia="en-GB"/>
              </w:rPr>
            </w:pPr>
            <w:r>
              <w:rPr>
                <w:rFonts w:eastAsia="Times New Roman"/>
                <w:b/>
                <w:bCs/>
                <w:noProof/>
                <w:sz w:val="16"/>
                <w:szCs w:val="16"/>
                <w:lang w:val="en-GB" w:eastAsia="en-GB"/>
              </w:rPr>
              <w:t>CA</w:t>
            </w:r>
          </w:p>
        </w:tc>
        <w:tc>
          <w:tcPr>
            <w:tcW w:w="776"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eastAsia="Times New Roman"/>
                <w:b/>
                <w:bCs/>
                <w:noProof/>
                <w:sz w:val="16"/>
                <w:szCs w:val="16"/>
                <w:lang w:val="en-GB" w:eastAsia="en-GB"/>
              </w:rPr>
            </w:pPr>
            <w:r>
              <w:rPr>
                <w:rFonts w:eastAsia="Times New Roman"/>
                <w:b/>
                <w:bCs/>
                <w:noProof/>
                <w:sz w:val="16"/>
                <w:szCs w:val="16"/>
                <w:lang w:val="en-GB" w:eastAsia="en-GB"/>
              </w:rPr>
              <w:t>PA</w:t>
            </w:r>
          </w:p>
        </w:tc>
      </w:tr>
      <w:tr>
        <w:trPr>
          <w:trHeight w:val="255"/>
        </w:trPr>
        <w:tc>
          <w:tcPr>
            <w:tcW w:w="3115" w:type="dxa"/>
            <w:gridSpan w:val="2"/>
            <w:tcBorders>
              <w:top w:val="single" w:sz="4" w:space="0" w:color="auto"/>
              <w:left w:val="single" w:sz="4" w:space="0" w:color="auto"/>
              <w:bottom w:val="dotted" w:sz="4" w:space="0" w:color="000000"/>
              <w:right w:val="single" w:sz="4" w:space="0" w:color="000000"/>
            </w:tcBorders>
            <w:shd w:val="clear" w:color="auto" w:fill="auto"/>
            <w:vAlign w:val="center"/>
            <w:hideMark/>
          </w:tcPr>
          <w:p>
            <w:pPr>
              <w:spacing w:after="0" w:line="240" w:lineRule="auto"/>
              <w:rPr>
                <w:rFonts w:eastAsia="Times New Roman"/>
                <w:b/>
                <w:bCs/>
                <w:noProof/>
                <w:sz w:val="15"/>
                <w:szCs w:val="15"/>
                <w:lang w:val="en-GB" w:eastAsia="en-GB"/>
              </w:rPr>
            </w:pPr>
            <w:r>
              <w:rPr>
                <w:rFonts w:eastAsia="Times New Roman"/>
                <w:b/>
                <w:bCs/>
                <w:noProof/>
                <w:sz w:val="15"/>
                <w:szCs w:val="15"/>
                <w:lang w:val="en-GB" w:eastAsia="en-GB"/>
              </w:rPr>
              <w:t>1. Smart and inclusive growth</w:t>
            </w:r>
          </w:p>
        </w:tc>
        <w:tc>
          <w:tcPr>
            <w:tcW w:w="1016" w:type="dxa"/>
            <w:tcBorders>
              <w:top w:val="single" w:sz="4" w:space="0" w:color="auto"/>
              <w:left w:val="nil"/>
              <w:bottom w:val="dotted" w:sz="4" w:space="0" w:color="000000"/>
              <w:right w:val="single" w:sz="4" w:space="0" w:color="000000"/>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77 531,8</w:t>
            </w:r>
          </w:p>
        </w:tc>
        <w:tc>
          <w:tcPr>
            <w:tcW w:w="1016" w:type="dxa"/>
            <w:tcBorders>
              <w:top w:val="single" w:sz="4" w:space="0" w:color="auto"/>
              <w:left w:val="nil"/>
              <w:bottom w:val="dotted" w:sz="4" w:space="0" w:color="000000"/>
              <w:right w:val="single" w:sz="4" w:space="0" w:color="auto"/>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66 622,6</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80 337,4</w:t>
            </w:r>
          </w:p>
        </w:tc>
        <w:tc>
          <w:tcPr>
            <w:tcW w:w="1016" w:type="dxa"/>
            <w:tcBorders>
              <w:top w:val="nil"/>
              <w:left w:val="nil"/>
              <w:bottom w:val="dotted" w:sz="4" w:space="0" w:color="000000"/>
              <w:right w:val="single" w:sz="4" w:space="0" w:color="auto"/>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67 556,9</w:t>
            </w:r>
          </w:p>
        </w:tc>
        <w:tc>
          <w:tcPr>
            <w:tcW w:w="959"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2 805,7</w:t>
            </w:r>
          </w:p>
        </w:tc>
        <w:tc>
          <w:tcPr>
            <w:tcW w:w="959" w:type="dxa"/>
            <w:tcBorders>
              <w:top w:val="nil"/>
              <w:left w:val="nil"/>
              <w:bottom w:val="dotted" w:sz="4" w:space="0" w:color="000000"/>
              <w:right w:val="single" w:sz="4" w:space="0" w:color="auto"/>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934,4</w:t>
            </w:r>
          </w:p>
        </w:tc>
        <w:tc>
          <w:tcPr>
            <w:tcW w:w="776" w:type="dxa"/>
            <w:tcBorders>
              <w:top w:val="single" w:sz="4" w:space="0" w:color="auto"/>
              <w:left w:val="nil"/>
              <w:bottom w:val="dotted" w:sz="4" w:space="0" w:color="000000"/>
              <w:right w:val="single" w:sz="4" w:space="0" w:color="000000"/>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3,6%</w:t>
            </w:r>
          </w:p>
        </w:tc>
        <w:tc>
          <w:tcPr>
            <w:tcW w:w="776" w:type="dxa"/>
            <w:tcBorders>
              <w:top w:val="single" w:sz="4" w:space="0" w:color="auto"/>
              <w:left w:val="nil"/>
              <w:bottom w:val="dotted" w:sz="4" w:space="0" w:color="000000"/>
              <w:right w:val="single" w:sz="4" w:space="0" w:color="auto"/>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1,4%</w:t>
            </w:r>
          </w:p>
        </w:tc>
      </w:tr>
      <w:tr>
        <w:trPr>
          <w:trHeight w:val="255"/>
        </w:trPr>
        <w:tc>
          <w:tcPr>
            <w:tcW w:w="3115" w:type="dxa"/>
            <w:gridSpan w:val="2"/>
            <w:tcBorders>
              <w:top w:val="dotted" w:sz="4" w:space="0" w:color="000000"/>
              <w:left w:val="single" w:sz="4" w:space="0" w:color="auto"/>
              <w:bottom w:val="dotted" w:sz="4" w:space="0" w:color="000000"/>
              <w:right w:val="single" w:sz="4" w:space="0" w:color="000000"/>
            </w:tcBorders>
            <w:shd w:val="clear" w:color="auto" w:fill="auto"/>
            <w:vAlign w:val="center"/>
            <w:hideMark/>
          </w:tcPr>
          <w:p>
            <w:pPr>
              <w:spacing w:after="0" w:line="240" w:lineRule="auto"/>
              <w:jc w:val="right"/>
              <w:rPr>
                <w:rFonts w:eastAsia="Times New Roman"/>
                <w:b/>
                <w:bCs/>
                <w:i/>
                <w:iCs/>
                <w:noProof/>
                <w:sz w:val="15"/>
                <w:szCs w:val="15"/>
                <w:lang w:val="en-GB" w:eastAsia="en-GB"/>
              </w:rPr>
            </w:pPr>
            <w:r>
              <w:rPr>
                <w:rFonts w:eastAsia="Times New Roman"/>
                <w:b/>
                <w:bCs/>
                <w:i/>
                <w:iCs/>
                <w:noProof/>
                <w:sz w:val="15"/>
                <w:szCs w:val="15"/>
                <w:lang w:val="en-GB" w:eastAsia="en-GB"/>
              </w:rPr>
              <w:t>Of which under global margin for commitments</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1 111,8</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413,4</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959"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959" w:type="dxa"/>
            <w:tcBorders>
              <w:top w:val="nil"/>
              <w:left w:val="nil"/>
              <w:bottom w:val="dotted" w:sz="4" w:space="0" w:color="000000"/>
              <w:right w:val="single" w:sz="4" w:space="0" w:color="auto"/>
            </w:tcBorders>
            <w:shd w:val="clear" w:color="auto" w:fill="auto"/>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77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776" w:type="dxa"/>
            <w:tcBorders>
              <w:top w:val="nil"/>
              <w:left w:val="nil"/>
              <w:bottom w:val="dotted" w:sz="4" w:space="0" w:color="000000"/>
              <w:right w:val="single" w:sz="4" w:space="0" w:color="auto"/>
            </w:tcBorders>
            <w:shd w:val="clear" w:color="auto" w:fill="auto"/>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r>
      <w:tr>
        <w:trPr>
          <w:trHeight w:val="255"/>
        </w:trPr>
        <w:tc>
          <w:tcPr>
            <w:tcW w:w="3115" w:type="dxa"/>
            <w:gridSpan w:val="2"/>
            <w:tcBorders>
              <w:top w:val="dotted" w:sz="4" w:space="0" w:color="000000"/>
              <w:left w:val="single" w:sz="4" w:space="0" w:color="auto"/>
              <w:bottom w:val="dotted" w:sz="4" w:space="0" w:color="000000"/>
              <w:right w:val="single" w:sz="4" w:space="0" w:color="000000"/>
            </w:tcBorders>
            <w:shd w:val="clear" w:color="auto" w:fill="auto"/>
            <w:vAlign w:val="center"/>
            <w:hideMark/>
          </w:tcPr>
          <w:p>
            <w:pPr>
              <w:spacing w:after="0" w:line="240" w:lineRule="auto"/>
              <w:jc w:val="right"/>
              <w:rPr>
                <w:rFonts w:eastAsia="Times New Roman"/>
                <w:b/>
                <w:bCs/>
                <w:i/>
                <w:iCs/>
                <w:noProof/>
                <w:sz w:val="15"/>
                <w:szCs w:val="15"/>
                <w:lang w:val="en-GB" w:eastAsia="en-GB"/>
              </w:rPr>
            </w:pPr>
            <w:r>
              <w:rPr>
                <w:rFonts w:eastAsia="Times New Roman"/>
                <w:b/>
                <w:bCs/>
                <w:i/>
                <w:iCs/>
                <w:noProof/>
                <w:sz w:val="15"/>
                <w:szCs w:val="15"/>
                <w:lang w:val="en-GB" w:eastAsia="en-GB"/>
              </w:rPr>
              <w:t>Ceiling</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76 420,0</w:t>
            </w:r>
          </w:p>
        </w:tc>
        <w:tc>
          <w:tcPr>
            <w:tcW w:w="1016" w:type="dxa"/>
            <w:tcBorders>
              <w:top w:val="nil"/>
              <w:left w:val="nil"/>
              <w:bottom w:val="nil"/>
              <w:right w:val="single" w:sz="4" w:space="0" w:color="auto"/>
            </w:tcBorders>
            <w:shd w:val="clear" w:color="auto" w:fill="auto"/>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1016" w:type="dxa"/>
            <w:tcBorders>
              <w:top w:val="nil"/>
              <w:left w:val="single" w:sz="4" w:space="0" w:color="auto"/>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79 924,0</w:t>
            </w:r>
          </w:p>
        </w:tc>
        <w:tc>
          <w:tcPr>
            <w:tcW w:w="1016" w:type="dxa"/>
            <w:tcBorders>
              <w:top w:val="nil"/>
              <w:left w:val="nil"/>
              <w:bottom w:val="nil"/>
              <w:right w:val="single" w:sz="4" w:space="0" w:color="auto"/>
            </w:tcBorders>
            <w:shd w:val="clear" w:color="auto" w:fill="auto"/>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959" w:type="dxa"/>
            <w:tcBorders>
              <w:top w:val="nil"/>
              <w:left w:val="single" w:sz="4" w:space="0" w:color="auto"/>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959" w:type="dxa"/>
            <w:tcBorders>
              <w:top w:val="nil"/>
              <w:left w:val="nil"/>
              <w:bottom w:val="dotted" w:sz="4" w:space="0" w:color="000000"/>
              <w:right w:val="single" w:sz="4" w:space="0" w:color="auto"/>
            </w:tcBorders>
            <w:shd w:val="clear" w:color="auto" w:fill="auto"/>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77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776" w:type="dxa"/>
            <w:tcBorders>
              <w:top w:val="nil"/>
              <w:left w:val="nil"/>
              <w:bottom w:val="dotted" w:sz="4" w:space="0" w:color="000000"/>
              <w:right w:val="single" w:sz="4" w:space="0" w:color="auto"/>
            </w:tcBorders>
            <w:shd w:val="clear" w:color="auto" w:fill="auto"/>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r>
      <w:tr>
        <w:trPr>
          <w:trHeight w:val="255"/>
        </w:trPr>
        <w:tc>
          <w:tcPr>
            <w:tcW w:w="3115" w:type="dxa"/>
            <w:gridSpan w:val="2"/>
            <w:tcBorders>
              <w:top w:val="dotted" w:sz="4" w:space="0" w:color="000000"/>
              <w:left w:val="single" w:sz="4" w:space="0" w:color="auto"/>
              <w:bottom w:val="single" w:sz="4" w:space="0" w:color="auto"/>
              <w:right w:val="single" w:sz="4" w:space="0" w:color="000000"/>
            </w:tcBorders>
            <w:shd w:val="clear" w:color="auto" w:fill="auto"/>
            <w:vAlign w:val="center"/>
            <w:hideMark/>
          </w:tcPr>
          <w:p>
            <w:pPr>
              <w:spacing w:after="0" w:line="240" w:lineRule="auto"/>
              <w:jc w:val="right"/>
              <w:rPr>
                <w:rFonts w:eastAsia="Times New Roman"/>
                <w:b/>
                <w:bCs/>
                <w:i/>
                <w:iCs/>
                <w:noProof/>
                <w:sz w:val="15"/>
                <w:szCs w:val="15"/>
                <w:lang w:val="en-GB" w:eastAsia="en-GB"/>
              </w:rPr>
            </w:pPr>
            <w:r>
              <w:rPr>
                <w:rFonts w:eastAsia="Times New Roman"/>
                <w:b/>
                <w:bCs/>
                <w:i/>
                <w:iCs/>
                <w:noProof/>
                <w:sz w:val="15"/>
                <w:szCs w:val="15"/>
                <w:lang w:val="en-GB" w:eastAsia="en-GB"/>
              </w:rPr>
              <w:t>Margin</w:t>
            </w:r>
          </w:p>
        </w:tc>
        <w:tc>
          <w:tcPr>
            <w:tcW w:w="1016"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1016" w:type="dxa"/>
            <w:tcBorders>
              <w:top w:val="dotted" w:sz="4" w:space="0" w:color="000000"/>
              <w:left w:val="nil"/>
              <w:bottom w:val="single"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1016"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1016" w:type="dxa"/>
            <w:tcBorders>
              <w:top w:val="dotted" w:sz="4" w:space="0" w:color="000000"/>
              <w:left w:val="nil"/>
              <w:bottom w:val="single"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959"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959" w:type="dxa"/>
            <w:tcBorders>
              <w:top w:val="nil"/>
              <w:left w:val="nil"/>
              <w:bottom w:val="single"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776"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776" w:type="dxa"/>
            <w:tcBorders>
              <w:top w:val="nil"/>
              <w:left w:val="nil"/>
              <w:bottom w:val="single"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1a</w:t>
            </w:r>
          </w:p>
        </w:tc>
        <w:tc>
          <w:tcPr>
            <w:tcW w:w="2806" w:type="dxa"/>
            <w:tcBorders>
              <w:top w:val="single" w:sz="4" w:space="0" w:color="auto"/>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Competitiveness for growth and jobs</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21 999,6</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20 095,3</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23 145,4</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20 521,5</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1 145,9</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426,3</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5,2%</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2,1%</w:t>
            </w:r>
          </w:p>
        </w:tc>
      </w:tr>
      <w:tr>
        <w:trPr>
          <w:trHeight w:val="255"/>
        </w:trPr>
        <w:tc>
          <w:tcPr>
            <w:tcW w:w="3115" w:type="dxa"/>
            <w:gridSpan w:val="2"/>
            <w:tcBorders>
              <w:top w:val="dotted" w:sz="4" w:space="0" w:color="000000"/>
              <w:left w:val="single" w:sz="4" w:space="0" w:color="auto"/>
              <w:bottom w:val="dotted" w:sz="4" w:space="0" w:color="000000"/>
              <w:right w:val="single" w:sz="4" w:space="0" w:color="000000"/>
            </w:tcBorders>
            <w:shd w:val="clear" w:color="auto" w:fill="auto"/>
            <w:vAlign w:val="center"/>
            <w:hideMark/>
          </w:tcPr>
          <w:p>
            <w:pPr>
              <w:spacing w:after="0" w:line="240" w:lineRule="auto"/>
              <w:jc w:val="right"/>
              <w:rPr>
                <w:rFonts w:eastAsia="Times New Roman"/>
                <w:i/>
                <w:iCs/>
                <w:noProof/>
                <w:sz w:val="15"/>
                <w:szCs w:val="15"/>
                <w:lang w:val="en-GB" w:eastAsia="en-GB"/>
              </w:rPr>
            </w:pPr>
            <w:r>
              <w:rPr>
                <w:rFonts w:eastAsia="Times New Roman"/>
                <w:i/>
                <w:iCs/>
                <w:noProof/>
                <w:sz w:val="15"/>
                <w:szCs w:val="15"/>
                <w:lang w:val="en-GB" w:eastAsia="en-GB"/>
              </w:rPr>
              <w:t>Of which under global margin for commitments</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760,6</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63,4</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w:t>
            </w:r>
          </w:p>
        </w:tc>
      </w:tr>
      <w:tr>
        <w:trPr>
          <w:trHeight w:val="255"/>
        </w:trPr>
        <w:tc>
          <w:tcPr>
            <w:tcW w:w="3115" w:type="dxa"/>
            <w:gridSpan w:val="2"/>
            <w:tcBorders>
              <w:top w:val="dotted" w:sz="4" w:space="0" w:color="000000"/>
              <w:left w:val="single" w:sz="4" w:space="0" w:color="auto"/>
              <w:bottom w:val="dotted" w:sz="4" w:space="0" w:color="000000"/>
              <w:right w:val="single" w:sz="4" w:space="0" w:color="000000"/>
            </w:tcBorders>
            <w:shd w:val="clear" w:color="auto" w:fill="auto"/>
            <w:vAlign w:val="center"/>
            <w:hideMark/>
          </w:tcPr>
          <w:p>
            <w:pPr>
              <w:spacing w:after="0" w:line="240" w:lineRule="auto"/>
              <w:jc w:val="right"/>
              <w:rPr>
                <w:rFonts w:eastAsia="Times New Roman"/>
                <w:i/>
                <w:iCs/>
                <w:noProof/>
                <w:sz w:val="15"/>
                <w:szCs w:val="15"/>
                <w:lang w:val="en-GB" w:eastAsia="en-GB"/>
              </w:rPr>
            </w:pPr>
            <w:r>
              <w:rPr>
                <w:rFonts w:eastAsia="Times New Roman"/>
                <w:i/>
                <w:iCs/>
                <w:noProof/>
                <w:sz w:val="15"/>
                <w:szCs w:val="15"/>
                <w:lang w:val="en-GB" w:eastAsia="en-GB"/>
              </w:rPr>
              <w:t>Ceiling</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21 239,0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23 082,0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w:t>
            </w:r>
          </w:p>
        </w:tc>
      </w:tr>
      <w:tr>
        <w:trPr>
          <w:trHeight w:val="255"/>
        </w:trPr>
        <w:tc>
          <w:tcPr>
            <w:tcW w:w="3115" w:type="dxa"/>
            <w:gridSpan w:val="2"/>
            <w:tcBorders>
              <w:top w:val="dotted" w:sz="4" w:space="0" w:color="000000"/>
              <w:left w:val="single" w:sz="4" w:space="0" w:color="auto"/>
              <w:bottom w:val="single"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lang w:val="en-GB" w:eastAsia="en-GB"/>
              </w:rPr>
            </w:pPr>
            <w:r>
              <w:rPr>
                <w:rFonts w:eastAsia="Times New Roman"/>
                <w:i/>
                <w:iCs/>
                <w:noProof/>
                <w:sz w:val="15"/>
                <w:szCs w:val="15"/>
                <w:lang w:val="en-GB" w:eastAsia="en-GB"/>
              </w:rPr>
              <w:t>Margin</w:t>
            </w:r>
          </w:p>
        </w:tc>
        <w:tc>
          <w:tcPr>
            <w:tcW w:w="1016"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w:t>
            </w:r>
          </w:p>
        </w:tc>
        <w:tc>
          <w:tcPr>
            <w:tcW w:w="1016" w:type="dxa"/>
            <w:tcBorders>
              <w:top w:val="nil"/>
              <w:left w:val="nil"/>
              <w:bottom w:val="single"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w:t>
            </w:r>
          </w:p>
        </w:tc>
        <w:tc>
          <w:tcPr>
            <w:tcW w:w="1016" w:type="dxa"/>
            <w:tcBorders>
              <w:top w:val="nil"/>
              <w:left w:val="nil"/>
              <w:bottom w:val="single"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w:t>
            </w:r>
          </w:p>
        </w:tc>
        <w:tc>
          <w:tcPr>
            <w:tcW w:w="1016" w:type="dxa"/>
            <w:tcBorders>
              <w:top w:val="nil"/>
              <w:left w:val="nil"/>
              <w:bottom w:val="single"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w:t>
            </w:r>
          </w:p>
        </w:tc>
        <w:tc>
          <w:tcPr>
            <w:tcW w:w="959"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w:t>
            </w:r>
          </w:p>
        </w:tc>
        <w:tc>
          <w:tcPr>
            <w:tcW w:w="959" w:type="dxa"/>
            <w:tcBorders>
              <w:top w:val="nil"/>
              <w:left w:val="nil"/>
              <w:bottom w:val="single"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w:t>
            </w:r>
          </w:p>
        </w:tc>
        <w:tc>
          <w:tcPr>
            <w:tcW w:w="776"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w:t>
            </w:r>
          </w:p>
        </w:tc>
        <w:tc>
          <w:tcPr>
            <w:tcW w:w="776" w:type="dxa"/>
            <w:tcBorders>
              <w:top w:val="nil"/>
              <w:left w:val="nil"/>
              <w:bottom w:val="single"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w:t>
            </w:r>
          </w:p>
        </w:tc>
      </w:tr>
      <w:tr>
        <w:trPr>
          <w:trHeight w:val="255"/>
        </w:trPr>
        <w:tc>
          <w:tcPr>
            <w:tcW w:w="3115" w:type="dxa"/>
            <w:gridSpan w:val="2"/>
            <w:tcBorders>
              <w:top w:val="dotted" w:sz="4" w:space="0" w:color="000000"/>
              <w:left w:val="single" w:sz="4" w:space="0" w:color="auto"/>
              <w:bottom w:val="dotted" w:sz="4" w:space="0" w:color="auto"/>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Large infrastructure projects</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1 814,4</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1 826,2</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1 959,4</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2 142,0</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145,0</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315,8</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8,0%</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17,3%</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lang w:val="en-GB" w:eastAsia="en-GB"/>
              </w:rPr>
            </w:pPr>
            <w:r>
              <w:rPr>
                <w:rFonts w:eastAsia="Times New Roman"/>
                <w:i/>
                <w:iCs/>
                <w:noProof/>
                <w:sz w:val="15"/>
                <w:szCs w:val="15"/>
                <w:lang w:val="en-GB" w:eastAsia="en-GB"/>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European satellite navigation systems (EGNOS and Galileo)</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807,9</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718,0</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690,7</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923,0</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-117,1</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205,0</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-14,5%</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28,6%</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lang w:val="en-GB" w:eastAsia="en-GB"/>
              </w:rPr>
            </w:pPr>
            <w:r>
              <w:rPr>
                <w:rFonts w:eastAsia="Times New Roman"/>
                <w:i/>
                <w:iCs/>
                <w:noProof/>
                <w:sz w:val="15"/>
                <w:szCs w:val="15"/>
                <w:lang w:val="en-GB" w:eastAsia="en-GB"/>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International Thermonuclear Experimental Reactor (ITER)</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376,4</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500,6</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407,2</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616,6</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30,9</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116,0</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8,2%</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23,2%</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lang w:val="en-GB" w:eastAsia="en-GB"/>
              </w:rPr>
            </w:pPr>
            <w:r>
              <w:rPr>
                <w:rFonts w:eastAsia="Times New Roman"/>
                <w:i/>
                <w:iCs/>
                <w:noProof/>
                <w:sz w:val="15"/>
                <w:szCs w:val="15"/>
                <w:lang w:val="en-GB" w:eastAsia="en-GB"/>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European Earth Observation Programme (Copernicus)</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630,2</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607,6</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861,5</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602,4</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231,3</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-5,2</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36,7%</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-0,9%</w:t>
            </w:r>
          </w:p>
        </w:tc>
      </w:tr>
      <w:tr>
        <w:trPr>
          <w:trHeight w:val="255"/>
        </w:trPr>
        <w:tc>
          <w:tcPr>
            <w:tcW w:w="3115" w:type="dxa"/>
            <w:gridSpan w:val="2"/>
            <w:tcBorders>
              <w:top w:val="dotted" w:sz="4" w:space="0" w:color="000000"/>
              <w:left w:val="single" w:sz="4" w:space="0" w:color="auto"/>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Nuclear Safety and Decommissioning</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141,1</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152,4</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143,9</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158,1</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2,8</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5,8</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2,0%</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3,8%</w:t>
            </w:r>
          </w:p>
        </w:tc>
      </w:tr>
      <w:tr>
        <w:trPr>
          <w:trHeight w:val="255"/>
        </w:trPr>
        <w:tc>
          <w:tcPr>
            <w:tcW w:w="3115" w:type="dxa"/>
            <w:gridSpan w:val="2"/>
            <w:tcBorders>
              <w:top w:val="dotted" w:sz="4" w:space="0" w:color="000000"/>
              <w:left w:val="single" w:sz="4" w:space="0" w:color="auto"/>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European Fund for Strategic Investments (EFSI)</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2 038,3</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1 828,0</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186,9</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1 022,3</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-1 851,4</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-805,7</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-90,8%</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-44,1%</w:t>
            </w:r>
          </w:p>
        </w:tc>
      </w:tr>
      <w:tr>
        <w:trPr>
          <w:trHeight w:val="255"/>
        </w:trPr>
        <w:tc>
          <w:tcPr>
            <w:tcW w:w="3115" w:type="dxa"/>
            <w:gridSpan w:val="2"/>
            <w:tcBorders>
              <w:top w:val="dotted" w:sz="4" w:space="0" w:color="000000"/>
              <w:left w:val="single" w:sz="4" w:space="0" w:color="auto"/>
              <w:bottom w:val="dotted" w:sz="4" w:space="0" w:color="auto"/>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Common Strategic Framework (CSF) Research and Innovation</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11 568,1</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11 216,9</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12 535,1</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11 341,8</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967,0</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124,9</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8,4%</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1,1%</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lang w:val="en-GB" w:eastAsia="en-GB"/>
              </w:rPr>
            </w:pPr>
            <w:r>
              <w:rPr>
                <w:rFonts w:eastAsia="Times New Roman"/>
                <w:i/>
                <w:iCs/>
                <w:noProof/>
                <w:sz w:val="15"/>
                <w:szCs w:val="15"/>
                <w:lang w:val="en-GB" w:eastAsia="en-GB"/>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Horizon 2020</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11 212,4</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10 901,5</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12 161,5</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10 971,8</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949,1</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70,3</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8,5%</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0,6%</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lang w:val="en-GB" w:eastAsia="en-GB"/>
              </w:rPr>
            </w:pPr>
            <w:r>
              <w:rPr>
                <w:rFonts w:eastAsia="Times New Roman"/>
                <w:i/>
                <w:iCs/>
                <w:noProof/>
                <w:sz w:val="15"/>
                <w:szCs w:val="15"/>
                <w:lang w:val="en-GB" w:eastAsia="en-GB"/>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Euratom Research and Training Programme</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355,7</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315,5</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373,6</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370,0</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17,9</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54,5</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5,0%</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17,3%</w:t>
            </w:r>
          </w:p>
        </w:tc>
      </w:tr>
      <w:tr>
        <w:trPr>
          <w:trHeight w:val="450"/>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Competitiveness of enterprises and small and medium-sized enterprises (COSME)</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354,1</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253,5</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367,2</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251,8</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13,1</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-1,6</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3,7%</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-0,6%</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Education, Training and Sport (Erasmus+)</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2 314,5</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2 145,6</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2 726,4</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2 563,1</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411,9</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417,5</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17,8%</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19,5%</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Employment and Social Innovation (EaSI)</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131,7</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118,5</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136,1</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118,4</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4,3</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-0,1</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3,3%</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-0,1%</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Customs, Fiscalis and Anti-Fraud</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135,0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124,8</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135,2</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134,2</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0,2</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9,4</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0,1%</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7,6%</w:t>
            </w:r>
          </w:p>
        </w:tc>
      </w:tr>
      <w:tr>
        <w:trPr>
          <w:trHeight w:val="255"/>
        </w:trPr>
        <w:tc>
          <w:tcPr>
            <w:tcW w:w="3115" w:type="dxa"/>
            <w:gridSpan w:val="2"/>
            <w:tcBorders>
              <w:top w:val="dotted" w:sz="4" w:space="0" w:color="000000"/>
              <w:left w:val="single" w:sz="4" w:space="0" w:color="auto"/>
              <w:bottom w:val="dotted" w:sz="4" w:space="0" w:color="auto"/>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Connecting Europe Facility (CEF)</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2 748,4</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1 523,0</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3 764,0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1 701,2</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1 015,6</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178,3</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37,0%</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11,7%</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lang w:val="en-GB" w:eastAsia="en-GB"/>
              </w:rPr>
            </w:pPr>
            <w:r>
              <w:rPr>
                <w:rFonts w:eastAsia="Times New Roman"/>
                <w:i/>
                <w:iCs/>
                <w:noProof/>
                <w:sz w:val="15"/>
                <w:szCs w:val="15"/>
                <w:lang w:val="en-GB" w:eastAsia="en-GB"/>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Energy</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680,5</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217,7</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948,7</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326,8</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268,2</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109,1</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39,4%</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50,1%</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lang w:val="en-GB" w:eastAsia="en-GB"/>
              </w:rPr>
            </w:pPr>
            <w:r>
              <w:rPr>
                <w:rFonts w:eastAsia="Times New Roman"/>
                <w:i/>
                <w:iCs/>
                <w:noProof/>
                <w:sz w:val="15"/>
                <w:szCs w:val="15"/>
                <w:lang w:val="en-GB" w:eastAsia="en-GB"/>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Transport</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1 897,6</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1 163,3</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2 640,2</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1 222,8</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742,5</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59,5</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39,1%</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5,1%</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lang w:val="en-GB" w:eastAsia="en-GB"/>
              </w:rPr>
            </w:pPr>
            <w:r>
              <w:rPr>
                <w:rFonts w:eastAsia="Times New Roman"/>
                <w:i/>
                <w:iCs/>
                <w:noProof/>
                <w:sz w:val="15"/>
                <w:szCs w:val="15"/>
                <w:lang w:val="en-GB" w:eastAsia="en-GB"/>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Information and Communications Technology (ICT)</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170,3</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142,0</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175,1</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151,6</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4,8</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9,6</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2,8%</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6,8%</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Energy projects to aid economic recovery (EERP)</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 </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210,0</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 </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61,0</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 </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-149,0</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 xml:space="preserve">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-71,0%</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European Solidarity Corps (ESC)</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42,8</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33,2</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143,3</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119,6</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100,5</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86,3</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235,0%</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259,8%</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European Defence Industrial Development Programme (EDIDP)</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 </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 </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245,0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147,0</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245,0</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147,0</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 xml:space="preserve">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 xml:space="preserve">     ∞</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Other actions and programmes</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176,4</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152,6</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194,4</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164,7</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17,9</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12,2</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10,2%</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8,0%</w:t>
            </w:r>
          </w:p>
        </w:tc>
      </w:tr>
      <w:tr>
        <w:trPr>
          <w:trHeight w:val="450"/>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Actions financed under the prerogatives of the Commission and specific competences conferred to the Commission</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128,9</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116,9</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128,4</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115,0</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-0,5</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-2,0</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-0,4%</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-1,7%</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Pilot projects and preparatory actions</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91,7</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77,6</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97,3</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99,6</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5,6</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22,0</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6,1%</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28,3%</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Decentralised agencies</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314,1</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316,2</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382,9</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381,7</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68,8</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65,5</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21,9%</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20,7%</w:t>
            </w:r>
          </w:p>
        </w:tc>
      </w:tr>
      <w:tr>
        <w:trPr>
          <w:trHeight w:val="315"/>
        </w:trPr>
        <w:tc>
          <w:tcPr>
            <w:tcW w:w="309" w:type="dxa"/>
            <w:tcBorders>
              <w:top w:val="single" w:sz="4" w:space="0" w:color="auto"/>
              <w:left w:val="single" w:sz="4" w:space="0" w:color="auto"/>
              <w:bottom w:val="dotted" w:sz="4" w:space="0" w:color="000000"/>
              <w:right w:val="nil"/>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1b</w:t>
            </w:r>
          </w:p>
        </w:tc>
        <w:tc>
          <w:tcPr>
            <w:tcW w:w="2806" w:type="dxa"/>
            <w:tcBorders>
              <w:top w:val="single" w:sz="4" w:space="0" w:color="auto"/>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Economic, social and territorial cohesion</w:t>
            </w:r>
          </w:p>
        </w:tc>
        <w:tc>
          <w:tcPr>
            <w:tcW w:w="1016"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55 532,2</w:t>
            </w:r>
          </w:p>
        </w:tc>
        <w:tc>
          <w:tcPr>
            <w:tcW w:w="1016" w:type="dxa"/>
            <w:tcBorders>
              <w:top w:val="single" w:sz="4" w:space="0" w:color="000000"/>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46 527,3</w:t>
            </w:r>
          </w:p>
        </w:tc>
        <w:tc>
          <w:tcPr>
            <w:tcW w:w="1016"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57 192,0</w:t>
            </w:r>
          </w:p>
        </w:tc>
        <w:tc>
          <w:tcPr>
            <w:tcW w:w="1016" w:type="dxa"/>
            <w:tcBorders>
              <w:top w:val="single" w:sz="4" w:space="0" w:color="000000"/>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47 035,4</w:t>
            </w:r>
          </w:p>
        </w:tc>
        <w:tc>
          <w:tcPr>
            <w:tcW w:w="959"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1 659,8</w:t>
            </w:r>
          </w:p>
        </w:tc>
        <w:tc>
          <w:tcPr>
            <w:tcW w:w="959" w:type="dxa"/>
            <w:tcBorders>
              <w:top w:val="single" w:sz="4" w:space="0" w:color="000000"/>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508,1</w:t>
            </w:r>
          </w:p>
        </w:tc>
        <w:tc>
          <w:tcPr>
            <w:tcW w:w="776"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3,0%</w:t>
            </w:r>
          </w:p>
        </w:tc>
        <w:tc>
          <w:tcPr>
            <w:tcW w:w="776" w:type="dxa"/>
            <w:tcBorders>
              <w:top w:val="single" w:sz="4" w:space="0" w:color="000000"/>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1,1%</w:t>
            </w:r>
          </w:p>
        </w:tc>
      </w:tr>
      <w:tr>
        <w:trPr>
          <w:trHeight w:val="255"/>
        </w:trPr>
        <w:tc>
          <w:tcPr>
            <w:tcW w:w="3115" w:type="dxa"/>
            <w:gridSpan w:val="2"/>
            <w:tcBorders>
              <w:top w:val="dotted" w:sz="4" w:space="0" w:color="000000"/>
              <w:left w:val="single" w:sz="4" w:space="0" w:color="auto"/>
              <w:bottom w:val="dotted" w:sz="4" w:space="0" w:color="000000"/>
              <w:right w:val="single" w:sz="4" w:space="0" w:color="000000"/>
            </w:tcBorders>
            <w:shd w:val="clear" w:color="auto" w:fill="auto"/>
            <w:vAlign w:val="center"/>
            <w:hideMark/>
          </w:tcPr>
          <w:p>
            <w:pPr>
              <w:spacing w:after="0" w:line="240" w:lineRule="auto"/>
              <w:jc w:val="right"/>
              <w:rPr>
                <w:rFonts w:eastAsia="Times New Roman"/>
                <w:i/>
                <w:iCs/>
                <w:noProof/>
                <w:sz w:val="15"/>
                <w:szCs w:val="15"/>
                <w:lang w:val="en-GB" w:eastAsia="en-GB"/>
              </w:rPr>
            </w:pPr>
            <w:r>
              <w:rPr>
                <w:rFonts w:eastAsia="Times New Roman"/>
                <w:i/>
                <w:iCs/>
                <w:noProof/>
                <w:sz w:val="15"/>
                <w:szCs w:val="15"/>
                <w:lang w:val="en-GB" w:eastAsia="en-GB"/>
              </w:rPr>
              <w:t>Of which under global margin for commitments</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351,2</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350,0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w:t>
            </w:r>
          </w:p>
        </w:tc>
      </w:tr>
      <w:tr>
        <w:trPr>
          <w:trHeight w:val="255"/>
        </w:trPr>
        <w:tc>
          <w:tcPr>
            <w:tcW w:w="3115" w:type="dxa"/>
            <w:gridSpan w:val="2"/>
            <w:tcBorders>
              <w:top w:val="dotted" w:sz="4" w:space="0" w:color="000000"/>
              <w:left w:val="single" w:sz="4" w:space="0" w:color="auto"/>
              <w:bottom w:val="dotted" w:sz="4" w:space="0" w:color="000000"/>
              <w:right w:val="single" w:sz="4" w:space="0" w:color="000000"/>
            </w:tcBorders>
            <w:shd w:val="clear" w:color="auto" w:fill="auto"/>
            <w:vAlign w:val="center"/>
            <w:hideMark/>
          </w:tcPr>
          <w:p>
            <w:pPr>
              <w:spacing w:after="0" w:line="240" w:lineRule="auto"/>
              <w:jc w:val="right"/>
              <w:rPr>
                <w:rFonts w:eastAsia="Times New Roman"/>
                <w:i/>
                <w:iCs/>
                <w:noProof/>
                <w:sz w:val="15"/>
                <w:szCs w:val="15"/>
                <w:lang w:val="en-GB" w:eastAsia="en-GB"/>
              </w:rPr>
            </w:pPr>
            <w:r>
              <w:rPr>
                <w:rFonts w:eastAsia="Times New Roman"/>
                <w:i/>
                <w:iCs/>
                <w:noProof/>
                <w:sz w:val="15"/>
                <w:szCs w:val="15"/>
                <w:lang w:val="en-GB" w:eastAsia="en-GB"/>
              </w:rPr>
              <w:t>Ceiling</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55 181,0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56 842,0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w:t>
            </w:r>
          </w:p>
        </w:tc>
      </w:tr>
      <w:tr>
        <w:trPr>
          <w:trHeight w:val="255"/>
        </w:trPr>
        <w:tc>
          <w:tcPr>
            <w:tcW w:w="3115" w:type="dxa"/>
            <w:gridSpan w:val="2"/>
            <w:tcBorders>
              <w:top w:val="dotted" w:sz="4" w:space="0" w:color="000000"/>
              <w:left w:val="single" w:sz="4" w:space="0" w:color="auto"/>
              <w:bottom w:val="single"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lang w:val="en-GB" w:eastAsia="en-GB"/>
              </w:rPr>
            </w:pPr>
            <w:r>
              <w:rPr>
                <w:rFonts w:eastAsia="Times New Roman"/>
                <w:i/>
                <w:iCs/>
                <w:noProof/>
                <w:sz w:val="15"/>
                <w:szCs w:val="15"/>
                <w:lang w:val="en-GB" w:eastAsia="en-GB"/>
              </w:rPr>
              <w:t>Margin</w:t>
            </w:r>
          </w:p>
        </w:tc>
        <w:tc>
          <w:tcPr>
            <w:tcW w:w="1016"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w:t>
            </w:r>
          </w:p>
        </w:tc>
        <w:tc>
          <w:tcPr>
            <w:tcW w:w="1016" w:type="dxa"/>
            <w:tcBorders>
              <w:top w:val="nil"/>
              <w:left w:val="nil"/>
              <w:bottom w:val="single"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w:t>
            </w:r>
          </w:p>
        </w:tc>
        <w:tc>
          <w:tcPr>
            <w:tcW w:w="1016"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w:t>
            </w:r>
          </w:p>
        </w:tc>
        <w:tc>
          <w:tcPr>
            <w:tcW w:w="1016" w:type="dxa"/>
            <w:tcBorders>
              <w:top w:val="nil"/>
              <w:left w:val="nil"/>
              <w:bottom w:val="single"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w:t>
            </w:r>
          </w:p>
        </w:tc>
        <w:tc>
          <w:tcPr>
            <w:tcW w:w="959"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w:t>
            </w:r>
          </w:p>
        </w:tc>
        <w:tc>
          <w:tcPr>
            <w:tcW w:w="959" w:type="dxa"/>
            <w:tcBorders>
              <w:top w:val="nil"/>
              <w:left w:val="nil"/>
              <w:bottom w:val="single"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w:t>
            </w:r>
          </w:p>
        </w:tc>
        <w:tc>
          <w:tcPr>
            <w:tcW w:w="776"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w:t>
            </w:r>
          </w:p>
        </w:tc>
        <w:tc>
          <w:tcPr>
            <w:tcW w:w="776" w:type="dxa"/>
            <w:tcBorders>
              <w:top w:val="nil"/>
              <w:left w:val="nil"/>
              <w:bottom w:val="single"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w:t>
            </w:r>
          </w:p>
        </w:tc>
      </w:tr>
      <w:tr>
        <w:trPr>
          <w:trHeight w:val="255"/>
        </w:trPr>
        <w:tc>
          <w:tcPr>
            <w:tcW w:w="3115" w:type="dxa"/>
            <w:gridSpan w:val="2"/>
            <w:tcBorders>
              <w:top w:val="dotted" w:sz="4" w:space="0" w:color="000000"/>
              <w:left w:val="single" w:sz="4" w:space="0" w:color="auto"/>
              <w:bottom w:val="dotted" w:sz="4" w:space="0" w:color="auto"/>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Investment for growth and jobs</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50 798,0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43 447,4</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52 357,5</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43 736,6</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1 559,5</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289,2</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3,1%</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0,7%</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lang w:val="en-GB" w:eastAsia="en-GB"/>
              </w:rPr>
            </w:pPr>
            <w:r>
              <w:rPr>
                <w:rFonts w:eastAsia="Times New Roman"/>
                <w:i/>
                <w:iCs/>
                <w:noProof/>
                <w:sz w:val="15"/>
                <w:szCs w:val="15"/>
                <w:lang w:val="en-GB" w:eastAsia="en-GB"/>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Regional convergence (Less developed regions)</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27 012,3</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23 387,6</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27 875,2</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24 042,3</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863,0</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654,7</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3,2%</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2,8%</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lang w:val="en-GB" w:eastAsia="en-GB"/>
              </w:rPr>
            </w:pPr>
            <w:r>
              <w:rPr>
                <w:rFonts w:eastAsia="Times New Roman"/>
                <w:i/>
                <w:iCs/>
                <w:noProof/>
                <w:sz w:val="15"/>
                <w:szCs w:val="15"/>
                <w:lang w:val="en-GB" w:eastAsia="en-GB"/>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Transition regions</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5 738,6</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4 040,5</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5 848,7</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4 370,1</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110,1</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329,6</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1,9%</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8,2%</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lang w:val="en-GB" w:eastAsia="en-GB"/>
              </w:rPr>
            </w:pPr>
            <w:r>
              <w:rPr>
                <w:rFonts w:eastAsia="Times New Roman"/>
                <w:i/>
                <w:iCs/>
                <w:noProof/>
                <w:sz w:val="15"/>
                <w:szCs w:val="15"/>
                <w:lang w:val="en-GB" w:eastAsia="en-GB"/>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Competitiveness (More developed regions)</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8 426,8</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7 394,1</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8 648,9</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7 441,5</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222,1</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47,4</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2,6%</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0,6%</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lang w:val="en-GB" w:eastAsia="en-GB"/>
              </w:rPr>
            </w:pPr>
            <w:r>
              <w:rPr>
                <w:rFonts w:eastAsia="Times New Roman"/>
                <w:i/>
                <w:iCs/>
                <w:noProof/>
                <w:sz w:val="15"/>
                <w:szCs w:val="15"/>
                <w:lang w:val="en-GB" w:eastAsia="en-GB"/>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Outermost and sparsely populated regions</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226,5</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169,0</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231,0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176,4</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4,5</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7,4</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2,0%</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4,4%</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lang w:val="en-GB" w:eastAsia="en-GB"/>
              </w:rPr>
            </w:pPr>
            <w:r>
              <w:rPr>
                <w:rFonts w:eastAsia="Times New Roman"/>
                <w:i/>
                <w:iCs/>
                <w:noProof/>
                <w:sz w:val="15"/>
                <w:szCs w:val="15"/>
                <w:lang w:val="en-GB" w:eastAsia="en-GB"/>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Cohesion fund</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9 393,8</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8 456,3</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9 753,6</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7 706,3</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359,8</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-750,0</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3,8%</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-8,9%</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Connecting Europe Facility (CEF) — CF contribution</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1 655,1</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625,8</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1 700,4</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851,6</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45,3</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225,8</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2,7%</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36,1%</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European territorial cooperation</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1 934,3</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1 234,7</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1 973,0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1 190,6</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38,7</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-44,1</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2,0%</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-3,6%</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Youth Employment initiative (specific top-up allocation)</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350,0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600,0</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350,0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631,5</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 </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31,5</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5,3%</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Technical assistance and innovative actions</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230,3</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199,6</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239,7</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212,7</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9,4</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13,1</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4,1%</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6,6%</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European Aid to the Most Deprived (FEAD)</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556,9</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401,4</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567,8</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401,2</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10,9</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-0,2</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2,0%</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0,0%</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Pilot projects and preparatory actions</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7,7</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18,5</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3,7</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11,2</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-4,0</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-7,3</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-52,3%</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-39,5%</w:t>
            </w:r>
          </w:p>
        </w:tc>
      </w:tr>
      <w:tr>
        <w:trPr>
          <w:trHeight w:val="255"/>
        </w:trPr>
        <w:tc>
          <w:tcPr>
            <w:tcW w:w="3115" w:type="dxa"/>
            <w:gridSpan w:val="2"/>
            <w:tcBorders>
              <w:top w:val="single" w:sz="4" w:space="0" w:color="auto"/>
              <w:left w:val="single" w:sz="4" w:space="0" w:color="auto"/>
              <w:bottom w:val="dotted" w:sz="4" w:space="0" w:color="000000"/>
              <w:right w:val="single" w:sz="4" w:space="0" w:color="000000"/>
            </w:tcBorders>
            <w:shd w:val="clear" w:color="auto" w:fill="auto"/>
            <w:vAlign w:val="center"/>
            <w:hideMark/>
          </w:tcPr>
          <w:p>
            <w:pPr>
              <w:spacing w:after="0" w:line="240" w:lineRule="auto"/>
              <w:rPr>
                <w:rFonts w:eastAsia="Times New Roman"/>
                <w:b/>
                <w:bCs/>
                <w:noProof/>
                <w:sz w:val="15"/>
                <w:szCs w:val="15"/>
                <w:lang w:val="en-GB" w:eastAsia="en-GB"/>
              </w:rPr>
            </w:pPr>
            <w:r>
              <w:rPr>
                <w:rFonts w:eastAsia="Times New Roman"/>
                <w:b/>
                <w:bCs/>
                <w:noProof/>
                <w:sz w:val="15"/>
                <w:szCs w:val="15"/>
                <w:lang w:val="en-GB" w:eastAsia="en-GB"/>
              </w:rPr>
              <w:t>2. Sustainable growth: natural resources</w:t>
            </w:r>
          </w:p>
        </w:tc>
        <w:tc>
          <w:tcPr>
            <w:tcW w:w="1016"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59 238,6</w:t>
            </w:r>
          </w:p>
        </w:tc>
        <w:tc>
          <w:tcPr>
            <w:tcW w:w="1016" w:type="dxa"/>
            <w:tcBorders>
              <w:top w:val="single" w:sz="4" w:space="0" w:color="000000"/>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56 041,0</w:t>
            </w:r>
          </w:p>
        </w:tc>
        <w:tc>
          <w:tcPr>
            <w:tcW w:w="1016"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59 642,1</w:t>
            </w:r>
          </w:p>
        </w:tc>
        <w:tc>
          <w:tcPr>
            <w:tcW w:w="1016" w:type="dxa"/>
            <w:tcBorders>
              <w:top w:val="single" w:sz="4" w:space="0" w:color="000000"/>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57 399,9</w:t>
            </w:r>
          </w:p>
        </w:tc>
        <w:tc>
          <w:tcPr>
            <w:tcW w:w="959"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403,5</w:t>
            </w:r>
          </w:p>
        </w:tc>
        <w:tc>
          <w:tcPr>
            <w:tcW w:w="959" w:type="dxa"/>
            <w:tcBorders>
              <w:top w:val="single" w:sz="4" w:space="0" w:color="000000"/>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1 358,9</w:t>
            </w:r>
          </w:p>
        </w:tc>
        <w:tc>
          <w:tcPr>
            <w:tcW w:w="776"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0,7%</w:t>
            </w:r>
          </w:p>
        </w:tc>
        <w:tc>
          <w:tcPr>
            <w:tcW w:w="776" w:type="dxa"/>
            <w:tcBorders>
              <w:top w:val="single" w:sz="4" w:space="0" w:color="000000"/>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2,4%</w:t>
            </w:r>
          </w:p>
        </w:tc>
      </w:tr>
      <w:tr>
        <w:trPr>
          <w:trHeight w:val="255"/>
        </w:trPr>
        <w:tc>
          <w:tcPr>
            <w:tcW w:w="3115" w:type="dxa"/>
            <w:gridSpan w:val="2"/>
            <w:tcBorders>
              <w:top w:val="dotted" w:sz="4" w:space="0" w:color="000000"/>
              <w:left w:val="single" w:sz="4" w:space="0" w:color="auto"/>
              <w:bottom w:val="dotted" w:sz="4" w:space="0" w:color="000000"/>
              <w:right w:val="single" w:sz="4" w:space="0" w:color="000000"/>
            </w:tcBorders>
            <w:shd w:val="clear" w:color="auto" w:fill="auto"/>
            <w:vAlign w:val="center"/>
            <w:hideMark/>
          </w:tcPr>
          <w:p>
            <w:pPr>
              <w:spacing w:after="0" w:line="240" w:lineRule="auto"/>
              <w:jc w:val="right"/>
              <w:rPr>
                <w:rFonts w:eastAsia="Times New Roman"/>
                <w:b/>
                <w:bCs/>
                <w:i/>
                <w:iCs/>
                <w:noProof/>
                <w:sz w:val="15"/>
                <w:szCs w:val="15"/>
                <w:lang w:val="en-GB" w:eastAsia="en-GB"/>
              </w:rPr>
            </w:pPr>
            <w:r>
              <w:rPr>
                <w:rFonts w:eastAsia="Times New Roman"/>
                <w:b/>
                <w:bCs/>
                <w:i/>
                <w:iCs/>
                <w:noProof/>
                <w:sz w:val="15"/>
                <w:szCs w:val="15"/>
                <w:lang w:val="en-GB" w:eastAsia="en-GB"/>
              </w:rPr>
              <w:t>Ceiling</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60 267,0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60 344,0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959"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959" w:type="dxa"/>
            <w:tcBorders>
              <w:top w:val="nil"/>
              <w:left w:val="nil"/>
              <w:bottom w:val="dotted" w:sz="4" w:space="0" w:color="000000"/>
              <w:right w:val="single" w:sz="4" w:space="0" w:color="auto"/>
            </w:tcBorders>
            <w:shd w:val="clear" w:color="auto" w:fill="auto"/>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77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776" w:type="dxa"/>
            <w:tcBorders>
              <w:top w:val="nil"/>
              <w:left w:val="nil"/>
              <w:bottom w:val="dotted" w:sz="4" w:space="0" w:color="000000"/>
              <w:right w:val="single" w:sz="4" w:space="0" w:color="auto"/>
            </w:tcBorders>
            <w:shd w:val="clear" w:color="auto" w:fill="auto"/>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jc w:val="right"/>
              <w:rPr>
                <w:rFonts w:eastAsia="Times New Roman"/>
                <w:b/>
                <w:bCs/>
                <w:i/>
                <w:iCs/>
                <w:noProof/>
                <w:sz w:val="15"/>
                <w:szCs w:val="15"/>
                <w:lang w:val="en-GB" w:eastAsia="en-GB"/>
              </w:rPr>
            </w:pPr>
            <w:r>
              <w:rPr>
                <w:rFonts w:eastAsia="Times New Roman"/>
                <w:b/>
                <w:bCs/>
                <w:i/>
                <w:iCs/>
                <w:noProof/>
                <w:sz w:val="15"/>
                <w:szCs w:val="15"/>
                <w:lang w:val="en-GB" w:eastAsia="en-GB"/>
              </w:rPr>
              <w:t>Margin</w:t>
            </w:r>
          </w:p>
        </w:tc>
        <w:tc>
          <w:tcPr>
            <w:tcW w:w="1016" w:type="dxa"/>
            <w:tcBorders>
              <w:top w:val="nil"/>
              <w:left w:val="nil"/>
              <w:bottom w:val="nil"/>
              <w:right w:val="single" w:sz="4" w:space="0" w:color="000000"/>
            </w:tcBorders>
            <w:shd w:val="clear" w:color="000000" w:fill="FFFFFF"/>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1 028,4</w:t>
            </w:r>
          </w:p>
        </w:tc>
        <w:tc>
          <w:tcPr>
            <w:tcW w:w="1016" w:type="dxa"/>
            <w:tcBorders>
              <w:top w:val="nil"/>
              <w:left w:val="nil"/>
              <w:bottom w:val="nil"/>
              <w:right w:val="single" w:sz="4" w:space="0" w:color="auto"/>
            </w:tcBorders>
            <w:shd w:val="clear" w:color="auto" w:fill="auto"/>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1016" w:type="dxa"/>
            <w:tcBorders>
              <w:top w:val="nil"/>
              <w:left w:val="nil"/>
              <w:bottom w:val="nil"/>
              <w:right w:val="single" w:sz="4" w:space="0" w:color="000000"/>
            </w:tcBorders>
            <w:shd w:val="clear" w:color="000000" w:fill="FFFFFF"/>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701,9</w:t>
            </w:r>
          </w:p>
        </w:tc>
        <w:tc>
          <w:tcPr>
            <w:tcW w:w="1016" w:type="dxa"/>
            <w:tcBorders>
              <w:top w:val="nil"/>
              <w:left w:val="nil"/>
              <w:bottom w:val="nil"/>
              <w:right w:val="single" w:sz="4" w:space="0" w:color="auto"/>
            </w:tcBorders>
            <w:shd w:val="clear" w:color="auto" w:fill="auto"/>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959" w:type="dxa"/>
            <w:tcBorders>
              <w:top w:val="nil"/>
              <w:left w:val="nil"/>
              <w:bottom w:val="nil"/>
              <w:right w:val="single" w:sz="4" w:space="0" w:color="000000"/>
            </w:tcBorders>
            <w:shd w:val="clear" w:color="auto" w:fill="auto"/>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959" w:type="dxa"/>
            <w:tcBorders>
              <w:top w:val="nil"/>
              <w:left w:val="nil"/>
              <w:bottom w:val="nil"/>
              <w:right w:val="single" w:sz="4" w:space="0" w:color="auto"/>
            </w:tcBorders>
            <w:shd w:val="clear" w:color="auto" w:fill="auto"/>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776" w:type="dxa"/>
            <w:tcBorders>
              <w:top w:val="nil"/>
              <w:left w:val="nil"/>
              <w:bottom w:val="nil"/>
              <w:right w:val="single" w:sz="4" w:space="0" w:color="000000"/>
            </w:tcBorders>
            <w:shd w:val="clear" w:color="auto" w:fill="auto"/>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776" w:type="dxa"/>
            <w:tcBorders>
              <w:top w:val="nil"/>
              <w:left w:val="nil"/>
              <w:bottom w:val="nil"/>
              <w:right w:val="single" w:sz="4" w:space="0" w:color="auto"/>
            </w:tcBorders>
            <w:shd w:val="clear" w:color="auto" w:fill="auto"/>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r>
      <w:tr>
        <w:trPr>
          <w:trHeight w:val="435"/>
        </w:trPr>
        <w:tc>
          <w:tcPr>
            <w:tcW w:w="309" w:type="dxa"/>
            <w:tcBorders>
              <w:top w:val="single" w:sz="4" w:space="0" w:color="auto"/>
              <w:left w:val="single" w:sz="4" w:space="0" w:color="auto"/>
              <w:bottom w:val="dotted" w:sz="4" w:space="0" w:color="000000"/>
              <w:right w:val="nil"/>
            </w:tcBorders>
            <w:shd w:val="clear" w:color="auto" w:fill="auto"/>
            <w:vAlign w:val="center"/>
            <w:hideMark/>
          </w:tcPr>
          <w:p>
            <w:pPr>
              <w:spacing w:after="0" w:line="240" w:lineRule="auto"/>
              <w:rPr>
                <w:rFonts w:eastAsia="Times New Roman"/>
                <w:b/>
                <w:bCs/>
                <w:noProof/>
                <w:sz w:val="15"/>
                <w:szCs w:val="15"/>
                <w:lang w:val="en-GB" w:eastAsia="en-GB"/>
              </w:rPr>
            </w:pPr>
            <w:r>
              <w:rPr>
                <w:rFonts w:eastAsia="Times New Roman"/>
                <w:b/>
                <w:bCs/>
                <w:noProof/>
                <w:sz w:val="15"/>
                <w:szCs w:val="15"/>
                <w:lang w:val="en-GB" w:eastAsia="en-GB"/>
              </w:rPr>
              <w:t> </w:t>
            </w:r>
          </w:p>
        </w:tc>
        <w:tc>
          <w:tcPr>
            <w:tcW w:w="2806" w:type="dxa"/>
            <w:tcBorders>
              <w:top w:val="single" w:sz="4" w:space="0" w:color="auto"/>
              <w:left w:val="nil"/>
              <w:bottom w:val="dotted" w:sz="4" w:space="0" w:color="000000"/>
              <w:right w:val="single" w:sz="4" w:space="0" w:color="000000"/>
            </w:tcBorders>
            <w:shd w:val="clear" w:color="auto" w:fill="auto"/>
            <w:vAlign w:val="center"/>
            <w:hideMark/>
          </w:tcPr>
          <w:p>
            <w:pPr>
              <w:spacing w:after="0" w:line="240" w:lineRule="auto"/>
              <w:rPr>
                <w:rFonts w:eastAsia="Times New Roman"/>
                <w:b/>
                <w:bCs/>
                <w:noProof/>
                <w:sz w:val="15"/>
                <w:szCs w:val="15"/>
                <w:lang w:val="en-GB" w:eastAsia="en-GB"/>
              </w:rPr>
            </w:pPr>
            <w:r>
              <w:rPr>
                <w:rFonts w:eastAsia="Times New Roman"/>
                <w:b/>
                <w:bCs/>
                <w:noProof/>
                <w:sz w:val="15"/>
                <w:szCs w:val="15"/>
                <w:lang w:val="en-GB" w:eastAsia="en-GB"/>
              </w:rPr>
              <w:t>Of which: European Agricultural Guarantee Fund (EAGF) — Market related expenditure and direct payments</w:t>
            </w:r>
          </w:p>
        </w:tc>
        <w:tc>
          <w:tcPr>
            <w:tcW w:w="1016" w:type="dxa"/>
            <w:tcBorders>
              <w:top w:val="single" w:sz="4" w:space="0" w:color="auto"/>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43 233,1</w:t>
            </w:r>
          </w:p>
        </w:tc>
        <w:tc>
          <w:tcPr>
            <w:tcW w:w="1016" w:type="dxa"/>
            <w:tcBorders>
              <w:top w:val="single" w:sz="4" w:space="0" w:color="auto"/>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43 187,3</w:t>
            </w:r>
          </w:p>
        </w:tc>
        <w:tc>
          <w:tcPr>
            <w:tcW w:w="1016" w:type="dxa"/>
            <w:tcBorders>
              <w:top w:val="single" w:sz="4" w:space="0" w:color="auto"/>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43 191,9</w:t>
            </w:r>
          </w:p>
        </w:tc>
        <w:tc>
          <w:tcPr>
            <w:tcW w:w="1016" w:type="dxa"/>
            <w:tcBorders>
              <w:top w:val="single" w:sz="4" w:space="0" w:color="auto"/>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43 116,4</w:t>
            </w:r>
          </w:p>
        </w:tc>
        <w:tc>
          <w:tcPr>
            <w:tcW w:w="959" w:type="dxa"/>
            <w:tcBorders>
              <w:top w:val="single" w:sz="4" w:space="0" w:color="auto"/>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-41,2</w:t>
            </w:r>
          </w:p>
        </w:tc>
        <w:tc>
          <w:tcPr>
            <w:tcW w:w="959" w:type="dxa"/>
            <w:tcBorders>
              <w:top w:val="single" w:sz="4" w:space="0" w:color="auto"/>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-70,9</w:t>
            </w:r>
          </w:p>
        </w:tc>
        <w:tc>
          <w:tcPr>
            <w:tcW w:w="776" w:type="dxa"/>
            <w:tcBorders>
              <w:top w:val="single" w:sz="4" w:space="0" w:color="auto"/>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-0,1%</w:t>
            </w:r>
          </w:p>
        </w:tc>
        <w:tc>
          <w:tcPr>
            <w:tcW w:w="776" w:type="dxa"/>
            <w:tcBorders>
              <w:top w:val="single" w:sz="4" w:space="0" w:color="auto"/>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-0,2%</w:t>
            </w:r>
          </w:p>
        </w:tc>
      </w:tr>
      <w:tr>
        <w:trPr>
          <w:trHeight w:val="255"/>
        </w:trPr>
        <w:tc>
          <w:tcPr>
            <w:tcW w:w="3115" w:type="dxa"/>
            <w:gridSpan w:val="2"/>
            <w:tcBorders>
              <w:top w:val="dotted" w:sz="4" w:space="0" w:color="000000"/>
              <w:left w:val="single" w:sz="4" w:space="0" w:color="auto"/>
              <w:bottom w:val="single"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lang w:val="en-GB" w:eastAsia="en-GB"/>
              </w:rPr>
            </w:pPr>
            <w:r>
              <w:rPr>
                <w:rFonts w:eastAsia="Times New Roman"/>
                <w:i/>
                <w:iCs/>
                <w:noProof/>
                <w:sz w:val="15"/>
                <w:szCs w:val="15"/>
                <w:lang w:val="en-GB" w:eastAsia="en-GB"/>
              </w:rPr>
              <w:t>Sub-ceiling</w:t>
            </w:r>
          </w:p>
        </w:tc>
        <w:tc>
          <w:tcPr>
            <w:tcW w:w="1016" w:type="dxa"/>
            <w:tcBorders>
              <w:top w:val="nil"/>
              <w:left w:val="nil"/>
              <w:bottom w:val="single" w:sz="4" w:space="0" w:color="auto"/>
              <w:right w:val="single" w:sz="4" w:space="0" w:color="000000"/>
            </w:tcBorders>
            <w:shd w:val="clear" w:color="auto" w:fill="auto"/>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44 163,0</w:t>
            </w:r>
          </w:p>
        </w:tc>
        <w:tc>
          <w:tcPr>
            <w:tcW w:w="101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w:t>
            </w:r>
          </w:p>
        </w:tc>
        <w:tc>
          <w:tcPr>
            <w:tcW w:w="1016" w:type="dxa"/>
            <w:tcBorders>
              <w:top w:val="nil"/>
              <w:left w:val="nil"/>
              <w:bottom w:val="single" w:sz="4" w:space="0" w:color="auto"/>
              <w:right w:val="single" w:sz="4" w:space="0" w:color="000000"/>
            </w:tcBorders>
            <w:shd w:val="clear" w:color="auto" w:fill="auto"/>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43 881,0</w:t>
            </w:r>
          </w:p>
        </w:tc>
        <w:tc>
          <w:tcPr>
            <w:tcW w:w="101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w:t>
            </w:r>
          </w:p>
        </w:tc>
        <w:tc>
          <w:tcPr>
            <w:tcW w:w="959" w:type="dxa"/>
            <w:tcBorders>
              <w:top w:val="nil"/>
              <w:left w:val="nil"/>
              <w:bottom w:val="single" w:sz="4" w:space="0" w:color="auto"/>
              <w:right w:val="single" w:sz="4" w:space="0" w:color="000000"/>
            </w:tcBorders>
            <w:shd w:val="clear" w:color="auto" w:fill="auto"/>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w:t>
            </w:r>
          </w:p>
        </w:tc>
        <w:tc>
          <w:tcPr>
            <w:tcW w:w="959" w:type="dxa"/>
            <w:tcBorders>
              <w:top w:val="nil"/>
              <w:left w:val="nil"/>
              <w:bottom w:val="single" w:sz="4" w:space="0" w:color="auto"/>
              <w:right w:val="single" w:sz="4" w:space="0" w:color="auto"/>
            </w:tcBorders>
            <w:shd w:val="clear" w:color="auto" w:fill="auto"/>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w:t>
            </w:r>
          </w:p>
        </w:tc>
        <w:tc>
          <w:tcPr>
            <w:tcW w:w="776" w:type="dxa"/>
            <w:tcBorders>
              <w:top w:val="nil"/>
              <w:left w:val="nil"/>
              <w:bottom w:val="single" w:sz="4" w:space="0" w:color="auto"/>
              <w:right w:val="single" w:sz="4" w:space="0" w:color="000000"/>
            </w:tcBorders>
            <w:shd w:val="clear" w:color="auto" w:fill="auto"/>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w:t>
            </w:r>
          </w:p>
        </w:tc>
        <w:tc>
          <w:tcPr>
            <w:tcW w:w="776" w:type="dxa"/>
            <w:tcBorders>
              <w:top w:val="nil"/>
              <w:left w:val="nil"/>
              <w:bottom w:val="single" w:sz="4" w:space="0" w:color="auto"/>
              <w:right w:val="single" w:sz="4" w:space="0" w:color="auto"/>
            </w:tcBorders>
            <w:shd w:val="clear" w:color="auto" w:fill="auto"/>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w:t>
            </w:r>
          </w:p>
        </w:tc>
      </w:tr>
      <w:tr>
        <w:trPr>
          <w:trHeight w:val="450"/>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European Agricultural Guarantee Fund (EAGF) — Market related expenditure and direct payments</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43 233,1</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43 187,3</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43 191,9</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43 116,4</w:t>
            </w:r>
          </w:p>
        </w:tc>
        <w:tc>
          <w:tcPr>
            <w:tcW w:w="959"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-41,2</w:t>
            </w:r>
          </w:p>
        </w:tc>
        <w:tc>
          <w:tcPr>
            <w:tcW w:w="959" w:type="dxa"/>
            <w:tcBorders>
              <w:top w:val="single" w:sz="4" w:space="0" w:color="000000"/>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-70,9</w:t>
            </w:r>
          </w:p>
        </w:tc>
        <w:tc>
          <w:tcPr>
            <w:tcW w:w="776"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-0,1%</w:t>
            </w:r>
          </w:p>
        </w:tc>
        <w:tc>
          <w:tcPr>
            <w:tcW w:w="776" w:type="dxa"/>
            <w:tcBorders>
              <w:top w:val="single" w:sz="4" w:space="0" w:color="000000"/>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-0,2%</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European Agricultural Fund for Rural Development (EAFRD)</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14 380,3</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11 852,2</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14 727,3</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13 148,2</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346,9</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1 296,0</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2,4%</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10,9%</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European Maritime and Fisheries Fund (EMFF)</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1 027,9</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602,8</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1 090,0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712,8</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62,1</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109,9</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6,0%</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18,2%</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Environment and climate action (LIFE)</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522,8</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316,1</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558,1</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341,6</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35,3</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25,5</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6,7%</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8,1%</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Pilot projects and preparatory actions</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15,6</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17,7</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13,5</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19,6</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-2,1</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1,9</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-13,5%</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10,7%</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Decentralised agencies</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58,8</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58,8</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61,3</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61,3</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2,5</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2,5</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4,3%</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4,3%</w:t>
            </w:r>
          </w:p>
        </w:tc>
      </w:tr>
      <w:tr>
        <w:trPr>
          <w:trHeight w:val="255"/>
        </w:trPr>
        <w:tc>
          <w:tcPr>
            <w:tcW w:w="3115" w:type="dxa"/>
            <w:gridSpan w:val="2"/>
            <w:tcBorders>
              <w:top w:val="single" w:sz="4" w:space="0" w:color="auto"/>
              <w:left w:val="single" w:sz="4" w:space="0" w:color="auto"/>
              <w:bottom w:val="dotted" w:sz="4" w:space="0" w:color="000000"/>
              <w:right w:val="single" w:sz="4" w:space="0" w:color="000000"/>
            </w:tcBorders>
            <w:shd w:val="clear" w:color="auto" w:fill="auto"/>
            <w:vAlign w:val="center"/>
            <w:hideMark/>
          </w:tcPr>
          <w:p>
            <w:pPr>
              <w:spacing w:after="0" w:line="240" w:lineRule="auto"/>
              <w:rPr>
                <w:rFonts w:eastAsia="Times New Roman"/>
                <w:b/>
                <w:bCs/>
                <w:noProof/>
                <w:sz w:val="15"/>
                <w:szCs w:val="15"/>
                <w:lang w:val="en-GB" w:eastAsia="en-GB"/>
              </w:rPr>
            </w:pPr>
            <w:r>
              <w:rPr>
                <w:rFonts w:eastAsia="Times New Roman"/>
                <w:b/>
                <w:bCs/>
                <w:noProof/>
                <w:sz w:val="15"/>
                <w:szCs w:val="15"/>
                <w:lang w:val="en-GB" w:eastAsia="en-GB"/>
              </w:rPr>
              <w:t>3. Security and citizenship</w:t>
            </w:r>
          </w:p>
        </w:tc>
        <w:tc>
          <w:tcPr>
            <w:tcW w:w="1016"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3 493,2</w:t>
            </w:r>
          </w:p>
        </w:tc>
        <w:tc>
          <w:tcPr>
            <w:tcW w:w="1016" w:type="dxa"/>
            <w:tcBorders>
              <w:top w:val="single" w:sz="4" w:space="0" w:color="000000"/>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2 980,7</w:t>
            </w:r>
          </w:p>
        </w:tc>
        <w:tc>
          <w:tcPr>
            <w:tcW w:w="1016"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3 786,6</w:t>
            </w:r>
          </w:p>
        </w:tc>
        <w:tc>
          <w:tcPr>
            <w:tcW w:w="1016" w:type="dxa"/>
            <w:tcBorders>
              <w:top w:val="single" w:sz="4" w:space="0" w:color="000000"/>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3 527,4</w:t>
            </w:r>
          </w:p>
        </w:tc>
        <w:tc>
          <w:tcPr>
            <w:tcW w:w="959" w:type="dxa"/>
            <w:tcBorders>
              <w:top w:val="single" w:sz="4" w:space="0" w:color="000000"/>
              <w:left w:val="nil"/>
              <w:bottom w:val="dotted" w:sz="4" w:space="0" w:color="000000"/>
              <w:right w:val="single" w:sz="4" w:space="0" w:color="000000"/>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293,4</w:t>
            </w:r>
          </w:p>
        </w:tc>
        <w:tc>
          <w:tcPr>
            <w:tcW w:w="959" w:type="dxa"/>
            <w:tcBorders>
              <w:top w:val="single" w:sz="4" w:space="0" w:color="000000"/>
              <w:left w:val="nil"/>
              <w:bottom w:val="dotted" w:sz="4" w:space="0" w:color="000000"/>
              <w:right w:val="single" w:sz="4" w:space="0" w:color="auto"/>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546,7</w:t>
            </w:r>
          </w:p>
        </w:tc>
        <w:tc>
          <w:tcPr>
            <w:tcW w:w="776" w:type="dxa"/>
            <w:tcBorders>
              <w:top w:val="single" w:sz="4" w:space="0" w:color="000000"/>
              <w:left w:val="nil"/>
              <w:bottom w:val="dotted" w:sz="4" w:space="0" w:color="000000"/>
              <w:right w:val="single" w:sz="4" w:space="0" w:color="000000"/>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8,4%</w:t>
            </w:r>
          </w:p>
        </w:tc>
        <w:tc>
          <w:tcPr>
            <w:tcW w:w="776" w:type="dxa"/>
            <w:tcBorders>
              <w:top w:val="single" w:sz="4" w:space="0" w:color="000000"/>
              <w:left w:val="nil"/>
              <w:bottom w:val="dotted" w:sz="4" w:space="0" w:color="000000"/>
              <w:right w:val="single" w:sz="4" w:space="0" w:color="auto"/>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18,3%</w:t>
            </w:r>
          </w:p>
        </w:tc>
      </w:tr>
      <w:tr>
        <w:trPr>
          <w:trHeight w:val="255"/>
        </w:trPr>
        <w:tc>
          <w:tcPr>
            <w:tcW w:w="3115" w:type="dxa"/>
            <w:gridSpan w:val="2"/>
            <w:tcBorders>
              <w:top w:val="dotted" w:sz="4" w:space="0" w:color="000000"/>
              <w:left w:val="single" w:sz="4" w:space="0" w:color="auto"/>
              <w:bottom w:val="dotted" w:sz="4" w:space="0" w:color="000000"/>
              <w:right w:val="single" w:sz="4" w:space="0" w:color="000000"/>
            </w:tcBorders>
            <w:shd w:val="clear" w:color="auto" w:fill="auto"/>
            <w:vAlign w:val="center"/>
            <w:hideMark/>
          </w:tcPr>
          <w:p>
            <w:pPr>
              <w:spacing w:after="0" w:line="240" w:lineRule="auto"/>
              <w:jc w:val="right"/>
              <w:rPr>
                <w:rFonts w:eastAsia="Times New Roman"/>
                <w:b/>
                <w:bCs/>
                <w:i/>
                <w:iCs/>
                <w:noProof/>
                <w:sz w:val="15"/>
                <w:szCs w:val="15"/>
                <w:lang w:val="en-GB" w:eastAsia="en-GB"/>
              </w:rPr>
            </w:pPr>
            <w:r>
              <w:rPr>
                <w:rFonts w:eastAsia="Times New Roman"/>
                <w:b/>
                <w:bCs/>
                <w:i/>
                <w:iCs/>
                <w:noProof/>
                <w:sz w:val="15"/>
                <w:szCs w:val="15"/>
                <w:lang w:val="en-GB" w:eastAsia="en-GB"/>
              </w:rPr>
              <w:t>Of which under Flexibility Instrument</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837,2</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985,6</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r>
      <w:tr>
        <w:trPr>
          <w:trHeight w:val="255"/>
        </w:trPr>
        <w:tc>
          <w:tcPr>
            <w:tcW w:w="3115" w:type="dxa"/>
            <w:gridSpan w:val="2"/>
            <w:tcBorders>
              <w:top w:val="dotted" w:sz="4" w:space="0" w:color="000000"/>
              <w:left w:val="single" w:sz="4" w:space="0" w:color="auto"/>
              <w:bottom w:val="dotted" w:sz="4" w:space="0" w:color="000000"/>
              <w:right w:val="single" w:sz="4" w:space="0" w:color="000000"/>
            </w:tcBorders>
            <w:shd w:val="clear" w:color="auto" w:fill="auto"/>
            <w:vAlign w:val="center"/>
            <w:hideMark/>
          </w:tcPr>
          <w:p>
            <w:pPr>
              <w:spacing w:after="0" w:line="240" w:lineRule="auto"/>
              <w:jc w:val="right"/>
              <w:rPr>
                <w:rFonts w:eastAsia="Times New Roman"/>
                <w:b/>
                <w:bCs/>
                <w:i/>
                <w:iCs/>
                <w:noProof/>
                <w:sz w:val="15"/>
                <w:szCs w:val="15"/>
                <w:lang w:val="en-GB" w:eastAsia="en-GB"/>
              </w:rPr>
            </w:pPr>
            <w:r>
              <w:rPr>
                <w:rFonts w:eastAsia="Times New Roman"/>
                <w:b/>
                <w:bCs/>
                <w:i/>
                <w:iCs/>
                <w:noProof/>
                <w:sz w:val="15"/>
                <w:szCs w:val="15"/>
                <w:lang w:val="en-GB" w:eastAsia="en-GB"/>
              </w:rPr>
              <w:t>Ceiling</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2 656,0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2 801,0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959"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959" w:type="dxa"/>
            <w:tcBorders>
              <w:top w:val="nil"/>
              <w:left w:val="nil"/>
              <w:bottom w:val="dotted" w:sz="4" w:space="0" w:color="000000"/>
              <w:right w:val="single" w:sz="4" w:space="0" w:color="auto"/>
            </w:tcBorders>
            <w:shd w:val="clear" w:color="auto" w:fill="auto"/>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77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776" w:type="dxa"/>
            <w:tcBorders>
              <w:top w:val="nil"/>
              <w:left w:val="nil"/>
              <w:bottom w:val="dotted" w:sz="4" w:space="0" w:color="000000"/>
              <w:right w:val="single" w:sz="4" w:space="0" w:color="auto"/>
            </w:tcBorders>
            <w:shd w:val="clear" w:color="auto" w:fill="auto"/>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r>
      <w:tr>
        <w:trPr>
          <w:trHeight w:val="255"/>
        </w:trPr>
        <w:tc>
          <w:tcPr>
            <w:tcW w:w="3115" w:type="dxa"/>
            <w:gridSpan w:val="2"/>
            <w:tcBorders>
              <w:top w:val="dotted" w:sz="4" w:space="0" w:color="000000"/>
              <w:left w:val="single" w:sz="4" w:space="0" w:color="auto"/>
              <w:bottom w:val="single" w:sz="4" w:space="0" w:color="auto"/>
              <w:right w:val="single" w:sz="4" w:space="0" w:color="000000"/>
            </w:tcBorders>
            <w:shd w:val="clear" w:color="auto" w:fill="auto"/>
            <w:vAlign w:val="center"/>
            <w:hideMark/>
          </w:tcPr>
          <w:p>
            <w:pPr>
              <w:spacing w:after="0" w:line="240" w:lineRule="auto"/>
              <w:jc w:val="right"/>
              <w:rPr>
                <w:rFonts w:eastAsia="Times New Roman"/>
                <w:b/>
                <w:bCs/>
                <w:i/>
                <w:iCs/>
                <w:noProof/>
                <w:sz w:val="15"/>
                <w:szCs w:val="15"/>
                <w:lang w:val="en-GB" w:eastAsia="en-GB"/>
              </w:rPr>
            </w:pPr>
            <w:r>
              <w:rPr>
                <w:rFonts w:eastAsia="Times New Roman"/>
                <w:b/>
                <w:bCs/>
                <w:i/>
                <w:iCs/>
                <w:noProof/>
                <w:sz w:val="15"/>
                <w:szCs w:val="15"/>
                <w:lang w:val="en-GB" w:eastAsia="en-GB"/>
              </w:rPr>
              <w:t>Margin</w:t>
            </w:r>
          </w:p>
        </w:tc>
        <w:tc>
          <w:tcPr>
            <w:tcW w:w="1016"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1016" w:type="dxa"/>
            <w:tcBorders>
              <w:top w:val="nil"/>
              <w:left w:val="nil"/>
              <w:bottom w:val="single"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1016"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1016" w:type="dxa"/>
            <w:tcBorders>
              <w:top w:val="nil"/>
              <w:left w:val="nil"/>
              <w:bottom w:val="single"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959"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959" w:type="dxa"/>
            <w:tcBorders>
              <w:top w:val="nil"/>
              <w:left w:val="nil"/>
              <w:bottom w:val="single"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776"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776" w:type="dxa"/>
            <w:tcBorders>
              <w:top w:val="nil"/>
              <w:left w:val="nil"/>
              <w:bottom w:val="single"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Asylum, Migration and Integration Fund</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719,2</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594,4</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1 120,8</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952,6</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401,7</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358,2</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55,9%</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60,3%</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Internal Security Fund</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720,0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481,2</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533,5</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663,7</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-186,5</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182,5</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-25,9%</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37,9%</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IT systems</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26,3</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13,2</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0,1</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 </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-26,2</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-13,2</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-99,6%</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-100,0%</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Justice</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47,1</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35,9</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44,6</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38,1</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-2,5</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2,3</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-5,4%</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6,3%</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Rights, Equality and Citizenship</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63,4</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46,6</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65,7</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58,0</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2,3</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11,4</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3,7%</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24,4%</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Union Civil protection Mechanism</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33,2</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34,3</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149,6</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81,7</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116,3</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47,4</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349,8%</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138,3%</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Europe for Citizens</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27,6</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28,6</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28,7</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29,2</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1,1</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0,6</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4,1%</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2,1%</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Food and feed</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280,2</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248,4</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289,7</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239,3</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9,5</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-9,1</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3,4%</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-3,7%</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Health</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66,4</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55,9</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68,3</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61,3</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1,9</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5,3</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2,9%</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9,6%</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Consumer</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28,0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23,1</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29,3</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23,6</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1,3</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0,5</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4,6%</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2,2%</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Creative Europe</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230,4</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180,7</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244,8</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194,8</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14,5</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14,1</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6,3%</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7,8%</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Instrument for Emergency Support within the Union (IES)</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200,0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220,6</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0,3</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69,5</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-199,8</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-151,0</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-99,9%</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-68,5%</w:t>
            </w:r>
          </w:p>
        </w:tc>
      </w:tr>
      <w:tr>
        <w:trPr>
          <w:trHeight w:val="420"/>
        </w:trPr>
        <w:tc>
          <w:tcPr>
            <w:tcW w:w="3115" w:type="dxa"/>
            <w:gridSpan w:val="2"/>
            <w:tcBorders>
              <w:top w:val="dotted" w:sz="4" w:space="0" w:color="000000"/>
              <w:left w:val="single" w:sz="4" w:space="0" w:color="auto"/>
              <w:bottom w:val="dotted" w:sz="4" w:space="0" w:color="auto"/>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Actions financed under the prerogatives of the Commission and specific competences conferred to the Commission</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98,8</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91,7</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105,8</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99,9</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7,0</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8,2</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7,1%</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8,9%</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lang w:val="en-GB" w:eastAsia="en-GB"/>
              </w:rPr>
            </w:pPr>
            <w:r>
              <w:rPr>
                <w:rFonts w:eastAsia="Times New Roman"/>
                <w:i/>
                <w:iCs/>
                <w:noProof/>
                <w:sz w:val="15"/>
                <w:szCs w:val="15"/>
                <w:lang w:val="en-GB" w:eastAsia="en-GB"/>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Of which ‘Communication actions’</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73,4</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72,3</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77,1</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74,0</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3,7</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1,7</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5,1%</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2,3%</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Pilot projects and preparatory actions</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12,7</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17,9</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15,1</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18,3</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2,4</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0,3</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19,2%</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1,9%</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Decentralised agencies</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940,1</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908,3</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1 090,4</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997,6</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150,3</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89,3</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16,0%</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9,8%</w:t>
            </w:r>
          </w:p>
        </w:tc>
      </w:tr>
      <w:tr>
        <w:trPr>
          <w:trHeight w:val="255"/>
        </w:trPr>
        <w:tc>
          <w:tcPr>
            <w:tcW w:w="3115" w:type="dxa"/>
            <w:gridSpan w:val="2"/>
            <w:tcBorders>
              <w:top w:val="single" w:sz="4" w:space="0" w:color="auto"/>
              <w:left w:val="single" w:sz="4" w:space="0" w:color="auto"/>
              <w:bottom w:val="dotted" w:sz="4" w:space="0" w:color="000000"/>
              <w:right w:val="single" w:sz="4" w:space="0" w:color="000000"/>
            </w:tcBorders>
            <w:shd w:val="clear" w:color="auto" w:fill="auto"/>
            <w:vAlign w:val="center"/>
            <w:hideMark/>
          </w:tcPr>
          <w:p>
            <w:pPr>
              <w:spacing w:after="0" w:line="240" w:lineRule="auto"/>
              <w:rPr>
                <w:rFonts w:eastAsia="Times New Roman"/>
                <w:b/>
                <w:bCs/>
                <w:noProof/>
                <w:sz w:val="15"/>
                <w:szCs w:val="15"/>
                <w:lang w:val="en-GB" w:eastAsia="en-GB"/>
              </w:rPr>
            </w:pPr>
            <w:r>
              <w:rPr>
                <w:rFonts w:eastAsia="Times New Roman"/>
                <w:b/>
                <w:bCs/>
                <w:noProof/>
                <w:sz w:val="15"/>
                <w:szCs w:val="15"/>
                <w:lang w:val="en-GB" w:eastAsia="en-GB"/>
              </w:rPr>
              <w:t>4. Global Europe</w:t>
            </w:r>
          </w:p>
        </w:tc>
        <w:tc>
          <w:tcPr>
            <w:tcW w:w="1016" w:type="dxa"/>
            <w:tcBorders>
              <w:top w:val="single" w:sz="4" w:space="0" w:color="000000"/>
              <w:left w:val="nil"/>
              <w:bottom w:val="dotted" w:sz="4" w:space="0" w:color="000000"/>
              <w:right w:val="single" w:sz="4" w:space="0" w:color="000000"/>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10 068,8</w:t>
            </w:r>
          </w:p>
        </w:tc>
        <w:tc>
          <w:tcPr>
            <w:tcW w:w="1016" w:type="dxa"/>
            <w:tcBorders>
              <w:top w:val="single" w:sz="4" w:space="0" w:color="000000"/>
              <w:left w:val="nil"/>
              <w:bottom w:val="dotted" w:sz="4" w:space="0" w:color="000000"/>
              <w:right w:val="single" w:sz="4" w:space="0" w:color="auto"/>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8 906,1</w:t>
            </w:r>
          </w:p>
        </w:tc>
        <w:tc>
          <w:tcPr>
            <w:tcW w:w="1016" w:type="dxa"/>
            <w:tcBorders>
              <w:top w:val="single" w:sz="4" w:space="0" w:color="000000"/>
              <w:left w:val="nil"/>
              <w:bottom w:val="dotted" w:sz="4" w:space="0" w:color="000000"/>
              <w:right w:val="single" w:sz="4" w:space="0" w:color="000000"/>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11 319,3</w:t>
            </w:r>
          </w:p>
        </w:tc>
        <w:tc>
          <w:tcPr>
            <w:tcW w:w="1016" w:type="dxa"/>
            <w:tcBorders>
              <w:top w:val="single" w:sz="4" w:space="0" w:color="000000"/>
              <w:left w:val="nil"/>
              <w:bottom w:val="dotted" w:sz="4" w:space="0" w:color="000000"/>
              <w:right w:val="single" w:sz="4" w:space="0" w:color="auto"/>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9 358,3</w:t>
            </w:r>
          </w:p>
        </w:tc>
        <w:tc>
          <w:tcPr>
            <w:tcW w:w="959" w:type="dxa"/>
            <w:tcBorders>
              <w:top w:val="single" w:sz="4" w:space="0" w:color="000000"/>
              <w:left w:val="nil"/>
              <w:bottom w:val="dotted" w:sz="4" w:space="0" w:color="000000"/>
              <w:right w:val="single" w:sz="4" w:space="0" w:color="000000"/>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1 250,4</w:t>
            </w:r>
          </w:p>
        </w:tc>
        <w:tc>
          <w:tcPr>
            <w:tcW w:w="959" w:type="dxa"/>
            <w:tcBorders>
              <w:top w:val="single" w:sz="4" w:space="0" w:color="000000"/>
              <w:left w:val="nil"/>
              <w:bottom w:val="dotted" w:sz="4" w:space="0" w:color="000000"/>
              <w:right w:val="single" w:sz="4" w:space="0" w:color="auto"/>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452,2</w:t>
            </w:r>
          </w:p>
        </w:tc>
        <w:tc>
          <w:tcPr>
            <w:tcW w:w="776" w:type="dxa"/>
            <w:tcBorders>
              <w:top w:val="single" w:sz="4" w:space="0" w:color="000000"/>
              <w:left w:val="nil"/>
              <w:bottom w:val="dotted" w:sz="4" w:space="0" w:color="000000"/>
              <w:right w:val="single" w:sz="4" w:space="0" w:color="000000"/>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12,4%</w:t>
            </w:r>
          </w:p>
        </w:tc>
        <w:tc>
          <w:tcPr>
            <w:tcW w:w="776" w:type="dxa"/>
            <w:tcBorders>
              <w:top w:val="single" w:sz="4" w:space="0" w:color="000000"/>
              <w:left w:val="nil"/>
              <w:bottom w:val="dotted" w:sz="4" w:space="0" w:color="000000"/>
              <w:right w:val="single" w:sz="4" w:space="0" w:color="auto"/>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5,1%</w:t>
            </w:r>
          </w:p>
        </w:tc>
      </w:tr>
      <w:tr>
        <w:trPr>
          <w:trHeight w:val="255"/>
        </w:trPr>
        <w:tc>
          <w:tcPr>
            <w:tcW w:w="3115" w:type="dxa"/>
            <w:gridSpan w:val="2"/>
            <w:tcBorders>
              <w:top w:val="dotted" w:sz="4" w:space="0" w:color="000000"/>
              <w:left w:val="single" w:sz="4" w:space="0" w:color="auto"/>
              <w:bottom w:val="dotted" w:sz="4" w:space="0" w:color="000000"/>
              <w:right w:val="single" w:sz="4" w:space="0" w:color="000000"/>
            </w:tcBorders>
            <w:shd w:val="clear" w:color="auto" w:fill="auto"/>
            <w:vAlign w:val="center"/>
            <w:hideMark/>
          </w:tcPr>
          <w:p>
            <w:pPr>
              <w:spacing w:after="0" w:line="240" w:lineRule="auto"/>
              <w:jc w:val="right"/>
              <w:rPr>
                <w:rFonts w:eastAsia="Times New Roman"/>
                <w:b/>
                <w:bCs/>
                <w:i/>
                <w:iCs/>
                <w:noProof/>
                <w:sz w:val="15"/>
                <w:szCs w:val="15"/>
                <w:lang w:val="en-GB" w:eastAsia="en-GB"/>
              </w:rPr>
            </w:pPr>
            <w:r>
              <w:rPr>
                <w:rFonts w:eastAsia="Times New Roman"/>
                <w:b/>
                <w:bCs/>
                <w:i/>
                <w:iCs/>
                <w:noProof/>
                <w:sz w:val="15"/>
                <w:szCs w:val="15"/>
                <w:lang w:val="en-GB" w:eastAsia="en-GB"/>
              </w:rPr>
              <w:t>Of which under global margin for commitments</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243,8</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1 051,3</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r>
      <w:tr>
        <w:trPr>
          <w:trHeight w:val="255"/>
        </w:trPr>
        <w:tc>
          <w:tcPr>
            <w:tcW w:w="3115" w:type="dxa"/>
            <w:gridSpan w:val="2"/>
            <w:tcBorders>
              <w:top w:val="dotted" w:sz="4" w:space="0" w:color="000000"/>
              <w:left w:val="single" w:sz="4" w:space="0" w:color="auto"/>
              <w:bottom w:val="dotted" w:sz="4" w:space="0" w:color="000000"/>
              <w:right w:val="single" w:sz="4" w:space="0" w:color="000000"/>
            </w:tcBorders>
            <w:shd w:val="clear" w:color="auto" w:fill="auto"/>
            <w:vAlign w:val="center"/>
            <w:hideMark/>
          </w:tcPr>
          <w:p>
            <w:pPr>
              <w:spacing w:after="0" w:line="240" w:lineRule="auto"/>
              <w:jc w:val="right"/>
              <w:rPr>
                <w:rFonts w:eastAsia="Times New Roman"/>
                <w:b/>
                <w:bCs/>
                <w:i/>
                <w:iCs/>
                <w:noProof/>
                <w:sz w:val="15"/>
                <w:szCs w:val="15"/>
                <w:lang w:val="en-GB" w:eastAsia="en-GB"/>
              </w:rPr>
            </w:pPr>
            <w:r>
              <w:rPr>
                <w:rFonts w:eastAsia="Times New Roman"/>
                <w:b/>
                <w:bCs/>
                <w:i/>
                <w:iCs/>
                <w:noProof/>
                <w:sz w:val="15"/>
                <w:szCs w:val="15"/>
                <w:lang w:val="en-GB" w:eastAsia="en-GB"/>
              </w:rPr>
              <w:t>Ceiling</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9 825,0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10 268,0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959"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959" w:type="dxa"/>
            <w:tcBorders>
              <w:top w:val="nil"/>
              <w:left w:val="nil"/>
              <w:bottom w:val="dotted" w:sz="4" w:space="0" w:color="000000"/>
              <w:right w:val="single" w:sz="4" w:space="0" w:color="auto"/>
            </w:tcBorders>
            <w:shd w:val="clear" w:color="auto" w:fill="auto"/>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77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776" w:type="dxa"/>
            <w:tcBorders>
              <w:top w:val="nil"/>
              <w:left w:val="nil"/>
              <w:bottom w:val="dotted" w:sz="4" w:space="0" w:color="000000"/>
              <w:right w:val="single" w:sz="4" w:space="0" w:color="auto"/>
            </w:tcBorders>
            <w:shd w:val="clear" w:color="auto" w:fill="auto"/>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r>
      <w:tr>
        <w:trPr>
          <w:trHeight w:val="255"/>
        </w:trPr>
        <w:tc>
          <w:tcPr>
            <w:tcW w:w="3115" w:type="dxa"/>
            <w:gridSpan w:val="2"/>
            <w:tcBorders>
              <w:top w:val="dotted" w:sz="4" w:space="0" w:color="000000"/>
              <w:left w:val="single" w:sz="4" w:space="0" w:color="auto"/>
              <w:bottom w:val="single" w:sz="4" w:space="0" w:color="auto"/>
              <w:right w:val="single" w:sz="4" w:space="0" w:color="000000"/>
            </w:tcBorders>
            <w:shd w:val="clear" w:color="auto" w:fill="auto"/>
            <w:vAlign w:val="center"/>
            <w:hideMark/>
          </w:tcPr>
          <w:p>
            <w:pPr>
              <w:spacing w:after="0" w:line="240" w:lineRule="auto"/>
              <w:jc w:val="right"/>
              <w:rPr>
                <w:rFonts w:eastAsia="Times New Roman"/>
                <w:b/>
                <w:bCs/>
                <w:i/>
                <w:iCs/>
                <w:noProof/>
                <w:sz w:val="15"/>
                <w:szCs w:val="15"/>
                <w:lang w:val="en-GB" w:eastAsia="en-GB"/>
              </w:rPr>
            </w:pPr>
            <w:r>
              <w:rPr>
                <w:rFonts w:eastAsia="Times New Roman"/>
                <w:b/>
                <w:bCs/>
                <w:i/>
                <w:iCs/>
                <w:noProof/>
                <w:sz w:val="15"/>
                <w:szCs w:val="15"/>
                <w:lang w:val="en-GB" w:eastAsia="en-GB"/>
              </w:rPr>
              <w:t>Margin</w:t>
            </w:r>
          </w:p>
        </w:tc>
        <w:tc>
          <w:tcPr>
            <w:tcW w:w="1016"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1016" w:type="dxa"/>
            <w:tcBorders>
              <w:top w:val="nil"/>
              <w:left w:val="nil"/>
              <w:bottom w:val="single"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1016"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1016" w:type="dxa"/>
            <w:tcBorders>
              <w:top w:val="nil"/>
              <w:left w:val="nil"/>
              <w:bottom w:val="single"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959"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959" w:type="dxa"/>
            <w:tcBorders>
              <w:top w:val="nil"/>
              <w:left w:val="nil"/>
              <w:bottom w:val="single"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776"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776" w:type="dxa"/>
            <w:tcBorders>
              <w:top w:val="nil"/>
              <w:left w:val="nil"/>
              <w:bottom w:val="single"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Instrument for Pre-accession assistance (IPA II)</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2 078,8</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1 451,6</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2 423,4</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1 707,5</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344,6</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255,9</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16,6%</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17,6%</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European Neighbourhood Instrument (ENI)</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2 436,6</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2 278,0</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2 677,3</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2 060,3</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240,6</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-217,7</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9,9%</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-9,6%</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Development Cooperation Instrument (DCI)</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2 976,0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2 734,5</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3 189,9</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2 796,3</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213,9</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61,8</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7,2%</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2,3%</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Partnership instrument for cooperation with third countries (PI)</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140,2</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100,7</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154,0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99,6</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13,8</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-1,1</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9,9%</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-1,1%</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European Instrument for Democracy and Human Rights (EIDHR)</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192,8</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169,3</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196,7</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159,3</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3,9</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-10,0</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2,0%</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-5,9%</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Instrument contributing to Stability and Peace (IcSP)</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370,0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325,3</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376,7</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321,3</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6,7</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-4,0</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1,8%</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-1,2%</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Humanitarian aid (HUMA)</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1 085,4</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1 095,0</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1 651,8</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1 603,0</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566,4</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508,1</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52,2%</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46,4%</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Common Foreign and Security Policy (CFSP)</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328,0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292,0</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334,9</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305,5</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6,8</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13,5</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2,1%</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4,6%</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Instrument for Nuclear Safety Cooperation (INSC)</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33,0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45,5</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33,6</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41,5</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0,7</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-4,0</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2,0%</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-8,8%</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Macro-financial Assistance (MFA)</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42,1</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42,1</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27,0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27,0</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-15,1</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-15,1</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-35,8%</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-35,8%</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Guarantee Fund for external actions (GF)</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137,8</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137,8</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 </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 </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-137,8</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-137,8</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-100,0%</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-100,0%</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Union Civil Protection Mechanism</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16,1</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15,5</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23,5</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20,7</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7,4</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5,2</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46,1%</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33,6%</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EU Aid Volunteers initiative (EUAV)</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20,3</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16,9</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19,5</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16,1</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-0,8</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-0,8</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-3,9%</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-4,9%</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European Fund for Sustainable Development (EFSD)</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25,0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25,0</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25,0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25,0</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 </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 </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 </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Other actions and programmes</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83,5</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74,9</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83,6</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73,0</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0,2</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-1,9</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0,2%</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-2,6%</w:t>
            </w:r>
          </w:p>
        </w:tc>
      </w:tr>
      <w:tr>
        <w:trPr>
          <w:trHeight w:val="40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Actions financed under the prerogatives of the Commission and specific competences conferred to the Commission</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74,4</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67,6</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75,5</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73,7</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1,1</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6,1</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1,5%</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9,1%</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Pilot projects and preparatory actions</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8,9</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14,4</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6,3</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8,1</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-2,6</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-6,3</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-28,9%</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-43,7%</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Decentralised agencies</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20,1</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20,1</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20,5</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20,5</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0,4</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0,4</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2,2%</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2,2%</w:t>
            </w:r>
          </w:p>
        </w:tc>
      </w:tr>
      <w:tr>
        <w:trPr>
          <w:trHeight w:val="255"/>
        </w:trPr>
        <w:tc>
          <w:tcPr>
            <w:tcW w:w="3115" w:type="dxa"/>
            <w:gridSpan w:val="2"/>
            <w:tcBorders>
              <w:top w:val="single" w:sz="4" w:space="0" w:color="auto"/>
              <w:left w:val="single" w:sz="4" w:space="0" w:color="auto"/>
              <w:bottom w:val="dotted" w:sz="4" w:space="0" w:color="000000"/>
              <w:right w:val="single" w:sz="4" w:space="0" w:color="000000"/>
            </w:tcBorders>
            <w:shd w:val="clear" w:color="auto" w:fill="auto"/>
            <w:vAlign w:val="center"/>
            <w:hideMark/>
          </w:tcPr>
          <w:p>
            <w:pPr>
              <w:spacing w:after="0" w:line="240" w:lineRule="auto"/>
              <w:rPr>
                <w:rFonts w:eastAsia="Times New Roman"/>
                <w:b/>
                <w:bCs/>
                <w:noProof/>
                <w:sz w:val="15"/>
                <w:szCs w:val="15"/>
                <w:lang w:val="en-GB" w:eastAsia="en-GB"/>
              </w:rPr>
            </w:pPr>
            <w:r>
              <w:rPr>
                <w:rFonts w:eastAsia="Times New Roman"/>
                <w:b/>
                <w:bCs/>
                <w:noProof/>
                <w:sz w:val="15"/>
                <w:szCs w:val="15"/>
                <w:lang w:val="en-GB" w:eastAsia="en-GB"/>
              </w:rPr>
              <w:t>5. Administration</w:t>
            </w:r>
          </w:p>
        </w:tc>
        <w:tc>
          <w:tcPr>
            <w:tcW w:w="1016" w:type="dxa"/>
            <w:tcBorders>
              <w:top w:val="single" w:sz="4" w:space="0" w:color="000000"/>
              <w:left w:val="nil"/>
              <w:bottom w:val="dotted" w:sz="4" w:space="0" w:color="000000"/>
              <w:right w:val="single" w:sz="4" w:space="0" w:color="000000"/>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9 665,5</w:t>
            </w:r>
          </w:p>
        </w:tc>
        <w:tc>
          <w:tcPr>
            <w:tcW w:w="1016" w:type="dxa"/>
            <w:tcBorders>
              <w:top w:val="single" w:sz="4" w:space="0" w:color="000000"/>
              <w:left w:val="nil"/>
              <w:bottom w:val="dotted" w:sz="4" w:space="0" w:color="000000"/>
              <w:right w:val="single" w:sz="4" w:space="0" w:color="auto"/>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9 666,3</w:t>
            </w:r>
          </w:p>
        </w:tc>
        <w:tc>
          <w:tcPr>
            <w:tcW w:w="1016" w:type="dxa"/>
            <w:tcBorders>
              <w:top w:val="single" w:sz="4" w:space="0" w:color="000000"/>
              <w:left w:val="nil"/>
              <w:bottom w:val="dotted" w:sz="4" w:space="0" w:color="000000"/>
              <w:right w:val="single" w:sz="4" w:space="0" w:color="000000"/>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9 943,0</w:t>
            </w:r>
          </w:p>
        </w:tc>
        <w:tc>
          <w:tcPr>
            <w:tcW w:w="1016" w:type="dxa"/>
            <w:tcBorders>
              <w:top w:val="single" w:sz="4" w:space="0" w:color="000000"/>
              <w:left w:val="nil"/>
              <w:bottom w:val="dotted" w:sz="4" w:space="0" w:color="000000"/>
              <w:right w:val="single" w:sz="4" w:space="0" w:color="auto"/>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9 944,9</w:t>
            </w:r>
          </w:p>
        </w:tc>
        <w:tc>
          <w:tcPr>
            <w:tcW w:w="959" w:type="dxa"/>
            <w:tcBorders>
              <w:top w:val="single" w:sz="4" w:space="0" w:color="000000"/>
              <w:left w:val="nil"/>
              <w:bottom w:val="dotted" w:sz="4" w:space="0" w:color="000000"/>
              <w:right w:val="single" w:sz="4" w:space="0" w:color="000000"/>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277,5</w:t>
            </w:r>
          </w:p>
        </w:tc>
        <w:tc>
          <w:tcPr>
            <w:tcW w:w="959" w:type="dxa"/>
            <w:tcBorders>
              <w:top w:val="single" w:sz="4" w:space="0" w:color="000000"/>
              <w:left w:val="nil"/>
              <w:bottom w:val="dotted" w:sz="4" w:space="0" w:color="000000"/>
              <w:right w:val="single" w:sz="4" w:space="0" w:color="auto"/>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278,6</w:t>
            </w:r>
          </w:p>
        </w:tc>
        <w:tc>
          <w:tcPr>
            <w:tcW w:w="776" w:type="dxa"/>
            <w:tcBorders>
              <w:top w:val="single" w:sz="4" w:space="0" w:color="000000"/>
              <w:left w:val="nil"/>
              <w:bottom w:val="dotted" w:sz="4" w:space="0" w:color="000000"/>
              <w:right w:val="single" w:sz="4" w:space="0" w:color="000000"/>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2,9%</w:t>
            </w:r>
          </w:p>
        </w:tc>
        <w:tc>
          <w:tcPr>
            <w:tcW w:w="776" w:type="dxa"/>
            <w:tcBorders>
              <w:top w:val="single" w:sz="4" w:space="0" w:color="000000"/>
              <w:left w:val="nil"/>
              <w:bottom w:val="dotted" w:sz="4" w:space="0" w:color="000000"/>
              <w:right w:val="single" w:sz="4" w:space="0" w:color="auto"/>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2,9%</w:t>
            </w:r>
          </w:p>
        </w:tc>
      </w:tr>
      <w:tr>
        <w:trPr>
          <w:trHeight w:val="255"/>
        </w:trPr>
        <w:tc>
          <w:tcPr>
            <w:tcW w:w="3115" w:type="dxa"/>
            <w:gridSpan w:val="2"/>
            <w:tcBorders>
              <w:top w:val="dotted" w:sz="4" w:space="0" w:color="000000"/>
              <w:left w:val="single" w:sz="4" w:space="0" w:color="auto"/>
              <w:bottom w:val="dotted" w:sz="4" w:space="0" w:color="000000"/>
              <w:right w:val="single" w:sz="4" w:space="0" w:color="000000"/>
            </w:tcBorders>
            <w:shd w:val="clear" w:color="auto" w:fill="auto"/>
            <w:vAlign w:val="center"/>
            <w:hideMark/>
          </w:tcPr>
          <w:p>
            <w:pPr>
              <w:spacing w:after="0" w:line="240" w:lineRule="auto"/>
              <w:jc w:val="right"/>
              <w:rPr>
                <w:rFonts w:eastAsia="Times New Roman"/>
                <w:b/>
                <w:bCs/>
                <w:i/>
                <w:iCs/>
                <w:noProof/>
                <w:sz w:val="15"/>
                <w:szCs w:val="15"/>
                <w:lang w:val="en-GB" w:eastAsia="en-GB"/>
              </w:rPr>
            </w:pPr>
            <w:r>
              <w:rPr>
                <w:rFonts w:eastAsia="Times New Roman"/>
                <w:b/>
                <w:bCs/>
                <w:i/>
                <w:iCs/>
                <w:noProof/>
                <w:sz w:val="15"/>
                <w:szCs w:val="15"/>
                <w:lang w:val="en-GB" w:eastAsia="en-GB"/>
              </w:rPr>
              <w:t>Ceiling</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10 346,0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10 786,0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959"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959" w:type="dxa"/>
            <w:tcBorders>
              <w:top w:val="nil"/>
              <w:left w:val="nil"/>
              <w:bottom w:val="dotted" w:sz="4" w:space="0" w:color="000000"/>
              <w:right w:val="single" w:sz="4" w:space="0" w:color="auto"/>
            </w:tcBorders>
            <w:shd w:val="clear" w:color="auto" w:fill="auto"/>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77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776" w:type="dxa"/>
            <w:tcBorders>
              <w:top w:val="nil"/>
              <w:left w:val="nil"/>
              <w:bottom w:val="dotted" w:sz="4" w:space="0" w:color="000000"/>
              <w:right w:val="single" w:sz="4" w:space="0" w:color="auto"/>
            </w:tcBorders>
            <w:shd w:val="clear" w:color="auto" w:fill="auto"/>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r>
      <w:tr>
        <w:trPr>
          <w:trHeight w:val="255"/>
        </w:trPr>
        <w:tc>
          <w:tcPr>
            <w:tcW w:w="3115" w:type="dxa"/>
            <w:gridSpan w:val="2"/>
            <w:tcBorders>
              <w:top w:val="dotted" w:sz="4" w:space="0" w:color="000000"/>
              <w:left w:val="single" w:sz="4" w:space="0" w:color="auto"/>
              <w:bottom w:val="dotted" w:sz="4" w:space="0" w:color="000000"/>
              <w:right w:val="single" w:sz="4" w:space="0" w:color="000000"/>
            </w:tcBorders>
            <w:shd w:val="clear" w:color="auto" w:fill="auto"/>
            <w:vAlign w:val="center"/>
            <w:hideMark/>
          </w:tcPr>
          <w:p>
            <w:pPr>
              <w:spacing w:after="0" w:line="240" w:lineRule="auto"/>
              <w:jc w:val="right"/>
              <w:rPr>
                <w:rFonts w:eastAsia="Times New Roman"/>
                <w:b/>
                <w:bCs/>
                <w:i/>
                <w:iCs/>
                <w:noProof/>
                <w:sz w:val="15"/>
                <w:szCs w:val="15"/>
                <w:lang w:val="en-GB" w:eastAsia="en-GB"/>
              </w:rPr>
            </w:pPr>
            <w:r>
              <w:rPr>
                <w:rFonts w:eastAsia="Times New Roman"/>
                <w:b/>
                <w:bCs/>
                <w:i/>
                <w:iCs/>
                <w:noProof/>
                <w:sz w:val="15"/>
                <w:szCs w:val="15"/>
                <w:lang w:val="en-GB" w:eastAsia="en-GB"/>
              </w:rPr>
              <w:t>Of which offset against Contingency Margin</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-318,0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-253,9</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jc w:val="right"/>
              <w:rPr>
                <w:rFonts w:eastAsia="Times New Roman"/>
                <w:b/>
                <w:bCs/>
                <w:i/>
                <w:iCs/>
                <w:noProof/>
                <w:sz w:val="15"/>
                <w:szCs w:val="15"/>
                <w:lang w:val="en-GB" w:eastAsia="en-GB"/>
              </w:rPr>
            </w:pPr>
            <w:r>
              <w:rPr>
                <w:rFonts w:eastAsia="Times New Roman"/>
                <w:b/>
                <w:bCs/>
                <w:i/>
                <w:iCs/>
                <w:noProof/>
                <w:sz w:val="15"/>
                <w:szCs w:val="15"/>
                <w:lang w:val="en-GB" w:eastAsia="en-GB"/>
              </w:rPr>
              <w:t>Margin</w:t>
            </w:r>
          </w:p>
        </w:tc>
        <w:tc>
          <w:tcPr>
            <w:tcW w:w="1016" w:type="dxa"/>
            <w:tcBorders>
              <w:top w:val="nil"/>
              <w:left w:val="nil"/>
              <w:bottom w:val="nil"/>
              <w:right w:val="single" w:sz="4" w:space="0" w:color="000000"/>
            </w:tcBorders>
            <w:shd w:val="clear" w:color="000000" w:fill="FFFFFF"/>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362,5</w:t>
            </w:r>
          </w:p>
        </w:tc>
        <w:tc>
          <w:tcPr>
            <w:tcW w:w="1016" w:type="dxa"/>
            <w:tcBorders>
              <w:top w:val="nil"/>
              <w:left w:val="nil"/>
              <w:bottom w:val="nil"/>
              <w:right w:val="single" w:sz="4" w:space="0" w:color="auto"/>
            </w:tcBorders>
            <w:shd w:val="clear" w:color="auto" w:fill="auto"/>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1016" w:type="dxa"/>
            <w:tcBorders>
              <w:top w:val="nil"/>
              <w:left w:val="nil"/>
              <w:bottom w:val="nil"/>
              <w:right w:val="single" w:sz="4" w:space="0" w:color="000000"/>
            </w:tcBorders>
            <w:shd w:val="clear" w:color="000000" w:fill="FFFFFF"/>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589,1</w:t>
            </w:r>
          </w:p>
        </w:tc>
        <w:tc>
          <w:tcPr>
            <w:tcW w:w="1016" w:type="dxa"/>
            <w:tcBorders>
              <w:top w:val="nil"/>
              <w:left w:val="nil"/>
              <w:bottom w:val="nil"/>
              <w:right w:val="single" w:sz="4" w:space="0" w:color="auto"/>
            </w:tcBorders>
            <w:shd w:val="clear" w:color="auto" w:fill="auto"/>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959" w:type="dxa"/>
            <w:tcBorders>
              <w:top w:val="nil"/>
              <w:left w:val="nil"/>
              <w:bottom w:val="nil"/>
              <w:right w:val="single" w:sz="4" w:space="0" w:color="000000"/>
            </w:tcBorders>
            <w:shd w:val="clear" w:color="auto" w:fill="auto"/>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959" w:type="dxa"/>
            <w:tcBorders>
              <w:top w:val="nil"/>
              <w:left w:val="nil"/>
              <w:bottom w:val="nil"/>
              <w:right w:val="single" w:sz="4" w:space="0" w:color="auto"/>
            </w:tcBorders>
            <w:shd w:val="clear" w:color="auto" w:fill="auto"/>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776" w:type="dxa"/>
            <w:tcBorders>
              <w:top w:val="nil"/>
              <w:left w:val="nil"/>
              <w:bottom w:val="nil"/>
              <w:right w:val="single" w:sz="4" w:space="0" w:color="000000"/>
            </w:tcBorders>
            <w:shd w:val="clear" w:color="auto" w:fill="auto"/>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776" w:type="dxa"/>
            <w:tcBorders>
              <w:top w:val="nil"/>
              <w:left w:val="nil"/>
              <w:bottom w:val="nil"/>
              <w:right w:val="single" w:sz="4" w:space="0" w:color="auto"/>
            </w:tcBorders>
            <w:shd w:val="clear" w:color="auto" w:fill="auto"/>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r>
      <w:tr>
        <w:trPr>
          <w:trHeight w:val="255"/>
        </w:trPr>
        <w:tc>
          <w:tcPr>
            <w:tcW w:w="3115" w:type="dxa"/>
            <w:gridSpan w:val="2"/>
            <w:tcBorders>
              <w:top w:val="single" w:sz="4" w:space="0" w:color="auto"/>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Of which: Administrative expenditure of the institutions</w:t>
            </w:r>
          </w:p>
        </w:tc>
        <w:tc>
          <w:tcPr>
            <w:tcW w:w="1016" w:type="dxa"/>
            <w:tcBorders>
              <w:top w:val="single" w:sz="4" w:space="0" w:color="auto"/>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7 579,9</w:t>
            </w:r>
          </w:p>
        </w:tc>
        <w:tc>
          <w:tcPr>
            <w:tcW w:w="1016" w:type="dxa"/>
            <w:tcBorders>
              <w:top w:val="single" w:sz="4" w:space="0" w:color="auto"/>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7 580,7</w:t>
            </w:r>
          </w:p>
        </w:tc>
        <w:tc>
          <w:tcPr>
            <w:tcW w:w="1016" w:type="dxa"/>
            <w:tcBorders>
              <w:top w:val="single" w:sz="4" w:space="0" w:color="auto"/>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7 747,3</w:t>
            </w:r>
          </w:p>
        </w:tc>
        <w:tc>
          <w:tcPr>
            <w:tcW w:w="1016" w:type="dxa"/>
            <w:tcBorders>
              <w:top w:val="single" w:sz="4" w:space="0" w:color="auto"/>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7 749,2</w:t>
            </w:r>
          </w:p>
        </w:tc>
        <w:tc>
          <w:tcPr>
            <w:tcW w:w="959" w:type="dxa"/>
            <w:tcBorders>
              <w:top w:val="single" w:sz="4" w:space="0" w:color="auto"/>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167,4</w:t>
            </w:r>
          </w:p>
        </w:tc>
        <w:tc>
          <w:tcPr>
            <w:tcW w:w="959" w:type="dxa"/>
            <w:tcBorders>
              <w:top w:val="single" w:sz="4" w:space="0" w:color="auto"/>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168,5</w:t>
            </w:r>
          </w:p>
        </w:tc>
        <w:tc>
          <w:tcPr>
            <w:tcW w:w="776" w:type="dxa"/>
            <w:tcBorders>
              <w:top w:val="single" w:sz="4" w:space="0" w:color="auto"/>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2,2%</w:t>
            </w:r>
          </w:p>
        </w:tc>
        <w:tc>
          <w:tcPr>
            <w:tcW w:w="776" w:type="dxa"/>
            <w:tcBorders>
              <w:top w:val="single" w:sz="4" w:space="0" w:color="auto"/>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2,2%</w:t>
            </w:r>
          </w:p>
        </w:tc>
      </w:tr>
      <w:tr>
        <w:trPr>
          <w:trHeight w:val="255"/>
        </w:trPr>
        <w:tc>
          <w:tcPr>
            <w:tcW w:w="3115" w:type="dxa"/>
            <w:gridSpan w:val="2"/>
            <w:tcBorders>
              <w:top w:val="dotted" w:sz="4" w:space="0" w:color="000000"/>
              <w:left w:val="single" w:sz="4" w:space="0" w:color="auto"/>
              <w:bottom w:val="dotted" w:sz="4" w:space="0" w:color="000000"/>
              <w:right w:val="single" w:sz="4" w:space="0" w:color="000000"/>
            </w:tcBorders>
            <w:shd w:val="clear" w:color="auto" w:fill="auto"/>
            <w:vAlign w:val="center"/>
            <w:hideMark/>
          </w:tcPr>
          <w:p>
            <w:pPr>
              <w:spacing w:after="0" w:line="240" w:lineRule="auto"/>
              <w:jc w:val="right"/>
              <w:rPr>
                <w:rFonts w:eastAsia="Times New Roman"/>
                <w:i/>
                <w:iCs/>
                <w:noProof/>
                <w:sz w:val="15"/>
                <w:szCs w:val="15"/>
                <w:lang w:val="en-GB" w:eastAsia="en-GB"/>
              </w:rPr>
            </w:pPr>
            <w:r>
              <w:rPr>
                <w:rFonts w:eastAsia="Times New Roman"/>
                <w:i/>
                <w:iCs/>
                <w:noProof/>
                <w:sz w:val="15"/>
                <w:szCs w:val="15"/>
                <w:lang w:val="en-GB" w:eastAsia="en-GB"/>
              </w:rPr>
              <w:t>Sub-ceiling</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8 360,0</w:t>
            </w:r>
          </w:p>
        </w:tc>
        <w:tc>
          <w:tcPr>
            <w:tcW w:w="1016" w:type="dxa"/>
            <w:tcBorders>
              <w:top w:val="nil"/>
              <w:left w:val="nil"/>
              <w:bottom w:val="dotted" w:sz="4" w:space="0" w:color="000000"/>
              <w:right w:val="single" w:sz="4" w:space="0" w:color="auto"/>
            </w:tcBorders>
            <w:shd w:val="clear" w:color="auto" w:fill="auto"/>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8 700,0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w:t>
            </w:r>
          </w:p>
        </w:tc>
        <w:tc>
          <w:tcPr>
            <w:tcW w:w="959"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w:t>
            </w:r>
          </w:p>
        </w:tc>
        <w:tc>
          <w:tcPr>
            <w:tcW w:w="959" w:type="dxa"/>
            <w:tcBorders>
              <w:top w:val="nil"/>
              <w:left w:val="nil"/>
              <w:bottom w:val="dotted" w:sz="4" w:space="0" w:color="000000"/>
              <w:right w:val="single" w:sz="4" w:space="0" w:color="auto"/>
            </w:tcBorders>
            <w:shd w:val="clear" w:color="auto" w:fill="auto"/>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w:t>
            </w:r>
          </w:p>
        </w:tc>
        <w:tc>
          <w:tcPr>
            <w:tcW w:w="77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w:t>
            </w:r>
          </w:p>
        </w:tc>
        <w:tc>
          <w:tcPr>
            <w:tcW w:w="776" w:type="dxa"/>
            <w:tcBorders>
              <w:top w:val="nil"/>
              <w:left w:val="nil"/>
              <w:bottom w:val="dotted" w:sz="4" w:space="0" w:color="000000"/>
              <w:right w:val="single" w:sz="4" w:space="0" w:color="auto"/>
            </w:tcBorders>
            <w:shd w:val="clear" w:color="auto" w:fill="auto"/>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w:t>
            </w:r>
          </w:p>
        </w:tc>
      </w:tr>
      <w:tr>
        <w:trPr>
          <w:trHeight w:val="255"/>
        </w:trPr>
        <w:tc>
          <w:tcPr>
            <w:tcW w:w="3115" w:type="dxa"/>
            <w:gridSpan w:val="2"/>
            <w:tcBorders>
              <w:top w:val="dotted" w:sz="4" w:space="0" w:color="000000"/>
              <w:left w:val="single" w:sz="4" w:space="0" w:color="auto"/>
              <w:bottom w:val="dotted" w:sz="4" w:space="0" w:color="000000"/>
              <w:right w:val="single" w:sz="4" w:space="0" w:color="000000"/>
            </w:tcBorders>
            <w:shd w:val="clear" w:color="auto" w:fill="auto"/>
            <w:vAlign w:val="center"/>
            <w:hideMark/>
          </w:tcPr>
          <w:p>
            <w:pPr>
              <w:spacing w:after="0" w:line="240" w:lineRule="auto"/>
              <w:jc w:val="right"/>
              <w:rPr>
                <w:rFonts w:eastAsia="Times New Roman"/>
                <w:i/>
                <w:iCs/>
                <w:noProof/>
                <w:sz w:val="15"/>
                <w:szCs w:val="15"/>
                <w:lang w:val="en-GB" w:eastAsia="en-GB"/>
              </w:rPr>
            </w:pPr>
            <w:r>
              <w:rPr>
                <w:rFonts w:eastAsia="Times New Roman"/>
                <w:i/>
                <w:iCs/>
                <w:noProof/>
                <w:sz w:val="15"/>
                <w:szCs w:val="15"/>
                <w:lang w:val="en-GB" w:eastAsia="en-GB"/>
              </w:rPr>
              <w:t>Of which offset against Contingency Margin</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-318,0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-253,9</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w:t>
            </w:r>
          </w:p>
        </w:tc>
      </w:tr>
      <w:tr>
        <w:trPr>
          <w:trHeight w:val="255"/>
        </w:trPr>
        <w:tc>
          <w:tcPr>
            <w:tcW w:w="3115" w:type="dxa"/>
            <w:gridSpan w:val="2"/>
            <w:tcBorders>
              <w:top w:val="dotted" w:sz="4" w:space="0" w:color="000000"/>
              <w:left w:val="single" w:sz="4" w:space="0" w:color="auto"/>
              <w:bottom w:val="single"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lang w:val="en-GB" w:eastAsia="en-GB"/>
              </w:rPr>
            </w:pPr>
            <w:r>
              <w:rPr>
                <w:rFonts w:eastAsia="Times New Roman"/>
                <w:i/>
                <w:iCs/>
                <w:noProof/>
                <w:sz w:val="15"/>
                <w:szCs w:val="15"/>
                <w:lang w:val="en-GB" w:eastAsia="en-GB"/>
              </w:rPr>
              <w:t>Margin</w:t>
            </w:r>
          </w:p>
        </w:tc>
        <w:tc>
          <w:tcPr>
            <w:tcW w:w="1016" w:type="dxa"/>
            <w:tcBorders>
              <w:top w:val="nil"/>
              <w:left w:val="nil"/>
              <w:bottom w:val="single" w:sz="4" w:space="0" w:color="auto"/>
              <w:right w:val="single" w:sz="4" w:space="0" w:color="000000"/>
            </w:tcBorders>
            <w:shd w:val="clear" w:color="000000" w:fill="FFFFFF"/>
            <w:vAlign w:val="center"/>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462,1</w:t>
            </w:r>
          </w:p>
        </w:tc>
        <w:tc>
          <w:tcPr>
            <w:tcW w:w="101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w:t>
            </w:r>
          </w:p>
        </w:tc>
        <w:tc>
          <w:tcPr>
            <w:tcW w:w="1016" w:type="dxa"/>
            <w:tcBorders>
              <w:top w:val="nil"/>
              <w:left w:val="nil"/>
              <w:bottom w:val="single" w:sz="4" w:space="0" w:color="auto"/>
              <w:right w:val="single" w:sz="4" w:space="0" w:color="000000"/>
            </w:tcBorders>
            <w:shd w:val="clear" w:color="000000" w:fill="FFFFFF"/>
            <w:vAlign w:val="center"/>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698,8</w:t>
            </w:r>
          </w:p>
        </w:tc>
        <w:tc>
          <w:tcPr>
            <w:tcW w:w="101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w:t>
            </w:r>
          </w:p>
        </w:tc>
        <w:tc>
          <w:tcPr>
            <w:tcW w:w="959" w:type="dxa"/>
            <w:tcBorders>
              <w:top w:val="nil"/>
              <w:left w:val="nil"/>
              <w:bottom w:val="single" w:sz="4" w:space="0" w:color="auto"/>
              <w:right w:val="single" w:sz="4" w:space="0" w:color="000000"/>
            </w:tcBorders>
            <w:shd w:val="clear" w:color="auto" w:fill="auto"/>
            <w:vAlign w:val="center"/>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w:t>
            </w:r>
          </w:p>
        </w:tc>
        <w:tc>
          <w:tcPr>
            <w:tcW w:w="95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w:t>
            </w:r>
          </w:p>
        </w:tc>
        <w:tc>
          <w:tcPr>
            <w:tcW w:w="776" w:type="dxa"/>
            <w:tcBorders>
              <w:top w:val="nil"/>
              <w:left w:val="nil"/>
              <w:bottom w:val="single" w:sz="4" w:space="0" w:color="auto"/>
              <w:right w:val="single" w:sz="4" w:space="0" w:color="000000"/>
            </w:tcBorders>
            <w:shd w:val="clear" w:color="auto" w:fill="auto"/>
            <w:vAlign w:val="center"/>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w:t>
            </w:r>
          </w:p>
        </w:tc>
        <w:tc>
          <w:tcPr>
            <w:tcW w:w="77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eastAsia="Times New Roman"/>
                <w:i/>
                <w:iCs/>
                <w:noProof/>
                <w:sz w:val="16"/>
                <w:szCs w:val="16"/>
                <w:lang w:val="en-GB" w:eastAsia="en-GB"/>
              </w:rPr>
            </w:pPr>
            <w:r>
              <w:rPr>
                <w:rFonts w:eastAsia="Times New Roman"/>
                <w:i/>
                <w:iCs/>
                <w:noProof/>
                <w:sz w:val="16"/>
                <w:szCs w:val="16"/>
                <w:lang w:val="en-GB" w:eastAsia="en-GB"/>
              </w:rPr>
              <w:t> </w:t>
            </w:r>
          </w:p>
        </w:tc>
      </w:tr>
      <w:tr>
        <w:trPr>
          <w:trHeight w:val="255"/>
        </w:trPr>
        <w:tc>
          <w:tcPr>
            <w:tcW w:w="3115" w:type="dxa"/>
            <w:gridSpan w:val="2"/>
            <w:tcBorders>
              <w:top w:val="nil"/>
              <w:left w:val="single" w:sz="4" w:space="0" w:color="auto"/>
              <w:bottom w:val="dotted" w:sz="4" w:space="0" w:color="auto"/>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Pensions and European Schools</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2 085,6</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2 085,6</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2 195,7</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2 195,7</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110,1</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110,1</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5,3%</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5,3%</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lang w:val="en-GB" w:eastAsia="en-GB"/>
              </w:rPr>
            </w:pPr>
            <w:r>
              <w:rPr>
                <w:rFonts w:eastAsia="Times New Roman"/>
                <w:i/>
                <w:iCs/>
                <w:noProof/>
                <w:sz w:val="15"/>
                <w:szCs w:val="15"/>
                <w:lang w:val="en-GB" w:eastAsia="en-GB"/>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Pensions</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1 892,8</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1 892,8</w:t>
            </w:r>
          </w:p>
        </w:tc>
        <w:tc>
          <w:tcPr>
            <w:tcW w:w="1016" w:type="dxa"/>
            <w:tcBorders>
              <w:top w:val="nil"/>
              <w:left w:val="nil"/>
              <w:bottom w:val="dotted" w:sz="4" w:space="0" w:color="auto"/>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2 003,6</w:t>
            </w:r>
          </w:p>
        </w:tc>
        <w:tc>
          <w:tcPr>
            <w:tcW w:w="101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2 003,6</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110,8</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110,8</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5,9%</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5,9%</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lang w:val="en-GB" w:eastAsia="en-GB"/>
              </w:rPr>
            </w:pPr>
            <w:r>
              <w:rPr>
                <w:rFonts w:eastAsia="Times New Roman"/>
                <w:i/>
                <w:iCs/>
                <w:noProof/>
                <w:sz w:val="15"/>
                <w:szCs w:val="15"/>
                <w:lang w:val="en-GB" w:eastAsia="en-GB"/>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European schools</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192,8</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192,8</w:t>
            </w:r>
          </w:p>
        </w:tc>
        <w:tc>
          <w:tcPr>
            <w:tcW w:w="1016" w:type="dxa"/>
            <w:tcBorders>
              <w:top w:val="nil"/>
              <w:left w:val="nil"/>
              <w:bottom w:val="dotted" w:sz="4" w:space="0" w:color="auto"/>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192,1</w:t>
            </w:r>
          </w:p>
        </w:tc>
        <w:tc>
          <w:tcPr>
            <w:tcW w:w="101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192,1</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-0,7</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-0,7</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-0,4%</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-0,4%</w:t>
            </w:r>
          </w:p>
        </w:tc>
      </w:tr>
      <w:tr>
        <w:trPr>
          <w:trHeight w:val="255"/>
        </w:trPr>
        <w:tc>
          <w:tcPr>
            <w:tcW w:w="3115" w:type="dxa"/>
            <w:gridSpan w:val="2"/>
            <w:tcBorders>
              <w:top w:val="dotted" w:sz="4" w:space="0" w:color="000000"/>
              <w:left w:val="single" w:sz="4" w:space="0" w:color="auto"/>
              <w:bottom w:val="dotted" w:sz="4" w:space="0" w:color="auto"/>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Administrative expenditure of the institutions</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7 579,9</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7 580,7</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7 747,3</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7 749,2</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167,4</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168,5</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2,2%</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2,2%</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lang w:val="en-GB" w:eastAsia="en-GB"/>
              </w:rPr>
            </w:pPr>
            <w:r>
              <w:rPr>
                <w:rFonts w:eastAsia="Times New Roman"/>
                <w:i/>
                <w:iCs/>
                <w:noProof/>
                <w:sz w:val="15"/>
                <w:szCs w:val="15"/>
                <w:lang w:val="en-GB" w:eastAsia="en-GB"/>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European Parliament</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1 950,2</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1 950,2</w:t>
            </w:r>
          </w:p>
        </w:tc>
        <w:tc>
          <w:tcPr>
            <w:tcW w:w="1016" w:type="dxa"/>
            <w:tcBorders>
              <w:top w:val="nil"/>
              <w:left w:val="nil"/>
              <w:bottom w:val="dotted" w:sz="4" w:space="0" w:color="auto"/>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1 996,4</w:t>
            </w:r>
          </w:p>
        </w:tc>
        <w:tc>
          <w:tcPr>
            <w:tcW w:w="101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1 996,4</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46,1</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46,1</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2,4%</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2,4%</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lang w:val="en-GB" w:eastAsia="en-GB"/>
              </w:rPr>
            </w:pPr>
            <w:r>
              <w:rPr>
                <w:rFonts w:eastAsia="Times New Roman"/>
                <w:i/>
                <w:iCs/>
                <w:noProof/>
                <w:sz w:val="15"/>
                <w:szCs w:val="15"/>
                <w:lang w:val="en-GB" w:eastAsia="en-GB"/>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European Council and Council</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572,9</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572,9</w:t>
            </w:r>
          </w:p>
        </w:tc>
        <w:tc>
          <w:tcPr>
            <w:tcW w:w="1016" w:type="dxa"/>
            <w:tcBorders>
              <w:top w:val="nil"/>
              <w:left w:val="nil"/>
              <w:bottom w:val="dotted" w:sz="4" w:space="0" w:color="auto"/>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581,9</w:t>
            </w:r>
          </w:p>
        </w:tc>
        <w:tc>
          <w:tcPr>
            <w:tcW w:w="101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581,9</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9,0</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9,0</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1,6%</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1,6%</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lang w:val="en-GB" w:eastAsia="en-GB"/>
              </w:rPr>
            </w:pPr>
            <w:r>
              <w:rPr>
                <w:rFonts w:eastAsia="Times New Roman"/>
                <w:i/>
                <w:iCs/>
                <w:noProof/>
                <w:sz w:val="15"/>
                <w:szCs w:val="15"/>
                <w:lang w:val="en-GB" w:eastAsia="en-GB"/>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European Commission</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3 565,5</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3 566,3</w:t>
            </w:r>
          </w:p>
        </w:tc>
        <w:tc>
          <w:tcPr>
            <w:tcW w:w="1016" w:type="dxa"/>
            <w:tcBorders>
              <w:top w:val="nil"/>
              <w:left w:val="nil"/>
              <w:bottom w:val="dotted" w:sz="4" w:space="0" w:color="auto"/>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3 632,7</w:t>
            </w:r>
          </w:p>
        </w:tc>
        <w:tc>
          <w:tcPr>
            <w:tcW w:w="101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3 634,7</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67,2</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68,4</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1,9%</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1,9%</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lang w:val="en-GB" w:eastAsia="en-GB"/>
              </w:rPr>
            </w:pPr>
            <w:r>
              <w:rPr>
                <w:rFonts w:eastAsia="Times New Roman"/>
                <w:i/>
                <w:iCs/>
                <w:noProof/>
                <w:sz w:val="15"/>
                <w:szCs w:val="15"/>
                <w:lang w:val="en-GB" w:eastAsia="en-GB"/>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Court of Justice of the European Union</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410,0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410,0</w:t>
            </w:r>
          </w:p>
        </w:tc>
        <w:tc>
          <w:tcPr>
            <w:tcW w:w="1016" w:type="dxa"/>
            <w:tcBorders>
              <w:top w:val="nil"/>
              <w:left w:val="nil"/>
              <w:bottom w:val="dotted" w:sz="4" w:space="0" w:color="auto"/>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429,4</w:t>
            </w:r>
          </w:p>
        </w:tc>
        <w:tc>
          <w:tcPr>
            <w:tcW w:w="101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429,4</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19,4</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19,4</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4,7%</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4,7%</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lang w:val="en-GB" w:eastAsia="en-GB"/>
              </w:rPr>
            </w:pPr>
            <w:r>
              <w:rPr>
                <w:rFonts w:eastAsia="Times New Roman"/>
                <w:i/>
                <w:iCs/>
                <w:noProof/>
                <w:sz w:val="15"/>
                <w:szCs w:val="15"/>
                <w:lang w:val="en-GB" w:eastAsia="en-GB"/>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European Court of Auditors</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146,0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146,0</w:t>
            </w:r>
          </w:p>
        </w:tc>
        <w:tc>
          <w:tcPr>
            <w:tcW w:w="1016" w:type="dxa"/>
            <w:tcBorders>
              <w:top w:val="nil"/>
              <w:left w:val="nil"/>
              <w:bottom w:val="dotted" w:sz="4" w:space="0" w:color="auto"/>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146,9</w:t>
            </w:r>
          </w:p>
        </w:tc>
        <w:tc>
          <w:tcPr>
            <w:tcW w:w="101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146,9</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0,9</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0,9</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0,6%</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0,6%</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lang w:val="en-GB" w:eastAsia="en-GB"/>
              </w:rPr>
            </w:pPr>
            <w:r>
              <w:rPr>
                <w:rFonts w:eastAsia="Times New Roman"/>
                <w:i/>
                <w:iCs/>
                <w:noProof/>
                <w:sz w:val="15"/>
                <w:szCs w:val="15"/>
                <w:lang w:val="en-GB" w:eastAsia="en-GB"/>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European Economic and Social Committee</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135,6</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135,6</w:t>
            </w:r>
          </w:p>
        </w:tc>
        <w:tc>
          <w:tcPr>
            <w:tcW w:w="1016" w:type="dxa"/>
            <w:tcBorders>
              <w:top w:val="nil"/>
              <w:left w:val="nil"/>
              <w:bottom w:val="dotted" w:sz="4" w:space="0" w:color="auto"/>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138,5</w:t>
            </w:r>
          </w:p>
        </w:tc>
        <w:tc>
          <w:tcPr>
            <w:tcW w:w="101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138,5</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2,9</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2,9</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2,1%</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2,1%</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lang w:val="en-GB" w:eastAsia="en-GB"/>
              </w:rPr>
            </w:pPr>
            <w:r>
              <w:rPr>
                <w:rFonts w:eastAsia="Times New Roman"/>
                <w:i/>
                <w:iCs/>
                <w:noProof/>
                <w:sz w:val="15"/>
                <w:szCs w:val="15"/>
                <w:lang w:val="en-GB" w:eastAsia="en-GB"/>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European Committee of the Regions</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96,1</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96,1</w:t>
            </w:r>
          </w:p>
        </w:tc>
        <w:tc>
          <w:tcPr>
            <w:tcW w:w="1016" w:type="dxa"/>
            <w:tcBorders>
              <w:top w:val="nil"/>
              <w:left w:val="nil"/>
              <w:bottom w:val="dotted" w:sz="4" w:space="0" w:color="auto"/>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98,8</w:t>
            </w:r>
          </w:p>
        </w:tc>
        <w:tc>
          <w:tcPr>
            <w:tcW w:w="101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98,8</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2,7</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2,7</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2,8%</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2,8%</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lang w:val="en-GB" w:eastAsia="en-GB"/>
              </w:rPr>
            </w:pPr>
            <w:r>
              <w:rPr>
                <w:rFonts w:eastAsia="Times New Roman"/>
                <w:i/>
                <w:iCs/>
                <w:noProof/>
                <w:sz w:val="15"/>
                <w:szCs w:val="15"/>
                <w:lang w:val="en-GB" w:eastAsia="en-GB"/>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European Ombudsman</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10,6</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10,6</w:t>
            </w:r>
          </w:p>
        </w:tc>
        <w:tc>
          <w:tcPr>
            <w:tcW w:w="1016" w:type="dxa"/>
            <w:tcBorders>
              <w:top w:val="nil"/>
              <w:left w:val="nil"/>
              <w:bottom w:val="dotted" w:sz="4" w:space="0" w:color="auto"/>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11,3</w:t>
            </w:r>
          </w:p>
        </w:tc>
        <w:tc>
          <w:tcPr>
            <w:tcW w:w="101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11,3</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0,7</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0,7</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6,1%</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6,1%</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lang w:val="en-GB" w:eastAsia="en-GB"/>
              </w:rPr>
            </w:pPr>
            <w:r>
              <w:rPr>
                <w:rFonts w:eastAsia="Times New Roman"/>
                <w:i/>
                <w:iCs/>
                <w:noProof/>
                <w:sz w:val="15"/>
                <w:szCs w:val="15"/>
                <w:lang w:val="en-GB" w:eastAsia="en-GB"/>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European data-protection Supervisor</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14,4</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14,4</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16,6</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16,6</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2,2</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2,2</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15,2%</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15,2%</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lang w:val="en-GB" w:eastAsia="en-GB"/>
              </w:rPr>
            </w:pPr>
            <w:r>
              <w:rPr>
                <w:rFonts w:eastAsia="Times New Roman"/>
                <w:i/>
                <w:iCs/>
                <w:noProof/>
                <w:sz w:val="15"/>
                <w:szCs w:val="15"/>
                <w:lang w:val="en-GB" w:eastAsia="en-GB"/>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European External Action Service</w:t>
            </w:r>
          </w:p>
        </w:tc>
        <w:tc>
          <w:tcPr>
            <w:tcW w:w="1016" w:type="dxa"/>
            <w:tcBorders>
              <w:top w:val="nil"/>
              <w:left w:val="nil"/>
              <w:bottom w:val="nil"/>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678,5</w:t>
            </w:r>
          </w:p>
        </w:tc>
        <w:tc>
          <w:tcPr>
            <w:tcW w:w="1016" w:type="dxa"/>
            <w:tcBorders>
              <w:top w:val="nil"/>
              <w:left w:val="nil"/>
              <w:bottom w:val="nil"/>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678,5</w:t>
            </w:r>
          </w:p>
        </w:tc>
        <w:tc>
          <w:tcPr>
            <w:tcW w:w="1016"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694,8</w:t>
            </w:r>
          </w:p>
        </w:tc>
        <w:tc>
          <w:tcPr>
            <w:tcW w:w="1016" w:type="dxa"/>
            <w:tcBorders>
              <w:top w:val="nil"/>
              <w:left w:val="nil"/>
              <w:bottom w:val="single"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694,8</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16,3</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16,3</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2,4%</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2,4%</w:t>
            </w:r>
          </w:p>
        </w:tc>
      </w:tr>
      <w:tr>
        <w:trPr>
          <w:trHeight w:val="270"/>
        </w:trPr>
        <w:tc>
          <w:tcPr>
            <w:tcW w:w="3115" w:type="dxa"/>
            <w:gridSpan w:val="2"/>
            <w:tcBorders>
              <w:top w:val="single" w:sz="4" w:space="0" w:color="auto"/>
              <w:left w:val="single" w:sz="4" w:space="0" w:color="auto"/>
              <w:bottom w:val="dotted" w:sz="4" w:space="0" w:color="000000"/>
              <w:right w:val="single" w:sz="4" w:space="0" w:color="000000"/>
            </w:tcBorders>
            <w:shd w:val="clear" w:color="000000" w:fill="D9D9D9"/>
            <w:vAlign w:val="center"/>
            <w:hideMark/>
          </w:tcPr>
          <w:p>
            <w:pPr>
              <w:spacing w:after="0" w:line="240" w:lineRule="auto"/>
              <w:jc w:val="right"/>
              <w:rPr>
                <w:rFonts w:eastAsia="Times New Roman"/>
                <w:b/>
                <w:bCs/>
                <w:noProof/>
                <w:sz w:val="15"/>
                <w:szCs w:val="15"/>
                <w:lang w:val="en-GB" w:eastAsia="en-GB"/>
              </w:rPr>
            </w:pPr>
            <w:r>
              <w:rPr>
                <w:rFonts w:eastAsia="Times New Roman"/>
                <w:b/>
                <w:bCs/>
                <w:noProof/>
                <w:sz w:val="15"/>
                <w:szCs w:val="15"/>
                <w:lang w:val="en-GB" w:eastAsia="en-GB"/>
              </w:rPr>
              <w:t>Appropriations for headings</w:t>
            </w:r>
          </w:p>
        </w:tc>
        <w:tc>
          <w:tcPr>
            <w:tcW w:w="1016" w:type="dxa"/>
            <w:tcBorders>
              <w:top w:val="single" w:sz="4" w:space="0" w:color="auto"/>
              <w:left w:val="nil"/>
              <w:bottom w:val="dotted" w:sz="4" w:space="0" w:color="000000"/>
              <w:right w:val="single" w:sz="4" w:space="0" w:color="000000"/>
            </w:tcBorders>
            <w:shd w:val="clear" w:color="000000" w:fill="D9D9D9"/>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159 998,0</w:t>
            </w:r>
          </w:p>
        </w:tc>
        <w:tc>
          <w:tcPr>
            <w:tcW w:w="1016" w:type="dxa"/>
            <w:tcBorders>
              <w:top w:val="single" w:sz="4" w:space="0" w:color="auto"/>
              <w:left w:val="nil"/>
              <w:bottom w:val="dotted" w:sz="4" w:space="0" w:color="000000"/>
              <w:right w:val="single" w:sz="4" w:space="0" w:color="auto"/>
            </w:tcBorders>
            <w:shd w:val="clear" w:color="000000" w:fill="D9D9D9"/>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144 216,7</w:t>
            </w:r>
          </w:p>
        </w:tc>
        <w:tc>
          <w:tcPr>
            <w:tcW w:w="1016" w:type="dxa"/>
            <w:tcBorders>
              <w:top w:val="single" w:sz="4" w:space="0" w:color="auto"/>
              <w:left w:val="nil"/>
              <w:bottom w:val="dotted" w:sz="4" w:space="0" w:color="000000"/>
              <w:right w:val="single" w:sz="4" w:space="0" w:color="000000"/>
            </w:tcBorders>
            <w:shd w:val="clear" w:color="000000" w:fill="D9D9D9"/>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165 028,4</w:t>
            </w:r>
          </w:p>
        </w:tc>
        <w:tc>
          <w:tcPr>
            <w:tcW w:w="1016" w:type="dxa"/>
            <w:tcBorders>
              <w:top w:val="single" w:sz="4" w:space="0" w:color="auto"/>
              <w:left w:val="nil"/>
              <w:bottom w:val="dotted" w:sz="4" w:space="0" w:color="000000"/>
              <w:right w:val="single" w:sz="4" w:space="0" w:color="auto"/>
            </w:tcBorders>
            <w:shd w:val="clear" w:color="000000" w:fill="D9D9D9"/>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147 787,4</w:t>
            </w:r>
          </w:p>
        </w:tc>
        <w:tc>
          <w:tcPr>
            <w:tcW w:w="959" w:type="dxa"/>
            <w:tcBorders>
              <w:top w:val="single" w:sz="4" w:space="0" w:color="auto"/>
              <w:left w:val="nil"/>
              <w:bottom w:val="dotted" w:sz="4" w:space="0" w:color="000000"/>
              <w:right w:val="single" w:sz="4" w:space="0" w:color="000000"/>
            </w:tcBorders>
            <w:shd w:val="clear" w:color="000000" w:fill="D9D9D9"/>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5 030,4</w:t>
            </w:r>
          </w:p>
        </w:tc>
        <w:tc>
          <w:tcPr>
            <w:tcW w:w="959" w:type="dxa"/>
            <w:tcBorders>
              <w:top w:val="single" w:sz="4" w:space="0" w:color="auto"/>
              <w:left w:val="nil"/>
              <w:bottom w:val="dotted" w:sz="4" w:space="0" w:color="000000"/>
              <w:right w:val="single" w:sz="4" w:space="0" w:color="auto"/>
            </w:tcBorders>
            <w:shd w:val="clear" w:color="000000" w:fill="D9D9D9"/>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3 570,8</w:t>
            </w:r>
          </w:p>
        </w:tc>
        <w:tc>
          <w:tcPr>
            <w:tcW w:w="776" w:type="dxa"/>
            <w:tcBorders>
              <w:top w:val="single" w:sz="4" w:space="0" w:color="auto"/>
              <w:left w:val="nil"/>
              <w:bottom w:val="dotted" w:sz="4" w:space="0" w:color="000000"/>
              <w:right w:val="single" w:sz="4" w:space="0" w:color="000000"/>
            </w:tcBorders>
            <w:shd w:val="clear" w:color="000000" w:fill="D9D9D9"/>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3,1%</w:t>
            </w:r>
          </w:p>
        </w:tc>
        <w:tc>
          <w:tcPr>
            <w:tcW w:w="776" w:type="dxa"/>
            <w:tcBorders>
              <w:top w:val="single" w:sz="4" w:space="0" w:color="auto"/>
              <w:left w:val="nil"/>
              <w:bottom w:val="dotted" w:sz="4" w:space="0" w:color="000000"/>
              <w:right w:val="single" w:sz="4" w:space="0" w:color="auto"/>
            </w:tcBorders>
            <w:shd w:val="clear" w:color="000000" w:fill="D9D9D9"/>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2,5%</w:t>
            </w:r>
          </w:p>
        </w:tc>
      </w:tr>
      <w:tr>
        <w:trPr>
          <w:trHeight w:val="255"/>
        </w:trPr>
        <w:tc>
          <w:tcPr>
            <w:tcW w:w="3115" w:type="dxa"/>
            <w:gridSpan w:val="2"/>
            <w:tcBorders>
              <w:top w:val="dotted" w:sz="4" w:space="0" w:color="000000"/>
              <w:left w:val="single" w:sz="4" w:space="0" w:color="auto"/>
              <w:bottom w:val="dotted" w:sz="4" w:space="0" w:color="000000"/>
              <w:right w:val="single" w:sz="4" w:space="0" w:color="000000"/>
            </w:tcBorders>
            <w:shd w:val="clear" w:color="000000" w:fill="D9D9D9"/>
            <w:vAlign w:val="center"/>
            <w:hideMark/>
          </w:tcPr>
          <w:p>
            <w:pPr>
              <w:spacing w:after="0" w:line="240" w:lineRule="auto"/>
              <w:jc w:val="right"/>
              <w:rPr>
                <w:rFonts w:eastAsia="Times New Roman"/>
                <w:b/>
                <w:bCs/>
                <w:i/>
                <w:iCs/>
                <w:noProof/>
                <w:sz w:val="15"/>
                <w:szCs w:val="15"/>
                <w:lang w:val="en-GB" w:eastAsia="en-GB"/>
              </w:rPr>
            </w:pPr>
            <w:r>
              <w:rPr>
                <w:rFonts w:eastAsia="Times New Roman"/>
                <w:b/>
                <w:bCs/>
                <w:i/>
                <w:iCs/>
                <w:noProof/>
                <w:sz w:val="15"/>
                <w:szCs w:val="15"/>
                <w:lang w:val="en-GB" w:eastAsia="en-GB"/>
              </w:rPr>
              <w:t>Of which under Flexibility Instrument</w:t>
            </w:r>
          </w:p>
        </w:tc>
        <w:tc>
          <w:tcPr>
            <w:tcW w:w="1016" w:type="dxa"/>
            <w:tcBorders>
              <w:top w:val="nil"/>
              <w:left w:val="nil"/>
              <w:bottom w:val="dotted" w:sz="4" w:space="0" w:color="000000"/>
              <w:right w:val="single" w:sz="4" w:space="0" w:color="000000"/>
            </w:tcBorders>
            <w:shd w:val="clear" w:color="000000" w:fill="D9D9D9"/>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837,2</w:t>
            </w:r>
          </w:p>
        </w:tc>
        <w:tc>
          <w:tcPr>
            <w:tcW w:w="1016" w:type="dxa"/>
            <w:tcBorders>
              <w:top w:val="nil"/>
              <w:left w:val="nil"/>
              <w:bottom w:val="dotted" w:sz="4" w:space="0" w:color="000000"/>
              <w:right w:val="single" w:sz="4" w:space="0" w:color="auto"/>
            </w:tcBorders>
            <w:shd w:val="clear" w:color="000000" w:fill="D9D9D9"/>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678,3</w:t>
            </w:r>
          </w:p>
        </w:tc>
        <w:tc>
          <w:tcPr>
            <w:tcW w:w="1016" w:type="dxa"/>
            <w:tcBorders>
              <w:top w:val="nil"/>
              <w:left w:val="nil"/>
              <w:bottom w:val="dotted" w:sz="4" w:space="0" w:color="000000"/>
              <w:right w:val="single" w:sz="4" w:space="0" w:color="000000"/>
            </w:tcBorders>
            <w:shd w:val="clear" w:color="000000" w:fill="D9D9D9"/>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985,6</w:t>
            </w:r>
          </w:p>
        </w:tc>
        <w:tc>
          <w:tcPr>
            <w:tcW w:w="1016" w:type="dxa"/>
            <w:tcBorders>
              <w:top w:val="nil"/>
              <w:left w:val="nil"/>
              <w:bottom w:val="dotted" w:sz="4" w:space="0" w:color="000000"/>
              <w:right w:val="single" w:sz="4" w:space="0" w:color="auto"/>
            </w:tcBorders>
            <w:shd w:val="clear" w:color="000000" w:fill="D9D9D9"/>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909,8</w:t>
            </w:r>
          </w:p>
        </w:tc>
        <w:tc>
          <w:tcPr>
            <w:tcW w:w="959" w:type="dxa"/>
            <w:tcBorders>
              <w:top w:val="nil"/>
              <w:left w:val="nil"/>
              <w:bottom w:val="nil"/>
              <w:right w:val="single" w:sz="4" w:space="0" w:color="000000"/>
            </w:tcBorders>
            <w:shd w:val="clear" w:color="000000" w:fill="D9D9D9"/>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959" w:type="dxa"/>
            <w:tcBorders>
              <w:top w:val="nil"/>
              <w:left w:val="nil"/>
              <w:bottom w:val="nil"/>
              <w:right w:val="single" w:sz="4" w:space="0" w:color="auto"/>
            </w:tcBorders>
            <w:shd w:val="clear" w:color="000000" w:fill="D9D9D9"/>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776" w:type="dxa"/>
            <w:tcBorders>
              <w:top w:val="nil"/>
              <w:left w:val="nil"/>
              <w:bottom w:val="nil"/>
              <w:right w:val="single" w:sz="4" w:space="0" w:color="000000"/>
            </w:tcBorders>
            <w:shd w:val="clear" w:color="000000" w:fill="D9D9D9"/>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776" w:type="dxa"/>
            <w:tcBorders>
              <w:top w:val="nil"/>
              <w:left w:val="nil"/>
              <w:bottom w:val="nil"/>
              <w:right w:val="single" w:sz="4" w:space="0" w:color="auto"/>
            </w:tcBorders>
            <w:shd w:val="clear" w:color="000000" w:fill="D9D9D9"/>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r>
      <w:tr>
        <w:trPr>
          <w:trHeight w:val="255"/>
        </w:trPr>
        <w:tc>
          <w:tcPr>
            <w:tcW w:w="3115" w:type="dxa"/>
            <w:gridSpan w:val="2"/>
            <w:tcBorders>
              <w:top w:val="dotted" w:sz="4" w:space="0" w:color="000000"/>
              <w:left w:val="single" w:sz="4" w:space="0" w:color="auto"/>
              <w:bottom w:val="dotted" w:sz="4" w:space="0" w:color="000000"/>
              <w:right w:val="single" w:sz="4" w:space="0" w:color="000000"/>
            </w:tcBorders>
            <w:shd w:val="clear" w:color="000000" w:fill="D9D9D9"/>
            <w:vAlign w:val="center"/>
            <w:hideMark/>
          </w:tcPr>
          <w:p>
            <w:pPr>
              <w:spacing w:after="0" w:line="240" w:lineRule="auto"/>
              <w:jc w:val="right"/>
              <w:rPr>
                <w:rFonts w:eastAsia="Times New Roman"/>
                <w:b/>
                <w:bCs/>
                <w:i/>
                <w:iCs/>
                <w:noProof/>
                <w:sz w:val="15"/>
                <w:szCs w:val="15"/>
                <w:lang w:val="en-GB" w:eastAsia="en-GB"/>
              </w:rPr>
            </w:pPr>
            <w:r>
              <w:rPr>
                <w:rFonts w:eastAsia="Times New Roman"/>
                <w:b/>
                <w:bCs/>
                <w:i/>
                <w:iCs/>
                <w:noProof/>
                <w:sz w:val="15"/>
                <w:szCs w:val="15"/>
                <w:lang w:val="en-GB" w:eastAsia="en-GB"/>
              </w:rPr>
              <w:t>Of which under global margin for commitments</w:t>
            </w:r>
          </w:p>
        </w:tc>
        <w:tc>
          <w:tcPr>
            <w:tcW w:w="1016" w:type="dxa"/>
            <w:tcBorders>
              <w:top w:val="nil"/>
              <w:left w:val="nil"/>
              <w:bottom w:val="dotted" w:sz="4" w:space="0" w:color="000000"/>
              <w:right w:val="single" w:sz="4" w:space="0" w:color="000000"/>
            </w:tcBorders>
            <w:shd w:val="clear" w:color="000000" w:fill="D9D9D9"/>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1 355,6</w:t>
            </w:r>
          </w:p>
        </w:tc>
        <w:tc>
          <w:tcPr>
            <w:tcW w:w="1016" w:type="dxa"/>
            <w:tcBorders>
              <w:top w:val="nil"/>
              <w:left w:val="nil"/>
              <w:bottom w:val="dotted" w:sz="4" w:space="0" w:color="000000"/>
              <w:right w:val="single" w:sz="4" w:space="0" w:color="auto"/>
            </w:tcBorders>
            <w:shd w:val="clear" w:color="000000" w:fill="D9D9D9"/>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1016" w:type="dxa"/>
            <w:tcBorders>
              <w:top w:val="nil"/>
              <w:left w:val="nil"/>
              <w:bottom w:val="dotted" w:sz="4" w:space="0" w:color="000000"/>
              <w:right w:val="single" w:sz="4" w:space="0" w:color="000000"/>
            </w:tcBorders>
            <w:shd w:val="clear" w:color="000000" w:fill="D9D9D9"/>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1 464,7</w:t>
            </w:r>
          </w:p>
        </w:tc>
        <w:tc>
          <w:tcPr>
            <w:tcW w:w="1016" w:type="dxa"/>
            <w:tcBorders>
              <w:top w:val="nil"/>
              <w:left w:val="nil"/>
              <w:bottom w:val="dotted" w:sz="4" w:space="0" w:color="000000"/>
              <w:right w:val="single" w:sz="4" w:space="0" w:color="auto"/>
            </w:tcBorders>
            <w:shd w:val="clear" w:color="000000" w:fill="D9D9D9"/>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959" w:type="dxa"/>
            <w:tcBorders>
              <w:top w:val="dotted" w:sz="4" w:space="0" w:color="000000"/>
              <w:left w:val="nil"/>
              <w:bottom w:val="nil"/>
              <w:right w:val="single" w:sz="4" w:space="0" w:color="000000"/>
            </w:tcBorders>
            <w:shd w:val="clear" w:color="000000" w:fill="D9D9D9"/>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959" w:type="dxa"/>
            <w:tcBorders>
              <w:top w:val="dotted" w:sz="4" w:space="0" w:color="000000"/>
              <w:left w:val="nil"/>
              <w:bottom w:val="nil"/>
              <w:right w:val="single" w:sz="4" w:space="0" w:color="auto"/>
            </w:tcBorders>
            <w:shd w:val="clear" w:color="000000" w:fill="D9D9D9"/>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776" w:type="dxa"/>
            <w:tcBorders>
              <w:top w:val="dotted" w:sz="4" w:space="0" w:color="000000"/>
              <w:left w:val="nil"/>
              <w:bottom w:val="nil"/>
              <w:right w:val="single" w:sz="4" w:space="0" w:color="000000"/>
            </w:tcBorders>
            <w:shd w:val="clear" w:color="000000" w:fill="D9D9D9"/>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776" w:type="dxa"/>
            <w:tcBorders>
              <w:top w:val="dotted" w:sz="4" w:space="0" w:color="000000"/>
              <w:left w:val="nil"/>
              <w:bottom w:val="nil"/>
              <w:right w:val="single" w:sz="4" w:space="0" w:color="auto"/>
            </w:tcBorders>
            <w:shd w:val="clear" w:color="000000" w:fill="D9D9D9"/>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r>
      <w:tr>
        <w:trPr>
          <w:trHeight w:val="255"/>
        </w:trPr>
        <w:tc>
          <w:tcPr>
            <w:tcW w:w="3115" w:type="dxa"/>
            <w:gridSpan w:val="2"/>
            <w:tcBorders>
              <w:top w:val="dotted" w:sz="4" w:space="0" w:color="000000"/>
              <w:left w:val="single" w:sz="4" w:space="0" w:color="auto"/>
              <w:bottom w:val="dotted" w:sz="4" w:space="0" w:color="000000"/>
              <w:right w:val="single" w:sz="4" w:space="0" w:color="000000"/>
            </w:tcBorders>
            <w:shd w:val="clear" w:color="000000" w:fill="D9D9D9"/>
            <w:vAlign w:val="center"/>
            <w:hideMark/>
          </w:tcPr>
          <w:p>
            <w:pPr>
              <w:spacing w:after="0" w:line="240" w:lineRule="auto"/>
              <w:jc w:val="right"/>
              <w:rPr>
                <w:rFonts w:eastAsia="Times New Roman"/>
                <w:b/>
                <w:bCs/>
                <w:i/>
                <w:iCs/>
                <w:noProof/>
                <w:sz w:val="15"/>
                <w:szCs w:val="15"/>
                <w:lang w:val="en-GB" w:eastAsia="en-GB"/>
              </w:rPr>
            </w:pPr>
            <w:r>
              <w:rPr>
                <w:rFonts w:eastAsia="Times New Roman"/>
                <w:b/>
                <w:bCs/>
                <w:i/>
                <w:iCs/>
                <w:noProof/>
                <w:sz w:val="15"/>
                <w:szCs w:val="15"/>
                <w:lang w:val="en-GB" w:eastAsia="en-GB"/>
              </w:rPr>
              <w:t>Ceiling</w:t>
            </w:r>
          </w:p>
        </w:tc>
        <w:tc>
          <w:tcPr>
            <w:tcW w:w="1016" w:type="dxa"/>
            <w:tcBorders>
              <w:top w:val="nil"/>
              <w:left w:val="nil"/>
              <w:bottom w:val="dotted" w:sz="4" w:space="0" w:color="000000"/>
              <w:right w:val="single" w:sz="4" w:space="0" w:color="000000"/>
            </w:tcBorders>
            <w:shd w:val="clear" w:color="000000" w:fill="D9D9D9"/>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159 514,0</w:t>
            </w:r>
          </w:p>
        </w:tc>
        <w:tc>
          <w:tcPr>
            <w:tcW w:w="1016" w:type="dxa"/>
            <w:tcBorders>
              <w:top w:val="nil"/>
              <w:left w:val="nil"/>
              <w:bottom w:val="dotted" w:sz="4" w:space="0" w:color="000000"/>
              <w:right w:val="single" w:sz="4" w:space="0" w:color="auto"/>
            </w:tcBorders>
            <w:shd w:val="clear" w:color="000000" w:fill="D9D9D9"/>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154 565,0</w:t>
            </w:r>
          </w:p>
        </w:tc>
        <w:tc>
          <w:tcPr>
            <w:tcW w:w="1016" w:type="dxa"/>
            <w:tcBorders>
              <w:top w:val="nil"/>
              <w:left w:val="nil"/>
              <w:bottom w:val="dotted" w:sz="4" w:space="0" w:color="000000"/>
              <w:right w:val="single" w:sz="4" w:space="0" w:color="000000"/>
            </w:tcBorders>
            <w:shd w:val="clear" w:color="000000" w:fill="D9D9D9"/>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164 123,0</w:t>
            </w:r>
          </w:p>
        </w:tc>
        <w:tc>
          <w:tcPr>
            <w:tcW w:w="1016" w:type="dxa"/>
            <w:tcBorders>
              <w:top w:val="nil"/>
              <w:left w:val="nil"/>
              <w:bottom w:val="dotted" w:sz="4" w:space="0" w:color="000000"/>
              <w:right w:val="single" w:sz="4" w:space="0" w:color="auto"/>
            </w:tcBorders>
            <w:shd w:val="clear" w:color="000000" w:fill="D9D9D9"/>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166 709,0</w:t>
            </w:r>
          </w:p>
        </w:tc>
        <w:tc>
          <w:tcPr>
            <w:tcW w:w="959" w:type="dxa"/>
            <w:tcBorders>
              <w:top w:val="dotted" w:sz="4" w:space="0" w:color="000000"/>
              <w:left w:val="nil"/>
              <w:bottom w:val="nil"/>
              <w:right w:val="single" w:sz="4" w:space="0" w:color="000000"/>
            </w:tcBorders>
            <w:shd w:val="clear" w:color="000000" w:fill="D9D9D9"/>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959" w:type="dxa"/>
            <w:tcBorders>
              <w:top w:val="dotted" w:sz="4" w:space="0" w:color="000000"/>
              <w:left w:val="nil"/>
              <w:bottom w:val="nil"/>
              <w:right w:val="single" w:sz="4" w:space="0" w:color="auto"/>
            </w:tcBorders>
            <w:shd w:val="clear" w:color="000000" w:fill="D9D9D9"/>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776" w:type="dxa"/>
            <w:tcBorders>
              <w:top w:val="dotted" w:sz="4" w:space="0" w:color="000000"/>
              <w:left w:val="nil"/>
              <w:bottom w:val="nil"/>
              <w:right w:val="single" w:sz="4" w:space="0" w:color="000000"/>
            </w:tcBorders>
            <w:shd w:val="clear" w:color="000000" w:fill="D9D9D9"/>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776" w:type="dxa"/>
            <w:tcBorders>
              <w:top w:val="dotted" w:sz="4" w:space="0" w:color="000000"/>
              <w:left w:val="nil"/>
              <w:bottom w:val="nil"/>
              <w:right w:val="single" w:sz="4" w:space="0" w:color="auto"/>
            </w:tcBorders>
            <w:shd w:val="clear" w:color="000000" w:fill="D9D9D9"/>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r>
      <w:tr>
        <w:trPr>
          <w:trHeight w:val="255"/>
        </w:trPr>
        <w:tc>
          <w:tcPr>
            <w:tcW w:w="3115" w:type="dxa"/>
            <w:gridSpan w:val="2"/>
            <w:tcBorders>
              <w:top w:val="dotted" w:sz="4" w:space="0" w:color="000000"/>
              <w:left w:val="single" w:sz="4" w:space="0" w:color="auto"/>
              <w:bottom w:val="dotted" w:sz="4" w:space="0" w:color="000000"/>
              <w:right w:val="single" w:sz="4" w:space="0" w:color="000000"/>
            </w:tcBorders>
            <w:shd w:val="clear" w:color="000000" w:fill="D9D9D9"/>
            <w:vAlign w:val="center"/>
            <w:hideMark/>
          </w:tcPr>
          <w:p>
            <w:pPr>
              <w:spacing w:after="0" w:line="240" w:lineRule="auto"/>
              <w:jc w:val="right"/>
              <w:rPr>
                <w:rFonts w:eastAsia="Times New Roman"/>
                <w:b/>
                <w:bCs/>
                <w:i/>
                <w:iCs/>
                <w:noProof/>
                <w:sz w:val="15"/>
                <w:szCs w:val="15"/>
                <w:lang w:val="en-GB" w:eastAsia="en-GB"/>
              </w:rPr>
            </w:pPr>
            <w:r>
              <w:rPr>
                <w:rFonts w:eastAsia="Times New Roman"/>
                <w:b/>
                <w:bCs/>
                <w:i/>
                <w:iCs/>
                <w:noProof/>
                <w:sz w:val="15"/>
                <w:szCs w:val="15"/>
                <w:lang w:val="en-GB" w:eastAsia="en-GB"/>
              </w:rPr>
              <w:t>Of which offset against Contingency Margin</w:t>
            </w:r>
          </w:p>
        </w:tc>
        <w:tc>
          <w:tcPr>
            <w:tcW w:w="1016" w:type="dxa"/>
            <w:tcBorders>
              <w:top w:val="nil"/>
              <w:left w:val="nil"/>
              <w:bottom w:val="dotted" w:sz="4" w:space="0" w:color="000000"/>
              <w:right w:val="single" w:sz="4" w:space="0" w:color="000000"/>
            </w:tcBorders>
            <w:shd w:val="clear" w:color="000000" w:fill="D9D9D9"/>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-318,0</w:t>
            </w:r>
          </w:p>
        </w:tc>
        <w:tc>
          <w:tcPr>
            <w:tcW w:w="1016" w:type="dxa"/>
            <w:tcBorders>
              <w:top w:val="nil"/>
              <w:left w:val="nil"/>
              <w:bottom w:val="dotted" w:sz="4" w:space="0" w:color="000000"/>
              <w:right w:val="single" w:sz="4" w:space="0" w:color="auto"/>
            </w:tcBorders>
            <w:shd w:val="clear" w:color="000000" w:fill="D9D9D9"/>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1016" w:type="dxa"/>
            <w:tcBorders>
              <w:top w:val="nil"/>
              <w:left w:val="nil"/>
              <w:bottom w:val="dotted" w:sz="4" w:space="0" w:color="000000"/>
              <w:right w:val="single" w:sz="4" w:space="0" w:color="000000"/>
            </w:tcBorders>
            <w:shd w:val="clear" w:color="000000" w:fill="D9D9D9"/>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-253,9</w:t>
            </w:r>
          </w:p>
        </w:tc>
        <w:tc>
          <w:tcPr>
            <w:tcW w:w="1016" w:type="dxa"/>
            <w:tcBorders>
              <w:top w:val="nil"/>
              <w:left w:val="nil"/>
              <w:bottom w:val="dotted" w:sz="4" w:space="0" w:color="000000"/>
              <w:right w:val="single" w:sz="4" w:space="0" w:color="auto"/>
            </w:tcBorders>
            <w:shd w:val="clear" w:color="000000" w:fill="D9D9D9"/>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959" w:type="dxa"/>
            <w:tcBorders>
              <w:top w:val="dotted" w:sz="4" w:space="0" w:color="000000"/>
              <w:left w:val="nil"/>
              <w:bottom w:val="nil"/>
              <w:right w:val="single" w:sz="4" w:space="0" w:color="000000"/>
            </w:tcBorders>
            <w:shd w:val="clear" w:color="000000" w:fill="D9D9D9"/>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959" w:type="dxa"/>
            <w:tcBorders>
              <w:top w:val="dotted" w:sz="4" w:space="0" w:color="000000"/>
              <w:left w:val="nil"/>
              <w:bottom w:val="nil"/>
              <w:right w:val="single" w:sz="4" w:space="0" w:color="auto"/>
            </w:tcBorders>
            <w:shd w:val="clear" w:color="000000" w:fill="D9D9D9"/>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776" w:type="dxa"/>
            <w:tcBorders>
              <w:top w:val="dotted" w:sz="4" w:space="0" w:color="000000"/>
              <w:left w:val="nil"/>
              <w:bottom w:val="nil"/>
              <w:right w:val="single" w:sz="4" w:space="0" w:color="000000"/>
            </w:tcBorders>
            <w:shd w:val="clear" w:color="000000" w:fill="D9D9D9"/>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776" w:type="dxa"/>
            <w:tcBorders>
              <w:top w:val="dotted" w:sz="4" w:space="0" w:color="000000"/>
              <w:left w:val="nil"/>
              <w:bottom w:val="nil"/>
              <w:right w:val="single" w:sz="4" w:space="0" w:color="auto"/>
            </w:tcBorders>
            <w:shd w:val="clear" w:color="000000" w:fill="D9D9D9"/>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r>
      <w:tr>
        <w:trPr>
          <w:trHeight w:val="255"/>
        </w:trPr>
        <w:tc>
          <w:tcPr>
            <w:tcW w:w="3115" w:type="dxa"/>
            <w:gridSpan w:val="2"/>
            <w:tcBorders>
              <w:top w:val="dotted" w:sz="4" w:space="0" w:color="000000"/>
              <w:left w:val="single" w:sz="4" w:space="0" w:color="auto"/>
              <w:bottom w:val="dotted" w:sz="4" w:space="0" w:color="000000"/>
              <w:right w:val="single" w:sz="4" w:space="0" w:color="000000"/>
            </w:tcBorders>
            <w:shd w:val="clear" w:color="000000" w:fill="D9D9D9"/>
            <w:vAlign w:val="center"/>
            <w:hideMark/>
          </w:tcPr>
          <w:p>
            <w:pPr>
              <w:spacing w:after="0" w:line="240" w:lineRule="auto"/>
              <w:jc w:val="right"/>
              <w:rPr>
                <w:rFonts w:eastAsia="Times New Roman"/>
                <w:b/>
                <w:bCs/>
                <w:i/>
                <w:iCs/>
                <w:noProof/>
                <w:sz w:val="15"/>
                <w:szCs w:val="15"/>
                <w:lang w:val="en-GB" w:eastAsia="en-GB"/>
              </w:rPr>
            </w:pPr>
            <w:r>
              <w:rPr>
                <w:rFonts w:eastAsia="Times New Roman"/>
                <w:b/>
                <w:bCs/>
                <w:i/>
                <w:iCs/>
                <w:noProof/>
                <w:sz w:val="15"/>
                <w:szCs w:val="15"/>
                <w:lang w:val="en-GB" w:eastAsia="en-GB"/>
              </w:rPr>
              <w:t>Margin</w:t>
            </w:r>
          </w:p>
        </w:tc>
        <w:tc>
          <w:tcPr>
            <w:tcW w:w="1016" w:type="dxa"/>
            <w:tcBorders>
              <w:top w:val="nil"/>
              <w:left w:val="nil"/>
              <w:bottom w:val="dotted" w:sz="4" w:space="0" w:color="000000"/>
              <w:right w:val="single" w:sz="4" w:space="0" w:color="000000"/>
            </w:tcBorders>
            <w:shd w:val="clear" w:color="000000" w:fill="D9D9D9"/>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1 390,9</w:t>
            </w:r>
          </w:p>
        </w:tc>
        <w:tc>
          <w:tcPr>
            <w:tcW w:w="1016" w:type="dxa"/>
            <w:tcBorders>
              <w:top w:val="nil"/>
              <w:left w:val="nil"/>
              <w:bottom w:val="dotted" w:sz="4" w:space="0" w:color="000000"/>
              <w:right w:val="single" w:sz="4" w:space="0" w:color="auto"/>
            </w:tcBorders>
            <w:shd w:val="clear" w:color="000000" w:fill="D9D9D9"/>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11 026,7</w:t>
            </w:r>
          </w:p>
        </w:tc>
        <w:tc>
          <w:tcPr>
            <w:tcW w:w="1016" w:type="dxa"/>
            <w:tcBorders>
              <w:top w:val="nil"/>
              <w:left w:val="nil"/>
              <w:bottom w:val="dotted" w:sz="4" w:space="0" w:color="000000"/>
              <w:right w:val="single" w:sz="4" w:space="0" w:color="000000"/>
            </w:tcBorders>
            <w:shd w:val="clear" w:color="000000" w:fill="D9D9D9"/>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1 291,1</w:t>
            </w:r>
          </w:p>
        </w:tc>
        <w:tc>
          <w:tcPr>
            <w:tcW w:w="1016" w:type="dxa"/>
            <w:tcBorders>
              <w:top w:val="nil"/>
              <w:left w:val="nil"/>
              <w:bottom w:val="dotted" w:sz="4" w:space="0" w:color="000000"/>
              <w:right w:val="single" w:sz="4" w:space="0" w:color="auto"/>
            </w:tcBorders>
            <w:shd w:val="clear" w:color="000000" w:fill="D9D9D9"/>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19 831,4</w:t>
            </w:r>
          </w:p>
        </w:tc>
        <w:tc>
          <w:tcPr>
            <w:tcW w:w="959" w:type="dxa"/>
            <w:tcBorders>
              <w:top w:val="dotted" w:sz="4" w:space="0" w:color="000000"/>
              <w:left w:val="nil"/>
              <w:bottom w:val="nil"/>
              <w:right w:val="single" w:sz="4" w:space="0" w:color="000000"/>
            </w:tcBorders>
            <w:shd w:val="clear" w:color="000000" w:fill="D9D9D9"/>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959" w:type="dxa"/>
            <w:tcBorders>
              <w:top w:val="dotted" w:sz="4" w:space="0" w:color="000000"/>
              <w:left w:val="nil"/>
              <w:bottom w:val="nil"/>
              <w:right w:val="single" w:sz="4" w:space="0" w:color="auto"/>
            </w:tcBorders>
            <w:shd w:val="clear" w:color="000000" w:fill="D9D9D9"/>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776" w:type="dxa"/>
            <w:tcBorders>
              <w:top w:val="dotted" w:sz="4" w:space="0" w:color="000000"/>
              <w:left w:val="nil"/>
              <w:bottom w:val="nil"/>
              <w:right w:val="single" w:sz="4" w:space="0" w:color="000000"/>
            </w:tcBorders>
            <w:shd w:val="clear" w:color="000000" w:fill="D9D9D9"/>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c>
          <w:tcPr>
            <w:tcW w:w="776" w:type="dxa"/>
            <w:tcBorders>
              <w:top w:val="dotted" w:sz="4" w:space="0" w:color="000000"/>
              <w:left w:val="nil"/>
              <w:bottom w:val="nil"/>
              <w:right w:val="single" w:sz="4" w:space="0" w:color="auto"/>
            </w:tcBorders>
            <w:shd w:val="clear" w:color="000000" w:fill="D9D9D9"/>
            <w:vAlign w:val="center"/>
            <w:hideMark/>
          </w:tcPr>
          <w:p>
            <w:pPr>
              <w:spacing w:after="0" w:line="240" w:lineRule="auto"/>
              <w:jc w:val="right"/>
              <w:rPr>
                <w:rFonts w:eastAsia="Times New Roman"/>
                <w:b/>
                <w:bCs/>
                <w:i/>
                <w:iCs/>
                <w:noProof/>
                <w:sz w:val="16"/>
                <w:szCs w:val="16"/>
                <w:lang w:val="en-GB" w:eastAsia="en-GB"/>
              </w:rPr>
            </w:pPr>
            <w:r>
              <w:rPr>
                <w:rFonts w:eastAsia="Times New Roman"/>
                <w:b/>
                <w:bCs/>
                <w:i/>
                <w:iCs/>
                <w:noProof/>
                <w:sz w:val="16"/>
                <w:szCs w:val="16"/>
                <w:lang w:val="en-GB" w:eastAsia="en-GB"/>
              </w:rPr>
              <w:t> </w:t>
            </w:r>
          </w:p>
        </w:tc>
      </w:tr>
      <w:tr>
        <w:trPr>
          <w:trHeight w:val="255"/>
        </w:trPr>
        <w:tc>
          <w:tcPr>
            <w:tcW w:w="3115" w:type="dxa"/>
            <w:gridSpan w:val="2"/>
            <w:tcBorders>
              <w:top w:val="dotted" w:sz="4" w:space="0" w:color="000000"/>
              <w:left w:val="single" w:sz="4" w:space="0" w:color="auto"/>
              <w:bottom w:val="single" w:sz="4" w:space="0" w:color="auto"/>
              <w:right w:val="single" w:sz="4" w:space="0" w:color="000000"/>
            </w:tcBorders>
            <w:shd w:val="clear" w:color="000000" w:fill="D9D9D9"/>
            <w:vAlign w:val="center"/>
            <w:hideMark/>
          </w:tcPr>
          <w:p>
            <w:pPr>
              <w:spacing w:after="0" w:line="240" w:lineRule="auto"/>
              <w:jc w:val="right"/>
              <w:rPr>
                <w:rFonts w:eastAsia="Times New Roman"/>
                <w:b/>
                <w:bCs/>
                <w:noProof/>
                <w:sz w:val="15"/>
                <w:szCs w:val="15"/>
                <w:lang w:val="en-GB" w:eastAsia="en-GB"/>
              </w:rPr>
            </w:pPr>
            <w:r>
              <w:rPr>
                <w:rFonts w:eastAsia="Times New Roman"/>
                <w:b/>
                <w:bCs/>
                <w:noProof/>
                <w:sz w:val="15"/>
                <w:szCs w:val="15"/>
                <w:lang w:val="en-GB" w:eastAsia="en-GB"/>
              </w:rPr>
              <w:t>Appropriations as % of GNI (2)</w:t>
            </w:r>
          </w:p>
        </w:tc>
        <w:tc>
          <w:tcPr>
            <w:tcW w:w="1016" w:type="dxa"/>
            <w:tcBorders>
              <w:top w:val="nil"/>
              <w:left w:val="nil"/>
              <w:bottom w:val="single" w:sz="4" w:space="0" w:color="auto"/>
              <w:right w:val="single" w:sz="4" w:space="0" w:color="000000"/>
            </w:tcBorders>
            <w:shd w:val="clear" w:color="000000" w:fill="D9D9D9"/>
            <w:vAlign w:val="center"/>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1,02%</w:t>
            </w:r>
          </w:p>
        </w:tc>
        <w:tc>
          <w:tcPr>
            <w:tcW w:w="1016"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0,92%</w:t>
            </w:r>
          </w:p>
        </w:tc>
        <w:tc>
          <w:tcPr>
            <w:tcW w:w="1016" w:type="dxa"/>
            <w:tcBorders>
              <w:top w:val="nil"/>
              <w:left w:val="nil"/>
              <w:bottom w:val="single" w:sz="4" w:space="0" w:color="auto"/>
              <w:right w:val="single" w:sz="4" w:space="0" w:color="000000"/>
            </w:tcBorders>
            <w:shd w:val="clear" w:color="000000" w:fill="D9D9D9"/>
            <w:vAlign w:val="center"/>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1,00%</w:t>
            </w:r>
          </w:p>
        </w:tc>
        <w:tc>
          <w:tcPr>
            <w:tcW w:w="1016"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0,90%</w:t>
            </w:r>
          </w:p>
        </w:tc>
        <w:tc>
          <w:tcPr>
            <w:tcW w:w="959" w:type="dxa"/>
            <w:tcBorders>
              <w:top w:val="dotted" w:sz="4" w:space="0" w:color="000000"/>
              <w:left w:val="nil"/>
              <w:bottom w:val="single" w:sz="4" w:space="0" w:color="auto"/>
              <w:right w:val="single" w:sz="4" w:space="0" w:color="000000"/>
            </w:tcBorders>
            <w:shd w:val="clear" w:color="000000" w:fill="D9D9D9"/>
            <w:vAlign w:val="center"/>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 </w:t>
            </w:r>
          </w:p>
        </w:tc>
        <w:tc>
          <w:tcPr>
            <w:tcW w:w="959" w:type="dxa"/>
            <w:tcBorders>
              <w:top w:val="dotted" w:sz="4" w:space="0" w:color="000000"/>
              <w:left w:val="nil"/>
              <w:bottom w:val="single" w:sz="4" w:space="0" w:color="auto"/>
              <w:right w:val="single" w:sz="4" w:space="0" w:color="auto"/>
            </w:tcBorders>
            <w:shd w:val="clear" w:color="000000" w:fill="D9D9D9"/>
            <w:vAlign w:val="center"/>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 </w:t>
            </w:r>
          </w:p>
        </w:tc>
        <w:tc>
          <w:tcPr>
            <w:tcW w:w="776" w:type="dxa"/>
            <w:tcBorders>
              <w:top w:val="dotted" w:sz="4" w:space="0" w:color="000000"/>
              <w:left w:val="nil"/>
              <w:bottom w:val="single" w:sz="4" w:space="0" w:color="auto"/>
              <w:right w:val="single" w:sz="4" w:space="0" w:color="000000"/>
            </w:tcBorders>
            <w:shd w:val="clear" w:color="000000" w:fill="D9D9D9"/>
            <w:vAlign w:val="center"/>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 </w:t>
            </w:r>
          </w:p>
        </w:tc>
        <w:tc>
          <w:tcPr>
            <w:tcW w:w="776" w:type="dxa"/>
            <w:tcBorders>
              <w:top w:val="dotted" w:sz="4" w:space="0" w:color="000000"/>
              <w:left w:val="nil"/>
              <w:bottom w:val="single" w:sz="4" w:space="0" w:color="auto"/>
              <w:right w:val="single" w:sz="4" w:space="0" w:color="auto"/>
            </w:tcBorders>
            <w:shd w:val="clear" w:color="000000" w:fill="D9D9D9"/>
            <w:vAlign w:val="center"/>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 </w:t>
            </w:r>
          </w:p>
        </w:tc>
      </w:tr>
      <w:tr>
        <w:trPr>
          <w:trHeight w:val="270"/>
        </w:trPr>
        <w:tc>
          <w:tcPr>
            <w:tcW w:w="3115" w:type="dxa"/>
            <w:gridSpan w:val="2"/>
            <w:tcBorders>
              <w:top w:val="single" w:sz="4" w:space="0" w:color="auto"/>
              <w:left w:val="single" w:sz="4" w:space="0" w:color="auto"/>
              <w:bottom w:val="dotted" w:sz="4" w:space="0" w:color="000000"/>
              <w:right w:val="single" w:sz="4" w:space="0" w:color="000000"/>
            </w:tcBorders>
            <w:shd w:val="clear" w:color="auto" w:fill="auto"/>
            <w:vAlign w:val="center"/>
            <w:hideMark/>
          </w:tcPr>
          <w:p>
            <w:pPr>
              <w:spacing w:after="0" w:line="240" w:lineRule="auto"/>
              <w:rPr>
                <w:rFonts w:eastAsia="Times New Roman"/>
                <w:b/>
                <w:bCs/>
                <w:noProof/>
                <w:sz w:val="15"/>
                <w:szCs w:val="15"/>
                <w:lang w:val="en-GB" w:eastAsia="en-GB"/>
              </w:rPr>
            </w:pPr>
            <w:r>
              <w:rPr>
                <w:rFonts w:eastAsia="Times New Roman"/>
                <w:b/>
                <w:bCs/>
                <w:noProof/>
                <w:sz w:val="15"/>
                <w:szCs w:val="15"/>
                <w:lang w:val="en-GB" w:eastAsia="en-GB"/>
              </w:rPr>
              <w:t>Other special instruments (3)</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698,5</w:t>
            </w:r>
          </w:p>
        </w:tc>
        <w:tc>
          <w:tcPr>
            <w:tcW w:w="1016" w:type="dxa"/>
            <w:tcBorders>
              <w:top w:val="nil"/>
              <w:left w:val="nil"/>
              <w:bottom w:val="dotted" w:sz="4" w:space="0" w:color="000000"/>
              <w:right w:val="single" w:sz="4" w:space="0" w:color="auto"/>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551,2</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577,2</w:t>
            </w:r>
          </w:p>
        </w:tc>
        <w:tc>
          <w:tcPr>
            <w:tcW w:w="1016" w:type="dxa"/>
            <w:tcBorders>
              <w:top w:val="nil"/>
              <w:left w:val="nil"/>
              <w:bottom w:val="dotted" w:sz="4" w:space="0" w:color="000000"/>
              <w:right w:val="single" w:sz="4" w:space="0" w:color="auto"/>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411,5</w:t>
            </w:r>
          </w:p>
        </w:tc>
        <w:tc>
          <w:tcPr>
            <w:tcW w:w="959"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-121,3</w:t>
            </w:r>
          </w:p>
        </w:tc>
        <w:tc>
          <w:tcPr>
            <w:tcW w:w="959" w:type="dxa"/>
            <w:tcBorders>
              <w:top w:val="nil"/>
              <w:left w:val="nil"/>
              <w:bottom w:val="dotted" w:sz="4" w:space="0" w:color="000000"/>
              <w:right w:val="single" w:sz="4" w:space="0" w:color="auto"/>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-139,7</w:t>
            </w:r>
          </w:p>
        </w:tc>
        <w:tc>
          <w:tcPr>
            <w:tcW w:w="77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-17,4%</w:t>
            </w:r>
          </w:p>
        </w:tc>
        <w:tc>
          <w:tcPr>
            <w:tcW w:w="776" w:type="dxa"/>
            <w:tcBorders>
              <w:top w:val="nil"/>
              <w:left w:val="nil"/>
              <w:bottom w:val="dotted" w:sz="4" w:space="0" w:color="000000"/>
              <w:right w:val="single" w:sz="4" w:space="0" w:color="auto"/>
            </w:tcBorders>
            <w:shd w:val="clear" w:color="auto" w:fill="auto"/>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-25,3%</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lang w:val="en-GB" w:eastAsia="en-GB"/>
              </w:rPr>
            </w:pPr>
            <w:r>
              <w:rPr>
                <w:rFonts w:eastAsia="Times New Roman"/>
                <w:i/>
                <w:iCs/>
                <w:noProof/>
                <w:sz w:val="15"/>
                <w:szCs w:val="15"/>
                <w:lang w:val="en-GB" w:eastAsia="en-GB"/>
              </w:rPr>
              <w:t> </w:t>
            </w:r>
          </w:p>
        </w:tc>
        <w:tc>
          <w:tcPr>
            <w:tcW w:w="2806" w:type="dxa"/>
            <w:tcBorders>
              <w:top w:val="dotted" w:sz="4" w:space="0" w:color="auto"/>
              <w:left w:val="nil"/>
              <w:bottom w:val="dotted" w:sz="4" w:space="0" w:color="auto"/>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Emergency Aid Reserve (EAR)</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344,6</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344,6</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351,5</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351,5</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6,9</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6,9</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2,0%</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2,0%</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lang w:val="en-GB" w:eastAsia="en-GB"/>
              </w:rPr>
            </w:pPr>
            <w:r>
              <w:rPr>
                <w:rFonts w:eastAsia="Times New Roman"/>
                <w:i/>
                <w:iCs/>
                <w:noProof/>
                <w:sz w:val="15"/>
                <w:szCs w:val="15"/>
                <w:lang w:val="en-GB" w:eastAsia="en-GB"/>
              </w:rPr>
              <w:t> </w:t>
            </w:r>
          </w:p>
        </w:tc>
        <w:tc>
          <w:tcPr>
            <w:tcW w:w="2806" w:type="dxa"/>
            <w:tcBorders>
              <w:top w:val="dotted" w:sz="4" w:space="0" w:color="auto"/>
              <w:left w:val="nil"/>
              <w:bottom w:val="dotted" w:sz="4" w:space="0" w:color="auto"/>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European Globalisation Adjustment Fund (EGF)</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172,3</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25,0</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175,7</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10,0</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3,4</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-15,0</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2,0%</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-60,0%</w:t>
            </w:r>
          </w:p>
        </w:tc>
      </w:tr>
      <w:tr>
        <w:trPr>
          <w:trHeight w:val="270"/>
        </w:trPr>
        <w:tc>
          <w:tcPr>
            <w:tcW w:w="309" w:type="dxa"/>
            <w:tcBorders>
              <w:top w:val="nil"/>
              <w:left w:val="single" w:sz="4" w:space="0" w:color="auto"/>
              <w:bottom w:val="single" w:sz="4" w:space="0" w:color="auto"/>
              <w:right w:val="nil"/>
            </w:tcBorders>
            <w:shd w:val="clear" w:color="auto" w:fill="auto"/>
            <w:vAlign w:val="center"/>
            <w:hideMark/>
          </w:tcPr>
          <w:p>
            <w:pPr>
              <w:spacing w:after="0" w:line="240" w:lineRule="auto"/>
              <w:jc w:val="right"/>
              <w:rPr>
                <w:rFonts w:eastAsia="Times New Roman"/>
                <w:i/>
                <w:iCs/>
                <w:noProof/>
                <w:sz w:val="15"/>
                <w:szCs w:val="15"/>
                <w:lang w:val="en-GB" w:eastAsia="en-GB"/>
              </w:rPr>
            </w:pPr>
            <w:r>
              <w:rPr>
                <w:rFonts w:eastAsia="Times New Roman"/>
                <w:i/>
                <w:iCs/>
                <w:noProof/>
                <w:sz w:val="15"/>
                <w:szCs w:val="15"/>
                <w:lang w:val="en-GB" w:eastAsia="en-GB"/>
              </w:rPr>
              <w:t> </w:t>
            </w:r>
          </w:p>
        </w:tc>
        <w:tc>
          <w:tcPr>
            <w:tcW w:w="2806" w:type="dxa"/>
            <w:tcBorders>
              <w:top w:val="dotted" w:sz="4" w:space="0" w:color="auto"/>
              <w:left w:val="nil"/>
              <w:bottom w:val="dotted" w:sz="4" w:space="0" w:color="auto"/>
              <w:right w:val="single" w:sz="4" w:space="0" w:color="000000"/>
            </w:tcBorders>
            <w:shd w:val="clear" w:color="auto" w:fill="auto"/>
            <w:vAlign w:val="center"/>
            <w:hideMark/>
          </w:tcPr>
          <w:p>
            <w:pPr>
              <w:spacing w:after="0" w:line="240" w:lineRule="auto"/>
              <w:rPr>
                <w:rFonts w:eastAsia="Times New Roman"/>
                <w:noProof/>
                <w:sz w:val="15"/>
                <w:szCs w:val="15"/>
                <w:lang w:val="en-GB" w:eastAsia="en-GB"/>
              </w:rPr>
            </w:pPr>
            <w:r>
              <w:rPr>
                <w:rFonts w:eastAsia="Times New Roman"/>
                <w:noProof/>
                <w:sz w:val="15"/>
                <w:szCs w:val="15"/>
                <w:lang w:val="en-GB" w:eastAsia="en-GB"/>
              </w:rPr>
              <w:t>European Union Solidarity Fund (EUSF)</w:t>
            </w:r>
          </w:p>
        </w:tc>
        <w:tc>
          <w:tcPr>
            <w:tcW w:w="1016" w:type="dxa"/>
            <w:tcBorders>
              <w:top w:val="nil"/>
              <w:left w:val="nil"/>
              <w:bottom w:val="nil"/>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181,6</w:t>
            </w:r>
          </w:p>
        </w:tc>
        <w:tc>
          <w:tcPr>
            <w:tcW w:w="1016" w:type="dxa"/>
            <w:tcBorders>
              <w:top w:val="nil"/>
              <w:left w:val="nil"/>
              <w:bottom w:val="nil"/>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181,6</w:t>
            </w:r>
          </w:p>
        </w:tc>
        <w:tc>
          <w:tcPr>
            <w:tcW w:w="1016" w:type="dxa"/>
            <w:tcBorders>
              <w:top w:val="nil"/>
              <w:left w:val="nil"/>
              <w:bottom w:val="nil"/>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50,0</w:t>
            </w:r>
          </w:p>
        </w:tc>
        <w:tc>
          <w:tcPr>
            <w:tcW w:w="1016" w:type="dxa"/>
            <w:tcBorders>
              <w:top w:val="nil"/>
              <w:left w:val="nil"/>
              <w:bottom w:val="nil"/>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50,0</w:t>
            </w:r>
          </w:p>
        </w:tc>
        <w:tc>
          <w:tcPr>
            <w:tcW w:w="959" w:type="dxa"/>
            <w:tcBorders>
              <w:top w:val="nil"/>
              <w:left w:val="nil"/>
              <w:bottom w:val="nil"/>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-131,6</w:t>
            </w:r>
          </w:p>
        </w:tc>
        <w:tc>
          <w:tcPr>
            <w:tcW w:w="959" w:type="dxa"/>
            <w:tcBorders>
              <w:top w:val="nil"/>
              <w:left w:val="nil"/>
              <w:bottom w:val="nil"/>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-131,6</w:t>
            </w:r>
          </w:p>
        </w:tc>
        <w:tc>
          <w:tcPr>
            <w:tcW w:w="776" w:type="dxa"/>
            <w:tcBorders>
              <w:top w:val="nil"/>
              <w:left w:val="nil"/>
              <w:bottom w:val="nil"/>
              <w:right w:val="single" w:sz="4" w:space="0" w:color="000000"/>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-72,5%</w:t>
            </w:r>
          </w:p>
        </w:tc>
        <w:tc>
          <w:tcPr>
            <w:tcW w:w="776" w:type="dxa"/>
            <w:tcBorders>
              <w:top w:val="nil"/>
              <w:left w:val="nil"/>
              <w:bottom w:val="nil"/>
              <w:right w:val="single" w:sz="4" w:space="0" w:color="auto"/>
            </w:tcBorders>
            <w:shd w:val="clear" w:color="auto" w:fill="auto"/>
            <w:vAlign w:val="center"/>
            <w:hideMark/>
          </w:tcPr>
          <w:p>
            <w:pPr>
              <w:spacing w:after="0" w:line="240" w:lineRule="auto"/>
              <w:jc w:val="right"/>
              <w:rPr>
                <w:rFonts w:eastAsia="Times New Roman"/>
                <w:noProof/>
                <w:sz w:val="16"/>
                <w:szCs w:val="16"/>
                <w:lang w:val="en-GB" w:eastAsia="en-GB"/>
              </w:rPr>
            </w:pPr>
            <w:r>
              <w:rPr>
                <w:rFonts w:eastAsia="Times New Roman"/>
                <w:noProof/>
                <w:sz w:val="16"/>
                <w:szCs w:val="16"/>
                <w:lang w:val="en-GB" w:eastAsia="en-GB"/>
              </w:rPr>
              <w:t>-72,5%</w:t>
            </w:r>
          </w:p>
        </w:tc>
      </w:tr>
      <w:tr>
        <w:trPr>
          <w:trHeight w:val="285"/>
        </w:trPr>
        <w:tc>
          <w:tcPr>
            <w:tcW w:w="3115" w:type="dxa"/>
            <w:gridSpan w:val="2"/>
            <w:tcBorders>
              <w:top w:val="single" w:sz="4" w:space="0" w:color="auto"/>
              <w:left w:val="single" w:sz="4" w:space="0" w:color="auto"/>
              <w:bottom w:val="dotted" w:sz="4" w:space="0" w:color="000000"/>
              <w:right w:val="single" w:sz="4" w:space="0" w:color="000000"/>
            </w:tcBorders>
            <w:shd w:val="clear" w:color="000000" w:fill="D9D9D9"/>
            <w:vAlign w:val="center"/>
            <w:hideMark/>
          </w:tcPr>
          <w:p>
            <w:pPr>
              <w:spacing w:after="0" w:line="240" w:lineRule="auto"/>
              <w:jc w:val="right"/>
              <w:rPr>
                <w:rFonts w:eastAsia="Times New Roman"/>
                <w:b/>
                <w:bCs/>
                <w:noProof/>
                <w:sz w:val="15"/>
                <w:szCs w:val="15"/>
                <w:lang w:val="en-GB" w:eastAsia="en-GB"/>
              </w:rPr>
            </w:pPr>
            <w:r>
              <w:rPr>
                <w:rFonts w:eastAsia="Times New Roman"/>
                <w:b/>
                <w:bCs/>
                <w:noProof/>
                <w:sz w:val="15"/>
                <w:szCs w:val="15"/>
                <w:lang w:val="en-GB" w:eastAsia="en-GB"/>
              </w:rPr>
              <w:t>Total appropriations</w:t>
            </w:r>
          </w:p>
        </w:tc>
        <w:tc>
          <w:tcPr>
            <w:tcW w:w="1016" w:type="dxa"/>
            <w:tcBorders>
              <w:top w:val="single" w:sz="4" w:space="0" w:color="auto"/>
              <w:left w:val="nil"/>
              <w:bottom w:val="nil"/>
              <w:right w:val="single" w:sz="4" w:space="0" w:color="000000"/>
            </w:tcBorders>
            <w:shd w:val="clear" w:color="000000" w:fill="D9D9D9"/>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160 696,5</w:t>
            </w:r>
          </w:p>
        </w:tc>
        <w:tc>
          <w:tcPr>
            <w:tcW w:w="1016" w:type="dxa"/>
            <w:tcBorders>
              <w:top w:val="single" w:sz="4" w:space="0" w:color="auto"/>
              <w:left w:val="nil"/>
              <w:bottom w:val="nil"/>
              <w:right w:val="single" w:sz="4" w:space="0" w:color="auto"/>
            </w:tcBorders>
            <w:shd w:val="clear" w:color="000000" w:fill="D9D9D9"/>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144 767,9</w:t>
            </w:r>
          </w:p>
        </w:tc>
        <w:tc>
          <w:tcPr>
            <w:tcW w:w="1016" w:type="dxa"/>
            <w:tcBorders>
              <w:top w:val="single" w:sz="4" w:space="0" w:color="auto"/>
              <w:left w:val="nil"/>
              <w:bottom w:val="nil"/>
              <w:right w:val="single" w:sz="4" w:space="0" w:color="000000"/>
            </w:tcBorders>
            <w:shd w:val="clear" w:color="000000" w:fill="D9D9D9"/>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165 605,6</w:t>
            </w:r>
          </w:p>
        </w:tc>
        <w:tc>
          <w:tcPr>
            <w:tcW w:w="1016" w:type="dxa"/>
            <w:tcBorders>
              <w:top w:val="single" w:sz="4" w:space="0" w:color="auto"/>
              <w:left w:val="nil"/>
              <w:bottom w:val="nil"/>
              <w:right w:val="single" w:sz="4" w:space="0" w:color="auto"/>
            </w:tcBorders>
            <w:shd w:val="clear" w:color="000000" w:fill="D9D9D9"/>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148 198,9</w:t>
            </w:r>
          </w:p>
        </w:tc>
        <w:tc>
          <w:tcPr>
            <w:tcW w:w="959" w:type="dxa"/>
            <w:tcBorders>
              <w:top w:val="single" w:sz="4" w:space="0" w:color="auto"/>
              <w:left w:val="nil"/>
              <w:bottom w:val="nil"/>
              <w:right w:val="single" w:sz="4" w:space="0" w:color="000000"/>
            </w:tcBorders>
            <w:shd w:val="clear" w:color="000000" w:fill="D9D9D9"/>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4 909,2</w:t>
            </w:r>
          </w:p>
        </w:tc>
        <w:tc>
          <w:tcPr>
            <w:tcW w:w="959" w:type="dxa"/>
            <w:tcBorders>
              <w:top w:val="single" w:sz="4" w:space="0" w:color="auto"/>
              <w:left w:val="nil"/>
              <w:bottom w:val="nil"/>
              <w:right w:val="single" w:sz="4" w:space="0" w:color="auto"/>
            </w:tcBorders>
            <w:shd w:val="clear" w:color="000000" w:fill="D9D9D9"/>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3 431,0</w:t>
            </w:r>
          </w:p>
        </w:tc>
        <w:tc>
          <w:tcPr>
            <w:tcW w:w="776" w:type="dxa"/>
            <w:tcBorders>
              <w:top w:val="single" w:sz="4" w:space="0" w:color="auto"/>
              <w:left w:val="nil"/>
              <w:bottom w:val="nil"/>
              <w:right w:val="single" w:sz="4" w:space="0" w:color="000000"/>
            </w:tcBorders>
            <w:shd w:val="clear" w:color="000000" w:fill="D9D9D9"/>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3,1%</w:t>
            </w:r>
          </w:p>
        </w:tc>
        <w:tc>
          <w:tcPr>
            <w:tcW w:w="776" w:type="dxa"/>
            <w:tcBorders>
              <w:top w:val="single" w:sz="4" w:space="0" w:color="auto"/>
              <w:left w:val="nil"/>
              <w:bottom w:val="nil"/>
              <w:right w:val="single" w:sz="4" w:space="0" w:color="auto"/>
            </w:tcBorders>
            <w:shd w:val="clear" w:color="000000" w:fill="D9D9D9"/>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2,4%</w:t>
            </w:r>
          </w:p>
        </w:tc>
      </w:tr>
      <w:tr>
        <w:trPr>
          <w:trHeight w:val="270"/>
        </w:trPr>
        <w:tc>
          <w:tcPr>
            <w:tcW w:w="3115" w:type="dxa"/>
            <w:gridSpan w:val="2"/>
            <w:tcBorders>
              <w:top w:val="dotted" w:sz="4" w:space="0" w:color="000000"/>
              <w:left w:val="single" w:sz="4" w:space="0" w:color="auto"/>
              <w:bottom w:val="nil"/>
              <w:right w:val="single" w:sz="4" w:space="0" w:color="000000"/>
            </w:tcBorders>
            <w:shd w:val="clear" w:color="000000" w:fill="D9D9D9"/>
            <w:vAlign w:val="center"/>
            <w:hideMark/>
          </w:tcPr>
          <w:p>
            <w:pPr>
              <w:spacing w:after="0" w:line="240" w:lineRule="auto"/>
              <w:jc w:val="right"/>
              <w:rPr>
                <w:rFonts w:eastAsia="Times New Roman"/>
                <w:b/>
                <w:bCs/>
                <w:noProof/>
                <w:sz w:val="15"/>
                <w:szCs w:val="15"/>
                <w:lang w:val="en-GB" w:eastAsia="en-GB"/>
              </w:rPr>
            </w:pPr>
            <w:r>
              <w:rPr>
                <w:rFonts w:eastAsia="Times New Roman"/>
                <w:b/>
                <w:bCs/>
                <w:noProof/>
                <w:sz w:val="15"/>
                <w:szCs w:val="15"/>
                <w:lang w:val="en-GB" w:eastAsia="en-GB"/>
              </w:rPr>
              <w:t>Appropriations as % of GNI (2)</w:t>
            </w:r>
          </w:p>
        </w:tc>
        <w:tc>
          <w:tcPr>
            <w:tcW w:w="1016" w:type="dxa"/>
            <w:tcBorders>
              <w:top w:val="dotted" w:sz="4" w:space="0" w:color="000000"/>
              <w:left w:val="nil"/>
              <w:bottom w:val="nil"/>
              <w:right w:val="single" w:sz="4" w:space="0" w:color="000000"/>
            </w:tcBorders>
            <w:shd w:val="clear" w:color="000000" w:fill="D9D9D9"/>
            <w:vAlign w:val="center"/>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1,02%</w:t>
            </w:r>
          </w:p>
        </w:tc>
        <w:tc>
          <w:tcPr>
            <w:tcW w:w="1016" w:type="dxa"/>
            <w:tcBorders>
              <w:top w:val="dotted" w:sz="4" w:space="0" w:color="000000"/>
              <w:left w:val="nil"/>
              <w:bottom w:val="nil"/>
              <w:right w:val="single" w:sz="4" w:space="0" w:color="auto"/>
            </w:tcBorders>
            <w:shd w:val="clear" w:color="000000" w:fill="D9D9D9"/>
            <w:vAlign w:val="center"/>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0,92%</w:t>
            </w:r>
          </w:p>
        </w:tc>
        <w:tc>
          <w:tcPr>
            <w:tcW w:w="1016" w:type="dxa"/>
            <w:tcBorders>
              <w:top w:val="dotted" w:sz="4" w:space="0" w:color="000000"/>
              <w:left w:val="nil"/>
              <w:bottom w:val="nil"/>
              <w:right w:val="single" w:sz="4" w:space="0" w:color="000000"/>
            </w:tcBorders>
            <w:shd w:val="clear" w:color="000000" w:fill="D9D9D9"/>
            <w:vAlign w:val="center"/>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1,00%</w:t>
            </w:r>
          </w:p>
        </w:tc>
        <w:tc>
          <w:tcPr>
            <w:tcW w:w="1016" w:type="dxa"/>
            <w:tcBorders>
              <w:top w:val="dotted" w:sz="4" w:space="0" w:color="000000"/>
              <w:left w:val="nil"/>
              <w:bottom w:val="nil"/>
              <w:right w:val="single" w:sz="4" w:space="0" w:color="auto"/>
            </w:tcBorders>
            <w:shd w:val="clear" w:color="000000" w:fill="D9D9D9"/>
            <w:vAlign w:val="center"/>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0,90%</w:t>
            </w:r>
          </w:p>
        </w:tc>
        <w:tc>
          <w:tcPr>
            <w:tcW w:w="959" w:type="dxa"/>
            <w:tcBorders>
              <w:top w:val="dotted" w:sz="4" w:space="0" w:color="000000"/>
              <w:left w:val="nil"/>
              <w:bottom w:val="nil"/>
              <w:right w:val="single" w:sz="4" w:space="0" w:color="000000"/>
            </w:tcBorders>
            <w:shd w:val="clear" w:color="000000" w:fill="D9D9D9"/>
            <w:vAlign w:val="center"/>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 </w:t>
            </w:r>
          </w:p>
        </w:tc>
        <w:tc>
          <w:tcPr>
            <w:tcW w:w="959" w:type="dxa"/>
            <w:tcBorders>
              <w:top w:val="dotted" w:sz="4" w:space="0" w:color="000000"/>
              <w:left w:val="nil"/>
              <w:bottom w:val="nil"/>
              <w:right w:val="single" w:sz="4" w:space="0" w:color="auto"/>
            </w:tcBorders>
            <w:shd w:val="clear" w:color="000000" w:fill="D9D9D9"/>
            <w:vAlign w:val="center"/>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 </w:t>
            </w:r>
          </w:p>
        </w:tc>
        <w:tc>
          <w:tcPr>
            <w:tcW w:w="776" w:type="dxa"/>
            <w:tcBorders>
              <w:top w:val="dotted" w:sz="4" w:space="0" w:color="000000"/>
              <w:left w:val="nil"/>
              <w:bottom w:val="nil"/>
              <w:right w:val="single" w:sz="4" w:space="0" w:color="000000"/>
            </w:tcBorders>
            <w:shd w:val="clear" w:color="000000" w:fill="D9D9D9"/>
            <w:vAlign w:val="center"/>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 </w:t>
            </w:r>
          </w:p>
        </w:tc>
        <w:tc>
          <w:tcPr>
            <w:tcW w:w="776" w:type="dxa"/>
            <w:tcBorders>
              <w:top w:val="dotted" w:sz="4" w:space="0" w:color="000000"/>
              <w:left w:val="nil"/>
              <w:bottom w:val="nil"/>
              <w:right w:val="single" w:sz="4" w:space="0" w:color="auto"/>
            </w:tcBorders>
            <w:shd w:val="clear" w:color="000000" w:fill="D9D9D9"/>
            <w:vAlign w:val="center"/>
            <w:hideMark/>
          </w:tcPr>
          <w:p>
            <w:pPr>
              <w:spacing w:after="0" w:line="240" w:lineRule="auto"/>
              <w:jc w:val="right"/>
              <w:rPr>
                <w:rFonts w:eastAsia="Times New Roman"/>
                <w:b/>
                <w:bCs/>
                <w:noProof/>
                <w:sz w:val="16"/>
                <w:szCs w:val="16"/>
                <w:lang w:val="en-GB" w:eastAsia="en-GB"/>
              </w:rPr>
            </w:pPr>
            <w:r>
              <w:rPr>
                <w:rFonts w:eastAsia="Times New Roman"/>
                <w:b/>
                <w:bCs/>
                <w:noProof/>
                <w:sz w:val="16"/>
                <w:szCs w:val="16"/>
                <w:lang w:val="en-GB" w:eastAsia="en-GB"/>
              </w:rPr>
              <w:t> </w:t>
            </w:r>
          </w:p>
        </w:tc>
      </w:tr>
      <w:tr>
        <w:trPr>
          <w:trHeight w:val="255"/>
        </w:trPr>
        <w:tc>
          <w:tcPr>
            <w:tcW w:w="10649" w:type="dxa"/>
            <w:gridSpan w:val="10"/>
            <w:tcBorders>
              <w:top w:val="single" w:sz="4" w:space="0" w:color="auto"/>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6"/>
                <w:szCs w:val="16"/>
                <w:lang w:val="en-GB" w:eastAsia="en-GB"/>
              </w:rPr>
            </w:pPr>
            <w:r>
              <w:rPr>
                <w:rFonts w:eastAsia="Times New Roman"/>
                <w:noProof/>
                <w:sz w:val="16"/>
                <w:szCs w:val="16"/>
                <w:lang w:val="en-GB" w:eastAsia="en-GB"/>
              </w:rPr>
              <w:t>(1) Budget 2018 includes amending budgets 1 to 5 and draft amending budget 6.</w:t>
            </w:r>
          </w:p>
        </w:tc>
      </w:tr>
      <w:tr>
        <w:trPr>
          <w:trHeight w:val="255"/>
        </w:trPr>
        <w:tc>
          <w:tcPr>
            <w:tcW w:w="10649" w:type="dxa"/>
            <w:gridSpan w:val="10"/>
            <w:tcBorders>
              <w:top w:val="nil"/>
              <w:left w:val="single" w:sz="4" w:space="0" w:color="auto"/>
              <w:bottom w:val="single" w:sz="4" w:space="0" w:color="auto"/>
              <w:right w:val="single" w:sz="4" w:space="0" w:color="000000"/>
            </w:tcBorders>
            <w:shd w:val="clear" w:color="auto" w:fill="auto"/>
            <w:vAlign w:val="center"/>
            <w:hideMark/>
          </w:tcPr>
          <w:p>
            <w:pPr>
              <w:spacing w:after="0" w:line="240" w:lineRule="auto"/>
              <w:rPr>
                <w:rFonts w:eastAsia="Times New Roman"/>
                <w:noProof/>
                <w:sz w:val="16"/>
                <w:szCs w:val="16"/>
                <w:lang w:val="en-GB" w:eastAsia="en-GB"/>
              </w:rPr>
            </w:pPr>
            <w:r>
              <w:rPr>
                <w:rFonts w:eastAsia="Times New Roman"/>
                <w:noProof/>
                <w:sz w:val="16"/>
                <w:szCs w:val="16"/>
                <w:lang w:val="en-GB" w:eastAsia="en-GB"/>
              </w:rPr>
              <w:t>(2) The second draft budget 2019 is based on the  forecast of GNI as included in the technical adjustment of the MFF adopted on 23 May 2018 (COM(2018) 282).</w:t>
            </w:r>
          </w:p>
        </w:tc>
      </w:tr>
    </w:tbl>
    <w:p>
      <w:pPr>
        <w:rPr>
          <w:noProof/>
          <w:lang w:val="en-GB"/>
        </w:rPr>
      </w:pPr>
    </w:p>
    <w:sectPr>
      <w:headerReference w:type="even" r:id="rId35"/>
      <w:headerReference w:type="default" r:id="rId36"/>
      <w:footerReference w:type="even" r:id="rId37"/>
      <w:footerReference w:type="default" r:id="rId38"/>
      <w:headerReference w:type="first" r:id="rId39"/>
      <w:footerReference w:type="first" r:id="rId40"/>
      <w:pgSz w:w="11907" w:h="16839"/>
      <w:pgMar w:top="567" w:right="850" w:bottom="567" w:left="709" w:header="567"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OFMKN P+ Adv T T 5843c 571">
    <w:altName w:val="Adv TT 584 3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tabs>
        <w:tab w:val="clear" w:pos="15137"/>
        <w:tab w:val="left" w:pos="4815"/>
        <w:tab w:val="left" w:pos="5565"/>
        <w:tab w:val="right" w:pos="15735"/>
      </w:tabs>
      <w:ind w:left="0"/>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tabs>
        <w:tab w:val="clear" w:pos="15137"/>
        <w:tab w:val="left" w:pos="4815"/>
        <w:tab w:val="left" w:pos="5565"/>
        <w:tab w:val="right" w:pos="15735"/>
      </w:tabs>
      <w:ind w:left="0"/>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r>
      <w:tab/>
    </w:r>
    <w:r>
      <w:tab/>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345334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1"/>
        <w:tab w:val="right" w:pos="9639"/>
        <w:tab w:val="left" w:pos="10065"/>
      </w:tabs>
      <w:ind w:left="0"/>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pl-PL"/>
        </w:rPr>
      </w:pPr>
      <w:r>
        <w:rPr>
          <w:rStyle w:val="FootnoteReference"/>
        </w:rPr>
        <w:footnoteRef/>
      </w:r>
      <w:r>
        <w:rPr>
          <w:sz w:val="19"/>
          <w:szCs w:val="19"/>
          <w:lang w:val="pl-PL"/>
        </w:rPr>
        <w:t xml:space="preserve"> </w:t>
      </w:r>
      <w:r>
        <w:rPr>
          <w:sz w:val="19"/>
          <w:szCs w:val="19"/>
          <w:lang w:val="pl-PL"/>
        </w:rPr>
        <w:tab/>
      </w:r>
      <w:r>
        <w:rPr>
          <w:lang w:val="pl-PL"/>
        </w:rPr>
        <w:t>OJ L 347, 20.12.2013.</w:t>
      </w:r>
    </w:p>
  </w:footnote>
  <w:footnote w:id="2">
    <w:p>
      <w:pPr>
        <w:pStyle w:val="FootnoteText"/>
        <w:rPr>
          <w:lang w:val="pl-PL"/>
        </w:rPr>
      </w:pPr>
      <w:r>
        <w:rPr>
          <w:rStyle w:val="FootnoteReference"/>
        </w:rPr>
        <w:footnoteRef/>
      </w:r>
      <w:r>
        <w:rPr>
          <w:lang w:val="pl-PL"/>
        </w:rPr>
        <w:t xml:space="preserve"> </w:t>
      </w:r>
      <w:r>
        <w:rPr>
          <w:lang w:val="pl-PL"/>
        </w:rPr>
        <w:tab/>
        <w:t>OJ C 373; 20.12.2013.</w:t>
      </w:r>
    </w:p>
  </w:footnote>
  <w:footnote w:id="3">
    <w:p>
      <w:pPr>
        <w:pStyle w:val="FootnoteText"/>
        <w:rPr>
          <w:lang w:val="pl-PL"/>
        </w:rPr>
      </w:pPr>
      <w:r>
        <w:rPr>
          <w:rStyle w:val="FootnoteReference"/>
        </w:rPr>
        <w:footnoteRef/>
      </w:r>
      <w:r>
        <w:rPr>
          <w:lang w:val="pl-PL"/>
        </w:rPr>
        <w:t xml:space="preserve"> </w:t>
      </w:r>
      <w:r>
        <w:rPr>
          <w:lang w:val="pl-PL"/>
        </w:rPr>
        <w:tab/>
        <w:t>OJ L 160, 7.6.2014.</w:t>
      </w:r>
    </w:p>
  </w:footnote>
  <w:footnote w:id="4">
    <w:p>
      <w:pPr>
        <w:pStyle w:val="FootnoteText"/>
        <w:ind w:left="709" w:hanging="709"/>
        <w:rPr>
          <w:lang w:val="pl-PL"/>
        </w:rPr>
      </w:pPr>
      <w:r>
        <w:rPr>
          <w:rStyle w:val="FootnoteReference"/>
        </w:rPr>
        <w:footnoteRef/>
      </w:r>
      <w:r>
        <w:rPr>
          <w:sz w:val="19"/>
          <w:szCs w:val="19"/>
          <w:lang w:val="pl-PL"/>
        </w:rPr>
        <w:t xml:space="preserve"> </w:t>
      </w:r>
      <w:r>
        <w:rPr>
          <w:sz w:val="19"/>
          <w:szCs w:val="19"/>
          <w:lang w:val="pl-PL"/>
        </w:rPr>
        <w:tab/>
      </w:r>
      <w:r>
        <w:rPr>
          <w:lang w:val="pl-PL"/>
        </w:rPr>
        <w:t>OJ L 193, 30.7.2018.</w:t>
      </w:r>
    </w:p>
  </w:footnote>
  <w:footnote w:id="5">
    <w:p>
      <w:pPr>
        <w:pStyle w:val="FootnoteText"/>
        <w:ind w:left="709" w:hanging="709"/>
        <w:rPr>
          <w:lang w:val="pt-PT"/>
        </w:rPr>
      </w:pPr>
      <w:r>
        <w:rPr>
          <w:rStyle w:val="FootnoteReference"/>
        </w:rPr>
        <w:footnoteRef/>
      </w:r>
      <w:r>
        <w:rPr>
          <w:lang w:val="pt-PT"/>
        </w:rPr>
        <w:t xml:space="preserve"> </w:t>
      </w:r>
      <w:r>
        <w:rPr>
          <w:lang w:val="pt-PT"/>
        </w:rPr>
        <w:tab/>
        <w:t>COM(2018) 600.</w:t>
      </w:r>
    </w:p>
  </w:footnote>
  <w:footnote w:id="6">
    <w:p>
      <w:pPr>
        <w:pStyle w:val="FootnoteText"/>
        <w:rPr>
          <w:lang w:val="pt-PT"/>
        </w:rPr>
      </w:pPr>
      <w:r>
        <w:rPr>
          <w:rStyle w:val="FootnoteReference"/>
        </w:rPr>
        <w:footnoteRef/>
      </w:r>
      <w:r>
        <w:rPr>
          <w:lang w:val="pt-PT"/>
        </w:rPr>
        <w:t xml:space="preserve"> </w:t>
      </w:r>
      <w:r>
        <w:rPr>
          <w:lang w:val="pt-PT"/>
        </w:rPr>
        <w:tab/>
        <w:t>11737-C8-0410/2018.</w:t>
      </w:r>
    </w:p>
  </w:footnote>
  <w:footnote w:id="7">
    <w:p>
      <w:pPr>
        <w:pStyle w:val="FootnoteText"/>
        <w:ind w:left="709" w:hanging="709"/>
        <w:rPr>
          <w:lang w:val="pt-PT"/>
        </w:rPr>
      </w:pPr>
      <w:r>
        <w:rPr>
          <w:rStyle w:val="FootnoteReference"/>
        </w:rPr>
        <w:footnoteRef/>
      </w:r>
      <w:r>
        <w:rPr>
          <w:lang w:val="pt-PT"/>
        </w:rPr>
        <w:t xml:space="preserve"> </w:t>
      </w:r>
      <w:r>
        <w:rPr>
          <w:lang w:val="pt-PT"/>
        </w:rPr>
        <w:tab/>
        <w:t>COM(2018) 709.</w:t>
      </w:r>
    </w:p>
  </w:footnote>
  <w:footnote w:id="8">
    <w:p>
      <w:pPr>
        <w:pStyle w:val="FootnoteText"/>
        <w:rPr>
          <w:lang w:val="pt-PT"/>
        </w:rPr>
      </w:pPr>
      <w:r>
        <w:rPr>
          <w:rStyle w:val="FootnoteReference"/>
        </w:rPr>
        <w:footnoteRef/>
      </w:r>
      <w:r>
        <w:rPr>
          <w:lang w:val="pt-PT"/>
        </w:rPr>
        <w:t xml:space="preserve"> </w:t>
      </w:r>
      <w:r>
        <w:rPr>
          <w:lang w:val="pt-PT"/>
        </w:rPr>
        <w:tab/>
        <w:t>P8_TA(2018)404.</w:t>
      </w:r>
    </w:p>
  </w:footnote>
  <w:footnote w:id="9">
    <w:p>
      <w:pPr>
        <w:pStyle w:val="FootnoteText"/>
        <w:ind w:left="709" w:hanging="709"/>
      </w:pPr>
      <w:r>
        <w:rPr>
          <w:rStyle w:val="FootnoteReference"/>
        </w:rPr>
        <w:footnoteRef/>
      </w:r>
      <w:r>
        <w:t xml:space="preserve"> </w:t>
      </w:r>
      <w:r>
        <w:tab/>
        <w:t>COM(2018) 600.</w:t>
      </w:r>
    </w:p>
  </w:footnote>
  <w:footnote w:id="10">
    <w:p>
      <w:pPr>
        <w:pStyle w:val="FootnoteText"/>
      </w:pPr>
      <w:r>
        <w:rPr>
          <w:rStyle w:val="FootnoteReference"/>
        </w:rPr>
        <w:footnoteRef/>
      </w:r>
      <w:r>
        <w:t xml:space="preserve"> </w:t>
      </w:r>
      <w:r>
        <w:tab/>
        <w:t>COM(2018) 704, 12.10.2018.</w:t>
      </w:r>
    </w:p>
  </w:footnote>
  <w:footnote w:id="11">
    <w:p>
      <w:pPr>
        <w:pStyle w:val="FootnoteText"/>
      </w:pPr>
      <w:r>
        <w:rPr>
          <w:rStyle w:val="FootnoteReference"/>
        </w:rPr>
        <w:footnoteRef/>
      </w:r>
      <w:r>
        <w:t xml:space="preserve"> </w:t>
      </w:r>
      <w:r>
        <w:tab/>
        <w:t>Draft amending budget No 6/2018 was also part of the package discussed in the Conciliation Committee, however its adoption was planned for November, so as to be able to take into account the necessary adjustments of own resources, in particular the VAT and GNI balances which affect the amounts to be made available on the first working day of December 2018.</w:t>
      </w:r>
    </w:p>
  </w:footnote>
  <w:footnote w:id="12">
    <w:p>
      <w:pPr>
        <w:pStyle w:val="FootnoteText"/>
        <w:ind w:left="709" w:hanging="709"/>
      </w:pPr>
      <w:r>
        <w:rPr>
          <w:rStyle w:val="FootnoteReference"/>
        </w:rPr>
        <w:footnoteRef/>
      </w:r>
      <w:r>
        <w:t xml:space="preserve"> </w:t>
      </w:r>
      <w:r>
        <w:tab/>
        <w:t>COM(2018) 709, 16.10.2018.</w:t>
      </w:r>
    </w:p>
  </w:footnote>
  <w:footnote w:id="13">
    <w:p>
      <w:pPr>
        <w:pStyle w:val="FootnoteText"/>
      </w:pPr>
      <w:r>
        <w:rPr>
          <w:rStyle w:val="FootnoteReference"/>
        </w:rPr>
        <w:footnoteRef/>
      </w:r>
      <w:r>
        <w:t xml:space="preserve"> </w:t>
      </w:r>
      <w:r>
        <w:tab/>
        <w:t>The figures are based on the technical adjustment of the financial framework for 2019 in line with movements in GNI, adopted by the Commission on 23.5.2018, (COM(2018) 282).</w:t>
      </w:r>
    </w:p>
  </w:footnote>
  <w:footnote w:id="14">
    <w:p>
      <w:pPr>
        <w:pStyle w:val="FootnoteText"/>
      </w:pPr>
      <w:r>
        <w:rPr>
          <w:rStyle w:val="FootnoteReference"/>
        </w:rPr>
        <w:footnoteRef/>
      </w:r>
      <w:r>
        <w:t xml:space="preserve"> </w:t>
      </w:r>
      <w:r>
        <w:tab/>
      </w:r>
      <w:r>
        <w:rPr>
          <w:noProof/>
        </w:rPr>
        <w:t>Regulation (EU, Euratom) 2018/1046 of the European Parliament and of the Council of 18 July 2018 on the financial rules applicable to the general budget of the Union (OJ L 193, 30.7.2018, p. 1).</w:t>
      </w:r>
    </w:p>
  </w:footnote>
  <w:footnote w:id="15">
    <w:p>
      <w:pPr>
        <w:pStyle w:val="FootnoteText"/>
      </w:pPr>
      <w:r>
        <w:rPr>
          <w:rStyle w:val="FootnoteReference"/>
        </w:rPr>
        <w:footnoteRef/>
      </w:r>
      <w:r>
        <w:t xml:space="preserve"> </w:t>
      </w:r>
      <w:r>
        <w:tab/>
      </w:r>
      <w:r>
        <w:rPr>
          <w:sz w:val="22"/>
          <w:szCs w:val="22"/>
          <w:lang w:eastAsia="en-US"/>
        </w:rPr>
        <w:t>In June 2018, the European Council invited the Commission to launch a new pilot initiative on breakthrough innovation within the remaining period of H2020. The Council conclusions read:</w:t>
      </w:r>
      <w:r>
        <w:rPr>
          <w:i/>
          <w:sz w:val="22"/>
          <w:szCs w:val="22"/>
          <w:lang w:eastAsia="en-US"/>
        </w:rPr>
        <w:t xml:space="preserve"> "We need a stronger, inclusive innovation ecosystem to foster breakthrough and market-creating innovation and provide comprehensive support for businesses, including SMEs, with disruptive potential to successfully enter global markets".</w:t>
      </w:r>
    </w:p>
  </w:footnote>
  <w:footnote w:id="16">
    <w:p>
      <w:pPr>
        <w:pStyle w:val="FootnoteText"/>
        <w:rPr>
          <w:b/>
        </w:rPr>
      </w:pPr>
      <w:r>
        <w:rPr>
          <w:rStyle w:val="FootnoteReference"/>
        </w:rPr>
        <w:footnoteRef/>
      </w:r>
      <w:r>
        <w:rPr>
          <w:b/>
        </w:rPr>
        <w:t xml:space="preserve"> </w:t>
      </w:r>
      <w:r>
        <w:tab/>
        <w:t>1 AD post for data protection and 4 AD posts for IT.</w:t>
      </w:r>
    </w:p>
  </w:footnote>
  <w:footnote w:id="17">
    <w:p>
      <w:pPr>
        <w:pStyle w:val="CM1"/>
        <w:spacing w:before="200" w:after="200"/>
        <w:ind w:left="709" w:hanging="709"/>
        <w:jc w:val="both"/>
      </w:pPr>
      <w:r>
        <w:rPr>
          <w:rStyle w:val="FootnoteReference"/>
        </w:rPr>
        <w:footnoteRef/>
      </w:r>
      <w:r>
        <w:t xml:space="preserve"> </w:t>
      </w:r>
      <w:r>
        <w:tab/>
      </w:r>
      <w:r>
        <w:rPr>
          <w:rFonts w:ascii="OFMKN P+ Adv T T 5843c 571" w:hAnsi="OFMKN P+ Adv T T 5843c 571" w:cs="OFMKN P+ Adv T T 5843c 571"/>
          <w:color w:val="000000"/>
          <w:sz w:val="19"/>
          <w:szCs w:val="19"/>
        </w:rPr>
        <w:t>Proposal for a Council Regulation, submitted by the Commission on 11 January 2018, on establishing the European High Performance Computing Joint Undertaking (COM(2018)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716FA"/>
    <w:multiLevelType w:val="singleLevel"/>
    <w:tmpl w:val="27AE9642"/>
    <w:name w:val="List Bullet 3__1"/>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
    <w:nsid w:val="0E241B5C"/>
    <w:multiLevelType w:val="hybridMultilevel"/>
    <w:tmpl w:val="3064DE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3D3869"/>
    <w:multiLevelType w:val="hybridMultilevel"/>
    <w:tmpl w:val="98903D42"/>
    <w:lvl w:ilvl="0" w:tplc="BD18C84A">
      <w:start w:val="1"/>
      <w:numFmt w:val="bullet"/>
      <w:lvlText w:val="-"/>
      <w:lvlJc w:val="left"/>
      <w:pPr>
        <w:ind w:left="1440" w:hanging="360"/>
      </w:pPr>
      <w:rPr>
        <w:rFonts w:ascii="Times New Roman" w:eastAsia="Calibr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42455F2"/>
    <w:multiLevelType w:val="multilevel"/>
    <w:tmpl w:val="DEF0557E"/>
    <w:name w:val="List Number"/>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7D21377"/>
    <w:multiLevelType w:val="hybridMultilevel"/>
    <w:tmpl w:val="7A045A96"/>
    <w:lvl w:ilvl="0" w:tplc="BD18C84A">
      <w:start w:val="1"/>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C4255EB"/>
    <w:multiLevelType w:val="singleLevel"/>
    <w:tmpl w:val="7CF2F350"/>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6">
    <w:nsid w:val="23C31A5C"/>
    <w:multiLevelType w:val="multilevel"/>
    <w:tmpl w:val="F6ACDD2A"/>
    <w:name w:val="List Number 2__1"/>
    <w:lvl w:ilvl="0">
      <w:start w:val="1"/>
      <w:numFmt w:val="decimal"/>
      <w:lvlRestart w:val="0"/>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85625AC"/>
    <w:multiLevelType w:val="hybridMultilevel"/>
    <w:tmpl w:val="EB0A5F80"/>
    <w:lvl w:ilvl="0" w:tplc="0809000F">
      <w:start w:val="1"/>
      <w:numFmt w:val="decimal"/>
      <w:lvlText w:val="%1."/>
      <w:lvlJc w:val="left"/>
      <w:pPr>
        <w:tabs>
          <w:tab w:val="num" w:pos="360"/>
        </w:tabs>
        <w:ind w:left="360" w:hanging="360"/>
      </w:pPr>
    </w:lvl>
    <w:lvl w:ilvl="1" w:tplc="08090017">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nsid w:val="2BF6337D"/>
    <w:multiLevelType w:val="hybridMultilevel"/>
    <w:tmpl w:val="3064DE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E261514"/>
    <w:multiLevelType w:val="hybridMultilevel"/>
    <w:tmpl w:val="83B400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27A2B15"/>
    <w:multiLevelType w:val="hybridMultilevel"/>
    <w:tmpl w:val="F2A099E4"/>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32A52C4F"/>
    <w:multiLevelType w:val="singleLevel"/>
    <w:tmpl w:val="CEFC5A24"/>
    <w:name w:val="List Bullet 2"/>
    <w:lvl w:ilvl="0">
      <w:start w:val="1"/>
      <w:numFmt w:val="bullet"/>
      <w:lvlRestart w:val="0"/>
      <w:pStyle w:val="Tiret0"/>
      <w:lvlText w:val="–"/>
      <w:lvlJc w:val="left"/>
      <w:pPr>
        <w:tabs>
          <w:tab w:val="num" w:pos="850"/>
        </w:tabs>
        <w:ind w:left="850" w:hanging="850"/>
      </w:pPr>
    </w:lvl>
  </w:abstractNum>
  <w:abstractNum w:abstractNumId="12">
    <w:nsid w:val="330B576B"/>
    <w:multiLevelType w:val="hybridMultilevel"/>
    <w:tmpl w:val="F8BE5B4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9041328"/>
    <w:multiLevelType w:val="hybridMultilevel"/>
    <w:tmpl w:val="2CF4F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95128B6"/>
    <w:multiLevelType w:val="singleLevel"/>
    <w:tmpl w:val="4F70CA0A"/>
    <w:name w:val="List Number 2"/>
    <w:lvl w:ilvl="0">
      <w:start w:val="1"/>
      <w:numFmt w:val="bullet"/>
      <w:lvlRestart w:val="0"/>
      <w:pStyle w:val="Tiret2"/>
      <w:lvlText w:val="–"/>
      <w:lvlJc w:val="left"/>
      <w:pPr>
        <w:tabs>
          <w:tab w:val="num" w:pos="1984"/>
        </w:tabs>
        <w:ind w:left="1984" w:hanging="567"/>
      </w:pPr>
    </w:lvl>
  </w:abstractNum>
  <w:abstractNum w:abstractNumId="15">
    <w:nsid w:val="3BA736C9"/>
    <w:multiLevelType w:val="singleLevel"/>
    <w:tmpl w:val="F00A6C0C"/>
    <w:lvl w:ilvl="0">
      <w:start w:val="1"/>
      <w:numFmt w:val="bullet"/>
      <w:lvlRestart w:val="0"/>
      <w:pStyle w:val="TOC8"/>
      <w:lvlText w:val="–"/>
      <w:lvlJc w:val="left"/>
      <w:pPr>
        <w:tabs>
          <w:tab w:val="num" w:pos="850"/>
        </w:tabs>
        <w:ind w:left="850" w:hanging="850"/>
      </w:pPr>
    </w:lvl>
  </w:abstractNum>
  <w:abstractNum w:abstractNumId="16">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7">
    <w:nsid w:val="46416817"/>
    <w:multiLevelType w:val="singleLevel"/>
    <w:tmpl w:val="ABE4C590"/>
    <w:lvl w:ilvl="0">
      <w:start w:val="1"/>
      <w:numFmt w:val="bullet"/>
      <w:lvlRestart w:val="0"/>
      <w:pStyle w:val="Tiret3"/>
      <w:lvlText w:val="–"/>
      <w:lvlJc w:val="left"/>
      <w:pPr>
        <w:tabs>
          <w:tab w:val="num" w:pos="2551"/>
        </w:tabs>
        <w:ind w:left="2551" w:hanging="567"/>
      </w:pPr>
    </w:lvl>
  </w:abstractNum>
  <w:abstractNum w:abstractNumId="18">
    <w:nsid w:val="4C1B7A6F"/>
    <w:multiLevelType w:val="singleLevel"/>
    <w:tmpl w:val="0A7CB49A"/>
    <w:name w:val="Default"/>
    <w:lvl w:ilvl="0">
      <w:start w:val="1"/>
      <w:numFmt w:val="bullet"/>
      <w:lvlRestart w:val="0"/>
      <w:pStyle w:val="Tiret4"/>
      <w:lvlText w:val="–"/>
      <w:lvlJc w:val="left"/>
      <w:pPr>
        <w:tabs>
          <w:tab w:val="num" w:pos="3118"/>
        </w:tabs>
        <w:ind w:left="3118" w:hanging="567"/>
      </w:pPr>
    </w:lvl>
  </w:abstractNum>
  <w:abstractNum w:abstractNumId="19">
    <w:nsid w:val="4EAE2E48"/>
    <w:multiLevelType w:val="singleLevel"/>
    <w:tmpl w:val="E16ED7A4"/>
    <w:name w:val="List Bullet"/>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0">
    <w:nsid w:val="515028A9"/>
    <w:multiLevelType w:val="hybridMultilevel"/>
    <w:tmpl w:val="112AE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2C7760D"/>
    <w:multiLevelType w:val="singleLevel"/>
    <w:tmpl w:val="BB505DFC"/>
    <w:name w:val="Considérant__1"/>
    <w:lvl w:ilvl="0">
      <w:start w:val="1"/>
      <w:numFmt w:val="decimal"/>
      <w:lvlRestart w:val="0"/>
      <w:pStyle w:val="Considrant"/>
      <w:lvlText w:val="(%1)"/>
      <w:lvlJc w:val="left"/>
      <w:pPr>
        <w:tabs>
          <w:tab w:val="num" w:pos="709"/>
        </w:tabs>
        <w:ind w:left="709" w:hanging="709"/>
      </w:pPr>
    </w:lvl>
  </w:abstractNum>
  <w:abstractNum w:abstractNumId="22">
    <w:nsid w:val="537C030B"/>
    <w:multiLevelType w:val="hybridMultilevel"/>
    <w:tmpl w:val="F042C49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nsid w:val="53F47367"/>
    <w:multiLevelType w:val="singleLevel"/>
    <w:tmpl w:val="B4E8C9F0"/>
    <w:name w:val="Tiret 0"/>
    <w:lvl w:ilvl="0">
      <w:start w:val="1"/>
      <w:numFmt w:val="bullet"/>
      <w:lvlRestart w:val="0"/>
      <w:pStyle w:val="Tiret1"/>
      <w:lvlText w:val="–"/>
      <w:lvlJc w:val="left"/>
      <w:pPr>
        <w:tabs>
          <w:tab w:val="num" w:pos="1417"/>
        </w:tabs>
        <w:ind w:left="1417" w:hanging="567"/>
      </w:pPr>
    </w:lvl>
  </w:abstractNum>
  <w:abstractNum w:abstractNumId="24">
    <w:nsid w:val="596D67A1"/>
    <w:multiLevelType w:val="singleLevel"/>
    <w:tmpl w:val="9AC8831A"/>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5">
    <w:nsid w:val="62A8042C"/>
    <w:multiLevelType w:val="singleLevel"/>
    <w:tmpl w:val="CCF20C06"/>
    <w:name w:val="Tiret 3"/>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6">
    <w:nsid w:val="6A6901C1"/>
    <w:multiLevelType w:val="singleLevel"/>
    <w:tmpl w:val="208841AE"/>
    <w:name w:val="Tiret 4"/>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7">
    <w:nsid w:val="6BB41AAC"/>
    <w:multiLevelType w:val="multilevel"/>
    <w:tmpl w:val="DDD265F8"/>
    <w:name w:val="List Number 3__1"/>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BF90535"/>
    <w:multiLevelType w:val="hybridMultilevel"/>
    <w:tmpl w:val="5A142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D6E6A1B"/>
    <w:multiLevelType w:val="hybridMultilevel"/>
    <w:tmpl w:val="F2A099E4"/>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7399799D"/>
    <w:multiLevelType w:val="multilevel"/>
    <w:tmpl w:val="279E5568"/>
    <w:name w:val="List Number 4__1"/>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8A241BD"/>
    <w:multiLevelType w:val="singleLevel"/>
    <w:tmpl w:val="53C4DF32"/>
    <w:name w:val="List Dash 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2">
    <w:nsid w:val="78C56337"/>
    <w:multiLevelType w:val="multilevel"/>
    <w:tmpl w:val="D57A2C42"/>
    <w:lvl w:ilvl="0">
      <w:start w:val="1"/>
      <w:numFmt w:val="decimal"/>
      <w:lvlRestart w:val="0"/>
      <w:pStyle w:val="Heading1"/>
      <w:lvlText w:val="%1."/>
      <w:lvlJc w:val="left"/>
      <w:pPr>
        <w:tabs>
          <w:tab w:val="num" w:pos="850"/>
        </w:tabs>
        <w:ind w:left="850" w:hanging="850"/>
      </w:pPr>
      <w:rPr>
        <w:rFonts w:cs="Times New Roman"/>
      </w:rPr>
    </w:lvl>
    <w:lvl w:ilvl="1">
      <w:start w:val="1"/>
      <w:numFmt w:val="decimal"/>
      <w:pStyle w:val="Heading2"/>
      <w:lvlText w:val="%1.%2."/>
      <w:lvlJc w:val="left"/>
      <w:pPr>
        <w:tabs>
          <w:tab w:val="num" w:pos="850"/>
        </w:tabs>
        <w:ind w:left="850" w:hanging="850"/>
      </w:pPr>
      <w:rPr>
        <w:rFonts w:cs="Times New Roman"/>
      </w:rPr>
    </w:lvl>
    <w:lvl w:ilvl="2">
      <w:start w:val="1"/>
      <w:numFmt w:val="decimal"/>
      <w:pStyle w:val="Heading3"/>
      <w:lvlText w:val="%1.%2.%3."/>
      <w:lvlJc w:val="left"/>
      <w:pPr>
        <w:tabs>
          <w:tab w:val="num" w:pos="850"/>
        </w:tabs>
        <w:ind w:left="850" w:hanging="850"/>
      </w:pPr>
      <w:rPr>
        <w:rFonts w:cs="Times New Roman"/>
      </w:rPr>
    </w:lvl>
    <w:lvl w:ilvl="3">
      <w:start w:val="1"/>
      <w:numFmt w:val="decimal"/>
      <w:pStyle w:val="Heading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nsid w:val="7C966381"/>
    <w:multiLevelType w:val="multilevel"/>
    <w:tmpl w:val="DCC88062"/>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1"/>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nsid w:val="7CDA1BA5"/>
    <w:multiLevelType w:val="hybridMultilevel"/>
    <w:tmpl w:val="8ABE3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D034250"/>
    <w:multiLevelType w:val="singleLevel"/>
    <w:tmpl w:val="74B6C352"/>
    <w:name w:val="List Bullet 2__1"/>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37">
    <w:nsid w:val="7D8820A0"/>
    <w:multiLevelType w:val="singleLevel"/>
    <w:tmpl w:val="54F6C7B4"/>
    <w:name w:val="Heading__1"/>
    <w:lvl w:ilvl="0">
      <w:start w:val="1"/>
      <w:numFmt w:val="bullet"/>
      <w:lvlRestart w:val="0"/>
      <w:pStyle w:val="ListDash4"/>
      <w:lvlText w:val="–"/>
      <w:lvlJc w:val="left"/>
      <w:pPr>
        <w:tabs>
          <w:tab w:val="num" w:pos="1134"/>
        </w:tabs>
        <w:ind w:left="1134" w:hanging="283"/>
      </w:pPr>
      <w:rPr>
        <w:rFonts w:ascii="Times New Roman" w:hAnsi="Times New Roman"/>
      </w:rPr>
    </w:lvl>
  </w:abstractNum>
  <w:num w:numId="1">
    <w:abstractNumId w:val="11"/>
  </w:num>
  <w:num w:numId="2">
    <w:abstractNumId w:val="23"/>
  </w:num>
  <w:num w:numId="3">
    <w:abstractNumId w:val="14"/>
  </w:num>
  <w:num w:numId="4">
    <w:abstractNumId w:val="17"/>
  </w:num>
  <w:num w:numId="5">
    <w:abstractNumId w:val="18"/>
  </w:num>
  <w:num w:numId="6">
    <w:abstractNumId w:val="34"/>
  </w:num>
  <w:num w:numId="7">
    <w:abstractNumId w:val="26"/>
  </w:num>
  <w:num w:numId="8">
    <w:abstractNumId w:val="16"/>
  </w:num>
  <w:num w:numId="9">
    <w:abstractNumId w:val="25"/>
  </w:num>
  <w:num w:numId="10">
    <w:abstractNumId w:val="24"/>
  </w:num>
  <w:num w:numId="11">
    <w:abstractNumId w:val="31"/>
  </w:num>
  <w:num w:numId="12">
    <w:abstractNumId w:val="37"/>
  </w:num>
  <w:num w:numId="13">
    <w:abstractNumId w:val="33"/>
  </w:num>
  <w:num w:numId="14">
    <w:abstractNumId w:val="32"/>
  </w:num>
  <w:num w:numId="15">
    <w:abstractNumId w:val="21"/>
  </w:num>
  <w:num w:numId="16">
    <w:abstractNumId w:val="30"/>
  </w:num>
  <w:num w:numId="17">
    <w:abstractNumId w:val="27"/>
  </w:num>
  <w:num w:numId="18">
    <w:abstractNumId w:val="6"/>
  </w:num>
  <w:num w:numId="19">
    <w:abstractNumId w:val="3"/>
  </w:num>
  <w:num w:numId="20">
    <w:abstractNumId w:val="5"/>
  </w:num>
  <w:num w:numId="21">
    <w:abstractNumId w:val="0"/>
  </w:num>
  <w:num w:numId="22">
    <w:abstractNumId w:val="36"/>
  </w:num>
  <w:num w:numId="23">
    <w:abstractNumId w:val="19"/>
  </w:num>
  <w:num w:numId="24">
    <w:abstractNumId w:val="15"/>
  </w:num>
  <w:num w:numId="25">
    <w:abstractNumId w:val="10"/>
  </w:num>
  <w:num w:numId="26">
    <w:abstractNumId w:val="29"/>
  </w:num>
  <w:num w:numId="27">
    <w:abstractNumId w:val="7"/>
  </w:num>
  <w:num w:numId="28">
    <w:abstractNumId w:val="4"/>
  </w:num>
  <w:num w:numId="29">
    <w:abstractNumId w:val="20"/>
  </w:num>
  <w:num w:numId="30">
    <w:abstractNumId w:val="12"/>
  </w:num>
  <w:num w:numId="31">
    <w:abstractNumId w:val="2"/>
  </w:num>
  <w:num w:numId="32">
    <w:abstractNumId w:val="32"/>
  </w:num>
  <w:num w:numId="33">
    <w:abstractNumId w:val="32"/>
  </w:num>
  <w:num w:numId="34">
    <w:abstractNumId w:val="32"/>
  </w:num>
  <w:num w:numId="35">
    <w:abstractNumId w:val="32"/>
  </w:num>
  <w:num w:numId="36">
    <w:abstractNumId w:val="32"/>
  </w:num>
  <w:num w:numId="37">
    <w:abstractNumId w:val="35"/>
  </w:num>
  <w:num w:numId="38">
    <w:abstractNumId w:val="22"/>
  </w:num>
  <w:num w:numId="39">
    <w:abstractNumId w:val="9"/>
  </w:num>
  <w:num w:numId="40">
    <w:abstractNumId w:val="28"/>
  </w:num>
  <w:num w:numId="41">
    <w:abstractNumId w:val="13"/>
  </w:num>
  <w:num w:numId="42">
    <w:abstractNumId w:val="32"/>
  </w:num>
  <w:num w:numId="43">
    <w:abstractNumId w:val="32"/>
  </w:num>
  <w:num w:numId="44">
    <w:abstractNumId w:val="8"/>
  </w:num>
  <w:num w:numId="45">
    <w:abstractNumId w:val="32"/>
  </w:num>
  <w:num w:numId="46">
    <w:abstractNumId w:val="1"/>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08"/>
  <w:hyphenationZone w:val="425"/>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5A99BE8-DD80-4E82-AFF3-7E8ACDED796D"/>
    <w:docVar w:name="LW_COVERPAGE_TYPE" w:val="1"/>
    <w:docVar w:name="LW_CROSSREFERENCE" w:val="&lt;UNUSED&gt;"/>
    <w:docVar w:name="LW_DocType" w:val="NORMAL"/>
    <w:docVar w:name="LW_EMISSION" w:val="30.11.2018"/>
    <w:docVar w:name="LW_EMISSION_ISODATE" w:val="2018-11-30"/>
    <w:docVar w:name="LW_EMISSION_LOCATION" w:val="BRX"/>
    <w:docVar w:name="LW_EMISSION_PREFIX" w:val="Brussels, "/>
    <w:docVar w:name="LW_EMISSION_SUFFIX" w:val=" "/>
    <w:docVar w:name="LW_ID_DOCTYPE_NONLW" w:val="CP-035"/>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9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GENERAL INTRODUCTION"/>
    <w:docVar w:name="LW_TYPE.DOC.CP" w:val="Second DRAFT General Budget_x000b_of the European Union_x000b_for the financial year 2019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caption" w:uiPriority="35" w:qFormat="1"/>
    <w:lsdException w:name="footnote reference"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00" w:line="276" w:lineRule="auto"/>
    </w:pPr>
    <w:rPr>
      <w:rFonts w:ascii="Times New Roman" w:hAnsi="Times New Roman"/>
      <w:sz w:val="23"/>
      <w:szCs w:val="22"/>
      <w:lang w:val="fr-BE" w:eastAsia="en-US"/>
    </w:rPr>
  </w:style>
  <w:style w:type="paragraph" w:styleId="Heading1">
    <w:name w:val="heading 1"/>
    <w:basedOn w:val="Normal"/>
    <w:next w:val="Text1"/>
    <w:link w:val="Heading1Char"/>
    <w:autoRedefine/>
    <w:uiPriority w:val="99"/>
    <w:qFormat/>
    <w:pPr>
      <w:keepNext/>
      <w:numPr>
        <w:numId w:val="14"/>
      </w:numPr>
      <w:spacing w:before="360" w:after="240" w:line="240" w:lineRule="auto"/>
      <w:jc w:val="both"/>
      <w:outlineLvl w:val="0"/>
    </w:pPr>
    <w:rPr>
      <w:rFonts w:eastAsia="Times New Roman"/>
      <w:b/>
      <w:bCs/>
      <w:smallCaps/>
      <w:sz w:val="24"/>
      <w:szCs w:val="32"/>
      <w:lang w:val="en-GB" w:eastAsia="de-DE"/>
    </w:rPr>
  </w:style>
  <w:style w:type="paragraph" w:styleId="Heading2">
    <w:name w:val="heading 2"/>
    <w:basedOn w:val="Normal"/>
    <w:next w:val="Text2"/>
    <w:link w:val="Heading2Char"/>
    <w:autoRedefine/>
    <w:uiPriority w:val="99"/>
    <w:qFormat/>
    <w:pPr>
      <w:keepNext/>
      <w:keepLines/>
      <w:numPr>
        <w:ilvl w:val="1"/>
        <w:numId w:val="14"/>
      </w:numPr>
      <w:spacing w:before="240" w:after="120" w:line="240" w:lineRule="auto"/>
      <w:jc w:val="both"/>
      <w:outlineLvl w:val="1"/>
    </w:pPr>
    <w:rPr>
      <w:rFonts w:eastAsia="Times New Roman"/>
      <w:b/>
      <w:bCs/>
      <w:iCs/>
      <w:sz w:val="24"/>
      <w:szCs w:val="28"/>
      <w:lang w:val="en-GB" w:eastAsia="de-DE"/>
    </w:rPr>
  </w:style>
  <w:style w:type="paragraph" w:styleId="Heading3">
    <w:name w:val="heading 3"/>
    <w:basedOn w:val="Normal"/>
    <w:next w:val="Text3"/>
    <w:link w:val="Heading3Char"/>
    <w:uiPriority w:val="99"/>
    <w:qFormat/>
    <w:pPr>
      <w:keepNext/>
      <w:numPr>
        <w:ilvl w:val="2"/>
        <w:numId w:val="14"/>
      </w:numPr>
      <w:spacing w:before="120" w:after="120" w:line="240" w:lineRule="auto"/>
      <w:jc w:val="both"/>
      <w:outlineLvl w:val="2"/>
    </w:pPr>
    <w:rPr>
      <w:rFonts w:eastAsia="Times New Roman"/>
      <w:bCs/>
      <w:i/>
      <w:sz w:val="24"/>
      <w:szCs w:val="26"/>
      <w:lang w:val="en-GB" w:eastAsia="de-DE"/>
    </w:rPr>
  </w:style>
  <w:style w:type="paragraph" w:styleId="Heading4">
    <w:name w:val="heading 4"/>
    <w:basedOn w:val="Normal"/>
    <w:next w:val="Text4"/>
    <w:link w:val="Heading4Char"/>
    <w:uiPriority w:val="99"/>
    <w:qFormat/>
    <w:pPr>
      <w:keepNext/>
      <w:numPr>
        <w:ilvl w:val="3"/>
        <w:numId w:val="14"/>
      </w:numPr>
      <w:spacing w:before="120" w:after="120" w:line="240" w:lineRule="auto"/>
      <w:jc w:val="both"/>
      <w:outlineLvl w:val="3"/>
    </w:pPr>
    <w:rPr>
      <w:rFonts w:eastAsia="Times New Roman"/>
      <w:bCs/>
      <w:sz w:val="24"/>
      <w:szCs w:val="28"/>
      <w:lang w:val="en-GB" w:eastAsia="de-DE"/>
    </w:rPr>
  </w:style>
  <w:style w:type="paragraph" w:styleId="Heading5">
    <w:name w:val="heading 5"/>
    <w:basedOn w:val="Normal"/>
    <w:next w:val="Normal"/>
    <w:link w:val="Heading5Char"/>
    <w:uiPriority w:val="99"/>
    <w:qFormat/>
    <w:pPr>
      <w:keepNext/>
      <w:tabs>
        <w:tab w:val="num" w:pos="1700"/>
      </w:tabs>
      <w:spacing w:before="120" w:after="120" w:line="240" w:lineRule="auto"/>
      <w:ind w:left="1700" w:hanging="1700"/>
      <w:jc w:val="both"/>
      <w:outlineLvl w:val="4"/>
    </w:pPr>
    <w:rPr>
      <w:rFonts w:eastAsia="Times New Roman"/>
      <w:sz w:val="24"/>
      <w:szCs w:val="24"/>
      <w:lang w:val="en-GB" w:eastAsia="en-GB"/>
    </w:rPr>
  </w:style>
  <w:style w:type="paragraph" w:styleId="Heading6">
    <w:name w:val="heading 6"/>
    <w:basedOn w:val="Normal"/>
    <w:next w:val="Normal"/>
    <w:link w:val="Heading6Char"/>
    <w:uiPriority w:val="99"/>
    <w:qFormat/>
    <w:pPr>
      <w:keepNext/>
      <w:tabs>
        <w:tab w:val="num" w:pos="1700"/>
      </w:tabs>
      <w:spacing w:before="120" w:after="120" w:line="240" w:lineRule="auto"/>
      <w:ind w:left="1700" w:hanging="1700"/>
      <w:jc w:val="both"/>
      <w:outlineLvl w:val="5"/>
    </w:pPr>
    <w:rPr>
      <w:rFonts w:eastAsia="Times New Roman"/>
      <w:sz w:val="24"/>
      <w:szCs w:val="24"/>
      <w:lang w:val="en-GB" w:eastAsia="en-GB"/>
    </w:rPr>
  </w:style>
  <w:style w:type="paragraph" w:styleId="Heading7">
    <w:name w:val="heading 7"/>
    <w:basedOn w:val="Normal"/>
    <w:next w:val="Normal"/>
    <w:link w:val="Heading7Char"/>
    <w:uiPriority w:val="99"/>
    <w:qFormat/>
    <w:pPr>
      <w:keepNext/>
      <w:tabs>
        <w:tab w:val="num" w:pos="1700"/>
      </w:tabs>
      <w:spacing w:before="120" w:after="120" w:line="240" w:lineRule="auto"/>
      <w:ind w:left="1700" w:hanging="1700"/>
      <w:jc w:val="both"/>
      <w:outlineLvl w:val="6"/>
    </w:pPr>
    <w:rPr>
      <w:rFonts w:eastAsia="Times New Roman"/>
      <w:sz w:val="24"/>
      <w:szCs w:val="24"/>
      <w:lang w:val="en-GB" w:eastAsia="en-GB"/>
    </w:rPr>
  </w:style>
  <w:style w:type="paragraph" w:styleId="Heading8">
    <w:name w:val="heading 8"/>
    <w:basedOn w:val="Normal"/>
    <w:next w:val="Normal"/>
    <w:link w:val="Heading8Char"/>
    <w:uiPriority w:val="99"/>
    <w:qFormat/>
    <w:pPr>
      <w:keepNext/>
      <w:tabs>
        <w:tab w:val="num" w:pos="1700"/>
      </w:tabs>
      <w:spacing w:before="120" w:after="120" w:line="240" w:lineRule="auto"/>
      <w:ind w:left="1700" w:hanging="1700"/>
      <w:jc w:val="both"/>
      <w:outlineLvl w:val="7"/>
    </w:pPr>
    <w:rPr>
      <w:rFonts w:eastAsia="Times New Roman"/>
      <w:sz w:val="24"/>
      <w:szCs w:val="24"/>
      <w:lang w:val="en-GB" w:eastAsia="en-GB"/>
    </w:rPr>
  </w:style>
  <w:style w:type="paragraph" w:styleId="Heading9">
    <w:name w:val="heading 9"/>
    <w:basedOn w:val="Normal"/>
    <w:next w:val="Normal"/>
    <w:link w:val="Heading9Char"/>
    <w:uiPriority w:val="99"/>
    <w:qFormat/>
    <w:pPr>
      <w:keepNext/>
      <w:tabs>
        <w:tab w:val="num" w:pos="1700"/>
      </w:tabs>
      <w:spacing w:before="120" w:after="120" w:line="240" w:lineRule="auto"/>
      <w:ind w:left="1700" w:hanging="1700"/>
      <w:jc w:val="both"/>
      <w:outlineLvl w:val="8"/>
    </w:pPr>
    <w:rPr>
      <w:rFonts w:eastAsia="Times New Roman"/>
      <w:sz w:val="24"/>
      <w:szCs w:val="24"/>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uiPriority w:val="99"/>
    <w:pPr>
      <w:spacing w:before="120" w:after="120" w:line="240" w:lineRule="auto"/>
      <w:ind w:left="850"/>
      <w:jc w:val="both"/>
    </w:pPr>
    <w:rPr>
      <w:rFonts w:eastAsia="Times New Roman"/>
      <w:sz w:val="24"/>
      <w:szCs w:val="24"/>
      <w:lang w:val="en-GB" w:eastAsia="de-DE"/>
    </w:rPr>
  </w:style>
  <w:style w:type="character" w:customStyle="1" w:styleId="Heading1Char">
    <w:name w:val="Heading 1 Char"/>
    <w:link w:val="Heading1"/>
    <w:uiPriority w:val="99"/>
    <w:rPr>
      <w:rFonts w:ascii="Times New Roman" w:eastAsia="Times New Roman" w:hAnsi="Times New Roman"/>
      <w:b/>
      <w:bCs/>
      <w:smallCaps/>
      <w:sz w:val="24"/>
      <w:szCs w:val="32"/>
      <w:lang w:eastAsia="de-DE"/>
    </w:rPr>
  </w:style>
  <w:style w:type="paragraph" w:customStyle="1" w:styleId="Text2">
    <w:name w:val="Text 2"/>
    <w:basedOn w:val="Normal"/>
    <w:pPr>
      <w:spacing w:before="120" w:after="120" w:line="240" w:lineRule="auto"/>
      <w:ind w:left="850"/>
      <w:jc w:val="both"/>
    </w:pPr>
    <w:rPr>
      <w:rFonts w:eastAsia="Times New Roman"/>
      <w:sz w:val="24"/>
      <w:szCs w:val="24"/>
      <w:lang w:val="en-GB" w:eastAsia="de-DE"/>
    </w:rPr>
  </w:style>
  <w:style w:type="character" w:customStyle="1" w:styleId="Heading2Char">
    <w:name w:val="Heading 2 Char"/>
    <w:link w:val="Heading2"/>
    <w:uiPriority w:val="99"/>
    <w:rPr>
      <w:rFonts w:ascii="Times New Roman" w:eastAsia="Times New Roman" w:hAnsi="Times New Roman"/>
      <w:b/>
      <w:bCs/>
      <w:iCs/>
      <w:sz w:val="24"/>
      <w:szCs w:val="28"/>
      <w:lang w:eastAsia="de-DE"/>
    </w:rPr>
  </w:style>
  <w:style w:type="paragraph" w:customStyle="1" w:styleId="Text3">
    <w:name w:val="Text 3"/>
    <w:basedOn w:val="Normal"/>
    <w:pPr>
      <w:spacing w:before="120" w:after="120" w:line="240" w:lineRule="auto"/>
      <w:ind w:left="850"/>
      <w:jc w:val="both"/>
    </w:pPr>
    <w:rPr>
      <w:rFonts w:eastAsia="Times New Roman"/>
      <w:sz w:val="24"/>
      <w:szCs w:val="24"/>
      <w:lang w:val="en-GB" w:eastAsia="de-DE"/>
    </w:rPr>
  </w:style>
  <w:style w:type="character" w:customStyle="1" w:styleId="Heading3Char">
    <w:name w:val="Heading 3 Char"/>
    <w:link w:val="Heading3"/>
    <w:uiPriority w:val="99"/>
    <w:rPr>
      <w:rFonts w:ascii="Times New Roman" w:eastAsia="Times New Roman" w:hAnsi="Times New Roman"/>
      <w:bCs/>
      <w:i/>
      <w:sz w:val="24"/>
      <w:szCs w:val="26"/>
      <w:lang w:eastAsia="de-DE"/>
    </w:rPr>
  </w:style>
  <w:style w:type="paragraph" w:customStyle="1" w:styleId="Text4">
    <w:name w:val="Text 4"/>
    <w:basedOn w:val="Normal"/>
    <w:pPr>
      <w:spacing w:before="120" w:after="120" w:line="240" w:lineRule="auto"/>
      <w:ind w:left="850"/>
      <w:jc w:val="both"/>
    </w:pPr>
    <w:rPr>
      <w:rFonts w:eastAsia="Times New Roman"/>
      <w:sz w:val="24"/>
      <w:szCs w:val="24"/>
      <w:lang w:val="en-GB" w:eastAsia="de-DE"/>
    </w:rPr>
  </w:style>
  <w:style w:type="character" w:customStyle="1" w:styleId="Heading4Char">
    <w:name w:val="Heading 4 Char"/>
    <w:link w:val="Heading4"/>
    <w:uiPriority w:val="99"/>
    <w:rPr>
      <w:rFonts w:ascii="Times New Roman" w:eastAsia="Times New Roman" w:hAnsi="Times New Roman"/>
      <w:bCs/>
      <w:sz w:val="24"/>
      <w:szCs w:val="28"/>
      <w:lang w:eastAsia="de-DE"/>
    </w:rPr>
  </w:style>
  <w:style w:type="character" w:customStyle="1" w:styleId="Heading5Char">
    <w:name w:val="Heading 5 Char"/>
    <w:link w:val="Heading5"/>
    <w:uiPriority w:val="99"/>
    <w:rPr>
      <w:rFonts w:ascii="Times New Roman" w:eastAsia="Times New Roman" w:hAnsi="Times New Roman" w:cs="Times New Roman"/>
      <w:sz w:val="24"/>
      <w:szCs w:val="24"/>
      <w:lang w:val="en-GB" w:eastAsia="en-GB"/>
    </w:rPr>
  </w:style>
  <w:style w:type="character" w:customStyle="1" w:styleId="Heading6Char">
    <w:name w:val="Heading 6 Char"/>
    <w:link w:val="Heading6"/>
    <w:uiPriority w:val="99"/>
    <w:rPr>
      <w:rFonts w:ascii="Times New Roman" w:eastAsia="Times New Roman" w:hAnsi="Times New Roman" w:cs="Times New Roman"/>
      <w:sz w:val="24"/>
      <w:szCs w:val="24"/>
      <w:lang w:val="en-GB" w:eastAsia="en-GB"/>
    </w:rPr>
  </w:style>
  <w:style w:type="character" w:customStyle="1" w:styleId="Heading7Char">
    <w:name w:val="Heading 7 Char"/>
    <w:link w:val="Heading7"/>
    <w:uiPriority w:val="99"/>
    <w:rPr>
      <w:rFonts w:ascii="Times New Roman" w:eastAsia="Times New Roman" w:hAnsi="Times New Roman" w:cs="Times New Roman"/>
      <w:sz w:val="24"/>
      <w:szCs w:val="24"/>
      <w:lang w:val="en-GB" w:eastAsia="en-GB"/>
    </w:rPr>
  </w:style>
  <w:style w:type="character" w:customStyle="1" w:styleId="Heading8Char">
    <w:name w:val="Heading 8 Char"/>
    <w:link w:val="Heading8"/>
    <w:uiPriority w:val="99"/>
    <w:rPr>
      <w:rFonts w:ascii="Times New Roman" w:eastAsia="Times New Roman" w:hAnsi="Times New Roman" w:cs="Times New Roman"/>
      <w:sz w:val="24"/>
      <w:szCs w:val="24"/>
      <w:lang w:val="en-GB" w:eastAsia="en-GB"/>
    </w:rPr>
  </w:style>
  <w:style w:type="character" w:customStyle="1" w:styleId="Heading9Char">
    <w:name w:val="Heading 9 Char"/>
    <w:link w:val="Heading9"/>
    <w:uiPriority w:val="99"/>
    <w:rPr>
      <w:rFonts w:ascii="Times New Roman" w:eastAsia="Times New Roman" w:hAnsi="Times New Roman" w:cs="Times New Roman"/>
      <w:sz w:val="24"/>
      <w:szCs w:val="24"/>
      <w:lang w:val="en-GB" w:eastAsia="en-GB"/>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eastAsia="Times New Roman"/>
      <w:sz w:val="24"/>
      <w:szCs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eastAsiaTheme="minorHAnsi"/>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val="fr-BE"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eastAsiaTheme="minorHAnsi"/>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val="fr-BE"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sz w:val="24"/>
    </w:rPr>
  </w:style>
  <w:style w:type="character" w:customStyle="1" w:styleId="FooterCoverPageChar">
    <w:name w:val="Footer Cover Page Char"/>
    <w:link w:val="FooterCoverPage"/>
    <w:rPr>
      <w:rFonts w:ascii="Times New Roman" w:hAnsi="Times New Roman"/>
      <w:sz w:val="24"/>
      <w:szCs w:val="22"/>
      <w:lang w:val="fr-BE"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sz w:val="24"/>
    </w:rPr>
  </w:style>
  <w:style w:type="character" w:customStyle="1" w:styleId="HeaderCoverPageChar">
    <w:name w:val="Header Cover Page Char"/>
    <w:link w:val="HeaderCoverPage"/>
    <w:rPr>
      <w:rFonts w:ascii="Times New Roman" w:hAnsi="Times New Roman"/>
      <w:sz w:val="24"/>
      <w:szCs w:val="22"/>
      <w:lang w:val="fr-BE" w:eastAsia="en-US"/>
    </w:r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FootnoteText">
    <w:name w:val="footnote text"/>
    <w:aliases w:val="fn,footnote text,footnote text Char Char,Car,Footnote Text Char2 Char,Footnote Text Char Char Char1,Footnote Text Char1 Char Char Char,Footnote Text Char2 Char Char Char Char,Footnote Text Char1 Char1 Char Char Char Char"/>
    <w:basedOn w:val="Normal"/>
    <w:link w:val="FootnoteTextChar"/>
    <w:uiPriority w:val="99"/>
    <w:qFormat/>
    <w:pPr>
      <w:spacing w:after="0" w:line="240" w:lineRule="auto"/>
      <w:ind w:left="720" w:hanging="720"/>
      <w:jc w:val="both"/>
    </w:pPr>
    <w:rPr>
      <w:rFonts w:eastAsia="Times New Roman"/>
      <w:sz w:val="20"/>
      <w:szCs w:val="20"/>
      <w:lang w:val="en-GB" w:eastAsia="de-DE"/>
    </w:rPr>
  </w:style>
  <w:style w:type="character" w:customStyle="1" w:styleId="FootnoteTextChar">
    <w:name w:val="Footnote Text Char"/>
    <w:aliases w:val="fn Char,footnote text Char,footnote text Char Char Char,Car Char,Footnote Text Char2 Char Char,Footnote Text Char Char Char1 Char,Footnote Text Char1 Char Char Char Char,Footnote Text Char2 Char Char Char Char Char"/>
    <w:link w:val="FootnoteText"/>
    <w:uiPriority w:val="99"/>
    <w:rPr>
      <w:rFonts w:ascii="Times New Roman" w:eastAsia="Times New Roman" w:hAnsi="Times New Roman" w:cs="Times New Roman"/>
      <w:sz w:val="20"/>
      <w:szCs w:val="20"/>
      <w:lang w:val="en-GB" w:eastAsia="de-DE"/>
    </w:rPr>
  </w:style>
  <w:style w:type="paragraph" w:styleId="ListBullet">
    <w:name w:val="List Bullet"/>
    <w:basedOn w:val="Normal"/>
    <w:pPr>
      <w:numPr>
        <w:numId w:val="23"/>
      </w:numPr>
      <w:spacing w:before="120" w:after="120" w:line="240" w:lineRule="auto"/>
      <w:jc w:val="both"/>
    </w:pPr>
    <w:rPr>
      <w:rFonts w:eastAsia="Times New Roman"/>
      <w:sz w:val="24"/>
      <w:szCs w:val="24"/>
      <w:lang w:val="en-GB" w:eastAsia="de-DE"/>
    </w:rPr>
  </w:style>
  <w:style w:type="paragraph" w:styleId="ListBullet2">
    <w:name w:val="List Bullet 2"/>
    <w:basedOn w:val="Normal"/>
    <w:pPr>
      <w:numPr>
        <w:numId w:val="22"/>
      </w:numPr>
      <w:spacing w:before="120" w:after="120" w:line="240" w:lineRule="auto"/>
      <w:jc w:val="both"/>
    </w:pPr>
    <w:rPr>
      <w:rFonts w:eastAsia="Times New Roman"/>
      <w:sz w:val="24"/>
      <w:szCs w:val="24"/>
      <w:lang w:val="en-GB" w:eastAsia="de-DE"/>
    </w:rPr>
  </w:style>
  <w:style w:type="paragraph" w:styleId="ListBullet3">
    <w:name w:val="List Bullet 3"/>
    <w:basedOn w:val="Normal"/>
    <w:pPr>
      <w:numPr>
        <w:numId w:val="21"/>
      </w:numPr>
      <w:spacing w:before="120" w:after="120" w:line="240" w:lineRule="auto"/>
      <w:jc w:val="both"/>
    </w:pPr>
    <w:rPr>
      <w:rFonts w:eastAsia="Times New Roman"/>
      <w:sz w:val="24"/>
      <w:szCs w:val="24"/>
      <w:lang w:val="en-GB" w:eastAsia="de-DE"/>
    </w:rPr>
  </w:style>
  <w:style w:type="paragraph" w:styleId="ListBullet4">
    <w:name w:val="List Bullet 4"/>
    <w:basedOn w:val="Normal"/>
    <w:pPr>
      <w:numPr>
        <w:numId w:val="20"/>
      </w:numPr>
      <w:spacing w:before="120" w:after="120" w:line="240" w:lineRule="auto"/>
      <w:jc w:val="both"/>
    </w:pPr>
    <w:rPr>
      <w:rFonts w:eastAsia="Times New Roman"/>
      <w:sz w:val="24"/>
      <w:szCs w:val="24"/>
      <w:lang w:val="en-GB" w:eastAsia="de-DE"/>
    </w:rPr>
  </w:style>
  <w:style w:type="paragraph" w:styleId="ListNumber">
    <w:name w:val="List Number"/>
    <w:basedOn w:val="Normal"/>
    <w:pPr>
      <w:numPr>
        <w:numId w:val="19"/>
      </w:numPr>
      <w:spacing w:before="120" w:after="120" w:line="240" w:lineRule="auto"/>
      <w:jc w:val="both"/>
    </w:pPr>
    <w:rPr>
      <w:rFonts w:eastAsia="Times New Roman"/>
      <w:sz w:val="24"/>
      <w:szCs w:val="24"/>
      <w:lang w:val="en-GB" w:eastAsia="de-DE"/>
    </w:rPr>
  </w:style>
  <w:style w:type="paragraph" w:styleId="ListNumber2">
    <w:name w:val="List Number 2"/>
    <w:basedOn w:val="Normal"/>
    <w:pPr>
      <w:numPr>
        <w:numId w:val="18"/>
      </w:numPr>
      <w:spacing w:before="120" w:after="120" w:line="240" w:lineRule="auto"/>
      <w:jc w:val="both"/>
    </w:pPr>
    <w:rPr>
      <w:rFonts w:eastAsia="Times New Roman"/>
      <w:sz w:val="24"/>
      <w:szCs w:val="24"/>
      <w:lang w:val="en-GB" w:eastAsia="de-DE"/>
    </w:rPr>
  </w:style>
  <w:style w:type="paragraph" w:styleId="ListNumber3">
    <w:name w:val="List Number 3"/>
    <w:basedOn w:val="Normal"/>
    <w:pPr>
      <w:numPr>
        <w:numId w:val="17"/>
      </w:numPr>
      <w:spacing w:before="120" w:after="120" w:line="240" w:lineRule="auto"/>
      <w:jc w:val="both"/>
    </w:pPr>
    <w:rPr>
      <w:rFonts w:eastAsia="Times New Roman"/>
      <w:sz w:val="24"/>
      <w:szCs w:val="24"/>
      <w:lang w:val="en-GB" w:eastAsia="de-DE"/>
    </w:rPr>
  </w:style>
  <w:style w:type="paragraph" w:styleId="ListNumber4">
    <w:name w:val="List Number 4"/>
    <w:basedOn w:val="Normal"/>
    <w:pPr>
      <w:numPr>
        <w:numId w:val="16"/>
      </w:numPr>
      <w:spacing w:before="120" w:after="120" w:line="240" w:lineRule="auto"/>
      <w:jc w:val="both"/>
    </w:pPr>
    <w:rPr>
      <w:rFonts w:eastAsia="Times New Roman"/>
      <w:sz w:val="24"/>
      <w:szCs w:val="24"/>
      <w:lang w:val="en-GB" w:eastAsia="de-DE"/>
    </w:rPr>
  </w:style>
  <w:style w:type="paragraph" w:styleId="TOC1">
    <w:name w:val="toc 1"/>
    <w:basedOn w:val="Normal"/>
    <w:next w:val="Normal"/>
    <w:uiPriority w:val="39"/>
    <w:pPr>
      <w:spacing w:before="120" w:after="120" w:line="240" w:lineRule="auto"/>
    </w:pPr>
    <w:rPr>
      <w:rFonts w:ascii="Calibri" w:eastAsia="Times New Roman" w:hAnsi="Calibri" w:cs="Calibri"/>
      <w:b/>
      <w:bCs/>
      <w:caps/>
      <w:sz w:val="20"/>
      <w:szCs w:val="20"/>
      <w:lang w:val="en-GB" w:eastAsia="de-DE"/>
    </w:rPr>
  </w:style>
  <w:style w:type="paragraph" w:styleId="TOC2">
    <w:name w:val="toc 2"/>
    <w:basedOn w:val="Normal"/>
    <w:next w:val="Normal"/>
    <w:uiPriority w:val="39"/>
    <w:pPr>
      <w:spacing w:after="0" w:line="240" w:lineRule="auto"/>
      <w:ind w:left="240"/>
    </w:pPr>
    <w:rPr>
      <w:rFonts w:ascii="Calibri" w:eastAsia="Times New Roman" w:hAnsi="Calibri" w:cs="Calibri"/>
      <w:smallCaps/>
      <w:sz w:val="20"/>
      <w:szCs w:val="20"/>
      <w:lang w:val="en-GB" w:eastAsia="de-DE"/>
    </w:rPr>
  </w:style>
  <w:style w:type="paragraph" w:styleId="TOC3">
    <w:name w:val="toc 3"/>
    <w:basedOn w:val="Normal"/>
    <w:next w:val="Normal"/>
    <w:uiPriority w:val="39"/>
    <w:pPr>
      <w:spacing w:after="0" w:line="240" w:lineRule="auto"/>
      <w:ind w:left="480"/>
    </w:pPr>
    <w:rPr>
      <w:rFonts w:ascii="Calibri" w:eastAsia="Times New Roman" w:hAnsi="Calibri" w:cs="Calibri"/>
      <w:i/>
      <w:iCs/>
      <w:sz w:val="20"/>
      <w:szCs w:val="20"/>
      <w:lang w:val="en-GB" w:eastAsia="de-DE"/>
    </w:rPr>
  </w:style>
  <w:style w:type="paragraph" w:styleId="TOC4">
    <w:name w:val="toc 4"/>
    <w:basedOn w:val="Normal"/>
    <w:next w:val="Normal"/>
    <w:uiPriority w:val="99"/>
    <w:semiHidden/>
    <w:pPr>
      <w:spacing w:after="0" w:line="240" w:lineRule="auto"/>
      <w:ind w:left="720"/>
    </w:pPr>
    <w:rPr>
      <w:rFonts w:ascii="Calibri" w:eastAsia="Times New Roman" w:hAnsi="Calibri" w:cs="Calibri"/>
      <w:sz w:val="18"/>
      <w:szCs w:val="18"/>
      <w:lang w:val="en-GB" w:eastAsia="de-DE"/>
    </w:rPr>
  </w:style>
  <w:style w:type="paragraph" w:styleId="TOC5">
    <w:name w:val="toc 5"/>
    <w:basedOn w:val="Normal"/>
    <w:next w:val="Normal"/>
    <w:semiHidden/>
    <w:pPr>
      <w:spacing w:after="0" w:line="240" w:lineRule="auto"/>
      <w:ind w:left="960"/>
    </w:pPr>
    <w:rPr>
      <w:rFonts w:ascii="Calibri" w:eastAsia="Times New Roman" w:hAnsi="Calibri" w:cs="Calibri"/>
      <w:sz w:val="18"/>
      <w:szCs w:val="18"/>
      <w:lang w:val="en-GB" w:eastAsia="de-DE"/>
    </w:rPr>
  </w:style>
  <w:style w:type="paragraph" w:styleId="TOC6">
    <w:name w:val="toc 6"/>
    <w:basedOn w:val="Normal"/>
    <w:next w:val="Normal"/>
    <w:semiHidden/>
    <w:pPr>
      <w:spacing w:after="0" w:line="240" w:lineRule="auto"/>
      <w:ind w:left="1200"/>
    </w:pPr>
    <w:rPr>
      <w:rFonts w:ascii="Calibri" w:eastAsia="Times New Roman" w:hAnsi="Calibri" w:cs="Calibri"/>
      <w:sz w:val="18"/>
      <w:szCs w:val="18"/>
      <w:lang w:val="en-GB" w:eastAsia="de-DE"/>
    </w:rPr>
  </w:style>
  <w:style w:type="paragraph" w:styleId="TOC7">
    <w:name w:val="toc 7"/>
    <w:basedOn w:val="Normal"/>
    <w:next w:val="Normal"/>
    <w:semiHidden/>
    <w:pPr>
      <w:spacing w:after="0" w:line="240" w:lineRule="auto"/>
      <w:ind w:left="1440"/>
    </w:pPr>
    <w:rPr>
      <w:rFonts w:ascii="Calibri" w:eastAsia="Times New Roman" w:hAnsi="Calibri" w:cs="Calibri"/>
      <w:sz w:val="18"/>
      <w:szCs w:val="18"/>
      <w:lang w:val="en-GB" w:eastAsia="de-DE"/>
    </w:rPr>
  </w:style>
  <w:style w:type="paragraph" w:styleId="TOC8">
    <w:name w:val="toc 8"/>
    <w:basedOn w:val="Normal"/>
    <w:next w:val="Normal"/>
    <w:semiHidden/>
    <w:pPr>
      <w:numPr>
        <w:numId w:val="24"/>
      </w:numPr>
      <w:tabs>
        <w:tab w:val="clear" w:pos="850"/>
      </w:tabs>
      <w:spacing w:after="0" w:line="240" w:lineRule="auto"/>
      <w:ind w:left="1680" w:firstLine="0"/>
    </w:pPr>
    <w:rPr>
      <w:rFonts w:ascii="Calibri" w:eastAsia="Times New Roman" w:hAnsi="Calibri" w:cs="Calibri"/>
      <w:sz w:val="18"/>
      <w:szCs w:val="18"/>
      <w:lang w:val="en-GB" w:eastAsia="de-DE"/>
    </w:rPr>
  </w:style>
  <w:style w:type="paragraph" w:styleId="TOC9">
    <w:name w:val="toc 9"/>
    <w:basedOn w:val="Normal"/>
    <w:next w:val="Normal"/>
    <w:semiHidden/>
    <w:pPr>
      <w:spacing w:after="0" w:line="240" w:lineRule="auto"/>
      <w:ind w:left="1920"/>
    </w:pPr>
    <w:rPr>
      <w:rFonts w:ascii="Calibri" w:eastAsia="Times New Roman" w:hAnsi="Calibri" w:cs="Calibri"/>
      <w:sz w:val="18"/>
      <w:szCs w:val="18"/>
      <w:lang w:val="en-GB" w:eastAsia="de-DE"/>
    </w:rPr>
  </w:style>
  <w:style w:type="paragraph" w:customStyle="1" w:styleId="HeaderLandscape">
    <w:name w:val="HeaderLandscape"/>
    <w:basedOn w:val="Normal"/>
    <w:pPr>
      <w:tabs>
        <w:tab w:val="center" w:pos="7285"/>
        <w:tab w:val="right" w:pos="14003"/>
      </w:tabs>
      <w:spacing w:after="120" w:line="240" w:lineRule="auto"/>
      <w:jc w:val="both"/>
    </w:pPr>
    <w:rPr>
      <w:rFonts w:eastAsiaTheme="minorHAnsi"/>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eastAsiaTheme="minorHAnsi"/>
      <w:sz w:val="24"/>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uiPriority w:val="99"/>
    <w:qFormat/>
    <w:rPr>
      <w:rFonts w:cs="Times New Roman"/>
      <w:vertAlign w:val="superscript"/>
    </w:rPr>
  </w:style>
  <w:style w:type="paragraph" w:customStyle="1" w:styleId="NormalCentered">
    <w:name w:val="Normal Centered"/>
    <w:basedOn w:val="Normal"/>
    <w:uiPriority w:val="99"/>
    <w:pPr>
      <w:spacing w:before="120" w:after="120" w:line="240" w:lineRule="auto"/>
      <w:jc w:val="center"/>
    </w:pPr>
    <w:rPr>
      <w:rFonts w:eastAsia="Times New Roman"/>
      <w:sz w:val="24"/>
      <w:szCs w:val="24"/>
      <w:lang w:val="en-GB" w:eastAsia="de-DE"/>
    </w:rPr>
  </w:style>
  <w:style w:type="paragraph" w:customStyle="1" w:styleId="NormalLeft">
    <w:name w:val="Normal Left"/>
    <w:basedOn w:val="Normal"/>
    <w:uiPriority w:val="99"/>
    <w:pPr>
      <w:spacing w:before="120" w:after="120" w:line="240" w:lineRule="auto"/>
    </w:pPr>
    <w:rPr>
      <w:rFonts w:eastAsia="Times New Roman"/>
      <w:sz w:val="24"/>
      <w:szCs w:val="24"/>
      <w:lang w:val="en-GB" w:eastAsia="de-DE"/>
    </w:rPr>
  </w:style>
  <w:style w:type="paragraph" w:customStyle="1" w:styleId="NormalRight">
    <w:name w:val="Normal Right"/>
    <w:basedOn w:val="Normal"/>
    <w:uiPriority w:val="99"/>
    <w:pPr>
      <w:spacing w:before="120" w:after="120" w:line="240" w:lineRule="auto"/>
      <w:jc w:val="right"/>
    </w:pPr>
    <w:rPr>
      <w:rFonts w:eastAsia="Times New Roman"/>
      <w:sz w:val="24"/>
      <w:szCs w:val="24"/>
      <w:lang w:val="en-GB" w:eastAsia="de-DE"/>
    </w:rPr>
  </w:style>
  <w:style w:type="paragraph" w:customStyle="1" w:styleId="QuotedText">
    <w:name w:val="Quoted Text"/>
    <w:basedOn w:val="Normal"/>
    <w:pPr>
      <w:spacing w:before="120" w:after="120" w:line="240" w:lineRule="auto"/>
      <w:ind w:left="1417"/>
      <w:jc w:val="both"/>
    </w:pPr>
    <w:rPr>
      <w:rFonts w:eastAsia="Times New Roman"/>
      <w:sz w:val="24"/>
      <w:szCs w:val="24"/>
      <w:lang w:val="en-GB" w:eastAsia="de-DE"/>
    </w:rPr>
  </w:style>
  <w:style w:type="paragraph" w:customStyle="1" w:styleId="Point0">
    <w:name w:val="Point 0"/>
    <w:basedOn w:val="Normal"/>
    <w:uiPriority w:val="99"/>
    <w:pPr>
      <w:spacing w:before="120" w:after="120" w:line="240" w:lineRule="auto"/>
      <w:ind w:left="850" w:hanging="850"/>
      <w:jc w:val="both"/>
    </w:pPr>
    <w:rPr>
      <w:rFonts w:eastAsia="Times New Roman"/>
      <w:sz w:val="24"/>
      <w:szCs w:val="24"/>
      <w:lang w:val="en-GB" w:eastAsia="de-DE"/>
    </w:rPr>
  </w:style>
  <w:style w:type="paragraph" w:customStyle="1" w:styleId="Point1">
    <w:name w:val="Point 1"/>
    <w:basedOn w:val="Normal"/>
    <w:uiPriority w:val="99"/>
    <w:pPr>
      <w:spacing w:before="120" w:after="120" w:line="240" w:lineRule="auto"/>
      <w:ind w:left="1417" w:hanging="567"/>
      <w:jc w:val="both"/>
    </w:pPr>
    <w:rPr>
      <w:rFonts w:eastAsia="Times New Roman"/>
      <w:sz w:val="24"/>
      <w:szCs w:val="24"/>
      <w:lang w:val="en-GB" w:eastAsia="de-DE"/>
    </w:rPr>
  </w:style>
  <w:style w:type="paragraph" w:customStyle="1" w:styleId="Point2">
    <w:name w:val="Point 2"/>
    <w:basedOn w:val="Normal"/>
    <w:uiPriority w:val="99"/>
    <w:pPr>
      <w:spacing w:before="120" w:after="120" w:line="240" w:lineRule="auto"/>
      <w:ind w:left="1984" w:hanging="567"/>
      <w:jc w:val="both"/>
    </w:pPr>
    <w:rPr>
      <w:rFonts w:eastAsia="Times New Roman"/>
      <w:sz w:val="24"/>
      <w:szCs w:val="24"/>
      <w:lang w:val="en-GB" w:eastAsia="de-DE"/>
    </w:rPr>
  </w:style>
  <w:style w:type="paragraph" w:customStyle="1" w:styleId="Point3">
    <w:name w:val="Point 3"/>
    <w:basedOn w:val="Normal"/>
    <w:uiPriority w:val="99"/>
    <w:pPr>
      <w:spacing w:before="120" w:after="120" w:line="240" w:lineRule="auto"/>
      <w:ind w:left="2551" w:hanging="567"/>
      <w:jc w:val="both"/>
    </w:pPr>
    <w:rPr>
      <w:rFonts w:eastAsia="Times New Roman"/>
      <w:sz w:val="24"/>
      <w:szCs w:val="24"/>
      <w:lang w:val="en-GB" w:eastAsia="de-DE"/>
    </w:rPr>
  </w:style>
  <w:style w:type="paragraph" w:customStyle="1" w:styleId="Point4">
    <w:name w:val="Point 4"/>
    <w:basedOn w:val="Normal"/>
    <w:uiPriority w:val="99"/>
    <w:pPr>
      <w:spacing w:before="120" w:after="120" w:line="240" w:lineRule="auto"/>
      <w:ind w:left="3118" w:hanging="567"/>
      <w:jc w:val="both"/>
    </w:pPr>
    <w:rPr>
      <w:rFonts w:eastAsia="Times New Roman"/>
      <w:sz w:val="24"/>
      <w:szCs w:val="24"/>
      <w:lang w:val="en-GB" w:eastAsia="de-DE"/>
    </w:rPr>
  </w:style>
  <w:style w:type="paragraph" w:customStyle="1" w:styleId="Tiret0">
    <w:name w:val="Tiret 0"/>
    <w:basedOn w:val="Point0"/>
    <w:pPr>
      <w:numPr>
        <w:numId w:val="1"/>
      </w:numPr>
    </w:pPr>
  </w:style>
  <w:style w:type="paragraph" w:customStyle="1" w:styleId="Tiret1">
    <w:name w:val="Tiret 1"/>
    <w:basedOn w:val="Point1"/>
    <w:uiPriority w:val="99"/>
    <w:pPr>
      <w:numPr>
        <w:numId w:val="2"/>
      </w:numPr>
    </w:pPr>
  </w:style>
  <w:style w:type="paragraph" w:customStyle="1" w:styleId="Tiret2">
    <w:name w:val="Tiret 2"/>
    <w:basedOn w:val="Point2"/>
    <w:uiPriority w:val="99"/>
    <w:pPr>
      <w:numPr>
        <w:numId w:val="3"/>
      </w:numPr>
    </w:pPr>
  </w:style>
  <w:style w:type="paragraph" w:customStyle="1" w:styleId="Tiret3">
    <w:name w:val="Tiret 3"/>
    <w:basedOn w:val="Point3"/>
    <w:uiPriority w:val="99"/>
    <w:pPr>
      <w:numPr>
        <w:numId w:val="4"/>
      </w:numPr>
    </w:pPr>
  </w:style>
  <w:style w:type="paragraph" w:customStyle="1" w:styleId="Tiret4">
    <w:name w:val="Tiret 4"/>
    <w:basedOn w:val="Point4"/>
    <w:uiPriority w:val="99"/>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eastAsia="Times New Roman"/>
      <w:sz w:val="24"/>
      <w:szCs w:val="24"/>
      <w:lang w:val="en-GB" w:eastAsia="de-DE"/>
    </w:rPr>
  </w:style>
  <w:style w:type="paragraph" w:customStyle="1" w:styleId="PointDouble1">
    <w:name w:val="PointDouble 1"/>
    <w:basedOn w:val="Normal"/>
    <w:pPr>
      <w:tabs>
        <w:tab w:val="left" w:pos="1417"/>
      </w:tabs>
      <w:spacing w:before="120" w:after="120" w:line="240" w:lineRule="auto"/>
      <w:ind w:left="1984" w:hanging="1134"/>
      <w:jc w:val="both"/>
    </w:pPr>
    <w:rPr>
      <w:rFonts w:eastAsia="Times New Roman"/>
      <w:sz w:val="24"/>
      <w:szCs w:val="24"/>
      <w:lang w:val="en-GB" w:eastAsia="de-DE"/>
    </w:rPr>
  </w:style>
  <w:style w:type="paragraph" w:customStyle="1" w:styleId="PointDouble2">
    <w:name w:val="PointDouble 2"/>
    <w:basedOn w:val="Normal"/>
    <w:pPr>
      <w:tabs>
        <w:tab w:val="left" w:pos="1984"/>
      </w:tabs>
      <w:spacing w:before="120" w:after="120" w:line="240" w:lineRule="auto"/>
      <w:ind w:left="2551" w:hanging="1134"/>
      <w:jc w:val="both"/>
    </w:pPr>
    <w:rPr>
      <w:rFonts w:eastAsia="Times New Roman"/>
      <w:sz w:val="24"/>
      <w:szCs w:val="24"/>
      <w:lang w:val="en-GB" w:eastAsia="de-DE"/>
    </w:rPr>
  </w:style>
  <w:style w:type="paragraph" w:customStyle="1" w:styleId="PointDouble3">
    <w:name w:val="PointDouble 3"/>
    <w:basedOn w:val="Normal"/>
    <w:pPr>
      <w:tabs>
        <w:tab w:val="left" w:pos="2551"/>
      </w:tabs>
      <w:spacing w:before="120" w:after="120" w:line="240" w:lineRule="auto"/>
      <w:ind w:left="3118" w:hanging="1134"/>
      <w:jc w:val="both"/>
    </w:pPr>
    <w:rPr>
      <w:rFonts w:eastAsia="Times New Roman"/>
      <w:sz w:val="24"/>
      <w:szCs w:val="24"/>
      <w:lang w:val="en-GB" w:eastAsia="de-DE"/>
    </w:rPr>
  </w:style>
  <w:style w:type="paragraph" w:customStyle="1" w:styleId="PointDouble4">
    <w:name w:val="PointDouble 4"/>
    <w:basedOn w:val="Normal"/>
    <w:pPr>
      <w:tabs>
        <w:tab w:val="left" w:pos="3118"/>
      </w:tabs>
      <w:spacing w:before="120" w:after="120" w:line="240" w:lineRule="auto"/>
      <w:ind w:left="3685" w:hanging="1134"/>
      <w:jc w:val="both"/>
    </w:pPr>
    <w:rPr>
      <w:rFonts w:eastAsia="Times New Roman"/>
      <w:sz w:val="24"/>
      <w:szCs w:val="24"/>
      <w:lang w:val="en-GB" w:eastAsia="de-DE"/>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eastAsia="Times New Roman"/>
      <w:sz w:val="24"/>
      <w:szCs w:val="24"/>
      <w:lang w:val="en-GB" w:eastAsia="de-DE"/>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eastAsia="Times New Roman"/>
      <w:sz w:val="24"/>
      <w:szCs w:val="24"/>
      <w:lang w:val="en-GB" w:eastAsia="de-DE"/>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eastAsia="Times New Roman"/>
      <w:sz w:val="24"/>
      <w:szCs w:val="24"/>
      <w:lang w:val="en-GB" w:eastAsia="de-DE"/>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eastAsia="Times New Roman"/>
      <w:sz w:val="24"/>
      <w:szCs w:val="24"/>
      <w:lang w:val="en-GB" w:eastAsia="de-DE"/>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eastAsia="Times New Roman"/>
      <w:sz w:val="24"/>
      <w:szCs w:val="24"/>
      <w:lang w:val="en-GB" w:eastAsia="de-DE"/>
    </w:rPr>
  </w:style>
  <w:style w:type="paragraph" w:customStyle="1" w:styleId="NumPar1">
    <w:name w:val="NumPar 1"/>
    <w:basedOn w:val="Normal"/>
    <w:next w:val="Text1"/>
    <w:pPr>
      <w:numPr>
        <w:numId w:val="6"/>
      </w:numPr>
      <w:spacing w:before="120" w:after="120" w:line="240" w:lineRule="auto"/>
      <w:jc w:val="both"/>
    </w:pPr>
    <w:rPr>
      <w:rFonts w:eastAsia="Times New Roman"/>
      <w:sz w:val="24"/>
      <w:szCs w:val="24"/>
      <w:lang w:val="en-GB" w:eastAsia="de-DE"/>
    </w:rPr>
  </w:style>
  <w:style w:type="paragraph" w:customStyle="1" w:styleId="NumPar2">
    <w:name w:val="NumPar 2"/>
    <w:basedOn w:val="Normal"/>
    <w:next w:val="Text2"/>
    <w:pPr>
      <w:tabs>
        <w:tab w:val="num" w:pos="850"/>
      </w:tabs>
      <w:spacing w:before="120" w:after="120" w:line="240" w:lineRule="auto"/>
      <w:ind w:left="850" w:hanging="850"/>
      <w:jc w:val="both"/>
    </w:pPr>
    <w:rPr>
      <w:rFonts w:eastAsia="Times New Roman"/>
      <w:sz w:val="24"/>
      <w:szCs w:val="24"/>
      <w:lang w:val="en-GB" w:eastAsia="de-DE"/>
    </w:rPr>
  </w:style>
  <w:style w:type="paragraph" w:customStyle="1" w:styleId="NumPar3">
    <w:name w:val="NumPar 3"/>
    <w:basedOn w:val="Normal"/>
    <w:next w:val="Text3"/>
    <w:pPr>
      <w:tabs>
        <w:tab w:val="num" w:pos="850"/>
      </w:tabs>
      <w:spacing w:before="120" w:after="120" w:line="240" w:lineRule="auto"/>
      <w:ind w:left="850" w:hanging="850"/>
      <w:jc w:val="both"/>
    </w:pPr>
    <w:rPr>
      <w:rFonts w:eastAsia="Times New Roman"/>
      <w:sz w:val="24"/>
      <w:szCs w:val="24"/>
      <w:lang w:val="en-GB" w:eastAsia="de-DE"/>
    </w:rPr>
  </w:style>
  <w:style w:type="paragraph" w:customStyle="1" w:styleId="NumPar4">
    <w:name w:val="NumPar 4"/>
    <w:basedOn w:val="Normal"/>
    <w:next w:val="Text4"/>
    <w:pPr>
      <w:tabs>
        <w:tab w:val="num" w:pos="850"/>
      </w:tabs>
      <w:spacing w:before="120" w:after="120" w:line="240" w:lineRule="auto"/>
      <w:ind w:left="850" w:hanging="850"/>
      <w:jc w:val="both"/>
    </w:pPr>
    <w:rPr>
      <w:rFonts w:eastAsia="Times New Roman"/>
      <w:sz w:val="24"/>
      <w:szCs w:val="24"/>
      <w:lang w:val="en-GB" w:eastAsia="de-DE"/>
    </w:rPr>
  </w:style>
  <w:style w:type="paragraph" w:customStyle="1" w:styleId="ManualNumPar1">
    <w:name w:val="Manual NumPar 1"/>
    <w:basedOn w:val="Normal"/>
    <w:next w:val="Text1"/>
    <w:pPr>
      <w:spacing w:before="120" w:after="120" w:line="240" w:lineRule="auto"/>
      <w:ind w:left="850" w:hanging="850"/>
      <w:jc w:val="both"/>
    </w:pPr>
    <w:rPr>
      <w:rFonts w:eastAsia="Times New Roman"/>
      <w:sz w:val="24"/>
      <w:szCs w:val="24"/>
      <w:lang w:val="en-GB" w:eastAsia="de-DE"/>
    </w:rPr>
  </w:style>
  <w:style w:type="paragraph" w:customStyle="1" w:styleId="ManualNumPar2">
    <w:name w:val="Manual NumPar 2"/>
    <w:basedOn w:val="Normal"/>
    <w:next w:val="Text2"/>
    <w:pPr>
      <w:spacing w:before="120" w:after="120" w:line="240" w:lineRule="auto"/>
      <w:ind w:left="850" w:hanging="850"/>
      <w:jc w:val="both"/>
    </w:pPr>
    <w:rPr>
      <w:rFonts w:eastAsia="Times New Roman"/>
      <w:sz w:val="24"/>
      <w:szCs w:val="24"/>
      <w:lang w:val="en-GB" w:eastAsia="de-DE"/>
    </w:rPr>
  </w:style>
  <w:style w:type="paragraph" w:customStyle="1" w:styleId="ManualNumPar3">
    <w:name w:val="Manual NumPar 3"/>
    <w:basedOn w:val="Normal"/>
    <w:next w:val="Text3"/>
    <w:pPr>
      <w:spacing w:before="120" w:after="120" w:line="240" w:lineRule="auto"/>
      <w:ind w:left="850" w:hanging="850"/>
      <w:jc w:val="both"/>
    </w:pPr>
    <w:rPr>
      <w:rFonts w:eastAsia="Times New Roman"/>
      <w:sz w:val="24"/>
      <w:szCs w:val="24"/>
      <w:lang w:val="en-GB" w:eastAsia="de-DE"/>
    </w:rPr>
  </w:style>
  <w:style w:type="paragraph" w:customStyle="1" w:styleId="ManualNumPar4">
    <w:name w:val="Manual NumPar 4"/>
    <w:basedOn w:val="Normal"/>
    <w:next w:val="Text4"/>
    <w:pPr>
      <w:spacing w:before="120" w:after="120" w:line="240" w:lineRule="auto"/>
      <w:ind w:left="850" w:hanging="850"/>
      <w:jc w:val="both"/>
    </w:pPr>
    <w:rPr>
      <w:rFonts w:eastAsia="Times New Roman"/>
      <w:sz w:val="24"/>
      <w:szCs w:val="24"/>
      <w:lang w:val="en-GB" w:eastAsia="de-DE"/>
    </w:rPr>
  </w:style>
  <w:style w:type="paragraph" w:customStyle="1" w:styleId="QuotedNumPar">
    <w:name w:val="Quoted NumPar"/>
    <w:basedOn w:val="Normal"/>
    <w:pPr>
      <w:spacing w:before="120" w:after="120" w:line="240" w:lineRule="auto"/>
      <w:ind w:left="1417" w:hanging="567"/>
      <w:jc w:val="both"/>
    </w:pPr>
    <w:rPr>
      <w:rFonts w:eastAsia="Times New Roman"/>
      <w:sz w:val="24"/>
      <w:szCs w:val="24"/>
      <w:lang w:val="en-GB" w:eastAsia="de-DE"/>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eastAsia="Times New Roman"/>
      <w:b/>
      <w:smallCaps/>
      <w:sz w:val="24"/>
      <w:szCs w:val="24"/>
      <w:lang w:val="en-GB" w:eastAsia="de-DE"/>
    </w:rPr>
  </w:style>
  <w:style w:type="paragraph" w:customStyle="1" w:styleId="ManualHeading2">
    <w:name w:val="Manual Heading 2"/>
    <w:basedOn w:val="Normal"/>
    <w:next w:val="Text2"/>
    <w:pPr>
      <w:keepNext/>
      <w:tabs>
        <w:tab w:val="left" w:pos="850"/>
      </w:tabs>
      <w:spacing w:before="120" w:after="120" w:line="240" w:lineRule="auto"/>
      <w:ind w:left="850" w:hanging="850"/>
      <w:jc w:val="both"/>
      <w:outlineLvl w:val="1"/>
    </w:pPr>
    <w:rPr>
      <w:rFonts w:eastAsia="Times New Roman"/>
      <w:b/>
      <w:sz w:val="24"/>
      <w:szCs w:val="24"/>
      <w:lang w:val="en-GB" w:eastAsia="de-DE"/>
    </w:rPr>
  </w:style>
  <w:style w:type="paragraph" w:customStyle="1" w:styleId="ManualHeading3">
    <w:name w:val="Manual Heading 3"/>
    <w:basedOn w:val="Normal"/>
    <w:next w:val="Text3"/>
    <w:pPr>
      <w:keepNext/>
      <w:tabs>
        <w:tab w:val="left" w:pos="850"/>
      </w:tabs>
      <w:spacing w:before="120" w:after="120" w:line="240" w:lineRule="auto"/>
      <w:ind w:left="850" w:hanging="850"/>
      <w:jc w:val="both"/>
      <w:outlineLvl w:val="2"/>
    </w:pPr>
    <w:rPr>
      <w:rFonts w:eastAsia="Times New Roman"/>
      <w:i/>
      <w:sz w:val="24"/>
      <w:szCs w:val="24"/>
      <w:lang w:val="en-GB" w:eastAsia="de-DE"/>
    </w:rPr>
  </w:style>
  <w:style w:type="paragraph" w:customStyle="1" w:styleId="ManualHeading4">
    <w:name w:val="Manual Heading 4"/>
    <w:basedOn w:val="Normal"/>
    <w:next w:val="Text4"/>
    <w:pPr>
      <w:keepNext/>
      <w:tabs>
        <w:tab w:val="left" w:pos="850"/>
      </w:tabs>
      <w:spacing w:before="120" w:after="120" w:line="240" w:lineRule="auto"/>
      <w:ind w:left="850" w:hanging="850"/>
      <w:jc w:val="both"/>
      <w:outlineLvl w:val="3"/>
    </w:pPr>
    <w:rPr>
      <w:rFonts w:eastAsia="Times New Roman"/>
      <w:sz w:val="24"/>
      <w:szCs w:val="24"/>
      <w:lang w:val="en-GB" w:eastAsia="de-DE"/>
    </w:rPr>
  </w:style>
  <w:style w:type="paragraph" w:customStyle="1" w:styleId="ChapterTitle">
    <w:name w:val="ChapterTitle"/>
    <w:basedOn w:val="Normal"/>
    <w:next w:val="Normal"/>
    <w:pPr>
      <w:keepNext/>
      <w:spacing w:before="120" w:after="360" w:line="240" w:lineRule="auto"/>
      <w:jc w:val="center"/>
    </w:pPr>
    <w:rPr>
      <w:rFonts w:eastAsia="Times New Roman"/>
      <w:b/>
      <w:sz w:val="32"/>
      <w:szCs w:val="24"/>
      <w:lang w:val="en-GB" w:eastAsia="de-DE"/>
    </w:rPr>
  </w:style>
  <w:style w:type="paragraph" w:customStyle="1" w:styleId="PartTitle">
    <w:name w:val="PartTitle"/>
    <w:basedOn w:val="Normal"/>
    <w:next w:val="ChapterTitle"/>
    <w:pPr>
      <w:keepNext/>
      <w:pageBreakBefore/>
      <w:spacing w:before="120" w:after="360" w:line="240" w:lineRule="auto"/>
      <w:jc w:val="center"/>
    </w:pPr>
    <w:rPr>
      <w:rFonts w:eastAsia="Times New Roman"/>
      <w:b/>
      <w:sz w:val="36"/>
      <w:szCs w:val="24"/>
      <w:lang w:val="en-GB" w:eastAsia="de-DE"/>
    </w:rPr>
  </w:style>
  <w:style w:type="paragraph" w:customStyle="1" w:styleId="SectionTitle">
    <w:name w:val="SectionTitle"/>
    <w:basedOn w:val="Normal"/>
    <w:next w:val="Heading1"/>
    <w:uiPriority w:val="99"/>
    <w:pPr>
      <w:keepNext/>
      <w:spacing w:before="120" w:after="360" w:line="240" w:lineRule="auto"/>
      <w:jc w:val="center"/>
    </w:pPr>
    <w:rPr>
      <w:rFonts w:eastAsia="Times New Roman"/>
      <w:b/>
      <w:smallCaps/>
      <w:sz w:val="28"/>
      <w:szCs w:val="24"/>
      <w:lang w:val="en-GB" w:eastAsia="de-DE"/>
    </w:rPr>
  </w:style>
  <w:style w:type="paragraph" w:customStyle="1" w:styleId="ListBullet1">
    <w:name w:val="List Bullet 1"/>
    <w:basedOn w:val="Normal"/>
    <w:pPr>
      <w:numPr>
        <w:numId w:val="7"/>
      </w:numPr>
      <w:spacing w:before="120" w:after="120" w:line="240" w:lineRule="auto"/>
      <w:jc w:val="both"/>
    </w:pPr>
    <w:rPr>
      <w:rFonts w:eastAsia="Times New Roman"/>
      <w:sz w:val="24"/>
      <w:szCs w:val="24"/>
      <w:lang w:val="en-GB" w:eastAsia="de-DE"/>
    </w:rPr>
  </w:style>
  <w:style w:type="paragraph" w:customStyle="1" w:styleId="ListDash">
    <w:name w:val="List Dash"/>
    <w:basedOn w:val="Normal"/>
    <w:pPr>
      <w:numPr>
        <w:numId w:val="8"/>
      </w:numPr>
      <w:spacing w:before="120" w:after="120" w:line="240" w:lineRule="auto"/>
      <w:jc w:val="both"/>
    </w:pPr>
    <w:rPr>
      <w:rFonts w:eastAsia="Times New Roman"/>
      <w:sz w:val="24"/>
      <w:szCs w:val="24"/>
      <w:lang w:val="en-GB" w:eastAsia="de-DE"/>
    </w:rPr>
  </w:style>
  <w:style w:type="paragraph" w:customStyle="1" w:styleId="ListDash1">
    <w:name w:val="List Dash 1"/>
    <w:basedOn w:val="Normal"/>
    <w:pPr>
      <w:numPr>
        <w:numId w:val="9"/>
      </w:numPr>
      <w:spacing w:before="120" w:after="120" w:line="240" w:lineRule="auto"/>
      <w:jc w:val="both"/>
    </w:pPr>
    <w:rPr>
      <w:rFonts w:eastAsia="Times New Roman"/>
      <w:sz w:val="24"/>
      <w:szCs w:val="24"/>
      <w:lang w:val="en-GB" w:eastAsia="de-DE"/>
    </w:rPr>
  </w:style>
  <w:style w:type="paragraph" w:customStyle="1" w:styleId="ListDash2">
    <w:name w:val="List Dash 2"/>
    <w:basedOn w:val="Normal"/>
    <w:pPr>
      <w:numPr>
        <w:numId w:val="10"/>
      </w:numPr>
      <w:spacing w:before="120" w:after="120" w:line="240" w:lineRule="auto"/>
      <w:jc w:val="both"/>
    </w:pPr>
    <w:rPr>
      <w:rFonts w:eastAsia="Times New Roman"/>
      <w:sz w:val="24"/>
      <w:szCs w:val="24"/>
      <w:lang w:val="en-GB" w:eastAsia="de-DE"/>
    </w:rPr>
  </w:style>
  <w:style w:type="paragraph" w:customStyle="1" w:styleId="ListDash3">
    <w:name w:val="List Dash 3"/>
    <w:basedOn w:val="Normal"/>
    <w:pPr>
      <w:numPr>
        <w:numId w:val="11"/>
      </w:numPr>
      <w:spacing w:before="120" w:after="120" w:line="240" w:lineRule="auto"/>
      <w:jc w:val="both"/>
    </w:pPr>
    <w:rPr>
      <w:rFonts w:eastAsia="Times New Roman"/>
      <w:sz w:val="24"/>
      <w:szCs w:val="24"/>
      <w:lang w:val="en-GB" w:eastAsia="de-DE"/>
    </w:rPr>
  </w:style>
  <w:style w:type="paragraph" w:customStyle="1" w:styleId="ListDash4">
    <w:name w:val="List Dash 4"/>
    <w:basedOn w:val="Normal"/>
    <w:pPr>
      <w:numPr>
        <w:numId w:val="12"/>
      </w:numPr>
      <w:spacing w:before="120" w:after="120" w:line="240" w:lineRule="auto"/>
      <w:jc w:val="both"/>
    </w:pPr>
    <w:rPr>
      <w:rFonts w:eastAsia="Times New Roman"/>
      <w:sz w:val="24"/>
      <w:szCs w:val="24"/>
      <w:lang w:val="en-GB" w:eastAsia="de-DE"/>
    </w:rPr>
  </w:style>
  <w:style w:type="paragraph" w:customStyle="1" w:styleId="ListNumber1">
    <w:name w:val="List Number 1"/>
    <w:basedOn w:val="Text1"/>
    <w:pPr>
      <w:numPr>
        <w:numId w:val="13"/>
      </w:numPr>
    </w:pPr>
  </w:style>
  <w:style w:type="paragraph" w:customStyle="1" w:styleId="ListNumberLevel2">
    <w:name w:val="List Number (Level 2)"/>
    <w:basedOn w:val="Normal"/>
    <w:pPr>
      <w:numPr>
        <w:ilvl w:val="1"/>
        <w:numId w:val="19"/>
      </w:numPr>
      <w:spacing w:before="120" w:after="120" w:line="240" w:lineRule="auto"/>
      <w:jc w:val="both"/>
    </w:pPr>
    <w:rPr>
      <w:rFonts w:eastAsia="Times New Roman"/>
      <w:sz w:val="24"/>
      <w:szCs w:val="24"/>
      <w:lang w:val="en-GB" w:eastAsia="de-DE"/>
    </w:rPr>
  </w:style>
  <w:style w:type="paragraph" w:customStyle="1" w:styleId="ListNumber1Level2">
    <w:name w:val="List Number 1 (Level 2)"/>
    <w:basedOn w:val="Text1"/>
    <w:pPr>
      <w:numPr>
        <w:ilvl w:val="1"/>
        <w:numId w:val="13"/>
      </w:numPr>
    </w:pPr>
  </w:style>
  <w:style w:type="paragraph" w:customStyle="1" w:styleId="ListNumber2Level2">
    <w:name w:val="List Number 2 (Level 2)"/>
    <w:basedOn w:val="Text2"/>
    <w:pPr>
      <w:numPr>
        <w:ilvl w:val="1"/>
        <w:numId w:val="18"/>
      </w:numPr>
    </w:pPr>
  </w:style>
  <w:style w:type="paragraph" w:customStyle="1" w:styleId="ListNumber3Level2">
    <w:name w:val="List Number 3 (Level 2)"/>
    <w:basedOn w:val="Text3"/>
    <w:pPr>
      <w:numPr>
        <w:ilvl w:val="1"/>
        <w:numId w:val="17"/>
      </w:numPr>
    </w:pPr>
  </w:style>
  <w:style w:type="paragraph" w:customStyle="1" w:styleId="ListNumber4Level2">
    <w:name w:val="List Number 4 (Level 2)"/>
    <w:basedOn w:val="Text4"/>
    <w:pPr>
      <w:numPr>
        <w:ilvl w:val="1"/>
        <w:numId w:val="16"/>
      </w:numPr>
    </w:pPr>
  </w:style>
  <w:style w:type="paragraph" w:customStyle="1" w:styleId="ListNumberLevel3">
    <w:name w:val="List Number (Level 3)"/>
    <w:basedOn w:val="Normal"/>
    <w:pPr>
      <w:numPr>
        <w:ilvl w:val="2"/>
        <w:numId w:val="19"/>
      </w:numPr>
      <w:spacing w:before="120" w:after="120" w:line="240" w:lineRule="auto"/>
      <w:jc w:val="both"/>
    </w:pPr>
    <w:rPr>
      <w:rFonts w:eastAsia="Times New Roman"/>
      <w:sz w:val="24"/>
      <w:szCs w:val="24"/>
      <w:lang w:val="en-GB" w:eastAsia="de-DE"/>
    </w:rPr>
  </w:style>
  <w:style w:type="paragraph" w:customStyle="1" w:styleId="ListNumber1Level3">
    <w:name w:val="List Number 1 (Level 3)"/>
    <w:basedOn w:val="Text1"/>
    <w:pPr>
      <w:numPr>
        <w:ilvl w:val="2"/>
        <w:numId w:val="13"/>
      </w:numPr>
    </w:pPr>
  </w:style>
  <w:style w:type="paragraph" w:customStyle="1" w:styleId="ListNumber2Level3">
    <w:name w:val="List Number 2 (Level 3)"/>
    <w:basedOn w:val="Text2"/>
    <w:pPr>
      <w:numPr>
        <w:ilvl w:val="2"/>
        <w:numId w:val="18"/>
      </w:numPr>
    </w:pPr>
  </w:style>
  <w:style w:type="paragraph" w:customStyle="1" w:styleId="ListNumber3Level3">
    <w:name w:val="List Number 3 (Level 3)"/>
    <w:basedOn w:val="Text3"/>
    <w:pPr>
      <w:numPr>
        <w:ilvl w:val="2"/>
        <w:numId w:val="17"/>
      </w:numPr>
    </w:pPr>
  </w:style>
  <w:style w:type="paragraph" w:customStyle="1" w:styleId="ListNumber4Level3">
    <w:name w:val="List Number 4 (Level 3)"/>
    <w:basedOn w:val="Text4"/>
    <w:pPr>
      <w:numPr>
        <w:ilvl w:val="2"/>
        <w:numId w:val="16"/>
      </w:numPr>
    </w:pPr>
  </w:style>
  <w:style w:type="paragraph" w:customStyle="1" w:styleId="ListNumberLevel4">
    <w:name w:val="List Number (Level 4)"/>
    <w:basedOn w:val="Normal"/>
    <w:pPr>
      <w:numPr>
        <w:ilvl w:val="3"/>
        <w:numId w:val="19"/>
      </w:numPr>
      <w:spacing w:before="120" w:after="120" w:line="240" w:lineRule="auto"/>
      <w:jc w:val="both"/>
    </w:pPr>
    <w:rPr>
      <w:rFonts w:eastAsia="Times New Roman"/>
      <w:sz w:val="24"/>
      <w:szCs w:val="24"/>
      <w:lang w:val="en-GB" w:eastAsia="de-DE"/>
    </w:rPr>
  </w:style>
  <w:style w:type="paragraph" w:customStyle="1" w:styleId="ListNumber1Level4">
    <w:name w:val="List Number 1 (Level 4)"/>
    <w:basedOn w:val="Text1"/>
    <w:pPr>
      <w:numPr>
        <w:ilvl w:val="3"/>
        <w:numId w:val="13"/>
      </w:numPr>
    </w:pPr>
  </w:style>
  <w:style w:type="paragraph" w:customStyle="1" w:styleId="ListNumber2Level4">
    <w:name w:val="List Number 2 (Level 4)"/>
    <w:basedOn w:val="Text2"/>
    <w:pPr>
      <w:numPr>
        <w:ilvl w:val="3"/>
        <w:numId w:val="18"/>
      </w:numPr>
    </w:pPr>
  </w:style>
  <w:style w:type="paragraph" w:customStyle="1" w:styleId="ListNumber3Level4">
    <w:name w:val="List Number 3 (Level 4)"/>
    <w:basedOn w:val="Text3"/>
    <w:pPr>
      <w:numPr>
        <w:ilvl w:val="3"/>
        <w:numId w:val="17"/>
      </w:numPr>
    </w:pPr>
  </w:style>
  <w:style w:type="paragraph" w:customStyle="1" w:styleId="ListNumber4Level4">
    <w:name w:val="List Number 4 (Level 4)"/>
    <w:basedOn w:val="Text4"/>
    <w:pPr>
      <w:numPr>
        <w:ilvl w:val="3"/>
        <w:numId w:val="16"/>
      </w:numPr>
    </w:pPr>
  </w:style>
  <w:style w:type="paragraph" w:customStyle="1" w:styleId="TableTitle">
    <w:name w:val="Table Title"/>
    <w:basedOn w:val="Normal"/>
    <w:next w:val="Normal"/>
    <w:uiPriority w:val="99"/>
    <w:pPr>
      <w:spacing w:before="120" w:after="120" w:line="240" w:lineRule="auto"/>
      <w:jc w:val="center"/>
    </w:pPr>
    <w:rPr>
      <w:rFonts w:eastAsia="Times New Roman"/>
      <w:b/>
      <w:sz w:val="24"/>
      <w:szCs w:val="24"/>
      <w:lang w:val="en-GB" w:eastAsia="de-DE"/>
    </w:rPr>
  </w:style>
  <w:style w:type="character" w:customStyle="1" w:styleId="Marker1">
    <w:name w:val="Marker1"/>
    <w:rPr>
      <w:rFonts w:cs="Times New Roman"/>
      <w:color w:val="008000"/>
    </w:rPr>
  </w:style>
  <w:style w:type="character" w:customStyle="1" w:styleId="Marker2">
    <w:name w:val="Marker2"/>
    <w:rPr>
      <w:rFonts w:cs="Times New Roman"/>
      <w:color w:val="FF0000"/>
    </w:rPr>
  </w:style>
  <w:style w:type="paragraph" w:styleId="TOCHeading">
    <w:name w:val="TOC Heading"/>
    <w:basedOn w:val="Normal"/>
    <w:next w:val="Normal"/>
    <w:uiPriority w:val="99"/>
    <w:qFormat/>
    <w:pPr>
      <w:spacing w:before="120" w:after="240" w:line="240" w:lineRule="auto"/>
      <w:jc w:val="center"/>
    </w:pPr>
    <w:rPr>
      <w:rFonts w:eastAsia="Times New Roman"/>
      <w:b/>
      <w:sz w:val="28"/>
      <w:szCs w:val="24"/>
      <w:lang w:val="en-GB" w:eastAsia="de-DE"/>
    </w:rPr>
  </w:style>
  <w:style w:type="paragraph" w:customStyle="1" w:styleId="Annexetitreacte">
    <w:name w:val="Annexe titre (acte)"/>
    <w:basedOn w:val="Normal"/>
    <w:next w:val="Normal"/>
    <w:pPr>
      <w:spacing w:before="120" w:after="120" w:line="240" w:lineRule="auto"/>
      <w:jc w:val="center"/>
    </w:pPr>
    <w:rPr>
      <w:rFonts w:eastAsia="Times New Roman"/>
      <w:b/>
      <w:sz w:val="24"/>
      <w:szCs w:val="24"/>
      <w:u w:val="single"/>
      <w:lang w:val="en-GB" w:eastAsia="de-DE"/>
    </w:rPr>
  </w:style>
  <w:style w:type="paragraph" w:customStyle="1" w:styleId="Annexetitreexposglobal">
    <w:name w:val="Annexe titre (exposé global)"/>
    <w:basedOn w:val="Normal"/>
    <w:next w:val="Normal"/>
    <w:pPr>
      <w:spacing w:before="120" w:after="120" w:line="240" w:lineRule="auto"/>
      <w:jc w:val="center"/>
    </w:pPr>
    <w:rPr>
      <w:rFonts w:eastAsia="Times New Roman"/>
      <w:b/>
      <w:sz w:val="24"/>
      <w:szCs w:val="24"/>
      <w:u w:val="single"/>
      <w:lang w:val="en-GB" w:eastAsia="de-DE"/>
    </w:rPr>
  </w:style>
  <w:style w:type="paragraph" w:customStyle="1" w:styleId="Annexetitreexpos">
    <w:name w:val="Annexe titre (exposé)"/>
    <w:basedOn w:val="Normal"/>
    <w:next w:val="Normal"/>
    <w:pPr>
      <w:spacing w:before="120" w:after="120" w:line="240" w:lineRule="auto"/>
      <w:jc w:val="center"/>
    </w:pPr>
    <w:rPr>
      <w:rFonts w:eastAsia="Times New Roman"/>
      <w:b/>
      <w:sz w:val="24"/>
      <w:szCs w:val="24"/>
      <w:u w:val="single"/>
      <w:lang w:val="en-GB" w:eastAsia="de-DE"/>
    </w:rPr>
  </w:style>
  <w:style w:type="paragraph" w:customStyle="1" w:styleId="Annexetitrefichefinacte">
    <w:name w:val="Annexe titre (fiche fin. acte)"/>
    <w:basedOn w:val="Normal"/>
    <w:next w:val="Normal"/>
    <w:pPr>
      <w:spacing w:before="120" w:after="120" w:line="240" w:lineRule="auto"/>
      <w:jc w:val="center"/>
    </w:pPr>
    <w:rPr>
      <w:rFonts w:eastAsia="Times New Roman"/>
      <w:b/>
      <w:sz w:val="24"/>
      <w:szCs w:val="24"/>
      <w:u w:val="single"/>
      <w:lang w:val="en-GB" w:eastAsia="de-DE"/>
    </w:rPr>
  </w:style>
  <w:style w:type="paragraph" w:customStyle="1" w:styleId="Annexetitrefichefinglobale">
    <w:name w:val="Annexe titre (fiche fin. globale)"/>
    <w:basedOn w:val="Normal"/>
    <w:next w:val="Normal"/>
    <w:pPr>
      <w:spacing w:before="120" w:after="120" w:line="240" w:lineRule="auto"/>
      <w:jc w:val="center"/>
    </w:pPr>
    <w:rPr>
      <w:rFonts w:eastAsia="Times New Roman"/>
      <w:b/>
      <w:sz w:val="24"/>
      <w:szCs w:val="24"/>
      <w:u w:val="single"/>
      <w:lang w:val="en-GB" w:eastAsia="de-DE"/>
    </w:rPr>
  </w:style>
  <w:style w:type="paragraph" w:customStyle="1" w:styleId="Annexetitreglobale">
    <w:name w:val="Annexe titre (globale)"/>
    <w:basedOn w:val="Normal"/>
    <w:next w:val="Normal"/>
    <w:uiPriority w:val="99"/>
    <w:pPr>
      <w:spacing w:before="120" w:after="120" w:line="240" w:lineRule="auto"/>
      <w:jc w:val="center"/>
    </w:pPr>
    <w:rPr>
      <w:rFonts w:eastAsia="Times New Roman"/>
      <w:b/>
      <w:sz w:val="24"/>
      <w:szCs w:val="24"/>
      <w:u w:val="single"/>
      <w:lang w:val="en-GB" w:eastAsia="de-DE"/>
    </w:rPr>
  </w:style>
  <w:style w:type="paragraph" w:customStyle="1" w:styleId="Applicationdirecte">
    <w:name w:val="Application directe"/>
    <w:basedOn w:val="Normal"/>
    <w:next w:val="Fait"/>
    <w:pPr>
      <w:spacing w:before="480" w:after="120" w:line="240" w:lineRule="auto"/>
      <w:jc w:val="both"/>
    </w:pPr>
    <w:rPr>
      <w:rFonts w:eastAsia="Times New Roman"/>
      <w:sz w:val="24"/>
      <w:szCs w:val="24"/>
      <w:lang w:val="en-GB" w:eastAsia="de-DE"/>
    </w:rPr>
  </w:style>
  <w:style w:type="paragraph" w:customStyle="1" w:styleId="Fait">
    <w:name w:val="Fait à"/>
    <w:basedOn w:val="Normal"/>
    <w:next w:val="Institutionquisigne"/>
    <w:pPr>
      <w:keepNext/>
      <w:spacing w:before="120" w:after="0" w:line="240" w:lineRule="auto"/>
      <w:jc w:val="both"/>
    </w:pPr>
    <w:rPr>
      <w:rFonts w:eastAsia="Times New Roman"/>
      <w:sz w:val="24"/>
      <w:szCs w:val="24"/>
      <w:lang w:val="en-GB" w:eastAsia="de-DE"/>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eastAsia="Times New Roman"/>
      <w:i/>
      <w:sz w:val="24"/>
      <w:szCs w:val="24"/>
      <w:lang w:val="en-GB" w:eastAsia="de-DE"/>
    </w:rPr>
  </w:style>
  <w:style w:type="paragraph" w:customStyle="1" w:styleId="Personnequisigne">
    <w:name w:val="Personne qui signe"/>
    <w:basedOn w:val="Normal"/>
    <w:next w:val="Institutionquisigne"/>
    <w:pPr>
      <w:tabs>
        <w:tab w:val="left" w:pos="4252"/>
      </w:tabs>
      <w:spacing w:after="0" w:line="240" w:lineRule="auto"/>
    </w:pPr>
    <w:rPr>
      <w:rFonts w:eastAsia="Times New Roman"/>
      <w:i/>
      <w:sz w:val="24"/>
      <w:szCs w:val="24"/>
      <w:lang w:val="en-GB" w:eastAsia="de-DE"/>
    </w:rPr>
  </w:style>
  <w:style w:type="paragraph" w:customStyle="1" w:styleId="Avertissementtitre">
    <w:name w:val="Avertissement titre"/>
    <w:basedOn w:val="Normal"/>
    <w:next w:val="Normal"/>
    <w:pPr>
      <w:keepNext/>
      <w:spacing w:before="480" w:after="120" w:line="240" w:lineRule="auto"/>
      <w:jc w:val="both"/>
    </w:pPr>
    <w:rPr>
      <w:rFonts w:eastAsia="Times New Roman"/>
      <w:sz w:val="24"/>
      <w:szCs w:val="24"/>
      <w:u w:val="single"/>
      <w:lang w:val="en-GB" w:eastAsia="de-DE"/>
    </w:rPr>
  </w:style>
  <w:style w:type="paragraph" w:customStyle="1" w:styleId="Confidence">
    <w:name w:val="Confidence"/>
    <w:basedOn w:val="Normal"/>
    <w:next w:val="Normal"/>
    <w:pPr>
      <w:spacing w:before="360" w:after="120" w:line="240" w:lineRule="auto"/>
      <w:jc w:val="center"/>
    </w:pPr>
    <w:rPr>
      <w:rFonts w:eastAsia="Times New Roman"/>
      <w:sz w:val="24"/>
      <w:szCs w:val="24"/>
      <w:lang w:val="en-GB" w:eastAsia="de-DE"/>
    </w:rPr>
  </w:style>
  <w:style w:type="paragraph" w:customStyle="1" w:styleId="Confidentialit">
    <w:name w:val="Confidentialité"/>
    <w:basedOn w:val="Normal"/>
    <w:next w:val="Statut"/>
    <w:pPr>
      <w:spacing w:before="240" w:after="240" w:line="240" w:lineRule="auto"/>
      <w:ind w:left="5103"/>
      <w:jc w:val="both"/>
    </w:pPr>
    <w:rPr>
      <w:rFonts w:eastAsia="Times New Roman"/>
      <w:sz w:val="24"/>
      <w:szCs w:val="24"/>
      <w:u w:val="single"/>
      <w:lang w:val="en-GB" w:eastAsia="de-DE"/>
    </w:rPr>
  </w:style>
  <w:style w:type="paragraph" w:customStyle="1" w:styleId="Statut">
    <w:name w:val="Statut"/>
    <w:basedOn w:val="Normal"/>
    <w:next w:val="Typedudocument"/>
    <w:pPr>
      <w:spacing w:before="360" w:after="0" w:line="240" w:lineRule="auto"/>
      <w:jc w:val="center"/>
    </w:pPr>
    <w:rPr>
      <w:rFonts w:eastAsia="Times New Roman"/>
      <w:sz w:val="24"/>
      <w:szCs w:val="24"/>
      <w:lang w:val="en-GB" w:eastAsia="de-DE"/>
    </w:rPr>
  </w:style>
  <w:style w:type="paragraph" w:customStyle="1" w:styleId="Typedudocument">
    <w:name w:val="Type du document"/>
    <w:basedOn w:val="Normal"/>
    <w:next w:val="Datedadoption"/>
    <w:pPr>
      <w:spacing w:before="360" w:after="0" w:line="240" w:lineRule="auto"/>
      <w:jc w:val="center"/>
    </w:pPr>
    <w:rPr>
      <w:rFonts w:eastAsia="Times New Roman"/>
      <w:b/>
      <w:sz w:val="24"/>
      <w:szCs w:val="24"/>
      <w:lang w:val="en-GB" w:eastAsia="de-DE"/>
    </w:rPr>
  </w:style>
  <w:style w:type="paragraph" w:customStyle="1" w:styleId="Datedadoption">
    <w:name w:val="Date d'adoption"/>
    <w:basedOn w:val="Normal"/>
    <w:next w:val="Titreobjet"/>
    <w:pPr>
      <w:spacing w:before="360" w:after="0" w:line="240" w:lineRule="auto"/>
      <w:jc w:val="center"/>
    </w:pPr>
    <w:rPr>
      <w:rFonts w:eastAsia="Times New Roman"/>
      <w:b/>
      <w:sz w:val="24"/>
      <w:szCs w:val="24"/>
      <w:lang w:val="en-GB" w:eastAsia="de-DE"/>
    </w:rPr>
  </w:style>
  <w:style w:type="paragraph" w:customStyle="1" w:styleId="Titreobjet">
    <w:name w:val="Titre objet"/>
    <w:basedOn w:val="Normal"/>
    <w:next w:val="Normal"/>
    <w:pPr>
      <w:spacing w:before="360" w:after="360" w:line="240" w:lineRule="auto"/>
      <w:jc w:val="center"/>
    </w:pPr>
    <w:rPr>
      <w:rFonts w:eastAsiaTheme="minorHAnsi"/>
      <w:b/>
      <w:sz w:val="24"/>
    </w:rPr>
  </w:style>
  <w:style w:type="paragraph" w:customStyle="1" w:styleId="Sous-titreobjet">
    <w:name w:val="Sous-titre objet"/>
    <w:basedOn w:val="Normal"/>
    <w:uiPriority w:val="99"/>
    <w:pPr>
      <w:spacing w:after="0" w:line="240" w:lineRule="auto"/>
      <w:jc w:val="center"/>
    </w:pPr>
    <w:rPr>
      <w:rFonts w:eastAsia="Times New Roman"/>
      <w:b/>
      <w:sz w:val="24"/>
      <w:szCs w:val="24"/>
      <w:lang w:val="en-GB" w:eastAsia="de-DE"/>
    </w:rPr>
  </w:style>
  <w:style w:type="paragraph" w:customStyle="1" w:styleId="Considrant">
    <w:name w:val="Considérant"/>
    <w:basedOn w:val="Normal"/>
    <w:pPr>
      <w:numPr>
        <w:numId w:val="15"/>
      </w:numPr>
      <w:spacing w:before="120" w:after="120" w:line="240" w:lineRule="auto"/>
      <w:jc w:val="both"/>
    </w:pPr>
    <w:rPr>
      <w:rFonts w:eastAsia="Times New Roman"/>
      <w:sz w:val="24"/>
      <w:szCs w:val="24"/>
      <w:lang w:val="en-GB" w:eastAsia="de-DE"/>
    </w:rPr>
  </w:style>
  <w:style w:type="paragraph" w:customStyle="1" w:styleId="Corrigendum">
    <w:name w:val="Corrigendum"/>
    <w:basedOn w:val="Normal"/>
    <w:next w:val="Normal"/>
    <w:pPr>
      <w:spacing w:after="240" w:line="240" w:lineRule="auto"/>
    </w:pPr>
    <w:rPr>
      <w:rFonts w:eastAsia="Times New Roman"/>
      <w:sz w:val="24"/>
      <w:szCs w:val="24"/>
      <w:lang w:val="en-GB" w:eastAsia="de-DE"/>
    </w:rPr>
  </w:style>
  <w:style w:type="paragraph" w:customStyle="1" w:styleId="Emission">
    <w:name w:val="Emission"/>
    <w:basedOn w:val="Normal"/>
    <w:next w:val="Rfrenceinstitutionelle"/>
    <w:pPr>
      <w:spacing w:after="0" w:line="240" w:lineRule="auto"/>
      <w:ind w:left="5103"/>
    </w:pPr>
    <w:rPr>
      <w:rFonts w:eastAsia="Times New Roman"/>
      <w:sz w:val="24"/>
      <w:szCs w:val="24"/>
      <w:lang w:val="en-GB" w:eastAsia="de-DE"/>
    </w:rPr>
  </w:style>
  <w:style w:type="paragraph" w:customStyle="1" w:styleId="Rfrenceinstitutionelle">
    <w:name w:val="Référence institutionelle"/>
    <w:basedOn w:val="Normal"/>
    <w:next w:val="Statut"/>
    <w:pPr>
      <w:spacing w:after="240" w:line="240" w:lineRule="auto"/>
      <w:ind w:left="5103"/>
    </w:pPr>
    <w:rPr>
      <w:rFonts w:eastAsia="Times New Roman"/>
      <w:sz w:val="24"/>
      <w:szCs w:val="24"/>
      <w:lang w:val="en-GB" w:eastAsia="de-DE"/>
    </w:rPr>
  </w:style>
  <w:style w:type="paragraph" w:customStyle="1" w:styleId="Exposdesmotifstitre">
    <w:name w:val="Exposé des motifs titre"/>
    <w:basedOn w:val="Normal"/>
    <w:next w:val="Normal"/>
    <w:pPr>
      <w:spacing w:before="120" w:after="120" w:line="240" w:lineRule="auto"/>
      <w:jc w:val="center"/>
    </w:pPr>
    <w:rPr>
      <w:rFonts w:eastAsia="Times New Roman"/>
      <w:b/>
      <w:sz w:val="24"/>
      <w:szCs w:val="24"/>
      <w:u w:val="single"/>
      <w:lang w:val="en-GB" w:eastAsia="de-DE"/>
    </w:rPr>
  </w:style>
  <w:style w:type="paragraph" w:customStyle="1" w:styleId="Exposdesmotifstitreglobal">
    <w:name w:val="Exposé des motifs titre (global)"/>
    <w:basedOn w:val="Normal"/>
    <w:next w:val="Normal"/>
    <w:pPr>
      <w:spacing w:before="120" w:after="120" w:line="240" w:lineRule="auto"/>
      <w:jc w:val="center"/>
    </w:pPr>
    <w:rPr>
      <w:rFonts w:eastAsia="Times New Roman"/>
      <w:b/>
      <w:sz w:val="24"/>
      <w:szCs w:val="24"/>
      <w:u w:val="single"/>
      <w:lang w:val="en-GB" w:eastAsia="de-DE"/>
    </w:rPr>
  </w:style>
  <w:style w:type="paragraph" w:customStyle="1" w:styleId="Formuledadoption">
    <w:name w:val="Formule d'adoption"/>
    <w:basedOn w:val="Normal"/>
    <w:next w:val="Titrearticle"/>
    <w:pPr>
      <w:keepNext/>
      <w:spacing w:before="120" w:after="120" w:line="240" w:lineRule="auto"/>
      <w:jc w:val="both"/>
    </w:pPr>
    <w:rPr>
      <w:rFonts w:eastAsia="Times New Roman"/>
      <w:sz w:val="24"/>
      <w:szCs w:val="24"/>
      <w:lang w:val="en-GB" w:eastAsia="de-DE"/>
    </w:rPr>
  </w:style>
  <w:style w:type="paragraph" w:customStyle="1" w:styleId="Titrearticle">
    <w:name w:val="Titre article"/>
    <w:basedOn w:val="Normal"/>
    <w:next w:val="Normal"/>
    <w:pPr>
      <w:keepNext/>
      <w:spacing w:before="360" w:after="120" w:line="240" w:lineRule="auto"/>
      <w:jc w:val="center"/>
    </w:pPr>
    <w:rPr>
      <w:rFonts w:eastAsia="Times New Roman"/>
      <w:i/>
      <w:sz w:val="24"/>
      <w:szCs w:val="24"/>
      <w:lang w:val="en-GB" w:eastAsia="de-DE"/>
    </w:rPr>
  </w:style>
  <w:style w:type="paragraph" w:customStyle="1" w:styleId="Institutionquiagit">
    <w:name w:val="Institution qui agit"/>
    <w:basedOn w:val="Normal"/>
    <w:next w:val="Normal"/>
    <w:pPr>
      <w:keepNext/>
      <w:spacing w:before="600" w:after="120" w:line="240" w:lineRule="auto"/>
      <w:jc w:val="both"/>
    </w:pPr>
    <w:rPr>
      <w:rFonts w:eastAsia="Times New Roman"/>
      <w:sz w:val="24"/>
      <w:szCs w:val="24"/>
      <w:lang w:val="en-GB" w:eastAsia="de-DE"/>
    </w:rPr>
  </w:style>
  <w:style w:type="paragraph" w:customStyle="1" w:styleId="Langue">
    <w:name w:val="Langue"/>
    <w:basedOn w:val="Normal"/>
    <w:next w:val="Rfrenceinterne"/>
    <w:uiPriority w:val="99"/>
    <w:pPr>
      <w:spacing w:after="600" w:line="240" w:lineRule="auto"/>
      <w:jc w:val="center"/>
    </w:pPr>
    <w:rPr>
      <w:rFonts w:eastAsia="Times New Roman"/>
      <w:b/>
      <w:caps/>
      <w:sz w:val="24"/>
      <w:szCs w:val="24"/>
      <w:lang w:val="en-GB" w:eastAsia="de-DE"/>
    </w:rPr>
  </w:style>
  <w:style w:type="paragraph" w:customStyle="1" w:styleId="Rfrenceinterne">
    <w:name w:val="Référence interne"/>
    <w:basedOn w:val="Normal"/>
    <w:next w:val="Nomdelinstitution"/>
    <w:pPr>
      <w:spacing w:after="600" w:line="240" w:lineRule="auto"/>
      <w:jc w:val="center"/>
    </w:pPr>
    <w:rPr>
      <w:rFonts w:eastAsia="Times New Roman"/>
      <w:b/>
      <w:sz w:val="24"/>
      <w:szCs w:val="24"/>
      <w:lang w:val="en-GB" w:eastAsia="de-DE"/>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lang w:val="en-GB" w:eastAsia="de-DE"/>
    </w:rPr>
  </w:style>
  <w:style w:type="paragraph" w:customStyle="1" w:styleId="Langueoriginale">
    <w:name w:val="Langue originale"/>
    <w:basedOn w:val="Normal"/>
    <w:next w:val="Phrasefinale"/>
    <w:pPr>
      <w:spacing w:before="360" w:after="120" w:line="240" w:lineRule="auto"/>
      <w:jc w:val="center"/>
    </w:pPr>
    <w:rPr>
      <w:rFonts w:eastAsia="Times New Roman"/>
      <w:caps/>
      <w:sz w:val="24"/>
      <w:szCs w:val="24"/>
      <w:lang w:val="en-GB" w:eastAsia="de-DE"/>
    </w:rPr>
  </w:style>
  <w:style w:type="paragraph" w:customStyle="1" w:styleId="Phrasefinale">
    <w:name w:val="Phrase finale"/>
    <w:basedOn w:val="Normal"/>
    <w:next w:val="Normal"/>
    <w:pPr>
      <w:spacing w:before="360" w:after="0" w:line="240" w:lineRule="auto"/>
      <w:jc w:val="center"/>
    </w:pPr>
    <w:rPr>
      <w:rFonts w:eastAsia="Times New Roman"/>
      <w:sz w:val="24"/>
      <w:szCs w:val="24"/>
      <w:lang w:val="en-GB" w:eastAsia="de-DE"/>
    </w:rPr>
  </w:style>
  <w:style w:type="paragraph" w:customStyle="1" w:styleId="ManualConsidrant">
    <w:name w:val="Manual Considérant"/>
    <w:basedOn w:val="Normal"/>
    <w:pPr>
      <w:spacing w:before="120" w:after="120" w:line="240" w:lineRule="auto"/>
      <w:ind w:left="709" w:hanging="709"/>
      <w:jc w:val="both"/>
    </w:pPr>
    <w:rPr>
      <w:rFonts w:eastAsia="Times New Roman"/>
      <w:sz w:val="24"/>
      <w:szCs w:val="24"/>
      <w:lang w:val="en-GB" w:eastAsia="de-DE"/>
    </w:rPr>
  </w:style>
  <w:style w:type="paragraph" w:customStyle="1" w:styleId="Prliminairetitre">
    <w:name w:val="Préliminaire titre"/>
    <w:basedOn w:val="Normal"/>
    <w:next w:val="Normal"/>
    <w:pPr>
      <w:spacing w:before="360" w:after="360" w:line="240" w:lineRule="auto"/>
      <w:jc w:val="center"/>
    </w:pPr>
    <w:rPr>
      <w:rFonts w:eastAsia="Times New Roman"/>
      <w:b/>
      <w:sz w:val="24"/>
      <w:szCs w:val="24"/>
      <w:lang w:val="en-GB" w:eastAsia="de-DE"/>
    </w:rPr>
  </w:style>
  <w:style w:type="paragraph" w:customStyle="1" w:styleId="Prliminairetype">
    <w:name w:val="Préliminaire type"/>
    <w:basedOn w:val="Normal"/>
    <w:next w:val="Normal"/>
    <w:pPr>
      <w:spacing w:before="360" w:after="0" w:line="240" w:lineRule="auto"/>
      <w:jc w:val="center"/>
    </w:pPr>
    <w:rPr>
      <w:rFonts w:eastAsia="Times New Roman"/>
      <w:b/>
      <w:sz w:val="24"/>
      <w:szCs w:val="24"/>
      <w:lang w:val="en-GB" w:eastAsia="de-DE"/>
    </w:rPr>
  </w:style>
  <w:style w:type="paragraph" w:customStyle="1" w:styleId="Rfrenceinterinstitutionelle">
    <w:name w:val="Référence interinstitutionelle"/>
    <w:basedOn w:val="Normal"/>
    <w:next w:val="Statut"/>
    <w:pPr>
      <w:spacing w:after="0" w:line="240" w:lineRule="auto"/>
      <w:ind w:left="5103"/>
    </w:pPr>
    <w:rPr>
      <w:rFonts w:eastAsia="Times New Roman"/>
      <w:sz w:val="24"/>
      <w:szCs w:val="24"/>
      <w:lang w:val="en-GB" w:eastAsia="de-DE"/>
    </w:rPr>
  </w:style>
  <w:style w:type="paragraph" w:customStyle="1" w:styleId="Rfrenceinterinstitutionelleprliminaire">
    <w:name w:val="Référence interinstitutionelle (préliminaire)"/>
    <w:basedOn w:val="Normal"/>
    <w:next w:val="Normal"/>
    <w:pPr>
      <w:spacing w:after="0" w:line="240" w:lineRule="auto"/>
      <w:ind w:left="5103"/>
    </w:pPr>
    <w:rPr>
      <w:rFonts w:eastAsia="Times New Roman"/>
      <w:sz w:val="24"/>
      <w:szCs w:val="24"/>
      <w:lang w:val="en-GB" w:eastAsia="de-DE"/>
    </w:rPr>
  </w:style>
  <w:style w:type="paragraph" w:customStyle="1" w:styleId="Sous-titreobjetprliminaire">
    <w:name w:val="Sous-titre objet (préliminaire)"/>
    <w:basedOn w:val="Normal"/>
    <w:pPr>
      <w:spacing w:after="0" w:line="240" w:lineRule="auto"/>
      <w:jc w:val="center"/>
    </w:pPr>
    <w:rPr>
      <w:rFonts w:eastAsia="Times New Roman"/>
      <w:b/>
      <w:sz w:val="24"/>
      <w:szCs w:val="24"/>
      <w:lang w:val="en-GB" w:eastAsia="de-DE"/>
    </w:rPr>
  </w:style>
  <w:style w:type="paragraph" w:customStyle="1" w:styleId="Statutprliminaire">
    <w:name w:val="Statut (préliminaire)"/>
    <w:basedOn w:val="Normal"/>
    <w:next w:val="Normal"/>
    <w:pPr>
      <w:spacing w:before="360" w:after="0" w:line="240" w:lineRule="auto"/>
      <w:jc w:val="center"/>
    </w:pPr>
    <w:rPr>
      <w:rFonts w:eastAsia="Times New Roman"/>
      <w:sz w:val="24"/>
      <w:szCs w:val="24"/>
      <w:lang w:val="en-GB" w:eastAsia="de-DE"/>
    </w:rPr>
  </w:style>
  <w:style w:type="paragraph" w:customStyle="1" w:styleId="Titreobjetprliminaire">
    <w:name w:val="Titre objet (préliminaire)"/>
    <w:basedOn w:val="Normal"/>
    <w:next w:val="Normal"/>
    <w:pPr>
      <w:spacing w:before="360" w:after="360" w:line="240" w:lineRule="auto"/>
      <w:jc w:val="center"/>
    </w:pPr>
    <w:rPr>
      <w:rFonts w:eastAsia="Times New Roman"/>
      <w:b/>
      <w:sz w:val="24"/>
      <w:szCs w:val="24"/>
      <w:lang w:val="en-GB" w:eastAsia="de-DE"/>
    </w:rPr>
  </w:style>
  <w:style w:type="paragraph" w:customStyle="1" w:styleId="Typedudocumentprliminaire">
    <w:name w:val="Type du document (préliminaire)"/>
    <w:basedOn w:val="Normal"/>
    <w:next w:val="Normal"/>
    <w:pPr>
      <w:spacing w:before="360" w:after="0" w:line="240" w:lineRule="auto"/>
      <w:jc w:val="center"/>
    </w:pPr>
    <w:rPr>
      <w:rFonts w:eastAsia="Times New Roman"/>
      <w:b/>
      <w:sz w:val="24"/>
      <w:szCs w:val="24"/>
      <w:lang w:val="en-GB" w:eastAsia="de-DE"/>
    </w:rPr>
  </w:style>
  <w:style w:type="character" w:customStyle="1" w:styleId="Added">
    <w:name w:val="Added"/>
    <w:rPr>
      <w:rFonts w:cs="Times New Roman"/>
      <w:b/>
      <w:u w:val="single"/>
    </w:rPr>
  </w:style>
  <w:style w:type="character" w:customStyle="1" w:styleId="Deleted">
    <w:name w:val="Deleted"/>
    <w:rPr>
      <w:rFonts w:cs="Times New Roman"/>
      <w:strike/>
    </w:rPr>
  </w:style>
  <w:style w:type="paragraph" w:customStyle="1" w:styleId="Address">
    <w:name w:val="Address"/>
    <w:basedOn w:val="Normal"/>
    <w:next w:val="Normal"/>
    <w:pPr>
      <w:keepLines/>
      <w:spacing w:before="120" w:after="120" w:line="360" w:lineRule="auto"/>
      <w:ind w:left="3402"/>
    </w:pPr>
    <w:rPr>
      <w:rFonts w:eastAsia="Times New Roman"/>
      <w:sz w:val="24"/>
      <w:szCs w:val="24"/>
      <w:lang w:val="en-GB" w:eastAsia="de-DE"/>
    </w:rPr>
  </w:style>
  <w:style w:type="paragraph" w:customStyle="1" w:styleId="Fichefinancirestandardtitre">
    <w:name w:val="Fiche financière (standard) titre"/>
    <w:basedOn w:val="Normal"/>
    <w:next w:val="Normal"/>
    <w:pPr>
      <w:spacing w:before="120" w:after="120" w:line="240" w:lineRule="auto"/>
      <w:jc w:val="center"/>
    </w:pPr>
    <w:rPr>
      <w:rFonts w:eastAsia="Times New Roman"/>
      <w:b/>
      <w:sz w:val="24"/>
      <w:szCs w:val="24"/>
      <w:u w:val="single"/>
      <w:lang w:val="en-GB" w:eastAsia="de-DE"/>
    </w:rPr>
  </w:style>
  <w:style w:type="paragraph" w:customStyle="1" w:styleId="Fichefinancirestandardtitreacte">
    <w:name w:val="Fiche financière (standard) titre (acte)"/>
    <w:basedOn w:val="Normal"/>
    <w:next w:val="Normal"/>
    <w:pPr>
      <w:spacing w:before="120" w:after="120" w:line="240" w:lineRule="auto"/>
      <w:jc w:val="center"/>
    </w:pPr>
    <w:rPr>
      <w:rFonts w:eastAsia="Times New Roman"/>
      <w:b/>
      <w:sz w:val="24"/>
      <w:szCs w:val="24"/>
      <w:u w:val="single"/>
      <w:lang w:val="en-GB" w:eastAsia="de-DE"/>
    </w:rPr>
  </w:style>
  <w:style w:type="paragraph" w:customStyle="1" w:styleId="Fichefinanciretravailtitre">
    <w:name w:val="Fiche financière (travail) titre"/>
    <w:basedOn w:val="Normal"/>
    <w:next w:val="Normal"/>
    <w:pPr>
      <w:spacing w:before="120" w:after="120" w:line="240" w:lineRule="auto"/>
      <w:jc w:val="center"/>
    </w:pPr>
    <w:rPr>
      <w:rFonts w:eastAsia="Times New Roman"/>
      <w:b/>
      <w:sz w:val="24"/>
      <w:szCs w:val="24"/>
      <w:u w:val="single"/>
      <w:lang w:val="en-GB" w:eastAsia="de-DE"/>
    </w:rPr>
  </w:style>
  <w:style w:type="paragraph" w:customStyle="1" w:styleId="Fichefinanciretravailtitreacte">
    <w:name w:val="Fiche financière (travail) titre (acte)"/>
    <w:basedOn w:val="Normal"/>
    <w:next w:val="Normal"/>
    <w:pPr>
      <w:spacing w:before="120" w:after="120" w:line="240" w:lineRule="auto"/>
      <w:jc w:val="center"/>
    </w:pPr>
    <w:rPr>
      <w:rFonts w:eastAsia="Times New Roman"/>
      <w:b/>
      <w:sz w:val="24"/>
      <w:szCs w:val="24"/>
      <w:u w:val="single"/>
      <w:lang w:val="en-GB" w:eastAsia="de-DE"/>
    </w:rPr>
  </w:style>
  <w:style w:type="paragraph" w:customStyle="1" w:styleId="Fichefinancireattributiontitre">
    <w:name w:val="Fiche financière (attribution) titre"/>
    <w:basedOn w:val="Normal"/>
    <w:next w:val="Normal"/>
    <w:pPr>
      <w:spacing w:before="120" w:after="120" w:line="240" w:lineRule="auto"/>
      <w:jc w:val="center"/>
    </w:pPr>
    <w:rPr>
      <w:rFonts w:eastAsia="Times New Roman"/>
      <w:b/>
      <w:sz w:val="24"/>
      <w:szCs w:val="24"/>
      <w:u w:val="single"/>
      <w:lang w:val="en-GB" w:eastAsia="de-DE"/>
    </w:rPr>
  </w:style>
  <w:style w:type="paragraph" w:customStyle="1" w:styleId="Fichefinancireattributiontitreacte">
    <w:name w:val="Fiche financière (attribution) titre (acte)"/>
    <w:basedOn w:val="Normal"/>
    <w:next w:val="Normal"/>
    <w:pPr>
      <w:spacing w:before="120" w:after="120" w:line="240" w:lineRule="auto"/>
      <w:jc w:val="center"/>
    </w:pPr>
    <w:rPr>
      <w:rFonts w:eastAsia="Times New Roman"/>
      <w:b/>
      <w:sz w:val="24"/>
      <w:szCs w:val="24"/>
      <w:u w:val="single"/>
      <w:lang w:val="en-GB" w:eastAsia="de-DE"/>
    </w:rPr>
  </w:style>
  <w:style w:type="paragraph" w:customStyle="1" w:styleId="Objetexterne">
    <w:name w:val="Objet externe"/>
    <w:basedOn w:val="Normal"/>
    <w:next w:val="Normal"/>
    <w:pPr>
      <w:spacing w:before="120" w:after="120" w:line="240" w:lineRule="auto"/>
      <w:jc w:val="both"/>
    </w:pPr>
    <w:rPr>
      <w:rFonts w:eastAsia="Times New Roman"/>
      <w:i/>
      <w:caps/>
      <w:sz w:val="24"/>
      <w:szCs w:val="24"/>
      <w:lang w:val="en-GB" w:eastAsia="de-DE"/>
    </w:rPr>
  </w:style>
  <w:style w:type="character" w:styleId="CommentReference">
    <w:name w:val="annotation reference"/>
    <w:semiHidden/>
    <w:rPr>
      <w:rFonts w:cs="Times New Roman"/>
      <w:sz w:val="16"/>
      <w:szCs w:val="16"/>
    </w:rPr>
  </w:style>
  <w:style w:type="table" w:styleId="TableGrid">
    <w:name w:val="Table Grid"/>
    <w:basedOn w:val="TableNormal"/>
    <w:pPr>
      <w:spacing w:after="24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pPr>
      <w:spacing w:before="120" w:after="120" w:line="240" w:lineRule="auto"/>
      <w:jc w:val="both"/>
    </w:pPr>
    <w:rPr>
      <w:rFonts w:eastAsia="Times New Roman"/>
      <w:sz w:val="20"/>
      <w:szCs w:val="20"/>
      <w:lang w:val="en-GB" w:eastAsia="de-DE"/>
    </w:rPr>
  </w:style>
  <w:style w:type="character" w:customStyle="1" w:styleId="CommentTextChar">
    <w:name w:val="Comment Text Char"/>
    <w:link w:val="CommentText"/>
    <w:semiHidden/>
    <w:rPr>
      <w:rFonts w:ascii="Times New Roman" w:eastAsia="Times New Roman" w:hAnsi="Times New Roman" w:cs="Times New Roman"/>
      <w:sz w:val="20"/>
      <w:szCs w:val="20"/>
      <w:lang w:val="en-GB" w:eastAsia="de-DE"/>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rPr>
      <w:rFonts w:ascii="Times New Roman" w:eastAsia="Times New Roman" w:hAnsi="Times New Roman" w:cs="Times New Roman"/>
      <w:b/>
      <w:bCs/>
      <w:sz w:val="20"/>
      <w:szCs w:val="20"/>
      <w:lang w:val="en-GB" w:eastAsia="de-DE"/>
    </w:rPr>
  </w:style>
  <w:style w:type="character" w:styleId="Hyperlink">
    <w:name w:val="Hyperlink"/>
    <w:uiPriority w:val="99"/>
    <w:rPr>
      <w:rFonts w:cs="Times New Roman"/>
      <w:color w:val="0000FF"/>
      <w:u w:val="single"/>
    </w:rPr>
  </w:style>
  <w:style w:type="paragraph" w:styleId="NormalWeb">
    <w:name w:val="Normal (Web)"/>
    <w:basedOn w:val="Normal"/>
    <w:pPr>
      <w:spacing w:before="100" w:beforeAutospacing="1" w:after="100" w:afterAutospacing="1" w:line="240" w:lineRule="auto"/>
    </w:pPr>
    <w:rPr>
      <w:rFonts w:eastAsia="Times New Roman"/>
      <w:sz w:val="24"/>
      <w:szCs w:val="24"/>
      <w:lang w:val="en-GB" w:eastAsia="en-GB"/>
    </w:rPr>
  </w:style>
  <w:style w:type="character" w:customStyle="1" w:styleId="italic1">
    <w:name w:val="italic1"/>
    <w:rPr>
      <w:rFonts w:cs="Times New Roman"/>
      <w:i/>
      <w:iCs/>
    </w:rPr>
  </w:style>
  <w:style w:type="character" w:customStyle="1" w:styleId="default--char">
    <w:name w:val="default--char"/>
    <w:rPr>
      <w:rFonts w:cs="Times New Roman"/>
    </w:rPr>
  </w:style>
  <w:style w:type="paragraph" w:customStyle="1" w:styleId="xl26">
    <w:name w:val="xl26"/>
    <w:basedOn w:val="Normal"/>
    <w:pPr>
      <w:spacing w:before="100" w:beforeAutospacing="1" w:after="100" w:afterAutospacing="1" w:line="240" w:lineRule="auto"/>
      <w:textAlignment w:val="center"/>
    </w:pPr>
    <w:rPr>
      <w:rFonts w:eastAsia="Times New Roman"/>
      <w:sz w:val="24"/>
      <w:szCs w:val="24"/>
      <w:lang w:val="en-GB" w:eastAsia="en-GB"/>
    </w:rPr>
  </w:style>
  <w:style w:type="character" w:styleId="FollowedHyperlink">
    <w:name w:val="FollowedHyperlink"/>
    <w:uiPriority w:val="99"/>
    <w:rPr>
      <w:rFonts w:cs="Times New Roman"/>
      <w:color w:val="800080"/>
      <w:u w:val="single"/>
    </w:rPr>
  </w:style>
  <w:style w:type="paragraph" w:customStyle="1" w:styleId="Revenue">
    <w:name w:val="Revenue"/>
    <w:basedOn w:val="Normal"/>
    <w:next w:val="Normal"/>
    <w:pPr>
      <w:keepNext/>
      <w:spacing w:before="480" w:after="120" w:line="240" w:lineRule="auto"/>
    </w:pPr>
    <w:rPr>
      <w:rFonts w:eastAsia="Times New Roman"/>
      <w:b/>
      <w:bCs/>
      <w:smallCaps/>
      <w:sz w:val="36"/>
      <w:szCs w:val="36"/>
      <w:lang w:val="en-GB" w:eastAsia="en-GB"/>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val="en-GB" w:eastAsia="en-GB"/>
    </w:rPr>
  </w:style>
  <w:style w:type="paragraph" w:customStyle="1" w:styleId="ReusedInfo">
    <w:name w:val="ReusedInfo"/>
    <w:basedOn w:val="Normal"/>
    <w:next w:val="Normal"/>
    <w:uiPriority w:val="99"/>
    <w:pPr>
      <w:shd w:val="clear" w:color="auto" w:fill="C0C0C0"/>
      <w:spacing w:before="60" w:after="60" w:line="240" w:lineRule="auto"/>
    </w:pPr>
    <w:rPr>
      <w:rFonts w:eastAsia="Times New Roman"/>
      <w:sz w:val="20"/>
      <w:szCs w:val="20"/>
      <w:lang w:val="en-GB" w:eastAsia="en-GB"/>
    </w:rPr>
  </w:style>
  <w:style w:type="paragraph" w:customStyle="1" w:styleId="literallayout">
    <w:name w:val="literallayout"/>
    <w:basedOn w:val="Normal"/>
    <w:next w:val="Normal"/>
    <w:uiPriority w:val="99"/>
    <w:pPr>
      <w:spacing w:after="0" w:line="240" w:lineRule="auto"/>
    </w:pPr>
    <w:rPr>
      <w:rFonts w:ascii="Courier New" w:eastAsia="Times New Roman" w:hAnsi="Courier New" w:cs="Courier New"/>
      <w:sz w:val="18"/>
      <w:szCs w:val="18"/>
      <w:lang w:val="en-GB" w:eastAsia="en-GB"/>
    </w:rPr>
  </w:style>
  <w:style w:type="paragraph" w:customStyle="1" w:styleId="copytitle">
    <w:name w:val="copytitle"/>
    <w:basedOn w:val="Normal"/>
    <w:next w:val="Normal"/>
    <w:uiPriority w:val="99"/>
    <w:pPr>
      <w:spacing w:before="360" w:after="360" w:line="240" w:lineRule="auto"/>
      <w:jc w:val="center"/>
    </w:pPr>
    <w:rPr>
      <w:rFonts w:eastAsia="Times New Roman"/>
      <w:b/>
      <w:bCs/>
      <w:sz w:val="32"/>
      <w:szCs w:val="32"/>
      <w:lang w:val="en-GB" w:eastAsia="en-GB"/>
    </w:rPr>
  </w:style>
  <w:style w:type="character" w:customStyle="1" w:styleId="literal">
    <w:name w:val="literal"/>
    <w:uiPriority w:val="99"/>
    <w:rPr>
      <w:rFonts w:ascii="Courier New" w:hAnsi="Courier New" w:cs="Courier New"/>
      <w:sz w:val="18"/>
      <w:szCs w:val="18"/>
    </w:rPr>
  </w:style>
  <w:style w:type="character" w:customStyle="1" w:styleId="tw4winExternal">
    <w:name w:val="tw4winExternal"/>
    <w:uiPriority w:val="99"/>
  </w:style>
  <w:style w:type="character" w:customStyle="1" w:styleId="Placeholder">
    <w:name w:val="Placeholder"/>
    <w:uiPriority w:val="99"/>
    <w:rPr>
      <w:color w:val="008000"/>
    </w:rPr>
  </w:style>
  <w:style w:type="paragraph" w:customStyle="1" w:styleId="font5">
    <w:name w:val="font5"/>
    <w:basedOn w:val="Normal"/>
    <w:pPr>
      <w:spacing w:before="100" w:beforeAutospacing="1" w:after="100" w:afterAutospacing="1" w:line="240" w:lineRule="auto"/>
    </w:pPr>
    <w:rPr>
      <w:rFonts w:eastAsia="Times New Roman"/>
      <w:sz w:val="16"/>
      <w:szCs w:val="16"/>
      <w:lang w:val="en-GB" w:eastAsia="en-GB"/>
    </w:rPr>
  </w:style>
  <w:style w:type="paragraph" w:customStyle="1" w:styleId="xl260">
    <w:name w:val="xl260"/>
    <w:basedOn w:val="Normal"/>
    <w:pPr>
      <w:spacing w:before="100" w:beforeAutospacing="1" w:after="100" w:afterAutospacing="1" w:line="240" w:lineRule="auto"/>
    </w:pPr>
    <w:rPr>
      <w:rFonts w:eastAsia="Times New Roman"/>
      <w:color w:val="000000"/>
      <w:sz w:val="24"/>
      <w:szCs w:val="24"/>
      <w:lang w:val="en-GB" w:eastAsia="en-GB"/>
    </w:rPr>
  </w:style>
  <w:style w:type="paragraph" w:customStyle="1" w:styleId="xl261">
    <w:name w:val="xl261"/>
    <w:basedOn w:val="Normal"/>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262">
    <w:name w:val="xl262"/>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263">
    <w:name w:val="xl263"/>
    <w:basedOn w:val="Normal"/>
    <w:pPr>
      <w:pBdr>
        <w:top w:val="dotted"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264">
    <w:name w:val="xl264"/>
    <w:basedOn w:val="Normal"/>
    <w:pPr>
      <w:pBdr>
        <w:top w:val="dotted"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265">
    <w:name w:val="xl265"/>
    <w:basedOn w:val="Normal"/>
    <w:pPr>
      <w:pBdr>
        <w:top w:val="single" w:sz="4" w:space="0" w:color="000000"/>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266">
    <w:name w:val="xl266"/>
    <w:basedOn w:val="Normal"/>
    <w:pPr>
      <w:pBdr>
        <w:top w:val="dotted"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267">
    <w:name w:val="xl267"/>
    <w:basedOn w:val="Normal"/>
    <w:pPr>
      <w:pBdr>
        <w:bottom w:val="dotted" w:sz="4" w:space="0" w:color="000000"/>
        <w:right w:val="single" w:sz="4" w:space="0" w:color="000000"/>
      </w:pBdr>
      <w:spacing w:before="100" w:beforeAutospacing="1" w:after="100" w:afterAutospacing="1" w:line="240" w:lineRule="auto"/>
      <w:jc w:val="right"/>
      <w:textAlignment w:val="top"/>
    </w:pPr>
    <w:rPr>
      <w:rFonts w:eastAsia="Times New Roman"/>
      <w:b/>
      <w:bCs/>
      <w:i/>
      <w:iCs/>
      <w:sz w:val="16"/>
      <w:szCs w:val="16"/>
      <w:lang w:val="en-GB" w:eastAsia="en-GB"/>
    </w:rPr>
  </w:style>
  <w:style w:type="paragraph" w:customStyle="1" w:styleId="xl268">
    <w:name w:val="xl268"/>
    <w:basedOn w:val="Normal"/>
    <w:pPr>
      <w:pBdr>
        <w:bottom w:val="dotted" w:sz="4" w:space="0" w:color="000000"/>
        <w:right w:val="single" w:sz="4" w:space="0" w:color="000000"/>
      </w:pBdr>
      <w:spacing w:before="100" w:beforeAutospacing="1" w:after="100" w:afterAutospacing="1" w:line="240" w:lineRule="auto"/>
      <w:jc w:val="right"/>
      <w:textAlignment w:val="top"/>
    </w:pPr>
    <w:rPr>
      <w:rFonts w:eastAsia="Times New Roman"/>
      <w:i/>
      <w:iCs/>
      <w:sz w:val="16"/>
      <w:szCs w:val="16"/>
      <w:lang w:val="en-GB" w:eastAsia="en-GB"/>
    </w:rPr>
  </w:style>
  <w:style w:type="paragraph" w:customStyle="1" w:styleId="xl269">
    <w:name w:val="xl269"/>
    <w:basedOn w:val="Normal"/>
    <w:pPr>
      <w:pBdr>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270">
    <w:name w:val="xl270"/>
    <w:basedOn w:val="Normal"/>
    <w:pPr>
      <w:pBdr>
        <w:top w:val="single" w:sz="4" w:space="0" w:color="000000"/>
        <w:bottom w:val="dotted" w:sz="4" w:space="0" w:color="000000"/>
        <w:right w:val="single" w:sz="4" w:space="0" w:color="000000"/>
      </w:pBdr>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271">
    <w:name w:val="xl271"/>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272">
    <w:name w:val="xl272"/>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eastAsia="Times New Roman"/>
      <w:b/>
      <w:bCs/>
      <w:i/>
      <w:iCs/>
      <w:sz w:val="16"/>
      <w:szCs w:val="16"/>
      <w:lang w:val="en-GB" w:eastAsia="en-GB"/>
    </w:rPr>
  </w:style>
  <w:style w:type="paragraph" w:customStyle="1" w:styleId="xl273">
    <w:name w:val="xl273"/>
    <w:basedOn w:val="Normal"/>
    <w:pPr>
      <w:pBdr>
        <w:bottom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274">
    <w:name w:val="xl274"/>
    <w:basedOn w:val="Normal"/>
    <w:pPr>
      <w:pBdr>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275">
    <w:name w:val="xl275"/>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276">
    <w:name w:val="xl276"/>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277">
    <w:name w:val="xl277"/>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eastAsia="Times New Roman"/>
      <w:i/>
      <w:iCs/>
      <w:sz w:val="16"/>
      <w:szCs w:val="16"/>
      <w:lang w:val="en-GB" w:eastAsia="en-GB"/>
    </w:rPr>
  </w:style>
  <w:style w:type="paragraph" w:customStyle="1" w:styleId="xl278">
    <w:name w:val="xl278"/>
    <w:basedOn w:val="Normal"/>
    <w:pPr>
      <w:pBdr>
        <w:bottom w:val="dotted" w:sz="4" w:space="0" w:color="000000"/>
        <w:right w:val="single" w:sz="4" w:space="0" w:color="auto"/>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279">
    <w:name w:val="xl279"/>
    <w:basedOn w:val="Normal"/>
    <w:pPr>
      <w:pBdr>
        <w:top w:val="dotted" w:sz="4" w:space="0" w:color="000000"/>
        <w:left w:val="single" w:sz="4" w:space="0" w:color="auto"/>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280">
    <w:name w:val="xl280"/>
    <w:basedOn w:val="Normal"/>
    <w:pPr>
      <w:pBdr>
        <w:top w:val="dotted" w:sz="4" w:space="0" w:color="000000"/>
        <w:bottom w:val="single" w:sz="4" w:space="0" w:color="000000"/>
        <w:right w:val="single" w:sz="4" w:space="0" w:color="auto"/>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281">
    <w:name w:val="xl281"/>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282">
    <w:name w:val="xl282"/>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283">
    <w:name w:val="xl283"/>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284">
    <w:name w:val="xl284"/>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285">
    <w:name w:val="xl285"/>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286">
    <w:name w:val="xl286"/>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287">
    <w:name w:val="xl287"/>
    <w:basedOn w:val="Normal"/>
    <w:pPr>
      <w:pBdr>
        <w:top w:val="dotted" w:sz="4" w:space="0" w:color="000000"/>
        <w:left w:val="single" w:sz="4" w:space="0" w:color="auto"/>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288">
    <w:name w:val="xl288"/>
    <w:basedOn w:val="Normal"/>
    <w:pPr>
      <w:pBdr>
        <w:top w:val="dotted" w:sz="4" w:space="0" w:color="000000"/>
        <w:bottom w:val="single"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289">
    <w:name w:val="xl289"/>
    <w:basedOn w:val="Normal"/>
    <w:pPr>
      <w:pBdr>
        <w:right w:val="single" w:sz="4" w:space="0" w:color="auto"/>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290">
    <w:name w:val="xl290"/>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291">
    <w:name w:val="xl291"/>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292">
    <w:name w:val="xl292"/>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293">
    <w:name w:val="xl293"/>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294">
    <w:name w:val="xl294"/>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i/>
      <w:iCs/>
      <w:sz w:val="16"/>
      <w:szCs w:val="16"/>
      <w:lang w:val="en-GB" w:eastAsia="en-GB"/>
    </w:rPr>
  </w:style>
  <w:style w:type="paragraph" w:customStyle="1" w:styleId="xl295">
    <w:name w:val="xl295"/>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296">
    <w:name w:val="xl296"/>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297">
    <w:name w:val="xl297"/>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298">
    <w:name w:val="xl298"/>
    <w:basedOn w:val="Normal"/>
    <w:pPr>
      <w:pBdr>
        <w:left w:val="single" w:sz="4" w:space="0" w:color="auto"/>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299">
    <w:name w:val="xl299"/>
    <w:basedOn w:val="Normal"/>
    <w:pPr>
      <w:pBdr>
        <w:left w:val="single"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00">
    <w:name w:val="xl300"/>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01">
    <w:name w:val="xl301"/>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02">
    <w:name w:val="xl302"/>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03">
    <w:name w:val="xl303"/>
    <w:basedOn w:val="Normal"/>
    <w:pPr>
      <w:pBdr>
        <w:bottom w:val="dotted" w:sz="4" w:space="0" w:color="000000"/>
        <w:right w:val="single" w:sz="4" w:space="0" w:color="auto"/>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04">
    <w:name w:val="xl304"/>
    <w:basedOn w:val="Normal"/>
    <w:pPr>
      <w:pBdr>
        <w:top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05">
    <w:name w:val="xl305"/>
    <w:basedOn w:val="Normal"/>
    <w:pPr>
      <w:pBdr>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06">
    <w:name w:val="xl306"/>
    <w:basedOn w:val="Normal"/>
    <w:pPr>
      <w:pBdr>
        <w:top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307">
    <w:name w:val="xl307"/>
    <w:basedOn w:val="Normal"/>
    <w:pPr>
      <w:pBdr>
        <w:top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08">
    <w:name w:val="xl308"/>
    <w:basedOn w:val="Normal"/>
    <w:pPr>
      <w:pBdr>
        <w:top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09">
    <w:name w:val="xl309"/>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10">
    <w:name w:val="xl310"/>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11">
    <w:name w:val="xl311"/>
    <w:basedOn w:val="Normal"/>
    <w:pPr>
      <w:pBdr>
        <w:left w:val="single" w:sz="4" w:space="0" w:color="auto"/>
        <w:bottom w:val="dotted" w:sz="4" w:space="0" w:color="auto"/>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12">
    <w:name w:val="xl312"/>
    <w:basedOn w:val="Normal"/>
    <w:pPr>
      <w:pBdr>
        <w:left w:val="single" w:sz="4" w:space="0" w:color="000000"/>
        <w:bottom w:val="dotted" w:sz="4" w:space="0" w:color="auto"/>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13">
    <w:name w:val="xl313"/>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14">
    <w:name w:val="xl314"/>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15">
    <w:name w:val="xl315"/>
    <w:basedOn w:val="Normal"/>
    <w:pPr>
      <w:pBdr>
        <w:top w:val="dotted"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16">
    <w:name w:val="xl316"/>
    <w:basedOn w:val="Normal"/>
    <w:pPr>
      <w:pBdr>
        <w:top w:val="dotted"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17">
    <w:name w:val="xl317"/>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18">
    <w:name w:val="xl318"/>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19">
    <w:name w:val="xl319"/>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20">
    <w:name w:val="xl320"/>
    <w:basedOn w:val="Normal"/>
    <w:pPr>
      <w:pBdr>
        <w:top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21">
    <w:name w:val="xl321"/>
    <w:basedOn w:val="Normal"/>
    <w:pPr>
      <w:pBdr>
        <w:top w:val="single"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22">
    <w:name w:val="xl322"/>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23">
    <w:name w:val="xl323"/>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eastAsia="Times New Roman"/>
      <w:b/>
      <w:bCs/>
      <w:i/>
      <w:iCs/>
      <w:sz w:val="16"/>
      <w:szCs w:val="16"/>
      <w:lang w:val="en-GB" w:eastAsia="en-GB"/>
    </w:rPr>
  </w:style>
  <w:style w:type="paragraph" w:customStyle="1" w:styleId="xl324">
    <w:name w:val="xl324"/>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i/>
      <w:iCs/>
      <w:sz w:val="16"/>
      <w:szCs w:val="16"/>
      <w:lang w:val="en-GB" w:eastAsia="en-GB"/>
    </w:rPr>
  </w:style>
  <w:style w:type="paragraph" w:customStyle="1" w:styleId="xl325">
    <w:name w:val="xl325"/>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26">
    <w:name w:val="xl326"/>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27">
    <w:name w:val="xl327"/>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328">
    <w:name w:val="xl328"/>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329">
    <w:name w:val="xl329"/>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330">
    <w:name w:val="xl330"/>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331">
    <w:name w:val="xl331"/>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32">
    <w:name w:val="xl332"/>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33">
    <w:name w:val="xl333"/>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34">
    <w:name w:val="xl334"/>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35">
    <w:name w:val="xl335"/>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36">
    <w:name w:val="xl336"/>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37">
    <w:name w:val="xl337"/>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338">
    <w:name w:val="xl338"/>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339">
    <w:name w:val="xl339"/>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eastAsia="Times New Roman"/>
      <w:i/>
      <w:iCs/>
      <w:sz w:val="16"/>
      <w:szCs w:val="16"/>
      <w:lang w:val="en-GB" w:eastAsia="en-GB"/>
    </w:rPr>
  </w:style>
  <w:style w:type="paragraph" w:customStyle="1" w:styleId="xl340">
    <w:name w:val="xl340"/>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i/>
      <w:iCs/>
      <w:sz w:val="16"/>
      <w:szCs w:val="16"/>
      <w:lang w:val="en-GB" w:eastAsia="en-GB"/>
    </w:rPr>
  </w:style>
  <w:style w:type="paragraph" w:customStyle="1" w:styleId="xl341">
    <w:name w:val="xl341"/>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342">
    <w:name w:val="xl342"/>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343">
    <w:name w:val="xl343"/>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44">
    <w:name w:val="xl344"/>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45">
    <w:name w:val="xl345"/>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46">
    <w:name w:val="xl346"/>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47">
    <w:name w:val="xl347"/>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48">
    <w:name w:val="xl348"/>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49">
    <w:name w:val="xl349"/>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50">
    <w:name w:val="xl350"/>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51">
    <w:name w:val="xl351"/>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52">
    <w:name w:val="xl352"/>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i/>
      <w:iCs/>
      <w:sz w:val="16"/>
      <w:szCs w:val="16"/>
      <w:lang w:val="en-GB" w:eastAsia="en-GB"/>
    </w:rPr>
  </w:style>
  <w:style w:type="paragraph" w:customStyle="1" w:styleId="xl353">
    <w:name w:val="xl353"/>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354">
    <w:name w:val="xl354"/>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355">
    <w:name w:val="xl355"/>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356">
    <w:name w:val="xl356"/>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357">
    <w:name w:val="xl357"/>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358">
    <w:name w:val="xl358"/>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59">
    <w:name w:val="xl359"/>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60">
    <w:name w:val="xl360"/>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61">
    <w:name w:val="xl361"/>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62">
    <w:name w:val="xl362"/>
    <w:basedOn w:val="Normal"/>
    <w:pPr>
      <w:pBdr>
        <w:top w:val="dotted" w:sz="4" w:space="0" w:color="000000"/>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63">
    <w:name w:val="xl363"/>
    <w:basedOn w:val="Normal"/>
    <w:pPr>
      <w:pBdr>
        <w:top w:val="dotted" w:sz="4" w:space="0" w:color="000000"/>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64">
    <w:name w:val="xl364"/>
    <w:basedOn w:val="Normal"/>
    <w:pPr>
      <w:pBdr>
        <w:top w:val="dotted"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65">
    <w:name w:val="xl365"/>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66">
    <w:name w:val="xl366"/>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67">
    <w:name w:val="xl367"/>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68">
    <w:name w:val="xl368"/>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69">
    <w:name w:val="xl369"/>
    <w:basedOn w:val="Normal"/>
    <w:pPr>
      <w:pBdr>
        <w:top w:val="dotted" w:sz="4" w:space="0" w:color="000000"/>
        <w:left w:val="single" w:sz="4" w:space="0" w:color="auto"/>
        <w:right w:val="single" w:sz="4" w:space="0" w:color="000000"/>
      </w:pBdr>
      <w:shd w:val="clear" w:color="000000" w:fill="FFFFFF"/>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70">
    <w:name w:val="xl370"/>
    <w:basedOn w:val="Normal"/>
    <w:pPr>
      <w:pBdr>
        <w:top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71">
    <w:name w:val="xl371"/>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72">
    <w:name w:val="xl372"/>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73">
    <w:name w:val="xl373"/>
    <w:basedOn w:val="Normal"/>
    <w:pPr>
      <w:pBdr>
        <w:top w:val="single" w:sz="4" w:space="0" w:color="auto"/>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74">
    <w:name w:val="xl374"/>
    <w:basedOn w:val="Normal"/>
    <w:pPr>
      <w:pBdr>
        <w:top w:val="single" w:sz="4" w:space="0" w:color="auto"/>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75">
    <w:name w:val="xl375"/>
    <w:basedOn w:val="Normal"/>
    <w:pPr>
      <w:pBdr>
        <w:top w:val="single" w:sz="4" w:space="0" w:color="auto"/>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76">
    <w:name w:val="xl376"/>
    <w:basedOn w:val="Normal"/>
    <w:pPr>
      <w:pBdr>
        <w:top w:val="single" w:sz="4" w:space="0" w:color="auto"/>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77">
    <w:name w:val="xl377"/>
    <w:basedOn w:val="Normal"/>
    <w:pPr>
      <w:pBdr>
        <w:top w:val="single" w:sz="4" w:space="0" w:color="auto"/>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78">
    <w:name w:val="xl378"/>
    <w:basedOn w:val="Normal"/>
    <w:pPr>
      <w:pBdr>
        <w:top w:val="single" w:sz="4" w:space="0" w:color="auto"/>
        <w:left w:val="single" w:sz="4" w:space="0" w:color="auto"/>
        <w:right w:val="single" w:sz="4" w:space="0" w:color="000000"/>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79">
    <w:name w:val="xl379"/>
    <w:basedOn w:val="Normal"/>
    <w:pPr>
      <w:pBdr>
        <w:top w:val="single" w:sz="4" w:space="0" w:color="auto"/>
        <w:left w:val="single" w:sz="4" w:space="0" w:color="000000"/>
        <w:right w:val="single" w:sz="4" w:space="0" w:color="auto"/>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80">
    <w:name w:val="xl380"/>
    <w:basedOn w:val="Normal"/>
    <w:pPr>
      <w:pBdr>
        <w:top w:val="single" w:sz="4" w:space="0" w:color="auto"/>
        <w:right w:val="single" w:sz="4" w:space="0" w:color="auto"/>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81">
    <w:name w:val="xl381"/>
    <w:basedOn w:val="Normal"/>
    <w:pPr>
      <w:pBdr>
        <w:top w:val="single" w:sz="4" w:space="0" w:color="auto"/>
        <w:left w:val="single" w:sz="4" w:space="0" w:color="auto"/>
        <w:right w:val="single" w:sz="4" w:space="0" w:color="000000"/>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82">
    <w:name w:val="xl382"/>
    <w:basedOn w:val="Normal"/>
    <w:pPr>
      <w:pBdr>
        <w:top w:val="single" w:sz="4" w:space="0" w:color="auto"/>
        <w:left w:val="single" w:sz="4" w:space="0" w:color="000000"/>
        <w:right w:val="single" w:sz="4" w:space="0" w:color="auto"/>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83">
    <w:name w:val="xl383"/>
    <w:basedOn w:val="Normal"/>
    <w:pPr>
      <w:pBdr>
        <w:top w:val="single" w:sz="4" w:space="0" w:color="auto"/>
        <w:bottom w:val="dotted" w:sz="4" w:space="0" w:color="000000"/>
        <w:right w:val="single" w:sz="4" w:space="0" w:color="000000"/>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84">
    <w:name w:val="xl384"/>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385">
    <w:name w:val="xl385"/>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386">
    <w:name w:val="xl386"/>
    <w:basedOn w:val="Normal"/>
    <w:pPr>
      <w:pBdr>
        <w:top w:val="dotted"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387">
    <w:name w:val="xl387"/>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388">
    <w:name w:val="xl388"/>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389">
    <w:name w:val="xl389"/>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390">
    <w:name w:val="xl390"/>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391">
    <w:name w:val="xl391"/>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392">
    <w:name w:val="xl392"/>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393">
    <w:name w:val="xl393"/>
    <w:basedOn w:val="Normal"/>
    <w:pPr>
      <w:pBdr>
        <w:top w:val="dotted"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394">
    <w:name w:val="xl394"/>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395">
    <w:name w:val="xl395"/>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396">
    <w:name w:val="xl396"/>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397">
    <w:name w:val="xl397"/>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398">
    <w:name w:val="xl398"/>
    <w:basedOn w:val="Normal"/>
    <w:pPr>
      <w:pBdr>
        <w:top w:val="single" w:sz="4" w:space="0" w:color="auto"/>
        <w:left w:val="single" w:sz="4" w:space="0" w:color="auto"/>
        <w:bottom w:val="dotted" w:sz="4" w:space="0" w:color="000000"/>
      </w:pBdr>
      <w:spacing w:before="100" w:beforeAutospacing="1" w:after="100" w:afterAutospacing="1" w:line="240" w:lineRule="auto"/>
      <w:textAlignment w:val="center"/>
    </w:pPr>
    <w:rPr>
      <w:rFonts w:eastAsia="Times New Roman"/>
      <w:sz w:val="16"/>
      <w:szCs w:val="16"/>
      <w:lang w:val="en-GB" w:eastAsia="en-GB"/>
    </w:rPr>
  </w:style>
  <w:style w:type="paragraph" w:customStyle="1" w:styleId="xl399">
    <w:name w:val="xl399"/>
    <w:basedOn w:val="Normal"/>
    <w:pPr>
      <w:pBdr>
        <w:left w:val="single" w:sz="4" w:space="0" w:color="auto"/>
        <w:bottom w:val="dotted" w:sz="4" w:space="0" w:color="000000"/>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400">
    <w:name w:val="xl400"/>
    <w:basedOn w:val="Normal"/>
    <w:pPr>
      <w:pBdr>
        <w:top w:val="dotted" w:sz="4" w:space="0" w:color="000000"/>
        <w:left w:val="single" w:sz="4" w:space="0" w:color="auto"/>
        <w:bottom w:val="dotted" w:sz="4" w:space="0" w:color="000000"/>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401">
    <w:name w:val="xl401"/>
    <w:basedOn w:val="Normal"/>
    <w:pPr>
      <w:pBdr>
        <w:top w:val="dotted" w:sz="4" w:space="0" w:color="000000"/>
        <w:left w:val="single" w:sz="4" w:space="0" w:color="auto"/>
        <w:bottom w:val="single" w:sz="4" w:space="0" w:color="auto"/>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402">
    <w:name w:val="xl402"/>
    <w:basedOn w:val="Normal"/>
    <w:pPr>
      <w:pBdr>
        <w:top w:val="single" w:sz="4" w:space="0" w:color="auto"/>
        <w:left w:val="single" w:sz="4" w:space="0" w:color="auto"/>
        <w:bottom w:val="dotted" w:sz="4" w:space="0" w:color="000000"/>
      </w:pBdr>
      <w:spacing w:before="100" w:beforeAutospacing="1" w:after="100" w:afterAutospacing="1" w:line="240" w:lineRule="auto"/>
      <w:textAlignment w:val="center"/>
    </w:pPr>
    <w:rPr>
      <w:rFonts w:eastAsia="Times New Roman"/>
      <w:b/>
      <w:bCs/>
      <w:sz w:val="16"/>
      <w:szCs w:val="16"/>
      <w:lang w:val="en-GB" w:eastAsia="en-GB"/>
    </w:rPr>
  </w:style>
  <w:style w:type="paragraph" w:customStyle="1" w:styleId="xl403">
    <w:name w:val="xl403"/>
    <w:basedOn w:val="Normal"/>
    <w:pPr>
      <w:pBdr>
        <w:top w:val="dotted" w:sz="4" w:space="0" w:color="000000"/>
        <w:bottom w:val="dotted" w:sz="4" w:space="0" w:color="000000"/>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04">
    <w:name w:val="xl404"/>
    <w:basedOn w:val="Normal"/>
    <w:pPr>
      <w:pBdr>
        <w:top w:val="dotted" w:sz="4" w:space="0" w:color="000000"/>
        <w:bottom w:val="dotted" w:sz="4" w:space="0" w:color="000000"/>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405">
    <w:name w:val="xl405"/>
    <w:basedOn w:val="Normal"/>
    <w:pPr>
      <w:pBdr>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406">
    <w:name w:val="xl406"/>
    <w:basedOn w:val="Normal"/>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407">
    <w:name w:val="xl407"/>
    <w:basedOn w:val="Normal"/>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408">
    <w:name w:val="xl408"/>
    <w:basedOn w:val="Normal"/>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409">
    <w:name w:val="xl409"/>
    <w:basedOn w:val="Normal"/>
    <w:pPr>
      <w:pBdr>
        <w:top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410">
    <w:name w:val="xl410"/>
    <w:basedOn w:val="Normal"/>
    <w:pPr>
      <w:pBdr>
        <w:right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411">
    <w:name w:val="xl411"/>
    <w:basedOn w:val="Normal"/>
    <w:pPr>
      <w:pBdr>
        <w:top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412">
    <w:name w:val="xl412"/>
    <w:basedOn w:val="Normal"/>
    <w:pPr>
      <w:pBdr>
        <w:bottom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413">
    <w:name w:val="xl413"/>
    <w:basedOn w:val="Normal"/>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414">
    <w:name w:val="xl414"/>
    <w:basedOn w:val="Normal"/>
    <w:pPr>
      <w:pBdr>
        <w:top w:val="dotted" w:sz="4" w:space="0" w:color="000000"/>
        <w:left w:val="single" w:sz="4" w:space="0" w:color="auto"/>
        <w:bottom w:val="dotted" w:sz="4" w:space="0" w:color="000000"/>
      </w:pBdr>
      <w:shd w:val="clear" w:color="000000" w:fill="D9D9D9"/>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15">
    <w:name w:val="xl415"/>
    <w:basedOn w:val="Normal"/>
    <w:pPr>
      <w:pBdr>
        <w:top w:val="dotted" w:sz="4" w:space="0" w:color="000000"/>
        <w:bottom w:val="dotted" w:sz="4" w:space="0" w:color="000000"/>
      </w:pBdr>
      <w:shd w:val="clear" w:color="000000" w:fill="D9D9D9"/>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16">
    <w:name w:val="xl416"/>
    <w:basedOn w:val="Normal"/>
    <w:pPr>
      <w:pBdr>
        <w:top w:val="dotted"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17">
    <w:name w:val="xl417"/>
    <w:basedOn w:val="Normal"/>
    <w:pPr>
      <w:pBdr>
        <w:top w:val="dotted" w:sz="4" w:space="0" w:color="000000"/>
        <w:left w:val="single" w:sz="4" w:space="0" w:color="auto"/>
        <w:bottom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18">
    <w:name w:val="xl418"/>
    <w:basedOn w:val="Normal"/>
    <w:pPr>
      <w:pBdr>
        <w:top w:val="dotted" w:sz="4" w:space="0" w:color="000000"/>
        <w:bottom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19">
    <w:name w:val="xl419"/>
    <w:basedOn w:val="Normal"/>
    <w:pPr>
      <w:pBdr>
        <w:top w:val="dotted" w:sz="4" w:space="0" w:color="000000"/>
        <w:bottom w:val="single" w:sz="4" w:space="0" w:color="auto"/>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20">
    <w:name w:val="xl420"/>
    <w:basedOn w:val="Normal"/>
    <w:pPr>
      <w:pBdr>
        <w:top w:val="single" w:sz="4" w:space="0" w:color="auto"/>
        <w:left w:val="single" w:sz="4" w:space="0" w:color="auto"/>
        <w:bottom w:val="dotted"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421">
    <w:name w:val="xl421"/>
    <w:basedOn w:val="Normal"/>
    <w:pPr>
      <w:pBdr>
        <w:top w:val="single" w:sz="4" w:space="0" w:color="auto"/>
        <w:bottom w:val="dotted"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422">
    <w:name w:val="xl422"/>
    <w:basedOn w:val="Normal"/>
    <w:pPr>
      <w:pBdr>
        <w:top w:val="single" w:sz="4" w:space="0" w:color="auto"/>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423">
    <w:name w:val="xl423"/>
    <w:basedOn w:val="Normal"/>
    <w:pPr>
      <w:pBdr>
        <w:bottom w:val="dotted" w:sz="4" w:space="0" w:color="000000"/>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24">
    <w:name w:val="xl424"/>
    <w:basedOn w:val="Normal"/>
    <w:pPr>
      <w:pBdr>
        <w:bottom w:val="dotted" w:sz="4" w:space="0" w:color="000000"/>
        <w:right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25">
    <w:name w:val="xl425"/>
    <w:basedOn w:val="Normal"/>
    <w:pPr>
      <w:pBdr>
        <w:left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426">
    <w:name w:val="xl426"/>
    <w:basedOn w:val="Normal"/>
    <w:pP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427">
    <w:name w:val="xl427"/>
    <w:basedOn w:val="Normal"/>
    <w:pPr>
      <w:pBdr>
        <w:top w:val="dotted" w:sz="4" w:space="0" w:color="000000"/>
        <w:left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28">
    <w:name w:val="xl428"/>
    <w:basedOn w:val="Normal"/>
    <w:pPr>
      <w:pBdr>
        <w:top w:val="dotted" w:sz="4" w:space="0" w:color="000000"/>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29">
    <w:name w:val="xl429"/>
    <w:basedOn w:val="Normal"/>
    <w:pPr>
      <w:pBdr>
        <w:top w:val="dotted" w:sz="4" w:space="0" w:color="000000"/>
        <w:right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30">
    <w:name w:val="xl430"/>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431">
    <w:name w:val="xl431"/>
    <w:basedOn w:val="Normal"/>
    <w:pPr>
      <w:pBdr>
        <w:top w:val="dotted" w:sz="4" w:space="0" w:color="000000"/>
        <w:bottom w:val="single" w:sz="4" w:space="0" w:color="auto"/>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432">
    <w:name w:val="xl432"/>
    <w:basedOn w:val="Normal"/>
    <w:pPr>
      <w:pBdr>
        <w:top w:val="dotted" w:sz="4" w:space="0" w:color="000000"/>
        <w:bottom w:val="single" w:sz="4" w:space="0" w:color="auto"/>
        <w:right w:val="single" w:sz="4" w:space="0" w:color="auto"/>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433">
    <w:name w:val="xl433"/>
    <w:basedOn w:val="Normal"/>
    <w:pPr>
      <w:pBdr>
        <w:top w:val="single" w:sz="4" w:space="0" w:color="auto"/>
        <w:bottom w:val="dotted" w:sz="4" w:space="0" w:color="000000"/>
      </w:pBdr>
      <w:spacing w:before="100" w:beforeAutospacing="1" w:after="100" w:afterAutospacing="1" w:line="240" w:lineRule="auto"/>
      <w:textAlignment w:val="center"/>
    </w:pPr>
    <w:rPr>
      <w:rFonts w:eastAsia="Times New Roman"/>
      <w:b/>
      <w:bCs/>
      <w:sz w:val="16"/>
      <w:szCs w:val="16"/>
      <w:lang w:val="en-GB" w:eastAsia="en-GB"/>
    </w:rPr>
  </w:style>
  <w:style w:type="paragraph" w:customStyle="1" w:styleId="xl434">
    <w:name w:val="xl434"/>
    <w:basedOn w:val="Normal"/>
    <w:pPr>
      <w:pBdr>
        <w:top w:val="single" w:sz="4" w:space="0" w:color="auto"/>
        <w:bottom w:val="dotted" w:sz="4" w:space="0" w:color="000000"/>
        <w:right w:val="single" w:sz="4" w:space="0" w:color="auto"/>
      </w:pBdr>
      <w:spacing w:before="100" w:beforeAutospacing="1" w:after="100" w:afterAutospacing="1" w:line="240" w:lineRule="auto"/>
      <w:textAlignment w:val="center"/>
    </w:pPr>
    <w:rPr>
      <w:rFonts w:eastAsia="Times New Roman"/>
      <w:b/>
      <w:bCs/>
      <w:sz w:val="16"/>
      <w:szCs w:val="16"/>
      <w:lang w:val="en-GB" w:eastAsia="en-GB"/>
    </w:rPr>
  </w:style>
  <w:style w:type="paragraph" w:customStyle="1" w:styleId="xl435">
    <w:name w:val="xl435"/>
    <w:basedOn w:val="Normal"/>
    <w:pPr>
      <w:pBdr>
        <w:top w:val="dotted" w:sz="4" w:space="0" w:color="000000"/>
        <w:left w:val="single" w:sz="4" w:space="0" w:color="auto"/>
        <w:bottom w:val="dotted" w:sz="4" w:space="0" w:color="000000"/>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36">
    <w:name w:val="xl436"/>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37">
    <w:name w:val="xl437"/>
    <w:basedOn w:val="Normal"/>
    <w:pPr>
      <w:pBdr>
        <w:top w:val="single" w:sz="4" w:space="0" w:color="auto"/>
        <w:bottom w:val="dotted" w:sz="4" w:space="0" w:color="000000"/>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38">
    <w:name w:val="xl438"/>
    <w:basedOn w:val="Normal"/>
    <w:pPr>
      <w:pBdr>
        <w:top w:val="single" w:sz="4" w:space="0" w:color="auto"/>
        <w:bottom w:val="dotted" w:sz="4" w:space="0" w:color="000000"/>
        <w:right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39">
    <w:name w:val="xl439"/>
    <w:basedOn w:val="Normal"/>
    <w:pPr>
      <w:pBdr>
        <w:top w:val="dotted" w:sz="4" w:space="0" w:color="000000"/>
        <w:left w:val="single" w:sz="4" w:space="0" w:color="auto"/>
        <w:bottom w:val="dotted"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40">
    <w:name w:val="xl440"/>
    <w:basedOn w:val="Normal"/>
    <w:pPr>
      <w:pBdr>
        <w:top w:val="dotted" w:sz="4" w:space="0" w:color="000000"/>
        <w:bottom w:val="dotted"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41">
    <w:name w:val="xl441"/>
    <w:basedOn w:val="Normal"/>
    <w:pPr>
      <w:pBdr>
        <w:top w:val="dotted" w:sz="4" w:space="0" w:color="000000"/>
        <w:bottom w:val="dotted" w:sz="4" w:space="0" w:color="auto"/>
        <w:right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42">
    <w:name w:val="xl442"/>
    <w:basedOn w:val="Normal"/>
    <w:pPr>
      <w:pBdr>
        <w:top w:val="single" w:sz="4" w:space="0" w:color="auto"/>
        <w:left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43">
    <w:name w:val="xl443"/>
    <w:basedOn w:val="Normal"/>
    <w:pPr>
      <w:pBdr>
        <w:top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44">
    <w:name w:val="xl444"/>
    <w:basedOn w:val="Normal"/>
    <w:pPr>
      <w:pBdr>
        <w:top w:val="single" w:sz="4" w:space="0" w:color="auto"/>
        <w:right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45">
    <w:name w:val="xl445"/>
    <w:basedOn w:val="Normal"/>
    <w:pPr>
      <w:pBdr>
        <w:left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46">
    <w:name w:val="xl446"/>
    <w:basedOn w:val="Normal"/>
    <w:pPr>
      <w:spacing w:before="100" w:beforeAutospacing="1" w:after="100" w:afterAutospacing="1" w:line="240" w:lineRule="auto"/>
      <w:textAlignment w:val="center"/>
    </w:pPr>
    <w:rPr>
      <w:rFonts w:eastAsia="Times New Roman"/>
      <w:sz w:val="16"/>
      <w:szCs w:val="16"/>
      <w:lang w:val="en-GB" w:eastAsia="en-GB"/>
    </w:rPr>
  </w:style>
  <w:style w:type="paragraph" w:customStyle="1" w:styleId="xl447">
    <w:name w:val="xl447"/>
    <w:basedOn w:val="Normal"/>
    <w:pPr>
      <w:pBdr>
        <w:right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48">
    <w:name w:val="xl448"/>
    <w:basedOn w:val="Normal"/>
    <w:pPr>
      <w:pBdr>
        <w:left w:val="single" w:sz="4" w:space="0" w:color="auto"/>
        <w:bottom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49">
    <w:name w:val="xl449"/>
    <w:basedOn w:val="Normal"/>
    <w:pPr>
      <w:pBdr>
        <w:bottom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50">
    <w:name w:val="xl450"/>
    <w:basedOn w:val="Normal"/>
    <w:pPr>
      <w:pBdr>
        <w:bottom w:val="single" w:sz="4" w:space="0" w:color="auto"/>
        <w:right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51">
    <w:name w:val="xl451"/>
    <w:basedOn w:val="Normal"/>
    <w:pPr>
      <w:pBdr>
        <w:top w:val="dotted" w:sz="4" w:space="0" w:color="000000"/>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452">
    <w:name w:val="xl452"/>
    <w:basedOn w:val="Normal"/>
    <w:pPr>
      <w:pBdr>
        <w:top w:val="dotted" w:sz="4" w:space="0" w:color="000000"/>
        <w:bottom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453">
    <w:name w:val="xl453"/>
    <w:basedOn w:val="Normal"/>
    <w:pPr>
      <w:pBdr>
        <w:top w:val="dotted"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454">
    <w:name w:val="xl454"/>
    <w:basedOn w:val="Normal"/>
    <w:pPr>
      <w:pBdr>
        <w:top w:val="dotted" w:sz="4" w:space="0" w:color="auto"/>
        <w:bottom w:val="dotted"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55">
    <w:name w:val="xl455"/>
    <w:basedOn w:val="Normal"/>
    <w:pPr>
      <w:pBdr>
        <w:top w:val="dotted" w:sz="4" w:space="0" w:color="auto"/>
        <w:bottom w:val="dotted" w:sz="4" w:space="0" w:color="auto"/>
        <w:right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56">
    <w:name w:val="xl456"/>
    <w:basedOn w:val="Normal"/>
    <w:pPr>
      <w:pBdr>
        <w:top w:val="dotted" w:sz="4" w:space="0" w:color="000000"/>
        <w:lef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57">
    <w:name w:val="xl457"/>
    <w:basedOn w:val="Normal"/>
    <w:pPr>
      <w:pBdr>
        <w:top w:val="dotted" w:sz="4" w:space="0" w:color="000000"/>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58">
    <w:name w:val="xl458"/>
    <w:basedOn w:val="Normal"/>
    <w:pPr>
      <w:pBdr>
        <w:top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59">
    <w:name w:val="xl459"/>
    <w:basedOn w:val="Normal"/>
    <w:pPr>
      <w:pBdr>
        <w:top w:val="single" w:sz="4" w:space="0" w:color="auto"/>
        <w:left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60">
    <w:name w:val="xl460"/>
    <w:basedOn w:val="Normal"/>
    <w:pPr>
      <w:pBdr>
        <w:top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61">
    <w:name w:val="xl461"/>
    <w:basedOn w:val="Normal"/>
    <w:pPr>
      <w:pBdr>
        <w:top w:val="single" w:sz="4" w:space="0" w:color="auto"/>
        <w:right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lang w:val="en-GB" w:eastAsia="en-GB"/>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 w:val="24"/>
      <w:szCs w:val="24"/>
      <w:lang w:val="en-GB" w:eastAsia="en-GB"/>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line="240" w:lineRule="auto"/>
      <w:jc w:val="both"/>
    </w:pPr>
    <w:rPr>
      <w:rFonts w:eastAsiaTheme="minorHAnsi"/>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styleId="ListParagraph">
    <w:name w:val="List Paragraph"/>
    <w:basedOn w:val="Normal"/>
    <w:uiPriority w:val="34"/>
    <w:qFormat/>
    <w:pPr>
      <w:spacing w:after="0" w:line="240" w:lineRule="auto"/>
    </w:pPr>
    <w:rPr>
      <w:rFonts w:eastAsia="Times New Roman"/>
      <w:sz w:val="24"/>
      <w:szCs w:val="24"/>
      <w:lang w:val="en-GB" w:eastAsia="en-GB"/>
    </w:rPr>
  </w:style>
  <w:style w:type="paragraph" w:styleId="Revision">
    <w:name w:val="Revision"/>
    <w:hidden/>
    <w:uiPriority w:val="99"/>
    <w:semiHidden/>
    <w:rPr>
      <w:rFonts w:ascii="Times New Roman" w:hAnsi="Times New Roman"/>
      <w:sz w:val="23"/>
      <w:szCs w:val="22"/>
      <w:lang w:val="fr-BE" w:eastAsia="en-US"/>
    </w:rPr>
  </w:style>
  <w:style w:type="paragraph" w:customStyle="1" w:styleId="xl462">
    <w:name w:val="xl462"/>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463">
    <w:name w:val="xl463"/>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464">
    <w:name w:val="xl464"/>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465">
    <w:name w:val="xl465"/>
    <w:basedOn w:val="Normal"/>
    <w:pPr>
      <w:pBdr>
        <w:top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466">
    <w:name w:val="xl466"/>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67">
    <w:name w:val="xl467"/>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68">
    <w:name w:val="xl468"/>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69">
    <w:name w:val="xl469"/>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70">
    <w:name w:val="xl470"/>
    <w:basedOn w:val="Normal"/>
    <w:pPr>
      <w:pBdr>
        <w:left w:val="single" w:sz="4" w:space="0" w:color="auto"/>
        <w:bottom w:val="dotted" w:sz="4" w:space="0" w:color="auto"/>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471">
    <w:name w:val="xl471"/>
    <w:basedOn w:val="Normal"/>
    <w:pPr>
      <w:pBdr>
        <w:left w:val="single" w:sz="4" w:space="0" w:color="000000"/>
        <w:bottom w:val="dotted" w:sz="4" w:space="0" w:color="auto"/>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472">
    <w:name w:val="xl472"/>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473">
    <w:name w:val="xl473"/>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474">
    <w:name w:val="xl474"/>
    <w:basedOn w:val="Normal"/>
    <w:pPr>
      <w:pBdr>
        <w:top w:val="dotted"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475">
    <w:name w:val="xl475"/>
    <w:basedOn w:val="Normal"/>
    <w:pPr>
      <w:pBdr>
        <w:top w:val="dotted"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476">
    <w:name w:val="xl476"/>
    <w:basedOn w:val="Normal"/>
    <w:pPr>
      <w:pBdr>
        <w:left w:val="single" w:sz="4" w:space="0" w:color="auto"/>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477">
    <w:name w:val="xl477"/>
    <w:basedOn w:val="Normal"/>
    <w:pPr>
      <w:pBdr>
        <w:left w:val="single"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478">
    <w:name w:val="xl478"/>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479">
    <w:name w:val="xl479"/>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480">
    <w:name w:val="xl480"/>
    <w:basedOn w:val="Normal"/>
    <w:pPr>
      <w:pBdr>
        <w:top w:val="dotted" w:sz="4" w:space="0" w:color="000000"/>
        <w:left w:val="single" w:sz="4" w:space="0" w:color="auto"/>
        <w:right w:val="single" w:sz="4" w:space="0" w:color="000000"/>
      </w:pBdr>
      <w:shd w:val="clear" w:color="000000" w:fill="FFFFFF"/>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81">
    <w:name w:val="xl481"/>
    <w:basedOn w:val="Normal"/>
    <w:pPr>
      <w:pBdr>
        <w:top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82">
    <w:name w:val="xl482"/>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83">
    <w:name w:val="xl483"/>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84">
    <w:name w:val="xl484"/>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85">
    <w:name w:val="xl485"/>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86">
    <w:name w:val="xl486"/>
    <w:basedOn w:val="Normal"/>
    <w:pPr>
      <w:pBdr>
        <w:top w:val="single" w:sz="4" w:space="0" w:color="auto"/>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487">
    <w:name w:val="xl487"/>
    <w:basedOn w:val="Normal"/>
    <w:pPr>
      <w:pBdr>
        <w:top w:val="single" w:sz="4" w:space="0" w:color="auto"/>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488">
    <w:name w:val="xl488"/>
    <w:basedOn w:val="Normal"/>
    <w:pPr>
      <w:pBdr>
        <w:top w:val="single" w:sz="4" w:space="0" w:color="auto"/>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489">
    <w:name w:val="xl489"/>
    <w:basedOn w:val="Normal"/>
    <w:pPr>
      <w:pBdr>
        <w:top w:val="single" w:sz="4" w:space="0" w:color="auto"/>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490">
    <w:name w:val="xl490"/>
    <w:basedOn w:val="Normal"/>
    <w:pPr>
      <w:pBdr>
        <w:top w:val="single" w:sz="4" w:space="0" w:color="auto"/>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491">
    <w:name w:val="xl491"/>
    <w:basedOn w:val="Normal"/>
    <w:pPr>
      <w:pBdr>
        <w:top w:val="dotted" w:sz="4" w:space="0" w:color="000000"/>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92">
    <w:name w:val="xl492"/>
    <w:basedOn w:val="Normal"/>
    <w:pPr>
      <w:pBdr>
        <w:top w:val="dotted" w:sz="4" w:space="0" w:color="000000"/>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93">
    <w:name w:val="xl493"/>
    <w:basedOn w:val="Normal"/>
    <w:pPr>
      <w:pBdr>
        <w:top w:val="dotted"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94">
    <w:name w:val="xl494"/>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95">
    <w:name w:val="xl495"/>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96">
    <w:name w:val="xl496"/>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97">
    <w:name w:val="xl497"/>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98">
    <w:name w:val="xl498"/>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499">
    <w:name w:val="xl499"/>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500">
    <w:name w:val="xl500"/>
    <w:basedOn w:val="Normal"/>
    <w:pPr>
      <w:pBdr>
        <w:top w:val="dotted"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501">
    <w:name w:val="xl501"/>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502">
    <w:name w:val="xl502"/>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503">
    <w:name w:val="xl503"/>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504">
    <w:name w:val="xl504"/>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505">
    <w:name w:val="xl505"/>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506">
    <w:name w:val="xl506"/>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507">
    <w:name w:val="xl507"/>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508">
    <w:name w:val="xl508"/>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509">
    <w:name w:val="xl509"/>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510">
    <w:name w:val="xl510"/>
    <w:basedOn w:val="Normal"/>
    <w:pPr>
      <w:pBdr>
        <w:top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511">
    <w:name w:val="xl511"/>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512">
    <w:name w:val="xl512"/>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513">
    <w:name w:val="xl513"/>
    <w:basedOn w:val="Normal"/>
    <w:pPr>
      <w:pBdr>
        <w:top w:val="single" w:sz="4" w:space="0" w:color="auto"/>
        <w:left w:val="single" w:sz="4" w:space="0" w:color="auto"/>
        <w:right w:val="single" w:sz="4" w:space="0" w:color="000000"/>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514">
    <w:name w:val="xl514"/>
    <w:basedOn w:val="Normal"/>
    <w:pPr>
      <w:pBdr>
        <w:top w:val="single" w:sz="4" w:space="0" w:color="auto"/>
        <w:left w:val="single" w:sz="4" w:space="0" w:color="000000"/>
        <w:right w:val="single" w:sz="4" w:space="0" w:color="auto"/>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515">
    <w:name w:val="xl515"/>
    <w:basedOn w:val="Normal"/>
    <w:pPr>
      <w:pBdr>
        <w:top w:val="single" w:sz="4" w:space="0" w:color="auto"/>
        <w:right w:val="single" w:sz="4" w:space="0" w:color="auto"/>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516">
    <w:name w:val="xl516"/>
    <w:basedOn w:val="Normal"/>
    <w:pPr>
      <w:pBdr>
        <w:top w:val="single" w:sz="4" w:space="0" w:color="auto"/>
        <w:left w:val="single" w:sz="4" w:space="0" w:color="auto"/>
        <w:right w:val="single" w:sz="4" w:space="0" w:color="000000"/>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517">
    <w:name w:val="xl517"/>
    <w:basedOn w:val="Normal"/>
    <w:pPr>
      <w:pBdr>
        <w:top w:val="single" w:sz="4" w:space="0" w:color="auto"/>
        <w:left w:val="single" w:sz="4" w:space="0" w:color="000000"/>
        <w:right w:val="single" w:sz="4" w:space="0" w:color="auto"/>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518">
    <w:name w:val="xl518"/>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519">
    <w:name w:val="xl519"/>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520">
    <w:name w:val="xl520"/>
    <w:basedOn w:val="Normal"/>
    <w:pPr>
      <w:pBdr>
        <w:top w:val="dotted"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521">
    <w:name w:val="xl521"/>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522">
    <w:name w:val="xl522"/>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523">
    <w:name w:val="xl523"/>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524">
    <w:name w:val="xl524"/>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525">
    <w:name w:val="xl525"/>
    <w:basedOn w:val="Normal"/>
    <w:pPr>
      <w:pBdr>
        <w:top w:val="dotted"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526">
    <w:name w:val="xl526"/>
    <w:basedOn w:val="Normal"/>
    <w:pPr>
      <w:pBdr>
        <w:top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527">
    <w:name w:val="xl527"/>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528">
    <w:name w:val="xl528"/>
    <w:basedOn w:val="Normal"/>
    <w:pPr>
      <w:pBdr>
        <w:top w:val="single"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529">
    <w:name w:val="xl529"/>
    <w:basedOn w:val="Normal"/>
    <w:pPr>
      <w:pBdr>
        <w:top w:val="single" w:sz="4" w:space="0" w:color="auto"/>
        <w:bottom w:val="dotted" w:sz="4" w:space="0" w:color="000000"/>
        <w:right w:val="single" w:sz="4" w:space="0" w:color="auto"/>
      </w:pBdr>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530">
    <w:name w:val="xl530"/>
    <w:basedOn w:val="Normal"/>
    <w:pPr>
      <w:pBdr>
        <w:top w:val="single"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531">
    <w:name w:val="xl531"/>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532">
    <w:name w:val="xl532"/>
    <w:basedOn w:val="Normal"/>
    <w:pPr>
      <w:pBdr>
        <w:bottom w:val="single" w:sz="4" w:space="0" w:color="auto"/>
        <w:right w:val="single" w:sz="4" w:space="0" w:color="000000"/>
      </w:pBdr>
      <w:spacing w:before="100" w:beforeAutospacing="1" w:after="100" w:afterAutospacing="1" w:line="240" w:lineRule="auto"/>
      <w:jc w:val="right"/>
      <w:textAlignment w:val="top"/>
    </w:pPr>
    <w:rPr>
      <w:rFonts w:eastAsia="Times New Roman"/>
      <w:i/>
      <w:iCs/>
      <w:sz w:val="16"/>
      <w:szCs w:val="16"/>
      <w:lang w:val="en-GB" w:eastAsia="en-GB"/>
    </w:rPr>
  </w:style>
  <w:style w:type="paragraph" w:customStyle="1" w:styleId="xl533">
    <w:name w:val="xl533"/>
    <w:basedOn w:val="Normal"/>
    <w:pPr>
      <w:pBdr>
        <w:bottom w:val="single" w:sz="4" w:space="0" w:color="auto"/>
        <w:right w:val="single" w:sz="4" w:space="0" w:color="auto"/>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534">
    <w:name w:val="xl534"/>
    <w:basedOn w:val="Normal"/>
    <w:pPr>
      <w:pBdr>
        <w:left w:val="single" w:sz="4" w:space="0" w:color="auto"/>
        <w:bottom w:val="single" w:sz="4" w:space="0" w:color="auto"/>
        <w:right w:val="single" w:sz="4" w:space="0" w:color="000000"/>
      </w:pBdr>
      <w:spacing w:before="100" w:beforeAutospacing="1" w:after="100" w:afterAutospacing="1" w:line="240" w:lineRule="auto"/>
      <w:jc w:val="right"/>
      <w:textAlignment w:val="top"/>
    </w:pPr>
    <w:rPr>
      <w:rFonts w:eastAsia="Times New Roman"/>
      <w:i/>
      <w:iCs/>
      <w:sz w:val="16"/>
      <w:szCs w:val="16"/>
      <w:lang w:val="en-GB" w:eastAsia="en-GB"/>
    </w:rPr>
  </w:style>
  <w:style w:type="paragraph" w:customStyle="1" w:styleId="xl535">
    <w:name w:val="xl535"/>
    <w:basedOn w:val="Normal"/>
    <w:pPr>
      <w:pBdr>
        <w:bottom w:val="single" w:sz="4" w:space="0" w:color="auto"/>
        <w:right w:val="single" w:sz="4" w:space="0" w:color="auto"/>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536">
    <w:name w:val="xl536"/>
    <w:basedOn w:val="Normal"/>
    <w:pPr>
      <w:pBdr>
        <w:left w:val="single" w:sz="4" w:space="0" w:color="auto"/>
        <w:bottom w:val="single" w:sz="4" w:space="0" w:color="auto"/>
        <w:right w:val="single" w:sz="4" w:space="0" w:color="000000"/>
      </w:pBdr>
      <w:spacing w:before="100" w:beforeAutospacing="1" w:after="100" w:afterAutospacing="1" w:line="240" w:lineRule="auto"/>
      <w:jc w:val="right"/>
      <w:textAlignment w:val="top"/>
    </w:pPr>
    <w:rPr>
      <w:rFonts w:eastAsia="Times New Roman"/>
      <w:i/>
      <w:iCs/>
      <w:sz w:val="16"/>
      <w:szCs w:val="16"/>
      <w:lang w:val="en-GB" w:eastAsia="en-GB"/>
    </w:rPr>
  </w:style>
  <w:style w:type="paragraph" w:customStyle="1" w:styleId="xl537">
    <w:name w:val="xl537"/>
    <w:basedOn w:val="Normal"/>
    <w:pPr>
      <w:pBdr>
        <w:left w:val="single" w:sz="4" w:space="0" w:color="000000"/>
        <w:bottom w:val="single" w:sz="4" w:space="0" w:color="auto"/>
        <w:right w:val="single" w:sz="4" w:space="0" w:color="auto"/>
      </w:pBdr>
      <w:spacing w:before="100" w:beforeAutospacing="1" w:after="100" w:afterAutospacing="1" w:line="240" w:lineRule="auto"/>
      <w:jc w:val="right"/>
      <w:textAlignment w:val="top"/>
    </w:pPr>
    <w:rPr>
      <w:rFonts w:eastAsia="Times New Roman"/>
      <w:i/>
      <w:iCs/>
      <w:sz w:val="16"/>
      <w:szCs w:val="16"/>
      <w:lang w:val="en-GB" w:eastAsia="en-GB"/>
    </w:rPr>
  </w:style>
  <w:style w:type="paragraph" w:customStyle="1" w:styleId="xl538">
    <w:name w:val="xl538"/>
    <w:basedOn w:val="Normal"/>
    <w:pPr>
      <w:pBdr>
        <w:left w:val="single" w:sz="4" w:space="0" w:color="000000"/>
        <w:bottom w:val="single" w:sz="4" w:space="0" w:color="auto"/>
        <w:right w:val="single" w:sz="4" w:space="0" w:color="auto"/>
      </w:pBdr>
      <w:spacing w:before="100" w:beforeAutospacing="1" w:after="100" w:afterAutospacing="1" w:line="240" w:lineRule="auto"/>
      <w:jc w:val="right"/>
      <w:textAlignment w:val="top"/>
    </w:pPr>
    <w:rPr>
      <w:rFonts w:eastAsia="Times New Roman"/>
      <w:i/>
      <w:iCs/>
      <w:sz w:val="16"/>
      <w:szCs w:val="16"/>
      <w:lang w:val="en-GB" w:eastAsia="en-GB"/>
    </w:rPr>
  </w:style>
  <w:style w:type="paragraph" w:customStyle="1" w:styleId="xl539">
    <w:name w:val="xl539"/>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540">
    <w:name w:val="xl540"/>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541">
    <w:name w:val="xl541"/>
    <w:basedOn w:val="Normal"/>
    <w:pPr>
      <w:pBdr>
        <w:top w:val="single"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542">
    <w:name w:val="xl542"/>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543">
    <w:name w:val="xl543"/>
    <w:basedOn w:val="Normal"/>
    <w:pPr>
      <w:pBdr>
        <w:top w:val="single" w:sz="4" w:space="0" w:color="auto"/>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544">
    <w:name w:val="xl544"/>
    <w:basedOn w:val="Normal"/>
    <w:pPr>
      <w:pBdr>
        <w:top w:val="single"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545">
    <w:name w:val="xl545"/>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546">
    <w:name w:val="xl546"/>
    <w:basedOn w:val="Normal"/>
    <w:pPr>
      <w:pBdr>
        <w:top w:val="dotted" w:sz="4" w:space="0" w:color="000000"/>
        <w:left w:val="single" w:sz="4" w:space="0" w:color="auto"/>
        <w:bottom w:val="single" w:sz="4" w:space="0" w:color="auto"/>
        <w:right w:val="single" w:sz="4" w:space="0" w:color="000000"/>
      </w:pBdr>
      <w:shd w:val="clear" w:color="000000" w:fill="FFFFFF"/>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547">
    <w:name w:val="xl547"/>
    <w:basedOn w:val="Normal"/>
    <w:pPr>
      <w:pBdr>
        <w:top w:val="dotted" w:sz="4" w:space="0" w:color="000000"/>
        <w:bottom w:val="single" w:sz="4" w:space="0" w:color="auto"/>
        <w:right w:val="single" w:sz="4" w:space="0" w:color="auto"/>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548">
    <w:name w:val="xl548"/>
    <w:basedOn w:val="Normal"/>
    <w:pPr>
      <w:pBdr>
        <w:top w:val="dotted" w:sz="4" w:space="0" w:color="000000"/>
        <w:left w:val="single" w:sz="4" w:space="0" w:color="auto"/>
        <w:bottom w:val="single" w:sz="4" w:space="0" w:color="auto"/>
        <w:right w:val="single" w:sz="4" w:space="0" w:color="000000"/>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549">
    <w:name w:val="xl549"/>
    <w:basedOn w:val="Normal"/>
    <w:pPr>
      <w:pBdr>
        <w:top w:val="dotted" w:sz="4" w:space="0" w:color="000000"/>
        <w:left w:val="single" w:sz="4" w:space="0" w:color="000000"/>
        <w:bottom w:val="single" w:sz="4" w:space="0" w:color="auto"/>
        <w:right w:val="single" w:sz="4" w:space="0" w:color="auto"/>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550">
    <w:name w:val="xl550"/>
    <w:basedOn w:val="Normal"/>
    <w:pPr>
      <w:pBdr>
        <w:top w:val="dotted" w:sz="4" w:space="0" w:color="000000"/>
        <w:left w:val="single" w:sz="4" w:space="0" w:color="auto"/>
        <w:bottom w:val="single" w:sz="4" w:space="0" w:color="auto"/>
        <w:right w:val="single" w:sz="4" w:space="0" w:color="000000"/>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551">
    <w:name w:val="xl551"/>
    <w:basedOn w:val="Normal"/>
    <w:pPr>
      <w:pBdr>
        <w:top w:val="dotted" w:sz="4" w:space="0" w:color="000000"/>
        <w:left w:val="single" w:sz="4" w:space="0" w:color="000000"/>
        <w:bottom w:val="single" w:sz="4" w:space="0" w:color="auto"/>
        <w:right w:val="single" w:sz="4" w:space="0" w:color="auto"/>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552">
    <w:name w:val="xl552"/>
    <w:basedOn w:val="Normal"/>
    <w:pPr>
      <w:pBdr>
        <w:top w:val="single" w:sz="4" w:space="0" w:color="auto"/>
        <w:left w:val="single" w:sz="4" w:space="0" w:color="auto"/>
        <w:bottom w:val="dotted" w:sz="4" w:space="0" w:color="000000"/>
      </w:pBdr>
      <w:spacing w:before="100" w:beforeAutospacing="1" w:after="100" w:afterAutospacing="1" w:line="240" w:lineRule="auto"/>
      <w:textAlignment w:val="center"/>
    </w:pPr>
    <w:rPr>
      <w:rFonts w:eastAsia="Times New Roman"/>
      <w:sz w:val="15"/>
      <w:szCs w:val="15"/>
      <w:lang w:val="en-GB" w:eastAsia="en-GB"/>
    </w:rPr>
  </w:style>
  <w:style w:type="paragraph" w:customStyle="1" w:styleId="xl553">
    <w:name w:val="xl553"/>
    <w:basedOn w:val="Normal"/>
    <w:pPr>
      <w:pBdr>
        <w:left w:val="single" w:sz="4" w:space="0" w:color="auto"/>
        <w:bottom w:val="dotted" w:sz="4" w:space="0" w:color="000000"/>
      </w:pBdr>
      <w:spacing w:before="100" w:beforeAutospacing="1" w:after="100" w:afterAutospacing="1" w:line="240" w:lineRule="auto"/>
      <w:jc w:val="right"/>
      <w:textAlignment w:val="center"/>
    </w:pPr>
    <w:rPr>
      <w:rFonts w:eastAsia="Times New Roman"/>
      <w:i/>
      <w:iCs/>
      <w:sz w:val="15"/>
      <w:szCs w:val="15"/>
      <w:lang w:val="en-GB" w:eastAsia="en-GB"/>
    </w:rPr>
  </w:style>
  <w:style w:type="paragraph" w:customStyle="1" w:styleId="xl554">
    <w:name w:val="xl554"/>
    <w:basedOn w:val="Normal"/>
    <w:pPr>
      <w:pBdr>
        <w:top w:val="single" w:sz="4" w:space="0" w:color="auto"/>
        <w:left w:val="single" w:sz="4" w:space="0" w:color="auto"/>
        <w:bottom w:val="dotted" w:sz="4" w:space="0" w:color="000000"/>
      </w:pBdr>
      <w:spacing w:before="100" w:beforeAutospacing="1" w:after="100" w:afterAutospacing="1" w:line="240" w:lineRule="auto"/>
      <w:textAlignment w:val="center"/>
    </w:pPr>
    <w:rPr>
      <w:rFonts w:eastAsia="Times New Roman"/>
      <w:b/>
      <w:bCs/>
      <w:sz w:val="15"/>
      <w:szCs w:val="15"/>
      <w:lang w:val="en-GB" w:eastAsia="en-GB"/>
    </w:rPr>
  </w:style>
  <w:style w:type="paragraph" w:customStyle="1" w:styleId="xl555">
    <w:name w:val="xl555"/>
    <w:basedOn w:val="Normal"/>
    <w:pPr>
      <w:pBdr>
        <w:top w:val="dotted" w:sz="4" w:space="0" w:color="000000"/>
        <w:left w:val="single" w:sz="4" w:space="0" w:color="auto"/>
        <w:bottom w:val="dotted" w:sz="4" w:space="0" w:color="000000"/>
      </w:pBdr>
      <w:spacing w:before="100" w:beforeAutospacing="1" w:after="100" w:afterAutospacing="1" w:line="240" w:lineRule="auto"/>
      <w:jc w:val="right"/>
      <w:textAlignment w:val="center"/>
    </w:pPr>
    <w:rPr>
      <w:rFonts w:eastAsia="Times New Roman"/>
      <w:i/>
      <w:iCs/>
      <w:sz w:val="15"/>
      <w:szCs w:val="15"/>
      <w:lang w:val="en-GB" w:eastAsia="en-GB"/>
    </w:rPr>
  </w:style>
  <w:style w:type="paragraph" w:customStyle="1" w:styleId="xl556">
    <w:name w:val="xl556"/>
    <w:basedOn w:val="Normal"/>
    <w:pPr>
      <w:pBdr>
        <w:top w:val="dotted" w:sz="4" w:space="0" w:color="000000"/>
        <w:left w:val="single" w:sz="4" w:space="0" w:color="auto"/>
        <w:bottom w:val="single" w:sz="4" w:space="0" w:color="auto"/>
      </w:pBdr>
      <w:spacing w:before="100" w:beforeAutospacing="1" w:after="100" w:afterAutospacing="1" w:line="240" w:lineRule="auto"/>
      <w:jc w:val="right"/>
      <w:textAlignment w:val="center"/>
    </w:pPr>
    <w:rPr>
      <w:rFonts w:eastAsia="Times New Roman"/>
      <w:i/>
      <w:iCs/>
      <w:sz w:val="15"/>
      <w:szCs w:val="15"/>
      <w:lang w:val="en-GB" w:eastAsia="en-GB"/>
    </w:rPr>
  </w:style>
  <w:style w:type="paragraph" w:customStyle="1" w:styleId="xl557">
    <w:name w:val="xl557"/>
    <w:basedOn w:val="Normal"/>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558">
    <w:name w:val="xl558"/>
    <w:basedOn w:val="Normal"/>
    <w:pPr>
      <w:pBdr>
        <w:top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559">
    <w:name w:val="xl559"/>
    <w:basedOn w:val="Normal"/>
    <w:pPr>
      <w:pBdr>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560">
    <w:name w:val="xl560"/>
    <w:basedOn w:val="Normal"/>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561">
    <w:name w:val="xl561"/>
    <w:basedOn w:val="Normal"/>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562">
    <w:name w:val="xl562"/>
    <w:basedOn w:val="Normal"/>
    <w:pPr>
      <w:pBdr>
        <w:top w:val="single" w:sz="4" w:space="0" w:color="auto"/>
        <w:bottom w:val="dotted" w:sz="4" w:space="0" w:color="000000"/>
      </w:pBdr>
      <w:spacing w:before="100" w:beforeAutospacing="1" w:after="100" w:afterAutospacing="1" w:line="240" w:lineRule="auto"/>
      <w:textAlignment w:val="center"/>
    </w:pPr>
    <w:rPr>
      <w:rFonts w:eastAsia="Times New Roman"/>
      <w:b/>
      <w:bCs/>
      <w:sz w:val="15"/>
      <w:szCs w:val="15"/>
      <w:lang w:val="en-GB" w:eastAsia="en-GB"/>
    </w:rPr>
  </w:style>
  <w:style w:type="paragraph" w:customStyle="1" w:styleId="xl563">
    <w:name w:val="xl563"/>
    <w:basedOn w:val="Normal"/>
    <w:pPr>
      <w:pBdr>
        <w:top w:val="single" w:sz="4" w:space="0" w:color="auto"/>
        <w:bottom w:val="dotted" w:sz="4" w:space="0" w:color="000000"/>
        <w:right w:val="single" w:sz="4" w:space="0" w:color="auto"/>
      </w:pBdr>
      <w:spacing w:before="100" w:beforeAutospacing="1" w:after="100" w:afterAutospacing="1" w:line="240" w:lineRule="auto"/>
      <w:textAlignment w:val="center"/>
    </w:pPr>
    <w:rPr>
      <w:rFonts w:eastAsia="Times New Roman"/>
      <w:b/>
      <w:bCs/>
      <w:sz w:val="15"/>
      <w:szCs w:val="15"/>
      <w:lang w:val="en-GB" w:eastAsia="en-GB"/>
    </w:rPr>
  </w:style>
  <w:style w:type="paragraph" w:customStyle="1" w:styleId="xl564">
    <w:name w:val="xl564"/>
    <w:basedOn w:val="Normal"/>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565">
    <w:name w:val="xl565"/>
    <w:basedOn w:val="Normal"/>
    <w:pPr>
      <w:pBdr>
        <w:top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566">
    <w:name w:val="xl566"/>
    <w:basedOn w:val="Normal"/>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eastAsia="Times New Roman"/>
      <w:b/>
      <w:bCs/>
      <w:sz w:val="15"/>
      <w:szCs w:val="15"/>
      <w:lang w:val="en-GB" w:eastAsia="en-GB"/>
    </w:rPr>
  </w:style>
  <w:style w:type="paragraph" w:customStyle="1" w:styleId="xl567">
    <w:name w:val="xl567"/>
    <w:basedOn w:val="Normal"/>
    <w:pPr>
      <w:pBdr>
        <w:top w:val="single" w:sz="4" w:space="0" w:color="auto"/>
      </w:pBdr>
      <w:shd w:val="clear" w:color="000000" w:fill="D9D9D9"/>
      <w:spacing w:before="100" w:beforeAutospacing="1" w:after="100" w:afterAutospacing="1" w:line="240" w:lineRule="auto"/>
      <w:jc w:val="center"/>
      <w:textAlignment w:val="center"/>
    </w:pPr>
    <w:rPr>
      <w:rFonts w:eastAsia="Times New Roman"/>
      <w:b/>
      <w:bCs/>
      <w:sz w:val="15"/>
      <w:szCs w:val="15"/>
      <w:lang w:val="en-GB" w:eastAsia="en-GB"/>
    </w:rPr>
  </w:style>
  <w:style w:type="paragraph" w:customStyle="1" w:styleId="xl568">
    <w:name w:val="xl568"/>
    <w:basedOn w:val="Normal"/>
    <w:pPr>
      <w:pBdr>
        <w:top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b/>
      <w:bCs/>
      <w:sz w:val="15"/>
      <w:szCs w:val="15"/>
      <w:lang w:val="en-GB" w:eastAsia="en-GB"/>
    </w:rPr>
  </w:style>
  <w:style w:type="paragraph" w:customStyle="1" w:styleId="xl569">
    <w:name w:val="xl569"/>
    <w:basedOn w:val="Normal"/>
    <w:pPr>
      <w:pBdr>
        <w:left w:val="single" w:sz="4" w:space="0" w:color="auto"/>
      </w:pBdr>
      <w:shd w:val="clear" w:color="000000" w:fill="D9D9D9"/>
      <w:spacing w:before="100" w:beforeAutospacing="1" w:after="100" w:afterAutospacing="1" w:line="240" w:lineRule="auto"/>
      <w:jc w:val="center"/>
      <w:textAlignment w:val="center"/>
    </w:pPr>
    <w:rPr>
      <w:rFonts w:eastAsia="Times New Roman"/>
      <w:b/>
      <w:bCs/>
      <w:sz w:val="15"/>
      <w:szCs w:val="15"/>
      <w:lang w:val="en-GB" w:eastAsia="en-GB"/>
    </w:rPr>
  </w:style>
  <w:style w:type="paragraph" w:customStyle="1" w:styleId="xl570">
    <w:name w:val="xl570"/>
    <w:basedOn w:val="Normal"/>
    <w:pPr>
      <w:shd w:val="clear" w:color="000000" w:fill="D9D9D9"/>
      <w:spacing w:before="100" w:beforeAutospacing="1" w:after="100" w:afterAutospacing="1" w:line="240" w:lineRule="auto"/>
      <w:jc w:val="center"/>
      <w:textAlignment w:val="center"/>
    </w:pPr>
    <w:rPr>
      <w:rFonts w:eastAsia="Times New Roman"/>
      <w:b/>
      <w:bCs/>
      <w:sz w:val="15"/>
      <w:szCs w:val="15"/>
      <w:lang w:val="en-GB" w:eastAsia="en-GB"/>
    </w:rPr>
  </w:style>
  <w:style w:type="paragraph" w:customStyle="1" w:styleId="xl571">
    <w:name w:val="xl571"/>
    <w:basedOn w:val="Normal"/>
    <w:pPr>
      <w:pBdr>
        <w:right w:val="single" w:sz="4" w:space="0" w:color="auto"/>
      </w:pBdr>
      <w:shd w:val="clear" w:color="000000" w:fill="D9D9D9"/>
      <w:spacing w:before="100" w:beforeAutospacing="1" w:after="100" w:afterAutospacing="1" w:line="240" w:lineRule="auto"/>
      <w:jc w:val="center"/>
      <w:textAlignment w:val="center"/>
    </w:pPr>
    <w:rPr>
      <w:rFonts w:eastAsia="Times New Roman"/>
      <w:b/>
      <w:bCs/>
      <w:sz w:val="15"/>
      <w:szCs w:val="15"/>
      <w:lang w:val="en-GB" w:eastAsia="en-GB"/>
    </w:rPr>
  </w:style>
  <w:style w:type="paragraph" w:customStyle="1" w:styleId="xl572">
    <w:name w:val="xl572"/>
    <w:basedOn w:val="Normal"/>
    <w:pPr>
      <w:pBdr>
        <w:bottom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573">
    <w:name w:val="xl573"/>
    <w:basedOn w:val="Normal"/>
    <w:pPr>
      <w:pBdr>
        <w:bottom w:val="dotted" w:sz="4" w:space="0" w:color="000000"/>
      </w:pBdr>
      <w:spacing w:before="100" w:beforeAutospacing="1" w:after="100" w:afterAutospacing="1" w:line="240" w:lineRule="auto"/>
      <w:textAlignment w:val="center"/>
    </w:pPr>
    <w:rPr>
      <w:rFonts w:eastAsia="Times New Roman"/>
      <w:sz w:val="15"/>
      <w:szCs w:val="15"/>
      <w:lang w:val="en-GB" w:eastAsia="en-GB"/>
    </w:rPr>
  </w:style>
  <w:style w:type="paragraph" w:customStyle="1" w:styleId="xl574">
    <w:name w:val="xl574"/>
    <w:basedOn w:val="Normal"/>
    <w:pPr>
      <w:pBdr>
        <w:bottom w:val="dotted" w:sz="4" w:space="0" w:color="000000"/>
        <w:right w:val="single" w:sz="4" w:space="0" w:color="auto"/>
      </w:pBdr>
      <w:spacing w:before="100" w:beforeAutospacing="1" w:after="100" w:afterAutospacing="1" w:line="240" w:lineRule="auto"/>
      <w:textAlignment w:val="center"/>
    </w:pPr>
    <w:rPr>
      <w:rFonts w:eastAsia="Times New Roman"/>
      <w:sz w:val="15"/>
      <w:szCs w:val="15"/>
      <w:lang w:val="en-GB" w:eastAsia="en-GB"/>
    </w:rPr>
  </w:style>
  <w:style w:type="paragraph" w:customStyle="1" w:styleId="xl575">
    <w:name w:val="xl575"/>
    <w:basedOn w:val="Normal"/>
    <w:pPr>
      <w:pBdr>
        <w:top w:val="dotted" w:sz="4" w:space="0" w:color="000000"/>
        <w:bottom w:val="single" w:sz="4" w:space="0" w:color="auto"/>
      </w:pBdr>
      <w:spacing w:before="100" w:beforeAutospacing="1" w:after="100" w:afterAutospacing="1" w:line="240" w:lineRule="auto"/>
      <w:jc w:val="right"/>
      <w:textAlignment w:val="center"/>
    </w:pPr>
    <w:rPr>
      <w:rFonts w:eastAsia="Times New Roman"/>
      <w:i/>
      <w:iCs/>
      <w:sz w:val="15"/>
      <w:szCs w:val="15"/>
      <w:lang w:val="en-GB" w:eastAsia="en-GB"/>
    </w:rPr>
  </w:style>
  <w:style w:type="paragraph" w:customStyle="1" w:styleId="xl576">
    <w:name w:val="xl576"/>
    <w:basedOn w:val="Normal"/>
    <w:pPr>
      <w:pBdr>
        <w:top w:val="dotted" w:sz="4" w:space="0" w:color="000000"/>
        <w:bottom w:val="single" w:sz="4" w:space="0" w:color="auto"/>
        <w:right w:val="single" w:sz="4" w:space="0" w:color="auto"/>
      </w:pBdr>
      <w:spacing w:before="100" w:beforeAutospacing="1" w:after="100" w:afterAutospacing="1" w:line="240" w:lineRule="auto"/>
      <w:jc w:val="right"/>
      <w:textAlignment w:val="center"/>
    </w:pPr>
    <w:rPr>
      <w:rFonts w:eastAsia="Times New Roman"/>
      <w:i/>
      <w:iCs/>
      <w:sz w:val="15"/>
      <w:szCs w:val="15"/>
      <w:lang w:val="en-GB" w:eastAsia="en-GB"/>
    </w:rPr>
  </w:style>
  <w:style w:type="paragraph" w:customStyle="1" w:styleId="xl577">
    <w:name w:val="xl577"/>
    <w:basedOn w:val="Normal"/>
    <w:pPr>
      <w:pBdr>
        <w:top w:val="dotted" w:sz="4" w:space="0" w:color="000000"/>
        <w:left w:val="single" w:sz="4" w:space="0" w:color="auto"/>
        <w:bottom w:val="dotted" w:sz="4" w:space="0" w:color="auto"/>
      </w:pBdr>
      <w:spacing w:before="100" w:beforeAutospacing="1" w:after="100" w:afterAutospacing="1" w:line="240" w:lineRule="auto"/>
      <w:textAlignment w:val="center"/>
    </w:pPr>
    <w:rPr>
      <w:rFonts w:eastAsia="Times New Roman"/>
      <w:sz w:val="15"/>
      <w:szCs w:val="15"/>
      <w:lang w:val="en-GB" w:eastAsia="en-GB"/>
    </w:rPr>
  </w:style>
  <w:style w:type="paragraph" w:customStyle="1" w:styleId="xl578">
    <w:name w:val="xl578"/>
    <w:basedOn w:val="Normal"/>
    <w:pPr>
      <w:pBdr>
        <w:top w:val="dotted" w:sz="4" w:space="0" w:color="000000"/>
        <w:bottom w:val="dotted" w:sz="4" w:space="0" w:color="auto"/>
      </w:pBdr>
      <w:spacing w:before="100" w:beforeAutospacing="1" w:after="100" w:afterAutospacing="1" w:line="240" w:lineRule="auto"/>
      <w:textAlignment w:val="center"/>
    </w:pPr>
    <w:rPr>
      <w:rFonts w:eastAsia="Times New Roman"/>
      <w:sz w:val="15"/>
      <w:szCs w:val="15"/>
      <w:lang w:val="en-GB" w:eastAsia="en-GB"/>
    </w:rPr>
  </w:style>
  <w:style w:type="paragraph" w:customStyle="1" w:styleId="xl579">
    <w:name w:val="xl579"/>
    <w:basedOn w:val="Normal"/>
    <w:pPr>
      <w:pBdr>
        <w:top w:val="dotted" w:sz="4" w:space="0" w:color="000000"/>
        <w:bottom w:val="dotted" w:sz="4" w:space="0" w:color="auto"/>
        <w:right w:val="single" w:sz="4" w:space="0" w:color="auto"/>
      </w:pBdr>
      <w:spacing w:before="100" w:beforeAutospacing="1" w:after="100" w:afterAutospacing="1" w:line="240" w:lineRule="auto"/>
      <w:textAlignment w:val="center"/>
    </w:pPr>
    <w:rPr>
      <w:rFonts w:eastAsia="Times New Roman"/>
      <w:sz w:val="15"/>
      <w:szCs w:val="15"/>
      <w:lang w:val="en-GB" w:eastAsia="en-GB"/>
    </w:rPr>
  </w:style>
  <w:style w:type="paragraph" w:customStyle="1" w:styleId="xl580">
    <w:name w:val="xl580"/>
    <w:basedOn w:val="Normal"/>
    <w:pPr>
      <w:pBdr>
        <w:top w:val="single" w:sz="4" w:space="0" w:color="auto"/>
        <w:bottom w:val="dotted" w:sz="4" w:space="0" w:color="000000"/>
      </w:pBdr>
      <w:spacing w:before="100" w:beforeAutospacing="1" w:after="100" w:afterAutospacing="1" w:line="240" w:lineRule="auto"/>
      <w:textAlignment w:val="center"/>
    </w:pPr>
    <w:rPr>
      <w:rFonts w:eastAsia="Times New Roman"/>
      <w:sz w:val="15"/>
      <w:szCs w:val="15"/>
      <w:lang w:val="en-GB" w:eastAsia="en-GB"/>
    </w:rPr>
  </w:style>
  <w:style w:type="paragraph" w:customStyle="1" w:styleId="xl581">
    <w:name w:val="xl581"/>
    <w:basedOn w:val="Normal"/>
    <w:pPr>
      <w:pBdr>
        <w:top w:val="single" w:sz="4" w:space="0" w:color="auto"/>
        <w:bottom w:val="dotted" w:sz="4" w:space="0" w:color="000000"/>
        <w:right w:val="single" w:sz="4" w:space="0" w:color="auto"/>
      </w:pBdr>
      <w:spacing w:before="100" w:beforeAutospacing="1" w:after="100" w:afterAutospacing="1" w:line="240" w:lineRule="auto"/>
      <w:textAlignment w:val="center"/>
    </w:pPr>
    <w:rPr>
      <w:rFonts w:eastAsia="Times New Roman"/>
      <w:sz w:val="15"/>
      <w:szCs w:val="15"/>
      <w:lang w:val="en-GB" w:eastAsia="en-GB"/>
    </w:rPr>
  </w:style>
  <w:style w:type="paragraph" w:customStyle="1" w:styleId="xl582">
    <w:name w:val="xl582"/>
    <w:basedOn w:val="Normal"/>
    <w:pPr>
      <w:pBdr>
        <w:top w:val="dotted" w:sz="4" w:space="0" w:color="000000"/>
        <w:bottom w:val="dotted" w:sz="4" w:space="0" w:color="000000"/>
      </w:pBdr>
      <w:spacing w:before="100" w:beforeAutospacing="1" w:after="100" w:afterAutospacing="1" w:line="240" w:lineRule="auto"/>
      <w:jc w:val="right"/>
      <w:textAlignment w:val="center"/>
    </w:pPr>
    <w:rPr>
      <w:rFonts w:eastAsia="Times New Roman"/>
      <w:i/>
      <w:iCs/>
      <w:sz w:val="15"/>
      <w:szCs w:val="15"/>
      <w:lang w:val="en-GB" w:eastAsia="en-GB"/>
    </w:rPr>
  </w:style>
  <w:style w:type="paragraph" w:customStyle="1" w:styleId="xl583">
    <w:name w:val="xl583"/>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i/>
      <w:iCs/>
      <w:sz w:val="15"/>
      <w:szCs w:val="15"/>
      <w:lang w:val="en-GB" w:eastAsia="en-GB"/>
    </w:rPr>
  </w:style>
  <w:style w:type="paragraph" w:customStyle="1" w:styleId="xl584">
    <w:name w:val="xl584"/>
    <w:basedOn w:val="Normal"/>
    <w:pPr>
      <w:pBdr>
        <w:top w:val="dotted" w:sz="4" w:space="0" w:color="000000"/>
        <w:left w:val="single" w:sz="4" w:space="0" w:color="auto"/>
        <w:bottom w:val="dotted" w:sz="4" w:space="0" w:color="000000"/>
      </w:pBdr>
      <w:spacing w:before="100" w:beforeAutospacing="1" w:after="100" w:afterAutospacing="1" w:line="240" w:lineRule="auto"/>
      <w:jc w:val="right"/>
      <w:textAlignment w:val="center"/>
    </w:pPr>
    <w:rPr>
      <w:rFonts w:eastAsia="Times New Roman"/>
      <w:b/>
      <w:bCs/>
      <w:i/>
      <w:iCs/>
      <w:sz w:val="15"/>
      <w:szCs w:val="15"/>
      <w:lang w:val="en-GB" w:eastAsia="en-GB"/>
    </w:rPr>
  </w:style>
  <w:style w:type="paragraph" w:customStyle="1" w:styleId="xl585">
    <w:name w:val="xl585"/>
    <w:basedOn w:val="Normal"/>
    <w:pPr>
      <w:pBdr>
        <w:top w:val="dotted" w:sz="4" w:space="0" w:color="000000"/>
        <w:bottom w:val="dotted" w:sz="4" w:space="0" w:color="000000"/>
      </w:pBdr>
      <w:spacing w:before="100" w:beforeAutospacing="1" w:after="100" w:afterAutospacing="1" w:line="240" w:lineRule="auto"/>
      <w:jc w:val="right"/>
      <w:textAlignment w:val="center"/>
    </w:pPr>
    <w:rPr>
      <w:rFonts w:eastAsia="Times New Roman"/>
      <w:b/>
      <w:bCs/>
      <w:i/>
      <w:iCs/>
      <w:sz w:val="15"/>
      <w:szCs w:val="15"/>
      <w:lang w:val="en-GB" w:eastAsia="en-GB"/>
    </w:rPr>
  </w:style>
  <w:style w:type="paragraph" w:customStyle="1" w:styleId="xl586">
    <w:name w:val="xl586"/>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5"/>
      <w:szCs w:val="15"/>
      <w:lang w:val="en-GB" w:eastAsia="en-GB"/>
    </w:rPr>
  </w:style>
  <w:style w:type="paragraph" w:customStyle="1" w:styleId="xl587">
    <w:name w:val="xl587"/>
    <w:basedOn w:val="Normal"/>
    <w:pPr>
      <w:pBdr>
        <w:top w:val="dotted" w:sz="4" w:space="0" w:color="000000"/>
        <w:left w:val="single" w:sz="4" w:space="0" w:color="auto"/>
        <w:bottom w:val="single" w:sz="4" w:space="0" w:color="auto"/>
      </w:pBdr>
      <w:spacing w:before="100" w:beforeAutospacing="1" w:after="100" w:afterAutospacing="1" w:line="240" w:lineRule="auto"/>
      <w:jc w:val="right"/>
      <w:textAlignment w:val="center"/>
    </w:pPr>
    <w:rPr>
      <w:rFonts w:eastAsia="Times New Roman"/>
      <w:b/>
      <w:bCs/>
      <w:i/>
      <w:iCs/>
      <w:sz w:val="15"/>
      <w:szCs w:val="15"/>
      <w:lang w:val="en-GB" w:eastAsia="en-GB"/>
    </w:rPr>
  </w:style>
  <w:style w:type="paragraph" w:customStyle="1" w:styleId="xl588">
    <w:name w:val="xl588"/>
    <w:basedOn w:val="Normal"/>
    <w:pPr>
      <w:pBdr>
        <w:top w:val="dotted" w:sz="4" w:space="0" w:color="000000"/>
        <w:bottom w:val="single" w:sz="4" w:space="0" w:color="auto"/>
      </w:pBdr>
      <w:spacing w:before="100" w:beforeAutospacing="1" w:after="100" w:afterAutospacing="1" w:line="240" w:lineRule="auto"/>
      <w:jc w:val="right"/>
      <w:textAlignment w:val="center"/>
    </w:pPr>
    <w:rPr>
      <w:rFonts w:eastAsia="Times New Roman"/>
      <w:b/>
      <w:bCs/>
      <w:i/>
      <w:iCs/>
      <w:sz w:val="15"/>
      <w:szCs w:val="15"/>
      <w:lang w:val="en-GB" w:eastAsia="en-GB"/>
    </w:rPr>
  </w:style>
  <w:style w:type="paragraph" w:customStyle="1" w:styleId="xl589">
    <w:name w:val="xl589"/>
    <w:basedOn w:val="Normal"/>
    <w:pPr>
      <w:pBdr>
        <w:top w:val="dotted" w:sz="4" w:space="0" w:color="000000"/>
        <w:bottom w:val="single" w:sz="4" w:space="0" w:color="auto"/>
        <w:right w:val="single" w:sz="4" w:space="0" w:color="auto"/>
      </w:pBdr>
      <w:spacing w:before="100" w:beforeAutospacing="1" w:after="100" w:afterAutospacing="1" w:line="240" w:lineRule="auto"/>
      <w:jc w:val="right"/>
      <w:textAlignment w:val="center"/>
    </w:pPr>
    <w:rPr>
      <w:rFonts w:eastAsia="Times New Roman"/>
      <w:b/>
      <w:bCs/>
      <w:i/>
      <w:iCs/>
      <w:sz w:val="15"/>
      <w:szCs w:val="15"/>
      <w:lang w:val="en-GB" w:eastAsia="en-GB"/>
    </w:rPr>
  </w:style>
  <w:style w:type="paragraph" w:customStyle="1" w:styleId="xl590">
    <w:name w:val="xl590"/>
    <w:basedOn w:val="Normal"/>
    <w:pPr>
      <w:pBdr>
        <w:top w:val="dotted" w:sz="4" w:space="0" w:color="000000"/>
        <w:left w:val="single" w:sz="4" w:space="0" w:color="auto"/>
      </w:pBdr>
      <w:spacing w:before="100" w:beforeAutospacing="1" w:after="100" w:afterAutospacing="1" w:line="240" w:lineRule="auto"/>
      <w:textAlignment w:val="center"/>
    </w:pPr>
    <w:rPr>
      <w:rFonts w:eastAsia="Times New Roman"/>
      <w:sz w:val="15"/>
      <w:szCs w:val="15"/>
      <w:lang w:val="en-GB" w:eastAsia="en-GB"/>
    </w:rPr>
  </w:style>
  <w:style w:type="paragraph" w:customStyle="1" w:styleId="xl591">
    <w:name w:val="xl591"/>
    <w:basedOn w:val="Normal"/>
    <w:pPr>
      <w:pBdr>
        <w:top w:val="dotted" w:sz="4" w:space="0" w:color="000000"/>
      </w:pBdr>
      <w:spacing w:before="100" w:beforeAutospacing="1" w:after="100" w:afterAutospacing="1" w:line="240" w:lineRule="auto"/>
      <w:textAlignment w:val="center"/>
    </w:pPr>
    <w:rPr>
      <w:rFonts w:eastAsia="Times New Roman"/>
      <w:sz w:val="15"/>
      <w:szCs w:val="15"/>
      <w:lang w:val="en-GB" w:eastAsia="en-GB"/>
    </w:rPr>
  </w:style>
  <w:style w:type="paragraph" w:customStyle="1" w:styleId="xl592">
    <w:name w:val="xl592"/>
    <w:basedOn w:val="Normal"/>
    <w:pPr>
      <w:pBdr>
        <w:top w:val="dotted" w:sz="4" w:space="0" w:color="000000"/>
        <w:right w:val="single" w:sz="4" w:space="0" w:color="auto"/>
      </w:pBdr>
      <w:spacing w:before="100" w:beforeAutospacing="1" w:after="100" w:afterAutospacing="1" w:line="240" w:lineRule="auto"/>
      <w:textAlignment w:val="center"/>
    </w:pPr>
    <w:rPr>
      <w:rFonts w:eastAsia="Times New Roman"/>
      <w:sz w:val="15"/>
      <w:szCs w:val="15"/>
      <w:lang w:val="en-GB" w:eastAsia="en-GB"/>
    </w:rPr>
  </w:style>
  <w:style w:type="paragraph" w:customStyle="1" w:styleId="xl593">
    <w:name w:val="xl593"/>
    <w:basedOn w:val="Normal"/>
    <w:pPr>
      <w:pBdr>
        <w:top w:val="dotted" w:sz="4" w:space="0" w:color="000000"/>
        <w:left w:val="single" w:sz="4" w:space="0" w:color="auto"/>
      </w:pBdr>
      <w:spacing w:before="100" w:beforeAutospacing="1" w:after="100" w:afterAutospacing="1" w:line="240" w:lineRule="auto"/>
      <w:jc w:val="right"/>
      <w:textAlignment w:val="center"/>
    </w:pPr>
    <w:rPr>
      <w:rFonts w:eastAsia="Times New Roman"/>
      <w:b/>
      <w:bCs/>
      <w:i/>
      <w:iCs/>
      <w:sz w:val="15"/>
      <w:szCs w:val="15"/>
      <w:lang w:val="en-GB" w:eastAsia="en-GB"/>
    </w:rPr>
  </w:style>
  <w:style w:type="paragraph" w:customStyle="1" w:styleId="xl594">
    <w:name w:val="xl594"/>
    <w:basedOn w:val="Normal"/>
    <w:pPr>
      <w:pBdr>
        <w:top w:val="dotted" w:sz="4" w:space="0" w:color="000000"/>
      </w:pBdr>
      <w:spacing w:before="100" w:beforeAutospacing="1" w:after="100" w:afterAutospacing="1" w:line="240" w:lineRule="auto"/>
      <w:jc w:val="right"/>
      <w:textAlignment w:val="center"/>
    </w:pPr>
    <w:rPr>
      <w:rFonts w:eastAsia="Times New Roman"/>
      <w:b/>
      <w:bCs/>
      <w:i/>
      <w:iCs/>
      <w:sz w:val="15"/>
      <w:szCs w:val="15"/>
      <w:lang w:val="en-GB" w:eastAsia="en-GB"/>
    </w:rPr>
  </w:style>
  <w:style w:type="paragraph" w:customStyle="1" w:styleId="xl595">
    <w:name w:val="xl595"/>
    <w:basedOn w:val="Normal"/>
    <w:pPr>
      <w:pBdr>
        <w:top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5"/>
      <w:szCs w:val="15"/>
      <w:lang w:val="en-GB" w:eastAsia="en-GB"/>
    </w:rPr>
  </w:style>
  <w:style w:type="paragraph" w:customStyle="1" w:styleId="xl596">
    <w:name w:val="xl596"/>
    <w:basedOn w:val="Normal"/>
    <w:pPr>
      <w:pBdr>
        <w:bottom w:val="dotted" w:sz="4" w:space="0" w:color="000000"/>
      </w:pBdr>
      <w:spacing w:before="100" w:beforeAutospacing="1" w:after="100" w:afterAutospacing="1" w:line="240" w:lineRule="auto"/>
      <w:jc w:val="right"/>
      <w:textAlignment w:val="center"/>
    </w:pPr>
    <w:rPr>
      <w:rFonts w:eastAsia="Times New Roman"/>
      <w:i/>
      <w:iCs/>
      <w:sz w:val="15"/>
      <w:szCs w:val="15"/>
      <w:lang w:val="en-GB" w:eastAsia="en-GB"/>
    </w:rPr>
  </w:style>
  <w:style w:type="paragraph" w:customStyle="1" w:styleId="xl597">
    <w:name w:val="xl597"/>
    <w:basedOn w:val="Normal"/>
    <w:pPr>
      <w:pBdr>
        <w:bottom w:val="dotted" w:sz="4" w:space="0" w:color="000000"/>
        <w:right w:val="single" w:sz="4" w:space="0" w:color="auto"/>
      </w:pBdr>
      <w:spacing w:before="100" w:beforeAutospacing="1" w:after="100" w:afterAutospacing="1" w:line="240" w:lineRule="auto"/>
      <w:jc w:val="right"/>
      <w:textAlignment w:val="center"/>
    </w:pPr>
    <w:rPr>
      <w:rFonts w:eastAsia="Times New Roman"/>
      <w:i/>
      <w:iCs/>
      <w:sz w:val="15"/>
      <w:szCs w:val="15"/>
      <w:lang w:val="en-GB" w:eastAsia="en-GB"/>
    </w:rPr>
  </w:style>
  <w:style w:type="paragraph" w:customStyle="1" w:styleId="xl598">
    <w:name w:val="xl598"/>
    <w:basedOn w:val="Normal"/>
    <w:pPr>
      <w:pBdr>
        <w:top w:val="single" w:sz="4" w:space="0" w:color="auto"/>
        <w:left w:val="single" w:sz="4" w:space="0" w:color="auto"/>
      </w:pBdr>
      <w:spacing w:before="100" w:beforeAutospacing="1" w:after="100" w:afterAutospacing="1" w:line="240" w:lineRule="auto"/>
      <w:textAlignment w:val="center"/>
    </w:pPr>
    <w:rPr>
      <w:rFonts w:eastAsia="Times New Roman"/>
      <w:sz w:val="15"/>
      <w:szCs w:val="15"/>
      <w:lang w:val="en-GB" w:eastAsia="en-GB"/>
    </w:rPr>
  </w:style>
  <w:style w:type="paragraph" w:customStyle="1" w:styleId="xl599">
    <w:name w:val="xl599"/>
    <w:basedOn w:val="Normal"/>
    <w:pPr>
      <w:pBdr>
        <w:top w:val="single" w:sz="4" w:space="0" w:color="auto"/>
      </w:pBdr>
      <w:spacing w:before="100" w:beforeAutospacing="1" w:after="100" w:afterAutospacing="1" w:line="240" w:lineRule="auto"/>
      <w:textAlignment w:val="center"/>
    </w:pPr>
    <w:rPr>
      <w:rFonts w:eastAsia="Times New Roman"/>
      <w:sz w:val="15"/>
      <w:szCs w:val="15"/>
      <w:lang w:val="en-GB" w:eastAsia="en-GB"/>
    </w:rPr>
  </w:style>
  <w:style w:type="paragraph" w:customStyle="1" w:styleId="xl600">
    <w:name w:val="xl600"/>
    <w:basedOn w:val="Normal"/>
    <w:pPr>
      <w:pBdr>
        <w:top w:val="single" w:sz="4" w:space="0" w:color="auto"/>
        <w:right w:val="single" w:sz="4" w:space="0" w:color="auto"/>
      </w:pBdr>
      <w:spacing w:before="100" w:beforeAutospacing="1" w:after="100" w:afterAutospacing="1" w:line="240" w:lineRule="auto"/>
      <w:textAlignment w:val="center"/>
    </w:pPr>
    <w:rPr>
      <w:rFonts w:eastAsia="Times New Roman"/>
      <w:sz w:val="15"/>
      <w:szCs w:val="15"/>
      <w:lang w:val="en-GB" w:eastAsia="en-GB"/>
    </w:rPr>
  </w:style>
  <w:style w:type="paragraph" w:customStyle="1" w:styleId="xl601">
    <w:name w:val="xl601"/>
    <w:basedOn w:val="Normal"/>
    <w:pPr>
      <w:pBdr>
        <w:left w:val="single" w:sz="4" w:space="0" w:color="auto"/>
        <w:bottom w:val="dotted" w:sz="4" w:space="0" w:color="auto"/>
      </w:pBdr>
      <w:spacing w:before="100" w:beforeAutospacing="1" w:after="100" w:afterAutospacing="1" w:line="240" w:lineRule="auto"/>
      <w:textAlignment w:val="center"/>
    </w:pPr>
    <w:rPr>
      <w:rFonts w:eastAsia="Times New Roman"/>
      <w:sz w:val="15"/>
      <w:szCs w:val="15"/>
      <w:lang w:val="en-GB" w:eastAsia="en-GB"/>
    </w:rPr>
  </w:style>
  <w:style w:type="paragraph" w:customStyle="1" w:styleId="xl602">
    <w:name w:val="xl602"/>
    <w:basedOn w:val="Normal"/>
    <w:pPr>
      <w:pBdr>
        <w:bottom w:val="dotted" w:sz="4" w:space="0" w:color="auto"/>
      </w:pBdr>
      <w:spacing w:before="100" w:beforeAutospacing="1" w:after="100" w:afterAutospacing="1" w:line="240" w:lineRule="auto"/>
      <w:textAlignment w:val="center"/>
    </w:pPr>
    <w:rPr>
      <w:rFonts w:eastAsia="Times New Roman"/>
      <w:sz w:val="15"/>
      <w:szCs w:val="15"/>
      <w:lang w:val="en-GB" w:eastAsia="en-GB"/>
    </w:rPr>
  </w:style>
  <w:style w:type="paragraph" w:customStyle="1" w:styleId="xl603">
    <w:name w:val="xl603"/>
    <w:basedOn w:val="Normal"/>
    <w:pPr>
      <w:pBdr>
        <w:bottom w:val="dotted" w:sz="4" w:space="0" w:color="auto"/>
        <w:right w:val="single" w:sz="4" w:space="0" w:color="auto"/>
      </w:pBdr>
      <w:spacing w:before="100" w:beforeAutospacing="1" w:after="100" w:afterAutospacing="1" w:line="240" w:lineRule="auto"/>
      <w:textAlignment w:val="center"/>
    </w:pPr>
    <w:rPr>
      <w:rFonts w:eastAsia="Times New Roman"/>
      <w:sz w:val="15"/>
      <w:szCs w:val="15"/>
      <w:lang w:val="en-GB" w:eastAsia="en-GB"/>
    </w:rPr>
  </w:style>
  <w:style w:type="paragraph" w:customStyle="1" w:styleId="xl604">
    <w:name w:val="xl604"/>
    <w:basedOn w:val="Normal"/>
    <w:pPr>
      <w:pBdr>
        <w:top w:val="dotted" w:sz="4" w:space="0" w:color="000000"/>
        <w:left w:val="single" w:sz="4" w:space="0" w:color="auto"/>
        <w:bottom w:val="dotted" w:sz="4" w:space="0" w:color="000000"/>
      </w:pBdr>
      <w:shd w:val="clear" w:color="000000" w:fill="D9D9D9"/>
      <w:spacing w:before="100" w:beforeAutospacing="1" w:after="100" w:afterAutospacing="1" w:line="240" w:lineRule="auto"/>
      <w:jc w:val="right"/>
      <w:textAlignment w:val="center"/>
    </w:pPr>
    <w:rPr>
      <w:rFonts w:eastAsia="Times New Roman"/>
      <w:b/>
      <w:bCs/>
      <w:i/>
      <w:iCs/>
      <w:sz w:val="15"/>
      <w:szCs w:val="15"/>
      <w:lang w:val="en-GB" w:eastAsia="en-GB"/>
    </w:rPr>
  </w:style>
  <w:style w:type="paragraph" w:customStyle="1" w:styleId="xl605">
    <w:name w:val="xl605"/>
    <w:basedOn w:val="Normal"/>
    <w:pPr>
      <w:pBdr>
        <w:top w:val="dotted" w:sz="4" w:space="0" w:color="000000"/>
        <w:bottom w:val="dotted" w:sz="4" w:space="0" w:color="000000"/>
      </w:pBdr>
      <w:shd w:val="clear" w:color="000000" w:fill="D9D9D9"/>
      <w:spacing w:before="100" w:beforeAutospacing="1" w:after="100" w:afterAutospacing="1" w:line="240" w:lineRule="auto"/>
      <w:jc w:val="right"/>
      <w:textAlignment w:val="center"/>
    </w:pPr>
    <w:rPr>
      <w:rFonts w:eastAsia="Times New Roman"/>
      <w:b/>
      <w:bCs/>
      <w:i/>
      <w:iCs/>
      <w:sz w:val="15"/>
      <w:szCs w:val="15"/>
      <w:lang w:val="en-GB" w:eastAsia="en-GB"/>
    </w:rPr>
  </w:style>
  <w:style w:type="paragraph" w:customStyle="1" w:styleId="xl606">
    <w:name w:val="xl606"/>
    <w:basedOn w:val="Normal"/>
    <w:pPr>
      <w:pBdr>
        <w:top w:val="dotted"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i/>
      <w:iCs/>
      <w:sz w:val="15"/>
      <w:szCs w:val="15"/>
      <w:lang w:val="en-GB" w:eastAsia="en-GB"/>
    </w:rPr>
  </w:style>
  <w:style w:type="paragraph" w:customStyle="1" w:styleId="xl607">
    <w:name w:val="xl607"/>
    <w:basedOn w:val="Normal"/>
    <w:pPr>
      <w:pBdr>
        <w:bottom w:val="single" w:sz="4" w:space="0" w:color="auto"/>
      </w:pBdr>
      <w:spacing w:before="100" w:beforeAutospacing="1" w:after="100" w:afterAutospacing="1" w:line="240" w:lineRule="auto"/>
      <w:jc w:val="right"/>
    </w:pPr>
    <w:rPr>
      <w:rFonts w:eastAsia="Times New Roman"/>
      <w:i/>
      <w:iCs/>
      <w:color w:val="000000"/>
      <w:sz w:val="24"/>
      <w:szCs w:val="24"/>
      <w:lang w:val="en-GB" w:eastAsia="en-GB"/>
    </w:rPr>
  </w:style>
  <w:style w:type="paragraph" w:customStyle="1" w:styleId="xl608">
    <w:name w:val="xl608"/>
    <w:basedOn w:val="Normal"/>
    <w:pPr>
      <w:pBdr>
        <w:left w:val="single" w:sz="4" w:space="0" w:color="auto"/>
        <w:bottom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609">
    <w:name w:val="xl609"/>
    <w:basedOn w:val="Normal"/>
    <w:pPr>
      <w:pBdr>
        <w:bottom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610">
    <w:name w:val="xl610"/>
    <w:basedOn w:val="Normal"/>
    <w:pPr>
      <w:pBdr>
        <w:bottom w:val="single" w:sz="4" w:space="0" w:color="auto"/>
        <w:right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611">
    <w:name w:val="xl611"/>
    <w:basedOn w:val="Normal"/>
    <w:pPr>
      <w:pBdr>
        <w:top w:val="dotted" w:sz="4" w:space="0" w:color="000000"/>
        <w:left w:val="single" w:sz="4" w:space="0" w:color="auto"/>
        <w:bottom w:val="dotted" w:sz="4" w:space="0" w:color="000000"/>
      </w:pBdr>
      <w:spacing w:before="100" w:beforeAutospacing="1" w:after="100" w:afterAutospacing="1" w:line="240" w:lineRule="auto"/>
      <w:textAlignment w:val="center"/>
    </w:pPr>
    <w:rPr>
      <w:rFonts w:eastAsia="Times New Roman"/>
      <w:sz w:val="15"/>
      <w:szCs w:val="15"/>
      <w:lang w:val="en-GB" w:eastAsia="en-GB"/>
    </w:rPr>
  </w:style>
  <w:style w:type="paragraph" w:customStyle="1" w:styleId="xl612">
    <w:name w:val="xl612"/>
    <w:basedOn w:val="Normal"/>
    <w:pPr>
      <w:pBdr>
        <w:top w:val="dotted" w:sz="4" w:space="0" w:color="000000"/>
        <w:bottom w:val="dotted" w:sz="4" w:space="0" w:color="000000"/>
      </w:pBdr>
      <w:spacing w:before="100" w:beforeAutospacing="1" w:after="100" w:afterAutospacing="1" w:line="240" w:lineRule="auto"/>
      <w:textAlignment w:val="center"/>
    </w:pPr>
    <w:rPr>
      <w:rFonts w:eastAsia="Times New Roman"/>
      <w:sz w:val="15"/>
      <w:szCs w:val="15"/>
      <w:lang w:val="en-GB" w:eastAsia="en-GB"/>
    </w:rPr>
  </w:style>
  <w:style w:type="paragraph" w:customStyle="1" w:styleId="xl613">
    <w:name w:val="xl613"/>
    <w:basedOn w:val="Normal"/>
    <w:pPr>
      <w:pBdr>
        <w:top w:val="dotted" w:sz="4" w:space="0" w:color="000000"/>
        <w:bottom w:val="dotted" w:sz="4" w:space="0" w:color="000000"/>
        <w:right w:val="single" w:sz="4" w:space="0" w:color="auto"/>
      </w:pBdr>
      <w:spacing w:before="100" w:beforeAutospacing="1" w:after="100" w:afterAutospacing="1" w:line="240" w:lineRule="auto"/>
      <w:textAlignment w:val="center"/>
    </w:pPr>
    <w:rPr>
      <w:rFonts w:eastAsia="Times New Roman"/>
      <w:sz w:val="15"/>
      <w:szCs w:val="15"/>
      <w:lang w:val="en-GB" w:eastAsia="en-GB"/>
    </w:rPr>
  </w:style>
  <w:style w:type="paragraph" w:customStyle="1" w:styleId="xl614">
    <w:name w:val="xl614"/>
    <w:basedOn w:val="Normal"/>
    <w:pPr>
      <w:pBdr>
        <w:top w:val="dotted" w:sz="4" w:space="0" w:color="000000"/>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eastAsia="Times New Roman"/>
      <w:b/>
      <w:bCs/>
      <w:sz w:val="15"/>
      <w:szCs w:val="15"/>
      <w:lang w:val="en-GB" w:eastAsia="en-GB"/>
    </w:rPr>
  </w:style>
  <w:style w:type="paragraph" w:customStyle="1" w:styleId="xl615">
    <w:name w:val="xl615"/>
    <w:basedOn w:val="Normal"/>
    <w:pPr>
      <w:pBdr>
        <w:top w:val="dotted" w:sz="4" w:space="0" w:color="000000"/>
        <w:bottom w:val="single" w:sz="4" w:space="0" w:color="auto"/>
      </w:pBdr>
      <w:shd w:val="clear" w:color="000000" w:fill="D9D9D9"/>
      <w:spacing w:before="100" w:beforeAutospacing="1" w:after="100" w:afterAutospacing="1" w:line="240" w:lineRule="auto"/>
      <w:jc w:val="right"/>
      <w:textAlignment w:val="center"/>
    </w:pPr>
    <w:rPr>
      <w:rFonts w:eastAsia="Times New Roman"/>
      <w:b/>
      <w:bCs/>
      <w:sz w:val="15"/>
      <w:szCs w:val="15"/>
      <w:lang w:val="en-GB" w:eastAsia="en-GB"/>
    </w:rPr>
  </w:style>
  <w:style w:type="paragraph" w:customStyle="1" w:styleId="xl616">
    <w:name w:val="xl616"/>
    <w:basedOn w:val="Normal"/>
    <w:pPr>
      <w:pBdr>
        <w:top w:val="dotted"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5"/>
      <w:szCs w:val="15"/>
      <w:lang w:val="en-GB" w:eastAsia="en-GB"/>
    </w:rPr>
  </w:style>
  <w:style w:type="paragraph" w:customStyle="1" w:styleId="xl617">
    <w:name w:val="xl617"/>
    <w:basedOn w:val="Normal"/>
    <w:pPr>
      <w:pBdr>
        <w:top w:val="single" w:sz="4" w:space="0" w:color="auto"/>
        <w:left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618">
    <w:name w:val="xl618"/>
    <w:basedOn w:val="Normal"/>
    <w:pPr>
      <w:pBdr>
        <w:top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619">
    <w:name w:val="xl619"/>
    <w:basedOn w:val="Normal"/>
    <w:pPr>
      <w:pBdr>
        <w:top w:val="single" w:sz="4" w:space="0" w:color="auto"/>
        <w:right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620">
    <w:name w:val="xl620"/>
    <w:basedOn w:val="Normal"/>
    <w:pPr>
      <w:pBdr>
        <w:left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621">
    <w:name w:val="xl621"/>
    <w:basedOn w:val="Normal"/>
    <w:pPr>
      <w:spacing w:before="100" w:beforeAutospacing="1" w:after="100" w:afterAutospacing="1" w:line="240" w:lineRule="auto"/>
      <w:textAlignment w:val="center"/>
    </w:pPr>
    <w:rPr>
      <w:rFonts w:eastAsia="Times New Roman"/>
      <w:sz w:val="16"/>
      <w:szCs w:val="16"/>
      <w:lang w:val="en-GB" w:eastAsia="en-GB"/>
    </w:rPr>
  </w:style>
  <w:style w:type="paragraph" w:customStyle="1" w:styleId="xl622">
    <w:name w:val="xl622"/>
    <w:basedOn w:val="Normal"/>
    <w:pPr>
      <w:pBdr>
        <w:right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623">
    <w:name w:val="xl623"/>
    <w:basedOn w:val="Normal"/>
    <w:pPr>
      <w:pBdr>
        <w:top w:val="dotted" w:sz="4" w:space="0" w:color="auto"/>
        <w:bottom w:val="dotted" w:sz="4" w:space="0" w:color="auto"/>
      </w:pBdr>
      <w:spacing w:before="100" w:beforeAutospacing="1" w:after="100" w:afterAutospacing="1" w:line="240" w:lineRule="auto"/>
      <w:textAlignment w:val="center"/>
    </w:pPr>
    <w:rPr>
      <w:rFonts w:eastAsia="Times New Roman"/>
      <w:sz w:val="15"/>
      <w:szCs w:val="15"/>
      <w:lang w:val="en-GB" w:eastAsia="en-GB"/>
    </w:rPr>
  </w:style>
  <w:style w:type="paragraph" w:customStyle="1" w:styleId="xl624">
    <w:name w:val="xl624"/>
    <w:basedOn w:val="Normal"/>
    <w:pPr>
      <w:pBdr>
        <w:top w:val="dotted" w:sz="4" w:space="0" w:color="auto"/>
        <w:bottom w:val="dotted" w:sz="4" w:space="0" w:color="auto"/>
        <w:right w:val="single" w:sz="4" w:space="0" w:color="auto"/>
      </w:pBdr>
      <w:spacing w:before="100" w:beforeAutospacing="1" w:after="100" w:afterAutospacing="1" w:line="240" w:lineRule="auto"/>
      <w:textAlignment w:val="center"/>
    </w:pPr>
    <w:rPr>
      <w:rFonts w:eastAsia="Times New Roman"/>
      <w:sz w:val="15"/>
      <w:szCs w:val="15"/>
      <w:lang w:val="en-GB" w:eastAsia="en-GB"/>
    </w:rPr>
  </w:style>
  <w:style w:type="paragraph" w:customStyle="1" w:styleId="xl625">
    <w:name w:val="xl625"/>
    <w:basedOn w:val="Normal"/>
    <w:pPr>
      <w:pBdr>
        <w:top w:val="single" w:sz="4" w:space="0" w:color="auto"/>
        <w:left w:val="single" w:sz="4" w:space="0" w:color="auto"/>
        <w:bottom w:val="dotted" w:sz="4" w:space="0" w:color="000000"/>
      </w:pBdr>
      <w:shd w:val="clear" w:color="000000" w:fill="D9D9D9"/>
      <w:spacing w:before="100" w:beforeAutospacing="1" w:after="100" w:afterAutospacing="1" w:line="240" w:lineRule="auto"/>
      <w:jc w:val="right"/>
      <w:textAlignment w:val="center"/>
    </w:pPr>
    <w:rPr>
      <w:rFonts w:eastAsia="Times New Roman"/>
      <w:b/>
      <w:bCs/>
      <w:sz w:val="15"/>
      <w:szCs w:val="15"/>
      <w:lang w:val="en-GB" w:eastAsia="en-GB"/>
    </w:rPr>
  </w:style>
  <w:style w:type="paragraph" w:customStyle="1" w:styleId="xl626">
    <w:name w:val="xl626"/>
    <w:basedOn w:val="Normal"/>
    <w:pPr>
      <w:pBdr>
        <w:top w:val="single" w:sz="4" w:space="0" w:color="auto"/>
        <w:bottom w:val="dotted" w:sz="4" w:space="0" w:color="000000"/>
      </w:pBdr>
      <w:shd w:val="clear" w:color="000000" w:fill="D9D9D9"/>
      <w:spacing w:before="100" w:beforeAutospacing="1" w:after="100" w:afterAutospacing="1" w:line="240" w:lineRule="auto"/>
      <w:jc w:val="right"/>
      <w:textAlignment w:val="center"/>
    </w:pPr>
    <w:rPr>
      <w:rFonts w:eastAsia="Times New Roman"/>
      <w:b/>
      <w:bCs/>
      <w:sz w:val="15"/>
      <w:szCs w:val="15"/>
      <w:lang w:val="en-GB" w:eastAsia="en-GB"/>
    </w:rPr>
  </w:style>
  <w:style w:type="paragraph" w:customStyle="1" w:styleId="xl627">
    <w:name w:val="xl627"/>
    <w:basedOn w:val="Normal"/>
    <w:pPr>
      <w:pBdr>
        <w:top w:val="single" w:sz="4" w:space="0" w:color="auto"/>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5"/>
      <w:szCs w:val="15"/>
      <w:lang w:val="en-GB" w:eastAsia="en-GB"/>
    </w:rPr>
  </w:style>
  <w:style w:type="character" w:styleId="SubtleReference">
    <w:name w:val="Subtle Reference"/>
    <w:basedOn w:val="DefaultParagraphFont"/>
    <w:uiPriority w:val="31"/>
    <w:qFormat/>
    <w:rPr>
      <w:smallCaps/>
      <w:color w:val="C0504D" w:themeColor="accent2"/>
      <w:u w:val="single"/>
    </w:rPr>
  </w:style>
  <w:style w:type="paragraph" w:customStyle="1" w:styleId="xl628">
    <w:name w:val="xl628"/>
    <w:basedOn w:val="Normal"/>
    <w:pPr>
      <w:pBdr>
        <w:bottom w:val="single" w:sz="4" w:space="0" w:color="auto"/>
        <w:right w:val="single" w:sz="4" w:space="0" w:color="auto"/>
      </w:pBdr>
      <w:spacing w:before="100" w:beforeAutospacing="1" w:after="100" w:afterAutospacing="1" w:line="240" w:lineRule="auto"/>
      <w:textAlignment w:val="center"/>
    </w:pPr>
    <w:rPr>
      <w:rFonts w:eastAsia="Times New Roman"/>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caption" w:uiPriority="35" w:qFormat="1"/>
    <w:lsdException w:name="footnote reference"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00" w:line="276" w:lineRule="auto"/>
    </w:pPr>
    <w:rPr>
      <w:rFonts w:ascii="Times New Roman" w:hAnsi="Times New Roman"/>
      <w:sz w:val="23"/>
      <w:szCs w:val="22"/>
      <w:lang w:val="fr-BE" w:eastAsia="en-US"/>
    </w:rPr>
  </w:style>
  <w:style w:type="paragraph" w:styleId="Heading1">
    <w:name w:val="heading 1"/>
    <w:basedOn w:val="Normal"/>
    <w:next w:val="Text1"/>
    <w:link w:val="Heading1Char"/>
    <w:autoRedefine/>
    <w:uiPriority w:val="99"/>
    <w:qFormat/>
    <w:pPr>
      <w:keepNext/>
      <w:numPr>
        <w:numId w:val="14"/>
      </w:numPr>
      <w:spacing w:before="360" w:after="240" w:line="240" w:lineRule="auto"/>
      <w:jc w:val="both"/>
      <w:outlineLvl w:val="0"/>
    </w:pPr>
    <w:rPr>
      <w:rFonts w:eastAsia="Times New Roman"/>
      <w:b/>
      <w:bCs/>
      <w:smallCaps/>
      <w:sz w:val="24"/>
      <w:szCs w:val="32"/>
      <w:lang w:val="en-GB" w:eastAsia="de-DE"/>
    </w:rPr>
  </w:style>
  <w:style w:type="paragraph" w:styleId="Heading2">
    <w:name w:val="heading 2"/>
    <w:basedOn w:val="Normal"/>
    <w:next w:val="Text2"/>
    <w:link w:val="Heading2Char"/>
    <w:autoRedefine/>
    <w:uiPriority w:val="99"/>
    <w:qFormat/>
    <w:pPr>
      <w:keepNext/>
      <w:keepLines/>
      <w:numPr>
        <w:ilvl w:val="1"/>
        <w:numId w:val="14"/>
      </w:numPr>
      <w:spacing w:before="240" w:after="120" w:line="240" w:lineRule="auto"/>
      <w:jc w:val="both"/>
      <w:outlineLvl w:val="1"/>
    </w:pPr>
    <w:rPr>
      <w:rFonts w:eastAsia="Times New Roman"/>
      <w:b/>
      <w:bCs/>
      <w:iCs/>
      <w:sz w:val="24"/>
      <w:szCs w:val="28"/>
      <w:lang w:val="en-GB" w:eastAsia="de-DE"/>
    </w:rPr>
  </w:style>
  <w:style w:type="paragraph" w:styleId="Heading3">
    <w:name w:val="heading 3"/>
    <w:basedOn w:val="Normal"/>
    <w:next w:val="Text3"/>
    <w:link w:val="Heading3Char"/>
    <w:uiPriority w:val="99"/>
    <w:qFormat/>
    <w:pPr>
      <w:keepNext/>
      <w:numPr>
        <w:ilvl w:val="2"/>
        <w:numId w:val="14"/>
      </w:numPr>
      <w:spacing w:before="120" w:after="120" w:line="240" w:lineRule="auto"/>
      <w:jc w:val="both"/>
      <w:outlineLvl w:val="2"/>
    </w:pPr>
    <w:rPr>
      <w:rFonts w:eastAsia="Times New Roman"/>
      <w:bCs/>
      <w:i/>
      <w:sz w:val="24"/>
      <w:szCs w:val="26"/>
      <w:lang w:val="en-GB" w:eastAsia="de-DE"/>
    </w:rPr>
  </w:style>
  <w:style w:type="paragraph" w:styleId="Heading4">
    <w:name w:val="heading 4"/>
    <w:basedOn w:val="Normal"/>
    <w:next w:val="Text4"/>
    <w:link w:val="Heading4Char"/>
    <w:uiPriority w:val="99"/>
    <w:qFormat/>
    <w:pPr>
      <w:keepNext/>
      <w:numPr>
        <w:ilvl w:val="3"/>
        <w:numId w:val="14"/>
      </w:numPr>
      <w:spacing w:before="120" w:after="120" w:line="240" w:lineRule="auto"/>
      <w:jc w:val="both"/>
      <w:outlineLvl w:val="3"/>
    </w:pPr>
    <w:rPr>
      <w:rFonts w:eastAsia="Times New Roman"/>
      <w:bCs/>
      <w:sz w:val="24"/>
      <w:szCs w:val="28"/>
      <w:lang w:val="en-GB" w:eastAsia="de-DE"/>
    </w:rPr>
  </w:style>
  <w:style w:type="paragraph" w:styleId="Heading5">
    <w:name w:val="heading 5"/>
    <w:basedOn w:val="Normal"/>
    <w:next w:val="Normal"/>
    <w:link w:val="Heading5Char"/>
    <w:uiPriority w:val="99"/>
    <w:qFormat/>
    <w:pPr>
      <w:keepNext/>
      <w:tabs>
        <w:tab w:val="num" w:pos="1700"/>
      </w:tabs>
      <w:spacing w:before="120" w:after="120" w:line="240" w:lineRule="auto"/>
      <w:ind w:left="1700" w:hanging="1700"/>
      <w:jc w:val="both"/>
      <w:outlineLvl w:val="4"/>
    </w:pPr>
    <w:rPr>
      <w:rFonts w:eastAsia="Times New Roman"/>
      <w:sz w:val="24"/>
      <w:szCs w:val="24"/>
      <w:lang w:val="en-GB" w:eastAsia="en-GB"/>
    </w:rPr>
  </w:style>
  <w:style w:type="paragraph" w:styleId="Heading6">
    <w:name w:val="heading 6"/>
    <w:basedOn w:val="Normal"/>
    <w:next w:val="Normal"/>
    <w:link w:val="Heading6Char"/>
    <w:uiPriority w:val="99"/>
    <w:qFormat/>
    <w:pPr>
      <w:keepNext/>
      <w:tabs>
        <w:tab w:val="num" w:pos="1700"/>
      </w:tabs>
      <w:spacing w:before="120" w:after="120" w:line="240" w:lineRule="auto"/>
      <w:ind w:left="1700" w:hanging="1700"/>
      <w:jc w:val="both"/>
      <w:outlineLvl w:val="5"/>
    </w:pPr>
    <w:rPr>
      <w:rFonts w:eastAsia="Times New Roman"/>
      <w:sz w:val="24"/>
      <w:szCs w:val="24"/>
      <w:lang w:val="en-GB" w:eastAsia="en-GB"/>
    </w:rPr>
  </w:style>
  <w:style w:type="paragraph" w:styleId="Heading7">
    <w:name w:val="heading 7"/>
    <w:basedOn w:val="Normal"/>
    <w:next w:val="Normal"/>
    <w:link w:val="Heading7Char"/>
    <w:uiPriority w:val="99"/>
    <w:qFormat/>
    <w:pPr>
      <w:keepNext/>
      <w:tabs>
        <w:tab w:val="num" w:pos="1700"/>
      </w:tabs>
      <w:spacing w:before="120" w:after="120" w:line="240" w:lineRule="auto"/>
      <w:ind w:left="1700" w:hanging="1700"/>
      <w:jc w:val="both"/>
      <w:outlineLvl w:val="6"/>
    </w:pPr>
    <w:rPr>
      <w:rFonts w:eastAsia="Times New Roman"/>
      <w:sz w:val="24"/>
      <w:szCs w:val="24"/>
      <w:lang w:val="en-GB" w:eastAsia="en-GB"/>
    </w:rPr>
  </w:style>
  <w:style w:type="paragraph" w:styleId="Heading8">
    <w:name w:val="heading 8"/>
    <w:basedOn w:val="Normal"/>
    <w:next w:val="Normal"/>
    <w:link w:val="Heading8Char"/>
    <w:uiPriority w:val="99"/>
    <w:qFormat/>
    <w:pPr>
      <w:keepNext/>
      <w:tabs>
        <w:tab w:val="num" w:pos="1700"/>
      </w:tabs>
      <w:spacing w:before="120" w:after="120" w:line="240" w:lineRule="auto"/>
      <w:ind w:left="1700" w:hanging="1700"/>
      <w:jc w:val="both"/>
      <w:outlineLvl w:val="7"/>
    </w:pPr>
    <w:rPr>
      <w:rFonts w:eastAsia="Times New Roman"/>
      <w:sz w:val="24"/>
      <w:szCs w:val="24"/>
      <w:lang w:val="en-GB" w:eastAsia="en-GB"/>
    </w:rPr>
  </w:style>
  <w:style w:type="paragraph" w:styleId="Heading9">
    <w:name w:val="heading 9"/>
    <w:basedOn w:val="Normal"/>
    <w:next w:val="Normal"/>
    <w:link w:val="Heading9Char"/>
    <w:uiPriority w:val="99"/>
    <w:qFormat/>
    <w:pPr>
      <w:keepNext/>
      <w:tabs>
        <w:tab w:val="num" w:pos="1700"/>
      </w:tabs>
      <w:spacing w:before="120" w:after="120" w:line="240" w:lineRule="auto"/>
      <w:ind w:left="1700" w:hanging="1700"/>
      <w:jc w:val="both"/>
      <w:outlineLvl w:val="8"/>
    </w:pPr>
    <w:rPr>
      <w:rFonts w:eastAsia="Times New Roman"/>
      <w:sz w:val="24"/>
      <w:szCs w:val="24"/>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uiPriority w:val="99"/>
    <w:pPr>
      <w:spacing w:before="120" w:after="120" w:line="240" w:lineRule="auto"/>
      <w:ind w:left="850"/>
      <w:jc w:val="both"/>
    </w:pPr>
    <w:rPr>
      <w:rFonts w:eastAsia="Times New Roman"/>
      <w:sz w:val="24"/>
      <w:szCs w:val="24"/>
      <w:lang w:val="en-GB" w:eastAsia="de-DE"/>
    </w:rPr>
  </w:style>
  <w:style w:type="character" w:customStyle="1" w:styleId="Heading1Char">
    <w:name w:val="Heading 1 Char"/>
    <w:link w:val="Heading1"/>
    <w:uiPriority w:val="99"/>
    <w:rPr>
      <w:rFonts w:ascii="Times New Roman" w:eastAsia="Times New Roman" w:hAnsi="Times New Roman"/>
      <w:b/>
      <w:bCs/>
      <w:smallCaps/>
      <w:sz w:val="24"/>
      <w:szCs w:val="32"/>
      <w:lang w:eastAsia="de-DE"/>
    </w:rPr>
  </w:style>
  <w:style w:type="paragraph" w:customStyle="1" w:styleId="Text2">
    <w:name w:val="Text 2"/>
    <w:basedOn w:val="Normal"/>
    <w:pPr>
      <w:spacing w:before="120" w:after="120" w:line="240" w:lineRule="auto"/>
      <w:ind w:left="850"/>
      <w:jc w:val="both"/>
    </w:pPr>
    <w:rPr>
      <w:rFonts w:eastAsia="Times New Roman"/>
      <w:sz w:val="24"/>
      <w:szCs w:val="24"/>
      <w:lang w:val="en-GB" w:eastAsia="de-DE"/>
    </w:rPr>
  </w:style>
  <w:style w:type="character" w:customStyle="1" w:styleId="Heading2Char">
    <w:name w:val="Heading 2 Char"/>
    <w:link w:val="Heading2"/>
    <w:uiPriority w:val="99"/>
    <w:rPr>
      <w:rFonts w:ascii="Times New Roman" w:eastAsia="Times New Roman" w:hAnsi="Times New Roman"/>
      <w:b/>
      <w:bCs/>
      <w:iCs/>
      <w:sz w:val="24"/>
      <w:szCs w:val="28"/>
      <w:lang w:eastAsia="de-DE"/>
    </w:rPr>
  </w:style>
  <w:style w:type="paragraph" w:customStyle="1" w:styleId="Text3">
    <w:name w:val="Text 3"/>
    <w:basedOn w:val="Normal"/>
    <w:pPr>
      <w:spacing w:before="120" w:after="120" w:line="240" w:lineRule="auto"/>
      <w:ind w:left="850"/>
      <w:jc w:val="both"/>
    </w:pPr>
    <w:rPr>
      <w:rFonts w:eastAsia="Times New Roman"/>
      <w:sz w:val="24"/>
      <w:szCs w:val="24"/>
      <w:lang w:val="en-GB" w:eastAsia="de-DE"/>
    </w:rPr>
  </w:style>
  <w:style w:type="character" w:customStyle="1" w:styleId="Heading3Char">
    <w:name w:val="Heading 3 Char"/>
    <w:link w:val="Heading3"/>
    <w:uiPriority w:val="99"/>
    <w:rPr>
      <w:rFonts w:ascii="Times New Roman" w:eastAsia="Times New Roman" w:hAnsi="Times New Roman"/>
      <w:bCs/>
      <w:i/>
      <w:sz w:val="24"/>
      <w:szCs w:val="26"/>
      <w:lang w:eastAsia="de-DE"/>
    </w:rPr>
  </w:style>
  <w:style w:type="paragraph" w:customStyle="1" w:styleId="Text4">
    <w:name w:val="Text 4"/>
    <w:basedOn w:val="Normal"/>
    <w:pPr>
      <w:spacing w:before="120" w:after="120" w:line="240" w:lineRule="auto"/>
      <w:ind w:left="850"/>
      <w:jc w:val="both"/>
    </w:pPr>
    <w:rPr>
      <w:rFonts w:eastAsia="Times New Roman"/>
      <w:sz w:val="24"/>
      <w:szCs w:val="24"/>
      <w:lang w:val="en-GB" w:eastAsia="de-DE"/>
    </w:rPr>
  </w:style>
  <w:style w:type="character" w:customStyle="1" w:styleId="Heading4Char">
    <w:name w:val="Heading 4 Char"/>
    <w:link w:val="Heading4"/>
    <w:uiPriority w:val="99"/>
    <w:rPr>
      <w:rFonts w:ascii="Times New Roman" w:eastAsia="Times New Roman" w:hAnsi="Times New Roman"/>
      <w:bCs/>
      <w:sz w:val="24"/>
      <w:szCs w:val="28"/>
      <w:lang w:eastAsia="de-DE"/>
    </w:rPr>
  </w:style>
  <w:style w:type="character" w:customStyle="1" w:styleId="Heading5Char">
    <w:name w:val="Heading 5 Char"/>
    <w:link w:val="Heading5"/>
    <w:uiPriority w:val="99"/>
    <w:rPr>
      <w:rFonts w:ascii="Times New Roman" w:eastAsia="Times New Roman" w:hAnsi="Times New Roman" w:cs="Times New Roman"/>
      <w:sz w:val="24"/>
      <w:szCs w:val="24"/>
      <w:lang w:val="en-GB" w:eastAsia="en-GB"/>
    </w:rPr>
  </w:style>
  <w:style w:type="character" w:customStyle="1" w:styleId="Heading6Char">
    <w:name w:val="Heading 6 Char"/>
    <w:link w:val="Heading6"/>
    <w:uiPriority w:val="99"/>
    <w:rPr>
      <w:rFonts w:ascii="Times New Roman" w:eastAsia="Times New Roman" w:hAnsi="Times New Roman" w:cs="Times New Roman"/>
      <w:sz w:val="24"/>
      <w:szCs w:val="24"/>
      <w:lang w:val="en-GB" w:eastAsia="en-GB"/>
    </w:rPr>
  </w:style>
  <w:style w:type="character" w:customStyle="1" w:styleId="Heading7Char">
    <w:name w:val="Heading 7 Char"/>
    <w:link w:val="Heading7"/>
    <w:uiPriority w:val="99"/>
    <w:rPr>
      <w:rFonts w:ascii="Times New Roman" w:eastAsia="Times New Roman" w:hAnsi="Times New Roman" w:cs="Times New Roman"/>
      <w:sz w:val="24"/>
      <w:szCs w:val="24"/>
      <w:lang w:val="en-GB" w:eastAsia="en-GB"/>
    </w:rPr>
  </w:style>
  <w:style w:type="character" w:customStyle="1" w:styleId="Heading8Char">
    <w:name w:val="Heading 8 Char"/>
    <w:link w:val="Heading8"/>
    <w:uiPriority w:val="99"/>
    <w:rPr>
      <w:rFonts w:ascii="Times New Roman" w:eastAsia="Times New Roman" w:hAnsi="Times New Roman" w:cs="Times New Roman"/>
      <w:sz w:val="24"/>
      <w:szCs w:val="24"/>
      <w:lang w:val="en-GB" w:eastAsia="en-GB"/>
    </w:rPr>
  </w:style>
  <w:style w:type="character" w:customStyle="1" w:styleId="Heading9Char">
    <w:name w:val="Heading 9 Char"/>
    <w:link w:val="Heading9"/>
    <w:uiPriority w:val="99"/>
    <w:rPr>
      <w:rFonts w:ascii="Times New Roman" w:eastAsia="Times New Roman" w:hAnsi="Times New Roman" w:cs="Times New Roman"/>
      <w:sz w:val="24"/>
      <w:szCs w:val="24"/>
      <w:lang w:val="en-GB" w:eastAsia="en-GB"/>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eastAsia="Times New Roman"/>
      <w:sz w:val="24"/>
      <w:szCs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eastAsiaTheme="minorHAnsi"/>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val="fr-BE"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eastAsiaTheme="minorHAnsi"/>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val="fr-BE"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sz w:val="24"/>
    </w:rPr>
  </w:style>
  <w:style w:type="character" w:customStyle="1" w:styleId="FooterCoverPageChar">
    <w:name w:val="Footer Cover Page Char"/>
    <w:link w:val="FooterCoverPage"/>
    <w:rPr>
      <w:rFonts w:ascii="Times New Roman" w:hAnsi="Times New Roman"/>
      <w:sz w:val="24"/>
      <w:szCs w:val="22"/>
      <w:lang w:val="fr-BE"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sz w:val="24"/>
    </w:rPr>
  </w:style>
  <w:style w:type="character" w:customStyle="1" w:styleId="HeaderCoverPageChar">
    <w:name w:val="Header Cover Page Char"/>
    <w:link w:val="HeaderCoverPage"/>
    <w:rPr>
      <w:rFonts w:ascii="Times New Roman" w:hAnsi="Times New Roman"/>
      <w:sz w:val="24"/>
      <w:szCs w:val="22"/>
      <w:lang w:val="fr-BE" w:eastAsia="en-US"/>
    </w:r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FootnoteText">
    <w:name w:val="footnote text"/>
    <w:aliases w:val="fn,footnote text,footnote text Char Char,Car,Footnote Text Char2 Char,Footnote Text Char Char Char1,Footnote Text Char1 Char Char Char,Footnote Text Char2 Char Char Char Char,Footnote Text Char1 Char1 Char Char Char Char"/>
    <w:basedOn w:val="Normal"/>
    <w:link w:val="FootnoteTextChar"/>
    <w:uiPriority w:val="99"/>
    <w:qFormat/>
    <w:pPr>
      <w:spacing w:after="0" w:line="240" w:lineRule="auto"/>
      <w:ind w:left="720" w:hanging="720"/>
      <w:jc w:val="both"/>
    </w:pPr>
    <w:rPr>
      <w:rFonts w:eastAsia="Times New Roman"/>
      <w:sz w:val="20"/>
      <w:szCs w:val="20"/>
      <w:lang w:val="en-GB" w:eastAsia="de-DE"/>
    </w:rPr>
  </w:style>
  <w:style w:type="character" w:customStyle="1" w:styleId="FootnoteTextChar">
    <w:name w:val="Footnote Text Char"/>
    <w:aliases w:val="fn Char,footnote text Char,footnote text Char Char Char,Car Char,Footnote Text Char2 Char Char,Footnote Text Char Char Char1 Char,Footnote Text Char1 Char Char Char Char,Footnote Text Char2 Char Char Char Char Char"/>
    <w:link w:val="FootnoteText"/>
    <w:uiPriority w:val="99"/>
    <w:rPr>
      <w:rFonts w:ascii="Times New Roman" w:eastAsia="Times New Roman" w:hAnsi="Times New Roman" w:cs="Times New Roman"/>
      <w:sz w:val="20"/>
      <w:szCs w:val="20"/>
      <w:lang w:val="en-GB" w:eastAsia="de-DE"/>
    </w:rPr>
  </w:style>
  <w:style w:type="paragraph" w:styleId="ListBullet">
    <w:name w:val="List Bullet"/>
    <w:basedOn w:val="Normal"/>
    <w:pPr>
      <w:numPr>
        <w:numId w:val="23"/>
      </w:numPr>
      <w:spacing w:before="120" w:after="120" w:line="240" w:lineRule="auto"/>
      <w:jc w:val="both"/>
    </w:pPr>
    <w:rPr>
      <w:rFonts w:eastAsia="Times New Roman"/>
      <w:sz w:val="24"/>
      <w:szCs w:val="24"/>
      <w:lang w:val="en-GB" w:eastAsia="de-DE"/>
    </w:rPr>
  </w:style>
  <w:style w:type="paragraph" w:styleId="ListBullet2">
    <w:name w:val="List Bullet 2"/>
    <w:basedOn w:val="Normal"/>
    <w:pPr>
      <w:numPr>
        <w:numId w:val="22"/>
      </w:numPr>
      <w:spacing w:before="120" w:after="120" w:line="240" w:lineRule="auto"/>
      <w:jc w:val="both"/>
    </w:pPr>
    <w:rPr>
      <w:rFonts w:eastAsia="Times New Roman"/>
      <w:sz w:val="24"/>
      <w:szCs w:val="24"/>
      <w:lang w:val="en-GB" w:eastAsia="de-DE"/>
    </w:rPr>
  </w:style>
  <w:style w:type="paragraph" w:styleId="ListBullet3">
    <w:name w:val="List Bullet 3"/>
    <w:basedOn w:val="Normal"/>
    <w:pPr>
      <w:numPr>
        <w:numId w:val="21"/>
      </w:numPr>
      <w:spacing w:before="120" w:after="120" w:line="240" w:lineRule="auto"/>
      <w:jc w:val="both"/>
    </w:pPr>
    <w:rPr>
      <w:rFonts w:eastAsia="Times New Roman"/>
      <w:sz w:val="24"/>
      <w:szCs w:val="24"/>
      <w:lang w:val="en-GB" w:eastAsia="de-DE"/>
    </w:rPr>
  </w:style>
  <w:style w:type="paragraph" w:styleId="ListBullet4">
    <w:name w:val="List Bullet 4"/>
    <w:basedOn w:val="Normal"/>
    <w:pPr>
      <w:numPr>
        <w:numId w:val="20"/>
      </w:numPr>
      <w:spacing w:before="120" w:after="120" w:line="240" w:lineRule="auto"/>
      <w:jc w:val="both"/>
    </w:pPr>
    <w:rPr>
      <w:rFonts w:eastAsia="Times New Roman"/>
      <w:sz w:val="24"/>
      <w:szCs w:val="24"/>
      <w:lang w:val="en-GB" w:eastAsia="de-DE"/>
    </w:rPr>
  </w:style>
  <w:style w:type="paragraph" w:styleId="ListNumber">
    <w:name w:val="List Number"/>
    <w:basedOn w:val="Normal"/>
    <w:pPr>
      <w:numPr>
        <w:numId w:val="19"/>
      </w:numPr>
      <w:spacing w:before="120" w:after="120" w:line="240" w:lineRule="auto"/>
      <w:jc w:val="both"/>
    </w:pPr>
    <w:rPr>
      <w:rFonts w:eastAsia="Times New Roman"/>
      <w:sz w:val="24"/>
      <w:szCs w:val="24"/>
      <w:lang w:val="en-GB" w:eastAsia="de-DE"/>
    </w:rPr>
  </w:style>
  <w:style w:type="paragraph" w:styleId="ListNumber2">
    <w:name w:val="List Number 2"/>
    <w:basedOn w:val="Normal"/>
    <w:pPr>
      <w:numPr>
        <w:numId w:val="18"/>
      </w:numPr>
      <w:spacing w:before="120" w:after="120" w:line="240" w:lineRule="auto"/>
      <w:jc w:val="both"/>
    </w:pPr>
    <w:rPr>
      <w:rFonts w:eastAsia="Times New Roman"/>
      <w:sz w:val="24"/>
      <w:szCs w:val="24"/>
      <w:lang w:val="en-GB" w:eastAsia="de-DE"/>
    </w:rPr>
  </w:style>
  <w:style w:type="paragraph" w:styleId="ListNumber3">
    <w:name w:val="List Number 3"/>
    <w:basedOn w:val="Normal"/>
    <w:pPr>
      <w:numPr>
        <w:numId w:val="17"/>
      </w:numPr>
      <w:spacing w:before="120" w:after="120" w:line="240" w:lineRule="auto"/>
      <w:jc w:val="both"/>
    </w:pPr>
    <w:rPr>
      <w:rFonts w:eastAsia="Times New Roman"/>
      <w:sz w:val="24"/>
      <w:szCs w:val="24"/>
      <w:lang w:val="en-GB" w:eastAsia="de-DE"/>
    </w:rPr>
  </w:style>
  <w:style w:type="paragraph" w:styleId="ListNumber4">
    <w:name w:val="List Number 4"/>
    <w:basedOn w:val="Normal"/>
    <w:pPr>
      <w:numPr>
        <w:numId w:val="16"/>
      </w:numPr>
      <w:spacing w:before="120" w:after="120" w:line="240" w:lineRule="auto"/>
      <w:jc w:val="both"/>
    </w:pPr>
    <w:rPr>
      <w:rFonts w:eastAsia="Times New Roman"/>
      <w:sz w:val="24"/>
      <w:szCs w:val="24"/>
      <w:lang w:val="en-GB" w:eastAsia="de-DE"/>
    </w:rPr>
  </w:style>
  <w:style w:type="paragraph" w:styleId="TOC1">
    <w:name w:val="toc 1"/>
    <w:basedOn w:val="Normal"/>
    <w:next w:val="Normal"/>
    <w:uiPriority w:val="39"/>
    <w:pPr>
      <w:spacing w:before="120" w:after="120" w:line="240" w:lineRule="auto"/>
    </w:pPr>
    <w:rPr>
      <w:rFonts w:ascii="Calibri" w:eastAsia="Times New Roman" w:hAnsi="Calibri" w:cs="Calibri"/>
      <w:b/>
      <w:bCs/>
      <w:caps/>
      <w:sz w:val="20"/>
      <w:szCs w:val="20"/>
      <w:lang w:val="en-GB" w:eastAsia="de-DE"/>
    </w:rPr>
  </w:style>
  <w:style w:type="paragraph" w:styleId="TOC2">
    <w:name w:val="toc 2"/>
    <w:basedOn w:val="Normal"/>
    <w:next w:val="Normal"/>
    <w:uiPriority w:val="39"/>
    <w:pPr>
      <w:spacing w:after="0" w:line="240" w:lineRule="auto"/>
      <w:ind w:left="240"/>
    </w:pPr>
    <w:rPr>
      <w:rFonts w:ascii="Calibri" w:eastAsia="Times New Roman" w:hAnsi="Calibri" w:cs="Calibri"/>
      <w:smallCaps/>
      <w:sz w:val="20"/>
      <w:szCs w:val="20"/>
      <w:lang w:val="en-GB" w:eastAsia="de-DE"/>
    </w:rPr>
  </w:style>
  <w:style w:type="paragraph" w:styleId="TOC3">
    <w:name w:val="toc 3"/>
    <w:basedOn w:val="Normal"/>
    <w:next w:val="Normal"/>
    <w:uiPriority w:val="39"/>
    <w:pPr>
      <w:spacing w:after="0" w:line="240" w:lineRule="auto"/>
      <w:ind w:left="480"/>
    </w:pPr>
    <w:rPr>
      <w:rFonts w:ascii="Calibri" w:eastAsia="Times New Roman" w:hAnsi="Calibri" w:cs="Calibri"/>
      <w:i/>
      <w:iCs/>
      <w:sz w:val="20"/>
      <w:szCs w:val="20"/>
      <w:lang w:val="en-GB" w:eastAsia="de-DE"/>
    </w:rPr>
  </w:style>
  <w:style w:type="paragraph" w:styleId="TOC4">
    <w:name w:val="toc 4"/>
    <w:basedOn w:val="Normal"/>
    <w:next w:val="Normal"/>
    <w:uiPriority w:val="99"/>
    <w:semiHidden/>
    <w:pPr>
      <w:spacing w:after="0" w:line="240" w:lineRule="auto"/>
      <w:ind w:left="720"/>
    </w:pPr>
    <w:rPr>
      <w:rFonts w:ascii="Calibri" w:eastAsia="Times New Roman" w:hAnsi="Calibri" w:cs="Calibri"/>
      <w:sz w:val="18"/>
      <w:szCs w:val="18"/>
      <w:lang w:val="en-GB" w:eastAsia="de-DE"/>
    </w:rPr>
  </w:style>
  <w:style w:type="paragraph" w:styleId="TOC5">
    <w:name w:val="toc 5"/>
    <w:basedOn w:val="Normal"/>
    <w:next w:val="Normal"/>
    <w:semiHidden/>
    <w:pPr>
      <w:spacing w:after="0" w:line="240" w:lineRule="auto"/>
      <w:ind w:left="960"/>
    </w:pPr>
    <w:rPr>
      <w:rFonts w:ascii="Calibri" w:eastAsia="Times New Roman" w:hAnsi="Calibri" w:cs="Calibri"/>
      <w:sz w:val="18"/>
      <w:szCs w:val="18"/>
      <w:lang w:val="en-GB" w:eastAsia="de-DE"/>
    </w:rPr>
  </w:style>
  <w:style w:type="paragraph" w:styleId="TOC6">
    <w:name w:val="toc 6"/>
    <w:basedOn w:val="Normal"/>
    <w:next w:val="Normal"/>
    <w:semiHidden/>
    <w:pPr>
      <w:spacing w:after="0" w:line="240" w:lineRule="auto"/>
      <w:ind w:left="1200"/>
    </w:pPr>
    <w:rPr>
      <w:rFonts w:ascii="Calibri" w:eastAsia="Times New Roman" w:hAnsi="Calibri" w:cs="Calibri"/>
      <w:sz w:val="18"/>
      <w:szCs w:val="18"/>
      <w:lang w:val="en-GB" w:eastAsia="de-DE"/>
    </w:rPr>
  </w:style>
  <w:style w:type="paragraph" w:styleId="TOC7">
    <w:name w:val="toc 7"/>
    <w:basedOn w:val="Normal"/>
    <w:next w:val="Normal"/>
    <w:semiHidden/>
    <w:pPr>
      <w:spacing w:after="0" w:line="240" w:lineRule="auto"/>
      <w:ind w:left="1440"/>
    </w:pPr>
    <w:rPr>
      <w:rFonts w:ascii="Calibri" w:eastAsia="Times New Roman" w:hAnsi="Calibri" w:cs="Calibri"/>
      <w:sz w:val="18"/>
      <w:szCs w:val="18"/>
      <w:lang w:val="en-GB" w:eastAsia="de-DE"/>
    </w:rPr>
  </w:style>
  <w:style w:type="paragraph" w:styleId="TOC8">
    <w:name w:val="toc 8"/>
    <w:basedOn w:val="Normal"/>
    <w:next w:val="Normal"/>
    <w:semiHidden/>
    <w:pPr>
      <w:numPr>
        <w:numId w:val="24"/>
      </w:numPr>
      <w:tabs>
        <w:tab w:val="clear" w:pos="850"/>
      </w:tabs>
      <w:spacing w:after="0" w:line="240" w:lineRule="auto"/>
      <w:ind w:left="1680" w:firstLine="0"/>
    </w:pPr>
    <w:rPr>
      <w:rFonts w:ascii="Calibri" w:eastAsia="Times New Roman" w:hAnsi="Calibri" w:cs="Calibri"/>
      <w:sz w:val="18"/>
      <w:szCs w:val="18"/>
      <w:lang w:val="en-GB" w:eastAsia="de-DE"/>
    </w:rPr>
  </w:style>
  <w:style w:type="paragraph" w:styleId="TOC9">
    <w:name w:val="toc 9"/>
    <w:basedOn w:val="Normal"/>
    <w:next w:val="Normal"/>
    <w:semiHidden/>
    <w:pPr>
      <w:spacing w:after="0" w:line="240" w:lineRule="auto"/>
      <w:ind w:left="1920"/>
    </w:pPr>
    <w:rPr>
      <w:rFonts w:ascii="Calibri" w:eastAsia="Times New Roman" w:hAnsi="Calibri" w:cs="Calibri"/>
      <w:sz w:val="18"/>
      <w:szCs w:val="18"/>
      <w:lang w:val="en-GB" w:eastAsia="de-DE"/>
    </w:rPr>
  </w:style>
  <w:style w:type="paragraph" w:customStyle="1" w:styleId="HeaderLandscape">
    <w:name w:val="HeaderLandscape"/>
    <w:basedOn w:val="Normal"/>
    <w:pPr>
      <w:tabs>
        <w:tab w:val="center" w:pos="7285"/>
        <w:tab w:val="right" w:pos="14003"/>
      </w:tabs>
      <w:spacing w:after="120" w:line="240" w:lineRule="auto"/>
      <w:jc w:val="both"/>
    </w:pPr>
    <w:rPr>
      <w:rFonts w:eastAsiaTheme="minorHAnsi"/>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eastAsiaTheme="minorHAnsi"/>
      <w:sz w:val="24"/>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uiPriority w:val="99"/>
    <w:qFormat/>
    <w:rPr>
      <w:rFonts w:cs="Times New Roman"/>
      <w:vertAlign w:val="superscript"/>
    </w:rPr>
  </w:style>
  <w:style w:type="paragraph" w:customStyle="1" w:styleId="NormalCentered">
    <w:name w:val="Normal Centered"/>
    <w:basedOn w:val="Normal"/>
    <w:uiPriority w:val="99"/>
    <w:pPr>
      <w:spacing w:before="120" w:after="120" w:line="240" w:lineRule="auto"/>
      <w:jc w:val="center"/>
    </w:pPr>
    <w:rPr>
      <w:rFonts w:eastAsia="Times New Roman"/>
      <w:sz w:val="24"/>
      <w:szCs w:val="24"/>
      <w:lang w:val="en-GB" w:eastAsia="de-DE"/>
    </w:rPr>
  </w:style>
  <w:style w:type="paragraph" w:customStyle="1" w:styleId="NormalLeft">
    <w:name w:val="Normal Left"/>
    <w:basedOn w:val="Normal"/>
    <w:uiPriority w:val="99"/>
    <w:pPr>
      <w:spacing w:before="120" w:after="120" w:line="240" w:lineRule="auto"/>
    </w:pPr>
    <w:rPr>
      <w:rFonts w:eastAsia="Times New Roman"/>
      <w:sz w:val="24"/>
      <w:szCs w:val="24"/>
      <w:lang w:val="en-GB" w:eastAsia="de-DE"/>
    </w:rPr>
  </w:style>
  <w:style w:type="paragraph" w:customStyle="1" w:styleId="NormalRight">
    <w:name w:val="Normal Right"/>
    <w:basedOn w:val="Normal"/>
    <w:uiPriority w:val="99"/>
    <w:pPr>
      <w:spacing w:before="120" w:after="120" w:line="240" w:lineRule="auto"/>
      <w:jc w:val="right"/>
    </w:pPr>
    <w:rPr>
      <w:rFonts w:eastAsia="Times New Roman"/>
      <w:sz w:val="24"/>
      <w:szCs w:val="24"/>
      <w:lang w:val="en-GB" w:eastAsia="de-DE"/>
    </w:rPr>
  </w:style>
  <w:style w:type="paragraph" w:customStyle="1" w:styleId="QuotedText">
    <w:name w:val="Quoted Text"/>
    <w:basedOn w:val="Normal"/>
    <w:pPr>
      <w:spacing w:before="120" w:after="120" w:line="240" w:lineRule="auto"/>
      <w:ind w:left="1417"/>
      <w:jc w:val="both"/>
    </w:pPr>
    <w:rPr>
      <w:rFonts w:eastAsia="Times New Roman"/>
      <w:sz w:val="24"/>
      <w:szCs w:val="24"/>
      <w:lang w:val="en-GB" w:eastAsia="de-DE"/>
    </w:rPr>
  </w:style>
  <w:style w:type="paragraph" w:customStyle="1" w:styleId="Point0">
    <w:name w:val="Point 0"/>
    <w:basedOn w:val="Normal"/>
    <w:uiPriority w:val="99"/>
    <w:pPr>
      <w:spacing w:before="120" w:after="120" w:line="240" w:lineRule="auto"/>
      <w:ind w:left="850" w:hanging="850"/>
      <w:jc w:val="both"/>
    </w:pPr>
    <w:rPr>
      <w:rFonts w:eastAsia="Times New Roman"/>
      <w:sz w:val="24"/>
      <w:szCs w:val="24"/>
      <w:lang w:val="en-GB" w:eastAsia="de-DE"/>
    </w:rPr>
  </w:style>
  <w:style w:type="paragraph" w:customStyle="1" w:styleId="Point1">
    <w:name w:val="Point 1"/>
    <w:basedOn w:val="Normal"/>
    <w:uiPriority w:val="99"/>
    <w:pPr>
      <w:spacing w:before="120" w:after="120" w:line="240" w:lineRule="auto"/>
      <w:ind w:left="1417" w:hanging="567"/>
      <w:jc w:val="both"/>
    </w:pPr>
    <w:rPr>
      <w:rFonts w:eastAsia="Times New Roman"/>
      <w:sz w:val="24"/>
      <w:szCs w:val="24"/>
      <w:lang w:val="en-GB" w:eastAsia="de-DE"/>
    </w:rPr>
  </w:style>
  <w:style w:type="paragraph" w:customStyle="1" w:styleId="Point2">
    <w:name w:val="Point 2"/>
    <w:basedOn w:val="Normal"/>
    <w:uiPriority w:val="99"/>
    <w:pPr>
      <w:spacing w:before="120" w:after="120" w:line="240" w:lineRule="auto"/>
      <w:ind w:left="1984" w:hanging="567"/>
      <w:jc w:val="both"/>
    </w:pPr>
    <w:rPr>
      <w:rFonts w:eastAsia="Times New Roman"/>
      <w:sz w:val="24"/>
      <w:szCs w:val="24"/>
      <w:lang w:val="en-GB" w:eastAsia="de-DE"/>
    </w:rPr>
  </w:style>
  <w:style w:type="paragraph" w:customStyle="1" w:styleId="Point3">
    <w:name w:val="Point 3"/>
    <w:basedOn w:val="Normal"/>
    <w:uiPriority w:val="99"/>
    <w:pPr>
      <w:spacing w:before="120" w:after="120" w:line="240" w:lineRule="auto"/>
      <w:ind w:left="2551" w:hanging="567"/>
      <w:jc w:val="both"/>
    </w:pPr>
    <w:rPr>
      <w:rFonts w:eastAsia="Times New Roman"/>
      <w:sz w:val="24"/>
      <w:szCs w:val="24"/>
      <w:lang w:val="en-GB" w:eastAsia="de-DE"/>
    </w:rPr>
  </w:style>
  <w:style w:type="paragraph" w:customStyle="1" w:styleId="Point4">
    <w:name w:val="Point 4"/>
    <w:basedOn w:val="Normal"/>
    <w:uiPriority w:val="99"/>
    <w:pPr>
      <w:spacing w:before="120" w:after="120" w:line="240" w:lineRule="auto"/>
      <w:ind w:left="3118" w:hanging="567"/>
      <w:jc w:val="both"/>
    </w:pPr>
    <w:rPr>
      <w:rFonts w:eastAsia="Times New Roman"/>
      <w:sz w:val="24"/>
      <w:szCs w:val="24"/>
      <w:lang w:val="en-GB" w:eastAsia="de-DE"/>
    </w:rPr>
  </w:style>
  <w:style w:type="paragraph" w:customStyle="1" w:styleId="Tiret0">
    <w:name w:val="Tiret 0"/>
    <w:basedOn w:val="Point0"/>
    <w:pPr>
      <w:numPr>
        <w:numId w:val="1"/>
      </w:numPr>
    </w:pPr>
  </w:style>
  <w:style w:type="paragraph" w:customStyle="1" w:styleId="Tiret1">
    <w:name w:val="Tiret 1"/>
    <w:basedOn w:val="Point1"/>
    <w:uiPriority w:val="99"/>
    <w:pPr>
      <w:numPr>
        <w:numId w:val="2"/>
      </w:numPr>
    </w:pPr>
  </w:style>
  <w:style w:type="paragraph" w:customStyle="1" w:styleId="Tiret2">
    <w:name w:val="Tiret 2"/>
    <w:basedOn w:val="Point2"/>
    <w:uiPriority w:val="99"/>
    <w:pPr>
      <w:numPr>
        <w:numId w:val="3"/>
      </w:numPr>
    </w:pPr>
  </w:style>
  <w:style w:type="paragraph" w:customStyle="1" w:styleId="Tiret3">
    <w:name w:val="Tiret 3"/>
    <w:basedOn w:val="Point3"/>
    <w:uiPriority w:val="99"/>
    <w:pPr>
      <w:numPr>
        <w:numId w:val="4"/>
      </w:numPr>
    </w:pPr>
  </w:style>
  <w:style w:type="paragraph" w:customStyle="1" w:styleId="Tiret4">
    <w:name w:val="Tiret 4"/>
    <w:basedOn w:val="Point4"/>
    <w:uiPriority w:val="99"/>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eastAsia="Times New Roman"/>
      <w:sz w:val="24"/>
      <w:szCs w:val="24"/>
      <w:lang w:val="en-GB" w:eastAsia="de-DE"/>
    </w:rPr>
  </w:style>
  <w:style w:type="paragraph" w:customStyle="1" w:styleId="PointDouble1">
    <w:name w:val="PointDouble 1"/>
    <w:basedOn w:val="Normal"/>
    <w:pPr>
      <w:tabs>
        <w:tab w:val="left" w:pos="1417"/>
      </w:tabs>
      <w:spacing w:before="120" w:after="120" w:line="240" w:lineRule="auto"/>
      <w:ind w:left="1984" w:hanging="1134"/>
      <w:jc w:val="both"/>
    </w:pPr>
    <w:rPr>
      <w:rFonts w:eastAsia="Times New Roman"/>
      <w:sz w:val="24"/>
      <w:szCs w:val="24"/>
      <w:lang w:val="en-GB" w:eastAsia="de-DE"/>
    </w:rPr>
  </w:style>
  <w:style w:type="paragraph" w:customStyle="1" w:styleId="PointDouble2">
    <w:name w:val="PointDouble 2"/>
    <w:basedOn w:val="Normal"/>
    <w:pPr>
      <w:tabs>
        <w:tab w:val="left" w:pos="1984"/>
      </w:tabs>
      <w:spacing w:before="120" w:after="120" w:line="240" w:lineRule="auto"/>
      <w:ind w:left="2551" w:hanging="1134"/>
      <w:jc w:val="both"/>
    </w:pPr>
    <w:rPr>
      <w:rFonts w:eastAsia="Times New Roman"/>
      <w:sz w:val="24"/>
      <w:szCs w:val="24"/>
      <w:lang w:val="en-GB" w:eastAsia="de-DE"/>
    </w:rPr>
  </w:style>
  <w:style w:type="paragraph" w:customStyle="1" w:styleId="PointDouble3">
    <w:name w:val="PointDouble 3"/>
    <w:basedOn w:val="Normal"/>
    <w:pPr>
      <w:tabs>
        <w:tab w:val="left" w:pos="2551"/>
      </w:tabs>
      <w:spacing w:before="120" w:after="120" w:line="240" w:lineRule="auto"/>
      <w:ind w:left="3118" w:hanging="1134"/>
      <w:jc w:val="both"/>
    </w:pPr>
    <w:rPr>
      <w:rFonts w:eastAsia="Times New Roman"/>
      <w:sz w:val="24"/>
      <w:szCs w:val="24"/>
      <w:lang w:val="en-GB" w:eastAsia="de-DE"/>
    </w:rPr>
  </w:style>
  <w:style w:type="paragraph" w:customStyle="1" w:styleId="PointDouble4">
    <w:name w:val="PointDouble 4"/>
    <w:basedOn w:val="Normal"/>
    <w:pPr>
      <w:tabs>
        <w:tab w:val="left" w:pos="3118"/>
      </w:tabs>
      <w:spacing w:before="120" w:after="120" w:line="240" w:lineRule="auto"/>
      <w:ind w:left="3685" w:hanging="1134"/>
      <w:jc w:val="both"/>
    </w:pPr>
    <w:rPr>
      <w:rFonts w:eastAsia="Times New Roman"/>
      <w:sz w:val="24"/>
      <w:szCs w:val="24"/>
      <w:lang w:val="en-GB" w:eastAsia="de-DE"/>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eastAsia="Times New Roman"/>
      <w:sz w:val="24"/>
      <w:szCs w:val="24"/>
      <w:lang w:val="en-GB" w:eastAsia="de-DE"/>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eastAsia="Times New Roman"/>
      <w:sz w:val="24"/>
      <w:szCs w:val="24"/>
      <w:lang w:val="en-GB" w:eastAsia="de-DE"/>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eastAsia="Times New Roman"/>
      <w:sz w:val="24"/>
      <w:szCs w:val="24"/>
      <w:lang w:val="en-GB" w:eastAsia="de-DE"/>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eastAsia="Times New Roman"/>
      <w:sz w:val="24"/>
      <w:szCs w:val="24"/>
      <w:lang w:val="en-GB" w:eastAsia="de-DE"/>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eastAsia="Times New Roman"/>
      <w:sz w:val="24"/>
      <w:szCs w:val="24"/>
      <w:lang w:val="en-GB" w:eastAsia="de-DE"/>
    </w:rPr>
  </w:style>
  <w:style w:type="paragraph" w:customStyle="1" w:styleId="NumPar1">
    <w:name w:val="NumPar 1"/>
    <w:basedOn w:val="Normal"/>
    <w:next w:val="Text1"/>
    <w:pPr>
      <w:numPr>
        <w:numId w:val="6"/>
      </w:numPr>
      <w:spacing w:before="120" w:after="120" w:line="240" w:lineRule="auto"/>
      <w:jc w:val="both"/>
    </w:pPr>
    <w:rPr>
      <w:rFonts w:eastAsia="Times New Roman"/>
      <w:sz w:val="24"/>
      <w:szCs w:val="24"/>
      <w:lang w:val="en-GB" w:eastAsia="de-DE"/>
    </w:rPr>
  </w:style>
  <w:style w:type="paragraph" w:customStyle="1" w:styleId="NumPar2">
    <w:name w:val="NumPar 2"/>
    <w:basedOn w:val="Normal"/>
    <w:next w:val="Text2"/>
    <w:pPr>
      <w:tabs>
        <w:tab w:val="num" w:pos="850"/>
      </w:tabs>
      <w:spacing w:before="120" w:after="120" w:line="240" w:lineRule="auto"/>
      <w:ind w:left="850" w:hanging="850"/>
      <w:jc w:val="both"/>
    </w:pPr>
    <w:rPr>
      <w:rFonts w:eastAsia="Times New Roman"/>
      <w:sz w:val="24"/>
      <w:szCs w:val="24"/>
      <w:lang w:val="en-GB" w:eastAsia="de-DE"/>
    </w:rPr>
  </w:style>
  <w:style w:type="paragraph" w:customStyle="1" w:styleId="NumPar3">
    <w:name w:val="NumPar 3"/>
    <w:basedOn w:val="Normal"/>
    <w:next w:val="Text3"/>
    <w:pPr>
      <w:tabs>
        <w:tab w:val="num" w:pos="850"/>
      </w:tabs>
      <w:spacing w:before="120" w:after="120" w:line="240" w:lineRule="auto"/>
      <w:ind w:left="850" w:hanging="850"/>
      <w:jc w:val="both"/>
    </w:pPr>
    <w:rPr>
      <w:rFonts w:eastAsia="Times New Roman"/>
      <w:sz w:val="24"/>
      <w:szCs w:val="24"/>
      <w:lang w:val="en-GB" w:eastAsia="de-DE"/>
    </w:rPr>
  </w:style>
  <w:style w:type="paragraph" w:customStyle="1" w:styleId="NumPar4">
    <w:name w:val="NumPar 4"/>
    <w:basedOn w:val="Normal"/>
    <w:next w:val="Text4"/>
    <w:pPr>
      <w:tabs>
        <w:tab w:val="num" w:pos="850"/>
      </w:tabs>
      <w:spacing w:before="120" w:after="120" w:line="240" w:lineRule="auto"/>
      <w:ind w:left="850" w:hanging="850"/>
      <w:jc w:val="both"/>
    </w:pPr>
    <w:rPr>
      <w:rFonts w:eastAsia="Times New Roman"/>
      <w:sz w:val="24"/>
      <w:szCs w:val="24"/>
      <w:lang w:val="en-GB" w:eastAsia="de-DE"/>
    </w:rPr>
  </w:style>
  <w:style w:type="paragraph" w:customStyle="1" w:styleId="ManualNumPar1">
    <w:name w:val="Manual NumPar 1"/>
    <w:basedOn w:val="Normal"/>
    <w:next w:val="Text1"/>
    <w:pPr>
      <w:spacing w:before="120" w:after="120" w:line="240" w:lineRule="auto"/>
      <w:ind w:left="850" w:hanging="850"/>
      <w:jc w:val="both"/>
    </w:pPr>
    <w:rPr>
      <w:rFonts w:eastAsia="Times New Roman"/>
      <w:sz w:val="24"/>
      <w:szCs w:val="24"/>
      <w:lang w:val="en-GB" w:eastAsia="de-DE"/>
    </w:rPr>
  </w:style>
  <w:style w:type="paragraph" w:customStyle="1" w:styleId="ManualNumPar2">
    <w:name w:val="Manual NumPar 2"/>
    <w:basedOn w:val="Normal"/>
    <w:next w:val="Text2"/>
    <w:pPr>
      <w:spacing w:before="120" w:after="120" w:line="240" w:lineRule="auto"/>
      <w:ind w:left="850" w:hanging="850"/>
      <w:jc w:val="both"/>
    </w:pPr>
    <w:rPr>
      <w:rFonts w:eastAsia="Times New Roman"/>
      <w:sz w:val="24"/>
      <w:szCs w:val="24"/>
      <w:lang w:val="en-GB" w:eastAsia="de-DE"/>
    </w:rPr>
  </w:style>
  <w:style w:type="paragraph" w:customStyle="1" w:styleId="ManualNumPar3">
    <w:name w:val="Manual NumPar 3"/>
    <w:basedOn w:val="Normal"/>
    <w:next w:val="Text3"/>
    <w:pPr>
      <w:spacing w:before="120" w:after="120" w:line="240" w:lineRule="auto"/>
      <w:ind w:left="850" w:hanging="850"/>
      <w:jc w:val="both"/>
    </w:pPr>
    <w:rPr>
      <w:rFonts w:eastAsia="Times New Roman"/>
      <w:sz w:val="24"/>
      <w:szCs w:val="24"/>
      <w:lang w:val="en-GB" w:eastAsia="de-DE"/>
    </w:rPr>
  </w:style>
  <w:style w:type="paragraph" w:customStyle="1" w:styleId="ManualNumPar4">
    <w:name w:val="Manual NumPar 4"/>
    <w:basedOn w:val="Normal"/>
    <w:next w:val="Text4"/>
    <w:pPr>
      <w:spacing w:before="120" w:after="120" w:line="240" w:lineRule="auto"/>
      <w:ind w:left="850" w:hanging="850"/>
      <w:jc w:val="both"/>
    </w:pPr>
    <w:rPr>
      <w:rFonts w:eastAsia="Times New Roman"/>
      <w:sz w:val="24"/>
      <w:szCs w:val="24"/>
      <w:lang w:val="en-GB" w:eastAsia="de-DE"/>
    </w:rPr>
  </w:style>
  <w:style w:type="paragraph" w:customStyle="1" w:styleId="QuotedNumPar">
    <w:name w:val="Quoted NumPar"/>
    <w:basedOn w:val="Normal"/>
    <w:pPr>
      <w:spacing w:before="120" w:after="120" w:line="240" w:lineRule="auto"/>
      <w:ind w:left="1417" w:hanging="567"/>
      <w:jc w:val="both"/>
    </w:pPr>
    <w:rPr>
      <w:rFonts w:eastAsia="Times New Roman"/>
      <w:sz w:val="24"/>
      <w:szCs w:val="24"/>
      <w:lang w:val="en-GB" w:eastAsia="de-DE"/>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eastAsia="Times New Roman"/>
      <w:b/>
      <w:smallCaps/>
      <w:sz w:val="24"/>
      <w:szCs w:val="24"/>
      <w:lang w:val="en-GB" w:eastAsia="de-DE"/>
    </w:rPr>
  </w:style>
  <w:style w:type="paragraph" w:customStyle="1" w:styleId="ManualHeading2">
    <w:name w:val="Manual Heading 2"/>
    <w:basedOn w:val="Normal"/>
    <w:next w:val="Text2"/>
    <w:pPr>
      <w:keepNext/>
      <w:tabs>
        <w:tab w:val="left" w:pos="850"/>
      </w:tabs>
      <w:spacing w:before="120" w:after="120" w:line="240" w:lineRule="auto"/>
      <w:ind w:left="850" w:hanging="850"/>
      <w:jc w:val="both"/>
      <w:outlineLvl w:val="1"/>
    </w:pPr>
    <w:rPr>
      <w:rFonts w:eastAsia="Times New Roman"/>
      <w:b/>
      <w:sz w:val="24"/>
      <w:szCs w:val="24"/>
      <w:lang w:val="en-GB" w:eastAsia="de-DE"/>
    </w:rPr>
  </w:style>
  <w:style w:type="paragraph" w:customStyle="1" w:styleId="ManualHeading3">
    <w:name w:val="Manual Heading 3"/>
    <w:basedOn w:val="Normal"/>
    <w:next w:val="Text3"/>
    <w:pPr>
      <w:keepNext/>
      <w:tabs>
        <w:tab w:val="left" w:pos="850"/>
      </w:tabs>
      <w:spacing w:before="120" w:after="120" w:line="240" w:lineRule="auto"/>
      <w:ind w:left="850" w:hanging="850"/>
      <w:jc w:val="both"/>
      <w:outlineLvl w:val="2"/>
    </w:pPr>
    <w:rPr>
      <w:rFonts w:eastAsia="Times New Roman"/>
      <w:i/>
      <w:sz w:val="24"/>
      <w:szCs w:val="24"/>
      <w:lang w:val="en-GB" w:eastAsia="de-DE"/>
    </w:rPr>
  </w:style>
  <w:style w:type="paragraph" w:customStyle="1" w:styleId="ManualHeading4">
    <w:name w:val="Manual Heading 4"/>
    <w:basedOn w:val="Normal"/>
    <w:next w:val="Text4"/>
    <w:pPr>
      <w:keepNext/>
      <w:tabs>
        <w:tab w:val="left" w:pos="850"/>
      </w:tabs>
      <w:spacing w:before="120" w:after="120" w:line="240" w:lineRule="auto"/>
      <w:ind w:left="850" w:hanging="850"/>
      <w:jc w:val="both"/>
      <w:outlineLvl w:val="3"/>
    </w:pPr>
    <w:rPr>
      <w:rFonts w:eastAsia="Times New Roman"/>
      <w:sz w:val="24"/>
      <w:szCs w:val="24"/>
      <w:lang w:val="en-GB" w:eastAsia="de-DE"/>
    </w:rPr>
  </w:style>
  <w:style w:type="paragraph" w:customStyle="1" w:styleId="ChapterTitle">
    <w:name w:val="ChapterTitle"/>
    <w:basedOn w:val="Normal"/>
    <w:next w:val="Normal"/>
    <w:pPr>
      <w:keepNext/>
      <w:spacing w:before="120" w:after="360" w:line="240" w:lineRule="auto"/>
      <w:jc w:val="center"/>
    </w:pPr>
    <w:rPr>
      <w:rFonts w:eastAsia="Times New Roman"/>
      <w:b/>
      <w:sz w:val="32"/>
      <w:szCs w:val="24"/>
      <w:lang w:val="en-GB" w:eastAsia="de-DE"/>
    </w:rPr>
  </w:style>
  <w:style w:type="paragraph" w:customStyle="1" w:styleId="PartTitle">
    <w:name w:val="PartTitle"/>
    <w:basedOn w:val="Normal"/>
    <w:next w:val="ChapterTitle"/>
    <w:pPr>
      <w:keepNext/>
      <w:pageBreakBefore/>
      <w:spacing w:before="120" w:after="360" w:line="240" w:lineRule="auto"/>
      <w:jc w:val="center"/>
    </w:pPr>
    <w:rPr>
      <w:rFonts w:eastAsia="Times New Roman"/>
      <w:b/>
      <w:sz w:val="36"/>
      <w:szCs w:val="24"/>
      <w:lang w:val="en-GB" w:eastAsia="de-DE"/>
    </w:rPr>
  </w:style>
  <w:style w:type="paragraph" w:customStyle="1" w:styleId="SectionTitle">
    <w:name w:val="SectionTitle"/>
    <w:basedOn w:val="Normal"/>
    <w:next w:val="Heading1"/>
    <w:uiPriority w:val="99"/>
    <w:pPr>
      <w:keepNext/>
      <w:spacing w:before="120" w:after="360" w:line="240" w:lineRule="auto"/>
      <w:jc w:val="center"/>
    </w:pPr>
    <w:rPr>
      <w:rFonts w:eastAsia="Times New Roman"/>
      <w:b/>
      <w:smallCaps/>
      <w:sz w:val="28"/>
      <w:szCs w:val="24"/>
      <w:lang w:val="en-GB" w:eastAsia="de-DE"/>
    </w:rPr>
  </w:style>
  <w:style w:type="paragraph" w:customStyle="1" w:styleId="ListBullet1">
    <w:name w:val="List Bullet 1"/>
    <w:basedOn w:val="Normal"/>
    <w:pPr>
      <w:numPr>
        <w:numId w:val="7"/>
      </w:numPr>
      <w:spacing w:before="120" w:after="120" w:line="240" w:lineRule="auto"/>
      <w:jc w:val="both"/>
    </w:pPr>
    <w:rPr>
      <w:rFonts w:eastAsia="Times New Roman"/>
      <w:sz w:val="24"/>
      <w:szCs w:val="24"/>
      <w:lang w:val="en-GB" w:eastAsia="de-DE"/>
    </w:rPr>
  </w:style>
  <w:style w:type="paragraph" w:customStyle="1" w:styleId="ListDash">
    <w:name w:val="List Dash"/>
    <w:basedOn w:val="Normal"/>
    <w:pPr>
      <w:numPr>
        <w:numId w:val="8"/>
      </w:numPr>
      <w:spacing w:before="120" w:after="120" w:line="240" w:lineRule="auto"/>
      <w:jc w:val="both"/>
    </w:pPr>
    <w:rPr>
      <w:rFonts w:eastAsia="Times New Roman"/>
      <w:sz w:val="24"/>
      <w:szCs w:val="24"/>
      <w:lang w:val="en-GB" w:eastAsia="de-DE"/>
    </w:rPr>
  </w:style>
  <w:style w:type="paragraph" w:customStyle="1" w:styleId="ListDash1">
    <w:name w:val="List Dash 1"/>
    <w:basedOn w:val="Normal"/>
    <w:pPr>
      <w:numPr>
        <w:numId w:val="9"/>
      </w:numPr>
      <w:spacing w:before="120" w:after="120" w:line="240" w:lineRule="auto"/>
      <w:jc w:val="both"/>
    </w:pPr>
    <w:rPr>
      <w:rFonts w:eastAsia="Times New Roman"/>
      <w:sz w:val="24"/>
      <w:szCs w:val="24"/>
      <w:lang w:val="en-GB" w:eastAsia="de-DE"/>
    </w:rPr>
  </w:style>
  <w:style w:type="paragraph" w:customStyle="1" w:styleId="ListDash2">
    <w:name w:val="List Dash 2"/>
    <w:basedOn w:val="Normal"/>
    <w:pPr>
      <w:numPr>
        <w:numId w:val="10"/>
      </w:numPr>
      <w:spacing w:before="120" w:after="120" w:line="240" w:lineRule="auto"/>
      <w:jc w:val="both"/>
    </w:pPr>
    <w:rPr>
      <w:rFonts w:eastAsia="Times New Roman"/>
      <w:sz w:val="24"/>
      <w:szCs w:val="24"/>
      <w:lang w:val="en-GB" w:eastAsia="de-DE"/>
    </w:rPr>
  </w:style>
  <w:style w:type="paragraph" w:customStyle="1" w:styleId="ListDash3">
    <w:name w:val="List Dash 3"/>
    <w:basedOn w:val="Normal"/>
    <w:pPr>
      <w:numPr>
        <w:numId w:val="11"/>
      </w:numPr>
      <w:spacing w:before="120" w:after="120" w:line="240" w:lineRule="auto"/>
      <w:jc w:val="both"/>
    </w:pPr>
    <w:rPr>
      <w:rFonts w:eastAsia="Times New Roman"/>
      <w:sz w:val="24"/>
      <w:szCs w:val="24"/>
      <w:lang w:val="en-GB" w:eastAsia="de-DE"/>
    </w:rPr>
  </w:style>
  <w:style w:type="paragraph" w:customStyle="1" w:styleId="ListDash4">
    <w:name w:val="List Dash 4"/>
    <w:basedOn w:val="Normal"/>
    <w:pPr>
      <w:numPr>
        <w:numId w:val="12"/>
      </w:numPr>
      <w:spacing w:before="120" w:after="120" w:line="240" w:lineRule="auto"/>
      <w:jc w:val="both"/>
    </w:pPr>
    <w:rPr>
      <w:rFonts w:eastAsia="Times New Roman"/>
      <w:sz w:val="24"/>
      <w:szCs w:val="24"/>
      <w:lang w:val="en-GB" w:eastAsia="de-DE"/>
    </w:rPr>
  </w:style>
  <w:style w:type="paragraph" w:customStyle="1" w:styleId="ListNumber1">
    <w:name w:val="List Number 1"/>
    <w:basedOn w:val="Text1"/>
    <w:pPr>
      <w:numPr>
        <w:numId w:val="13"/>
      </w:numPr>
    </w:pPr>
  </w:style>
  <w:style w:type="paragraph" w:customStyle="1" w:styleId="ListNumberLevel2">
    <w:name w:val="List Number (Level 2)"/>
    <w:basedOn w:val="Normal"/>
    <w:pPr>
      <w:numPr>
        <w:ilvl w:val="1"/>
        <w:numId w:val="19"/>
      </w:numPr>
      <w:spacing w:before="120" w:after="120" w:line="240" w:lineRule="auto"/>
      <w:jc w:val="both"/>
    </w:pPr>
    <w:rPr>
      <w:rFonts w:eastAsia="Times New Roman"/>
      <w:sz w:val="24"/>
      <w:szCs w:val="24"/>
      <w:lang w:val="en-GB" w:eastAsia="de-DE"/>
    </w:rPr>
  </w:style>
  <w:style w:type="paragraph" w:customStyle="1" w:styleId="ListNumber1Level2">
    <w:name w:val="List Number 1 (Level 2)"/>
    <w:basedOn w:val="Text1"/>
    <w:pPr>
      <w:numPr>
        <w:ilvl w:val="1"/>
        <w:numId w:val="13"/>
      </w:numPr>
    </w:pPr>
  </w:style>
  <w:style w:type="paragraph" w:customStyle="1" w:styleId="ListNumber2Level2">
    <w:name w:val="List Number 2 (Level 2)"/>
    <w:basedOn w:val="Text2"/>
    <w:pPr>
      <w:numPr>
        <w:ilvl w:val="1"/>
        <w:numId w:val="18"/>
      </w:numPr>
    </w:pPr>
  </w:style>
  <w:style w:type="paragraph" w:customStyle="1" w:styleId="ListNumber3Level2">
    <w:name w:val="List Number 3 (Level 2)"/>
    <w:basedOn w:val="Text3"/>
    <w:pPr>
      <w:numPr>
        <w:ilvl w:val="1"/>
        <w:numId w:val="17"/>
      </w:numPr>
    </w:pPr>
  </w:style>
  <w:style w:type="paragraph" w:customStyle="1" w:styleId="ListNumber4Level2">
    <w:name w:val="List Number 4 (Level 2)"/>
    <w:basedOn w:val="Text4"/>
    <w:pPr>
      <w:numPr>
        <w:ilvl w:val="1"/>
        <w:numId w:val="16"/>
      </w:numPr>
    </w:pPr>
  </w:style>
  <w:style w:type="paragraph" w:customStyle="1" w:styleId="ListNumberLevel3">
    <w:name w:val="List Number (Level 3)"/>
    <w:basedOn w:val="Normal"/>
    <w:pPr>
      <w:numPr>
        <w:ilvl w:val="2"/>
        <w:numId w:val="19"/>
      </w:numPr>
      <w:spacing w:before="120" w:after="120" w:line="240" w:lineRule="auto"/>
      <w:jc w:val="both"/>
    </w:pPr>
    <w:rPr>
      <w:rFonts w:eastAsia="Times New Roman"/>
      <w:sz w:val="24"/>
      <w:szCs w:val="24"/>
      <w:lang w:val="en-GB" w:eastAsia="de-DE"/>
    </w:rPr>
  </w:style>
  <w:style w:type="paragraph" w:customStyle="1" w:styleId="ListNumber1Level3">
    <w:name w:val="List Number 1 (Level 3)"/>
    <w:basedOn w:val="Text1"/>
    <w:pPr>
      <w:numPr>
        <w:ilvl w:val="2"/>
        <w:numId w:val="13"/>
      </w:numPr>
    </w:pPr>
  </w:style>
  <w:style w:type="paragraph" w:customStyle="1" w:styleId="ListNumber2Level3">
    <w:name w:val="List Number 2 (Level 3)"/>
    <w:basedOn w:val="Text2"/>
    <w:pPr>
      <w:numPr>
        <w:ilvl w:val="2"/>
        <w:numId w:val="18"/>
      </w:numPr>
    </w:pPr>
  </w:style>
  <w:style w:type="paragraph" w:customStyle="1" w:styleId="ListNumber3Level3">
    <w:name w:val="List Number 3 (Level 3)"/>
    <w:basedOn w:val="Text3"/>
    <w:pPr>
      <w:numPr>
        <w:ilvl w:val="2"/>
        <w:numId w:val="17"/>
      </w:numPr>
    </w:pPr>
  </w:style>
  <w:style w:type="paragraph" w:customStyle="1" w:styleId="ListNumber4Level3">
    <w:name w:val="List Number 4 (Level 3)"/>
    <w:basedOn w:val="Text4"/>
    <w:pPr>
      <w:numPr>
        <w:ilvl w:val="2"/>
        <w:numId w:val="16"/>
      </w:numPr>
    </w:pPr>
  </w:style>
  <w:style w:type="paragraph" w:customStyle="1" w:styleId="ListNumberLevel4">
    <w:name w:val="List Number (Level 4)"/>
    <w:basedOn w:val="Normal"/>
    <w:pPr>
      <w:numPr>
        <w:ilvl w:val="3"/>
        <w:numId w:val="19"/>
      </w:numPr>
      <w:spacing w:before="120" w:after="120" w:line="240" w:lineRule="auto"/>
      <w:jc w:val="both"/>
    </w:pPr>
    <w:rPr>
      <w:rFonts w:eastAsia="Times New Roman"/>
      <w:sz w:val="24"/>
      <w:szCs w:val="24"/>
      <w:lang w:val="en-GB" w:eastAsia="de-DE"/>
    </w:rPr>
  </w:style>
  <w:style w:type="paragraph" w:customStyle="1" w:styleId="ListNumber1Level4">
    <w:name w:val="List Number 1 (Level 4)"/>
    <w:basedOn w:val="Text1"/>
    <w:pPr>
      <w:numPr>
        <w:ilvl w:val="3"/>
        <w:numId w:val="13"/>
      </w:numPr>
    </w:pPr>
  </w:style>
  <w:style w:type="paragraph" w:customStyle="1" w:styleId="ListNumber2Level4">
    <w:name w:val="List Number 2 (Level 4)"/>
    <w:basedOn w:val="Text2"/>
    <w:pPr>
      <w:numPr>
        <w:ilvl w:val="3"/>
        <w:numId w:val="18"/>
      </w:numPr>
    </w:pPr>
  </w:style>
  <w:style w:type="paragraph" w:customStyle="1" w:styleId="ListNumber3Level4">
    <w:name w:val="List Number 3 (Level 4)"/>
    <w:basedOn w:val="Text3"/>
    <w:pPr>
      <w:numPr>
        <w:ilvl w:val="3"/>
        <w:numId w:val="17"/>
      </w:numPr>
    </w:pPr>
  </w:style>
  <w:style w:type="paragraph" w:customStyle="1" w:styleId="ListNumber4Level4">
    <w:name w:val="List Number 4 (Level 4)"/>
    <w:basedOn w:val="Text4"/>
    <w:pPr>
      <w:numPr>
        <w:ilvl w:val="3"/>
        <w:numId w:val="16"/>
      </w:numPr>
    </w:pPr>
  </w:style>
  <w:style w:type="paragraph" w:customStyle="1" w:styleId="TableTitle">
    <w:name w:val="Table Title"/>
    <w:basedOn w:val="Normal"/>
    <w:next w:val="Normal"/>
    <w:uiPriority w:val="99"/>
    <w:pPr>
      <w:spacing w:before="120" w:after="120" w:line="240" w:lineRule="auto"/>
      <w:jc w:val="center"/>
    </w:pPr>
    <w:rPr>
      <w:rFonts w:eastAsia="Times New Roman"/>
      <w:b/>
      <w:sz w:val="24"/>
      <w:szCs w:val="24"/>
      <w:lang w:val="en-GB" w:eastAsia="de-DE"/>
    </w:rPr>
  </w:style>
  <w:style w:type="character" w:customStyle="1" w:styleId="Marker1">
    <w:name w:val="Marker1"/>
    <w:rPr>
      <w:rFonts w:cs="Times New Roman"/>
      <w:color w:val="008000"/>
    </w:rPr>
  </w:style>
  <w:style w:type="character" w:customStyle="1" w:styleId="Marker2">
    <w:name w:val="Marker2"/>
    <w:rPr>
      <w:rFonts w:cs="Times New Roman"/>
      <w:color w:val="FF0000"/>
    </w:rPr>
  </w:style>
  <w:style w:type="paragraph" w:styleId="TOCHeading">
    <w:name w:val="TOC Heading"/>
    <w:basedOn w:val="Normal"/>
    <w:next w:val="Normal"/>
    <w:uiPriority w:val="99"/>
    <w:qFormat/>
    <w:pPr>
      <w:spacing w:before="120" w:after="240" w:line="240" w:lineRule="auto"/>
      <w:jc w:val="center"/>
    </w:pPr>
    <w:rPr>
      <w:rFonts w:eastAsia="Times New Roman"/>
      <w:b/>
      <w:sz w:val="28"/>
      <w:szCs w:val="24"/>
      <w:lang w:val="en-GB" w:eastAsia="de-DE"/>
    </w:rPr>
  </w:style>
  <w:style w:type="paragraph" w:customStyle="1" w:styleId="Annexetitreacte">
    <w:name w:val="Annexe titre (acte)"/>
    <w:basedOn w:val="Normal"/>
    <w:next w:val="Normal"/>
    <w:pPr>
      <w:spacing w:before="120" w:after="120" w:line="240" w:lineRule="auto"/>
      <w:jc w:val="center"/>
    </w:pPr>
    <w:rPr>
      <w:rFonts w:eastAsia="Times New Roman"/>
      <w:b/>
      <w:sz w:val="24"/>
      <w:szCs w:val="24"/>
      <w:u w:val="single"/>
      <w:lang w:val="en-GB" w:eastAsia="de-DE"/>
    </w:rPr>
  </w:style>
  <w:style w:type="paragraph" w:customStyle="1" w:styleId="Annexetitreexposglobal">
    <w:name w:val="Annexe titre (exposé global)"/>
    <w:basedOn w:val="Normal"/>
    <w:next w:val="Normal"/>
    <w:pPr>
      <w:spacing w:before="120" w:after="120" w:line="240" w:lineRule="auto"/>
      <w:jc w:val="center"/>
    </w:pPr>
    <w:rPr>
      <w:rFonts w:eastAsia="Times New Roman"/>
      <w:b/>
      <w:sz w:val="24"/>
      <w:szCs w:val="24"/>
      <w:u w:val="single"/>
      <w:lang w:val="en-GB" w:eastAsia="de-DE"/>
    </w:rPr>
  </w:style>
  <w:style w:type="paragraph" w:customStyle="1" w:styleId="Annexetitreexpos">
    <w:name w:val="Annexe titre (exposé)"/>
    <w:basedOn w:val="Normal"/>
    <w:next w:val="Normal"/>
    <w:pPr>
      <w:spacing w:before="120" w:after="120" w:line="240" w:lineRule="auto"/>
      <w:jc w:val="center"/>
    </w:pPr>
    <w:rPr>
      <w:rFonts w:eastAsia="Times New Roman"/>
      <w:b/>
      <w:sz w:val="24"/>
      <w:szCs w:val="24"/>
      <w:u w:val="single"/>
      <w:lang w:val="en-GB" w:eastAsia="de-DE"/>
    </w:rPr>
  </w:style>
  <w:style w:type="paragraph" w:customStyle="1" w:styleId="Annexetitrefichefinacte">
    <w:name w:val="Annexe titre (fiche fin. acte)"/>
    <w:basedOn w:val="Normal"/>
    <w:next w:val="Normal"/>
    <w:pPr>
      <w:spacing w:before="120" w:after="120" w:line="240" w:lineRule="auto"/>
      <w:jc w:val="center"/>
    </w:pPr>
    <w:rPr>
      <w:rFonts w:eastAsia="Times New Roman"/>
      <w:b/>
      <w:sz w:val="24"/>
      <w:szCs w:val="24"/>
      <w:u w:val="single"/>
      <w:lang w:val="en-GB" w:eastAsia="de-DE"/>
    </w:rPr>
  </w:style>
  <w:style w:type="paragraph" w:customStyle="1" w:styleId="Annexetitrefichefinglobale">
    <w:name w:val="Annexe titre (fiche fin. globale)"/>
    <w:basedOn w:val="Normal"/>
    <w:next w:val="Normal"/>
    <w:pPr>
      <w:spacing w:before="120" w:after="120" w:line="240" w:lineRule="auto"/>
      <w:jc w:val="center"/>
    </w:pPr>
    <w:rPr>
      <w:rFonts w:eastAsia="Times New Roman"/>
      <w:b/>
      <w:sz w:val="24"/>
      <w:szCs w:val="24"/>
      <w:u w:val="single"/>
      <w:lang w:val="en-GB" w:eastAsia="de-DE"/>
    </w:rPr>
  </w:style>
  <w:style w:type="paragraph" w:customStyle="1" w:styleId="Annexetitreglobale">
    <w:name w:val="Annexe titre (globale)"/>
    <w:basedOn w:val="Normal"/>
    <w:next w:val="Normal"/>
    <w:uiPriority w:val="99"/>
    <w:pPr>
      <w:spacing w:before="120" w:after="120" w:line="240" w:lineRule="auto"/>
      <w:jc w:val="center"/>
    </w:pPr>
    <w:rPr>
      <w:rFonts w:eastAsia="Times New Roman"/>
      <w:b/>
      <w:sz w:val="24"/>
      <w:szCs w:val="24"/>
      <w:u w:val="single"/>
      <w:lang w:val="en-GB" w:eastAsia="de-DE"/>
    </w:rPr>
  </w:style>
  <w:style w:type="paragraph" w:customStyle="1" w:styleId="Applicationdirecte">
    <w:name w:val="Application directe"/>
    <w:basedOn w:val="Normal"/>
    <w:next w:val="Fait"/>
    <w:pPr>
      <w:spacing w:before="480" w:after="120" w:line="240" w:lineRule="auto"/>
      <w:jc w:val="both"/>
    </w:pPr>
    <w:rPr>
      <w:rFonts w:eastAsia="Times New Roman"/>
      <w:sz w:val="24"/>
      <w:szCs w:val="24"/>
      <w:lang w:val="en-GB" w:eastAsia="de-DE"/>
    </w:rPr>
  </w:style>
  <w:style w:type="paragraph" w:customStyle="1" w:styleId="Fait">
    <w:name w:val="Fait à"/>
    <w:basedOn w:val="Normal"/>
    <w:next w:val="Institutionquisigne"/>
    <w:pPr>
      <w:keepNext/>
      <w:spacing w:before="120" w:after="0" w:line="240" w:lineRule="auto"/>
      <w:jc w:val="both"/>
    </w:pPr>
    <w:rPr>
      <w:rFonts w:eastAsia="Times New Roman"/>
      <w:sz w:val="24"/>
      <w:szCs w:val="24"/>
      <w:lang w:val="en-GB" w:eastAsia="de-DE"/>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eastAsia="Times New Roman"/>
      <w:i/>
      <w:sz w:val="24"/>
      <w:szCs w:val="24"/>
      <w:lang w:val="en-GB" w:eastAsia="de-DE"/>
    </w:rPr>
  </w:style>
  <w:style w:type="paragraph" w:customStyle="1" w:styleId="Personnequisigne">
    <w:name w:val="Personne qui signe"/>
    <w:basedOn w:val="Normal"/>
    <w:next w:val="Institutionquisigne"/>
    <w:pPr>
      <w:tabs>
        <w:tab w:val="left" w:pos="4252"/>
      </w:tabs>
      <w:spacing w:after="0" w:line="240" w:lineRule="auto"/>
    </w:pPr>
    <w:rPr>
      <w:rFonts w:eastAsia="Times New Roman"/>
      <w:i/>
      <w:sz w:val="24"/>
      <w:szCs w:val="24"/>
      <w:lang w:val="en-GB" w:eastAsia="de-DE"/>
    </w:rPr>
  </w:style>
  <w:style w:type="paragraph" w:customStyle="1" w:styleId="Avertissementtitre">
    <w:name w:val="Avertissement titre"/>
    <w:basedOn w:val="Normal"/>
    <w:next w:val="Normal"/>
    <w:pPr>
      <w:keepNext/>
      <w:spacing w:before="480" w:after="120" w:line="240" w:lineRule="auto"/>
      <w:jc w:val="both"/>
    </w:pPr>
    <w:rPr>
      <w:rFonts w:eastAsia="Times New Roman"/>
      <w:sz w:val="24"/>
      <w:szCs w:val="24"/>
      <w:u w:val="single"/>
      <w:lang w:val="en-GB" w:eastAsia="de-DE"/>
    </w:rPr>
  </w:style>
  <w:style w:type="paragraph" w:customStyle="1" w:styleId="Confidence">
    <w:name w:val="Confidence"/>
    <w:basedOn w:val="Normal"/>
    <w:next w:val="Normal"/>
    <w:pPr>
      <w:spacing w:before="360" w:after="120" w:line="240" w:lineRule="auto"/>
      <w:jc w:val="center"/>
    </w:pPr>
    <w:rPr>
      <w:rFonts w:eastAsia="Times New Roman"/>
      <w:sz w:val="24"/>
      <w:szCs w:val="24"/>
      <w:lang w:val="en-GB" w:eastAsia="de-DE"/>
    </w:rPr>
  </w:style>
  <w:style w:type="paragraph" w:customStyle="1" w:styleId="Confidentialit">
    <w:name w:val="Confidentialité"/>
    <w:basedOn w:val="Normal"/>
    <w:next w:val="Statut"/>
    <w:pPr>
      <w:spacing w:before="240" w:after="240" w:line="240" w:lineRule="auto"/>
      <w:ind w:left="5103"/>
      <w:jc w:val="both"/>
    </w:pPr>
    <w:rPr>
      <w:rFonts w:eastAsia="Times New Roman"/>
      <w:sz w:val="24"/>
      <w:szCs w:val="24"/>
      <w:u w:val="single"/>
      <w:lang w:val="en-GB" w:eastAsia="de-DE"/>
    </w:rPr>
  </w:style>
  <w:style w:type="paragraph" w:customStyle="1" w:styleId="Statut">
    <w:name w:val="Statut"/>
    <w:basedOn w:val="Normal"/>
    <w:next w:val="Typedudocument"/>
    <w:pPr>
      <w:spacing w:before="360" w:after="0" w:line="240" w:lineRule="auto"/>
      <w:jc w:val="center"/>
    </w:pPr>
    <w:rPr>
      <w:rFonts w:eastAsia="Times New Roman"/>
      <w:sz w:val="24"/>
      <w:szCs w:val="24"/>
      <w:lang w:val="en-GB" w:eastAsia="de-DE"/>
    </w:rPr>
  </w:style>
  <w:style w:type="paragraph" w:customStyle="1" w:styleId="Typedudocument">
    <w:name w:val="Type du document"/>
    <w:basedOn w:val="Normal"/>
    <w:next w:val="Datedadoption"/>
    <w:pPr>
      <w:spacing w:before="360" w:after="0" w:line="240" w:lineRule="auto"/>
      <w:jc w:val="center"/>
    </w:pPr>
    <w:rPr>
      <w:rFonts w:eastAsia="Times New Roman"/>
      <w:b/>
      <w:sz w:val="24"/>
      <w:szCs w:val="24"/>
      <w:lang w:val="en-GB" w:eastAsia="de-DE"/>
    </w:rPr>
  </w:style>
  <w:style w:type="paragraph" w:customStyle="1" w:styleId="Datedadoption">
    <w:name w:val="Date d'adoption"/>
    <w:basedOn w:val="Normal"/>
    <w:next w:val="Titreobjet"/>
    <w:pPr>
      <w:spacing w:before="360" w:after="0" w:line="240" w:lineRule="auto"/>
      <w:jc w:val="center"/>
    </w:pPr>
    <w:rPr>
      <w:rFonts w:eastAsia="Times New Roman"/>
      <w:b/>
      <w:sz w:val="24"/>
      <w:szCs w:val="24"/>
      <w:lang w:val="en-GB" w:eastAsia="de-DE"/>
    </w:rPr>
  </w:style>
  <w:style w:type="paragraph" w:customStyle="1" w:styleId="Titreobjet">
    <w:name w:val="Titre objet"/>
    <w:basedOn w:val="Normal"/>
    <w:next w:val="Normal"/>
    <w:pPr>
      <w:spacing w:before="360" w:after="360" w:line="240" w:lineRule="auto"/>
      <w:jc w:val="center"/>
    </w:pPr>
    <w:rPr>
      <w:rFonts w:eastAsiaTheme="minorHAnsi"/>
      <w:b/>
      <w:sz w:val="24"/>
    </w:rPr>
  </w:style>
  <w:style w:type="paragraph" w:customStyle="1" w:styleId="Sous-titreobjet">
    <w:name w:val="Sous-titre objet"/>
    <w:basedOn w:val="Normal"/>
    <w:uiPriority w:val="99"/>
    <w:pPr>
      <w:spacing w:after="0" w:line="240" w:lineRule="auto"/>
      <w:jc w:val="center"/>
    </w:pPr>
    <w:rPr>
      <w:rFonts w:eastAsia="Times New Roman"/>
      <w:b/>
      <w:sz w:val="24"/>
      <w:szCs w:val="24"/>
      <w:lang w:val="en-GB" w:eastAsia="de-DE"/>
    </w:rPr>
  </w:style>
  <w:style w:type="paragraph" w:customStyle="1" w:styleId="Considrant">
    <w:name w:val="Considérant"/>
    <w:basedOn w:val="Normal"/>
    <w:pPr>
      <w:numPr>
        <w:numId w:val="15"/>
      </w:numPr>
      <w:spacing w:before="120" w:after="120" w:line="240" w:lineRule="auto"/>
      <w:jc w:val="both"/>
    </w:pPr>
    <w:rPr>
      <w:rFonts w:eastAsia="Times New Roman"/>
      <w:sz w:val="24"/>
      <w:szCs w:val="24"/>
      <w:lang w:val="en-GB" w:eastAsia="de-DE"/>
    </w:rPr>
  </w:style>
  <w:style w:type="paragraph" w:customStyle="1" w:styleId="Corrigendum">
    <w:name w:val="Corrigendum"/>
    <w:basedOn w:val="Normal"/>
    <w:next w:val="Normal"/>
    <w:pPr>
      <w:spacing w:after="240" w:line="240" w:lineRule="auto"/>
    </w:pPr>
    <w:rPr>
      <w:rFonts w:eastAsia="Times New Roman"/>
      <w:sz w:val="24"/>
      <w:szCs w:val="24"/>
      <w:lang w:val="en-GB" w:eastAsia="de-DE"/>
    </w:rPr>
  </w:style>
  <w:style w:type="paragraph" w:customStyle="1" w:styleId="Emission">
    <w:name w:val="Emission"/>
    <w:basedOn w:val="Normal"/>
    <w:next w:val="Rfrenceinstitutionelle"/>
    <w:pPr>
      <w:spacing w:after="0" w:line="240" w:lineRule="auto"/>
      <w:ind w:left="5103"/>
    </w:pPr>
    <w:rPr>
      <w:rFonts w:eastAsia="Times New Roman"/>
      <w:sz w:val="24"/>
      <w:szCs w:val="24"/>
      <w:lang w:val="en-GB" w:eastAsia="de-DE"/>
    </w:rPr>
  </w:style>
  <w:style w:type="paragraph" w:customStyle="1" w:styleId="Rfrenceinstitutionelle">
    <w:name w:val="Référence institutionelle"/>
    <w:basedOn w:val="Normal"/>
    <w:next w:val="Statut"/>
    <w:pPr>
      <w:spacing w:after="240" w:line="240" w:lineRule="auto"/>
      <w:ind w:left="5103"/>
    </w:pPr>
    <w:rPr>
      <w:rFonts w:eastAsia="Times New Roman"/>
      <w:sz w:val="24"/>
      <w:szCs w:val="24"/>
      <w:lang w:val="en-GB" w:eastAsia="de-DE"/>
    </w:rPr>
  </w:style>
  <w:style w:type="paragraph" w:customStyle="1" w:styleId="Exposdesmotifstitre">
    <w:name w:val="Exposé des motifs titre"/>
    <w:basedOn w:val="Normal"/>
    <w:next w:val="Normal"/>
    <w:pPr>
      <w:spacing w:before="120" w:after="120" w:line="240" w:lineRule="auto"/>
      <w:jc w:val="center"/>
    </w:pPr>
    <w:rPr>
      <w:rFonts w:eastAsia="Times New Roman"/>
      <w:b/>
      <w:sz w:val="24"/>
      <w:szCs w:val="24"/>
      <w:u w:val="single"/>
      <w:lang w:val="en-GB" w:eastAsia="de-DE"/>
    </w:rPr>
  </w:style>
  <w:style w:type="paragraph" w:customStyle="1" w:styleId="Exposdesmotifstitreglobal">
    <w:name w:val="Exposé des motifs titre (global)"/>
    <w:basedOn w:val="Normal"/>
    <w:next w:val="Normal"/>
    <w:pPr>
      <w:spacing w:before="120" w:after="120" w:line="240" w:lineRule="auto"/>
      <w:jc w:val="center"/>
    </w:pPr>
    <w:rPr>
      <w:rFonts w:eastAsia="Times New Roman"/>
      <w:b/>
      <w:sz w:val="24"/>
      <w:szCs w:val="24"/>
      <w:u w:val="single"/>
      <w:lang w:val="en-GB" w:eastAsia="de-DE"/>
    </w:rPr>
  </w:style>
  <w:style w:type="paragraph" w:customStyle="1" w:styleId="Formuledadoption">
    <w:name w:val="Formule d'adoption"/>
    <w:basedOn w:val="Normal"/>
    <w:next w:val="Titrearticle"/>
    <w:pPr>
      <w:keepNext/>
      <w:spacing w:before="120" w:after="120" w:line="240" w:lineRule="auto"/>
      <w:jc w:val="both"/>
    </w:pPr>
    <w:rPr>
      <w:rFonts w:eastAsia="Times New Roman"/>
      <w:sz w:val="24"/>
      <w:szCs w:val="24"/>
      <w:lang w:val="en-GB" w:eastAsia="de-DE"/>
    </w:rPr>
  </w:style>
  <w:style w:type="paragraph" w:customStyle="1" w:styleId="Titrearticle">
    <w:name w:val="Titre article"/>
    <w:basedOn w:val="Normal"/>
    <w:next w:val="Normal"/>
    <w:pPr>
      <w:keepNext/>
      <w:spacing w:before="360" w:after="120" w:line="240" w:lineRule="auto"/>
      <w:jc w:val="center"/>
    </w:pPr>
    <w:rPr>
      <w:rFonts w:eastAsia="Times New Roman"/>
      <w:i/>
      <w:sz w:val="24"/>
      <w:szCs w:val="24"/>
      <w:lang w:val="en-GB" w:eastAsia="de-DE"/>
    </w:rPr>
  </w:style>
  <w:style w:type="paragraph" w:customStyle="1" w:styleId="Institutionquiagit">
    <w:name w:val="Institution qui agit"/>
    <w:basedOn w:val="Normal"/>
    <w:next w:val="Normal"/>
    <w:pPr>
      <w:keepNext/>
      <w:spacing w:before="600" w:after="120" w:line="240" w:lineRule="auto"/>
      <w:jc w:val="both"/>
    </w:pPr>
    <w:rPr>
      <w:rFonts w:eastAsia="Times New Roman"/>
      <w:sz w:val="24"/>
      <w:szCs w:val="24"/>
      <w:lang w:val="en-GB" w:eastAsia="de-DE"/>
    </w:rPr>
  </w:style>
  <w:style w:type="paragraph" w:customStyle="1" w:styleId="Langue">
    <w:name w:val="Langue"/>
    <w:basedOn w:val="Normal"/>
    <w:next w:val="Rfrenceinterne"/>
    <w:uiPriority w:val="99"/>
    <w:pPr>
      <w:spacing w:after="600" w:line="240" w:lineRule="auto"/>
      <w:jc w:val="center"/>
    </w:pPr>
    <w:rPr>
      <w:rFonts w:eastAsia="Times New Roman"/>
      <w:b/>
      <w:caps/>
      <w:sz w:val="24"/>
      <w:szCs w:val="24"/>
      <w:lang w:val="en-GB" w:eastAsia="de-DE"/>
    </w:rPr>
  </w:style>
  <w:style w:type="paragraph" w:customStyle="1" w:styleId="Rfrenceinterne">
    <w:name w:val="Référence interne"/>
    <w:basedOn w:val="Normal"/>
    <w:next w:val="Nomdelinstitution"/>
    <w:pPr>
      <w:spacing w:after="600" w:line="240" w:lineRule="auto"/>
      <w:jc w:val="center"/>
    </w:pPr>
    <w:rPr>
      <w:rFonts w:eastAsia="Times New Roman"/>
      <w:b/>
      <w:sz w:val="24"/>
      <w:szCs w:val="24"/>
      <w:lang w:val="en-GB" w:eastAsia="de-DE"/>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lang w:val="en-GB" w:eastAsia="de-DE"/>
    </w:rPr>
  </w:style>
  <w:style w:type="paragraph" w:customStyle="1" w:styleId="Langueoriginale">
    <w:name w:val="Langue originale"/>
    <w:basedOn w:val="Normal"/>
    <w:next w:val="Phrasefinale"/>
    <w:pPr>
      <w:spacing w:before="360" w:after="120" w:line="240" w:lineRule="auto"/>
      <w:jc w:val="center"/>
    </w:pPr>
    <w:rPr>
      <w:rFonts w:eastAsia="Times New Roman"/>
      <w:caps/>
      <w:sz w:val="24"/>
      <w:szCs w:val="24"/>
      <w:lang w:val="en-GB" w:eastAsia="de-DE"/>
    </w:rPr>
  </w:style>
  <w:style w:type="paragraph" w:customStyle="1" w:styleId="Phrasefinale">
    <w:name w:val="Phrase finale"/>
    <w:basedOn w:val="Normal"/>
    <w:next w:val="Normal"/>
    <w:pPr>
      <w:spacing w:before="360" w:after="0" w:line="240" w:lineRule="auto"/>
      <w:jc w:val="center"/>
    </w:pPr>
    <w:rPr>
      <w:rFonts w:eastAsia="Times New Roman"/>
      <w:sz w:val="24"/>
      <w:szCs w:val="24"/>
      <w:lang w:val="en-GB" w:eastAsia="de-DE"/>
    </w:rPr>
  </w:style>
  <w:style w:type="paragraph" w:customStyle="1" w:styleId="ManualConsidrant">
    <w:name w:val="Manual Considérant"/>
    <w:basedOn w:val="Normal"/>
    <w:pPr>
      <w:spacing w:before="120" w:after="120" w:line="240" w:lineRule="auto"/>
      <w:ind w:left="709" w:hanging="709"/>
      <w:jc w:val="both"/>
    </w:pPr>
    <w:rPr>
      <w:rFonts w:eastAsia="Times New Roman"/>
      <w:sz w:val="24"/>
      <w:szCs w:val="24"/>
      <w:lang w:val="en-GB" w:eastAsia="de-DE"/>
    </w:rPr>
  </w:style>
  <w:style w:type="paragraph" w:customStyle="1" w:styleId="Prliminairetitre">
    <w:name w:val="Préliminaire titre"/>
    <w:basedOn w:val="Normal"/>
    <w:next w:val="Normal"/>
    <w:pPr>
      <w:spacing w:before="360" w:after="360" w:line="240" w:lineRule="auto"/>
      <w:jc w:val="center"/>
    </w:pPr>
    <w:rPr>
      <w:rFonts w:eastAsia="Times New Roman"/>
      <w:b/>
      <w:sz w:val="24"/>
      <w:szCs w:val="24"/>
      <w:lang w:val="en-GB" w:eastAsia="de-DE"/>
    </w:rPr>
  </w:style>
  <w:style w:type="paragraph" w:customStyle="1" w:styleId="Prliminairetype">
    <w:name w:val="Préliminaire type"/>
    <w:basedOn w:val="Normal"/>
    <w:next w:val="Normal"/>
    <w:pPr>
      <w:spacing w:before="360" w:after="0" w:line="240" w:lineRule="auto"/>
      <w:jc w:val="center"/>
    </w:pPr>
    <w:rPr>
      <w:rFonts w:eastAsia="Times New Roman"/>
      <w:b/>
      <w:sz w:val="24"/>
      <w:szCs w:val="24"/>
      <w:lang w:val="en-GB" w:eastAsia="de-DE"/>
    </w:rPr>
  </w:style>
  <w:style w:type="paragraph" w:customStyle="1" w:styleId="Rfrenceinterinstitutionelle">
    <w:name w:val="Référence interinstitutionelle"/>
    <w:basedOn w:val="Normal"/>
    <w:next w:val="Statut"/>
    <w:pPr>
      <w:spacing w:after="0" w:line="240" w:lineRule="auto"/>
      <w:ind w:left="5103"/>
    </w:pPr>
    <w:rPr>
      <w:rFonts w:eastAsia="Times New Roman"/>
      <w:sz w:val="24"/>
      <w:szCs w:val="24"/>
      <w:lang w:val="en-GB" w:eastAsia="de-DE"/>
    </w:rPr>
  </w:style>
  <w:style w:type="paragraph" w:customStyle="1" w:styleId="Rfrenceinterinstitutionelleprliminaire">
    <w:name w:val="Référence interinstitutionelle (préliminaire)"/>
    <w:basedOn w:val="Normal"/>
    <w:next w:val="Normal"/>
    <w:pPr>
      <w:spacing w:after="0" w:line="240" w:lineRule="auto"/>
      <w:ind w:left="5103"/>
    </w:pPr>
    <w:rPr>
      <w:rFonts w:eastAsia="Times New Roman"/>
      <w:sz w:val="24"/>
      <w:szCs w:val="24"/>
      <w:lang w:val="en-GB" w:eastAsia="de-DE"/>
    </w:rPr>
  </w:style>
  <w:style w:type="paragraph" w:customStyle="1" w:styleId="Sous-titreobjetprliminaire">
    <w:name w:val="Sous-titre objet (préliminaire)"/>
    <w:basedOn w:val="Normal"/>
    <w:pPr>
      <w:spacing w:after="0" w:line="240" w:lineRule="auto"/>
      <w:jc w:val="center"/>
    </w:pPr>
    <w:rPr>
      <w:rFonts w:eastAsia="Times New Roman"/>
      <w:b/>
      <w:sz w:val="24"/>
      <w:szCs w:val="24"/>
      <w:lang w:val="en-GB" w:eastAsia="de-DE"/>
    </w:rPr>
  </w:style>
  <w:style w:type="paragraph" w:customStyle="1" w:styleId="Statutprliminaire">
    <w:name w:val="Statut (préliminaire)"/>
    <w:basedOn w:val="Normal"/>
    <w:next w:val="Normal"/>
    <w:pPr>
      <w:spacing w:before="360" w:after="0" w:line="240" w:lineRule="auto"/>
      <w:jc w:val="center"/>
    </w:pPr>
    <w:rPr>
      <w:rFonts w:eastAsia="Times New Roman"/>
      <w:sz w:val="24"/>
      <w:szCs w:val="24"/>
      <w:lang w:val="en-GB" w:eastAsia="de-DE"/>
    </w:rPr>
  </w:style>
  <w:style w:type="paragraph" w:customStyle="1" w:styleId="Titreobjetprliminaire">
    <w:name w:val="Titre objet (préliminaire)"/>
    <w:basedOn w:val="Normal"/>
    <w:next w:val="Normal"/>
    <w:pPr>
      <w:spacing w:before="360" w:after="360" w:line="240" w:lineRule="auto"/>
      <w:jc w:val="center"/>
    </w:pPr>
    <w:rPr>
      <w:rFonts w:eastAsia="Times New Roman"/>
      <w:b/>
      <w:sz w:val="24"/>
      <w:szCs w:val="24"/>
      <w:lang w:val="en-GB" w:eastAsia="de-DE"/>
    </w:rPr>
  </w:style>
  <w:style w:type="paragraph" w:customStyle="1" w:styleId="Typedudocumentprliminaire">
    <w:name w:val="Type du document (préliminaire)"/>
    <w:basedOn w:val="Normal"/>
    <w:next w:val="Normal"/>
    <w:pPr>
      <w:spacing w:before="360" w:after="0" w:line="240" w:lineRule="auto"/>
      <w:jc w:val="center"/>
    </w:pPr>
    <w:rPr>
      <w:rFonts w:eastAsia="Times New Roman"/>
      <w:b/>
      <w:sz w:val="24"/>
      <w:szCs w:val="24"/>
      <w:lang w:val="en-GB" w:eastAsia="de-DE"/>
    </w:rPr>
  </w:style>
  <w:style w:type="character" w:customStyle="1" w:styleId="Added">
    <w:name w:val="Added"/>
    <w:rPr>
      <w:rFonts w:cs="Times New Roman"/>
      <w:b/>
      <w:u w:val="single"/>
    </w:rPr>
  </w:style>
  <w:style w:type="character" w:customStyle="1" w:styleId="Deleted">
    <w:name w:val="Deleted"/>
    <w:rPr>
      <w:rFonts w:cs="Times New Roman"/>
      <w:strike/>
    </w:rPr>
  </w:style>
  <w:style w:type="paragraph" w:customStyle="1" w:styleId="Address">
    <w:name w:val="Address"/>
    <w:basedOn w:val="Normal"/>
    <w:next w:val="Normal"/>
    <w:pPr>
      <w:keepLines/>
      <w:spacing w:before="120" w:after="120" w:line="360" w:lineRule="auto"/>
      <w:ind w:left="3402"/>
    </w:pPr>
    <w:rPr>
      <w:rFonts w:eastAsia="Times New Roman"/>
      <w:sz w:val="24"/>
      <w:szCs w:val="24"/>
      <w:lang w:val="en-GB" w:eastAsia="de-DE"/>
    </w:rPr>
  </w:style>
  <w:style w:type="paragraph" w:customStyle="1" w:styleId="Fichefinancirestandardtitre">
    <w:name w:val="Fiche financière (standard) titre"/>
    <w:basedOn w:val="Normal"/>
    <w:next w:val="Normal"/>
    <w:pPr>
      <w:spacing w:before="120" w:after="120" w:line="240" w:lineRule="auto"/>
      <w:jc w:val="center"/>
    </w:pPr>
    <w:rPr>
      <w:rFonts w:eastAsia="Times New Roman"/>
      <w:b/>
      <w:sz w:val="24"/>
      <w:szCs w:val="24"/>
      <w:u w:val="single"/>
      <w:lang w:val="en-GB" w:eastAsia="de-DE"/>
    </w:rPr>
  </w:style>
  <w:style w:type="paragraph" w:customStyle="1" w:styleId="Fichefinancirestandardtitreacte">
    <w:name w:val="Fiche financière (standard) titre (acte)"/>
    <w:basedOn w:val="Normal"/>
    <w:next w:val="Normal"/>
    <w:pPr>
      <w:spacing w:before="120" w:after="120" w:line="240" w:lineRule="auto"/>
      <w:jc w:val="center"/>
    </w:pPr>
    <w:rPr>
      <w:rFonts w:eastAsia="Times New Roman"/>
      <w:b/>
      <w:sz w:val="24"/>
      <w:szCs w:val="24"/>
      <w:u w:val="single"/>
      <w:lang w:val="en-GB" w:eastAsia="de-DE"/>
    </w:rPr>
  </w:style>
  <w:style w:type="paragraph" w:customStyle="1" w:styleId="Fichefinanciretravailtitre">
    <w:name w:val="Fiche financière (travail) titre"/>
    <w:basedOn w:val="Normal"/>
    <w:next w:val="Normal"/>
    <w:pPr>
      <w:spacing w:before="120" w:after="120" w:line="240" w:lineRule="auto"/>
      <w:jc w:val="center"/>
    </w:pPr>
    <w:rPr>
      <w:rFonts w:eastAsia="Times New Roman"/>
      <w:b/>
      <w:sz w:val="24"/>
      <w:szCs w:val="24"/>
      <w:u w:val="single"/>
      <w:lang w:val="en-GB" w:eastAsia="de-DE"/>
    </w:rPr>
  </w:style>
  <w:style w:type="paragraph" w:customStyle="1" w:styleId="Fichefinanciretravailtitreacte">
    <w:name w:val="Fiche financière (travail) titre (acte)"/>
    <w:basedOn w:val="Normal"/>
    <w:next w:val="Normal"/>
    <w:pPr>
      <w:spacing w:before="120" w:after="120" w:line="240" w:lineRule="auto"/>
      <w:jc w:val="center"/>
    </w:pPr>
    <w:rPr>
      <w:rFonts w:eastAsia="Times New Roman"/>
      <w:b/>
      <w:sz w:val="24"/>
      <w:szCs w:val="24"/>
      <w:u w:val="single"/>
      <w:lang w:val="en-GB" w:eastAsia="de-DE"/>
    </w:rPr>
  </w:style>
  <w:style w:type="paragraph" w:customStyle="1" w:styleId="Fichefinancireattributiontitre">
    <w:name w:val="Fiche financière (attribution) titre"/>
    <w:basedOn w:val="Normal"/>
    <w:next w:val="Normal"/>
    <w:pPr>
      <w:spacing w:before="120" w:after="120" w:line="240" w:lineRule="auto"/>
      <w:jc w:val="center"/>
    </w:pPr>
    <w:rPr>
      <w:rFonts w:eastAsia="Times New Roman"/>
      <w:b/>
      <w:sz w:val="24"/>
      <w:szCs w:val="24"/>
      <w:u w:val="single"/>
      <w:lang w:val="en-GB" w:eastAsia="de-DE"/>
    </w:rPr>
  </w:style>
  <w:style w:type="paragraph" w:customStyle="1" w:styleId="Fichefinancireattributiontitreacte">
    <w:name w:val="Fiche financière (attribution) titre (acte)"/>
    <w:basedOn w:val="Normal"/>
    <w:next w:val="Normal"/>
    <w:pPr>
      <w:spacing w:before="120" w:after="120" w:line="240" w:lineRule="auto"/>
      <w:jc w:val="center"/>
    </w:pPr>
    <w:rPr>
      <w:rFonts w:eastAsia="Times New Roman"/>
      <w:b/>
      <w:sz w:val="24"/>
      <w:szCs w:val="24"/>
      <w:u w:val="single"/>
      <w:lang w:val="en-GB" w:eastAsia="de-DE"/>
    </w:rPr>
  </w:style>
  <w:style w:type="paragraph" w:customStyle="1" w:styleId="Objetexterne">
    <w:name w:val="Objet externe"/>
    <w:basedOn w:val="Normal"/>
    <w:next w:val="Normal"/>
    <w:pPr>
      <w:spacing w:before="120" w:after="120" w:line="240" w:lineRule="auto"/>
      <w:jc w:val="both"/>
    </w:pPr>
    <w:rPr>
      <w:rFonts w:eastAsia="Times New Roman"/>
      <w:i/>
      <w:caps/>
      <w:sz w:val="24"/>
      <w:szCs w:val="24"/>
      <w:lang w:val="en-GB" w:eastAsia="de-DE"/>
    </w:rPr>
  </w:style>
  <w:style w:type="character" w:styleId="CommentReference">
    <w:name w:val="annotation reference"/>
    <w:semiHidden/>
    <w:rPr>
      <w:rFonts w:cs="Times New Roman"/>
      <w:sz w:val="16"/>
      <w:szCs w:val="16"/>
    </w:rPr>
  </w:style>
  <w:style w:type="table" w:styleId="TableGrid">
    <w:name w:val="Table Grid"/>
    <w:basedOn w:val="TableNormal"/>
    <w:pPr>
      <w:spacing w:after="24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pPr>
      <w:spacing w:before="120" w:after="120" w:line="240" w:lineRule="auto"/>
      <w:jc w:val="both"/>
    </w:pPr>
    <w:rPr>
      <w:rFonts w:eastAsia="Times New Roman"/>
      <w:sz w:val="20"/>
      <w:szCs w:val="20"/>
      <w:lang w:val="en-GB" w:eastAsia="de-DE"/>
    </w:rPr>
  </w:style>
  <w:style w:type="character" w:customStyle="1" w:styleId="CommentTextChar">
    <w:name w:val="Comment Text Char"/>
    <w:link w:val="CommentText"/>
    <w:semiHidden/>
    <w:rPr>
      <w:rFonts w:ascii="Times New Roman" w:eastAsia="Times New Roman" w:hAnsi="Times New Roman" w:cs="Times New Roman"/>
      <w:sz w:val="20"/>
      <w:szCs w:val="20"/>
      <w:lang w:val="en-GB" w:eastAsia="de-DE"/>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rPr>
      <w:rFonts w:ascii="Times New Roman" w:eastAsia="Times New Roman" w:hAnsi="Times New Roman" w:cs="Times New Roman"/>
      <w:b/>
      <w:bCs/>
      <w:sz w:val="20"/>
      <w:szCs w:val="20"/>
      <w:lang w:val="en-GB" w:eastAsia="de-DE"/>
    </w:rPr>
  </w:style>
  <w:style w:type="character" w:styleId="Hyperlink">
    <w:name w:val="Hyperlink"/>
    <w:uiPriority w:val="99"/>
    <w:rPr>
      <w:rFonts w:cs="Times New Roman"/>
      <w:color w:val="0000FF"/>
      <w:u w:val="single"/>
    </w:rPr>
  </w:style>
  <w:style w:type="paragraph" w:styleId="NormalWeb">
    <w:name w:val="Normal (Web)"/>
    <w:basedOn w:val="Normal"/>
    <w:pPr>
      <w:spacing w:before="100" w:beforeAutospacing="1" w:after="100" w:afterAutospacing="1" w:line="240" w:lineRule="auto"/>
    </w:pPr>
    <w:rPr>
      <w:rFonts w:eastAsia="Times New Roman"/>
      <w:sz w:val="24"/>
      <w:szCs w:val="24"/>
      <w:lang w:val="en-GB" w:eastAsia="en-GB"/>
    </w:rPr>
  </w:style>
  <w:style w:type="character" w:customStyle="1" w:styleId="italic1">
    <w:name w:val="italic1"/>
    <w:rPr>
      <w:rFonts w:cs="Times New Roman"/>
      <w:i/>
      <w:iCs/>
    </w:rPr>
  </w:style>
  <w:style w:type="character" w:customStyle="1" w:styleId="default--char">
    <w:name w:val="default--char"/>
    <w:rPr>
      <w:rFonts w:cs="Times New Roman"/>
    </w:rPr>
  </w:style>
  <w:style w:type="paragraph" w:customStyle="1" w:styleId="xl26">
    <w:name w:val="xl26"/>
    <w:basedOn w:val="Normal"/>
    <w:pPr>
      <w:spacing w:before="100" w:beforeAutospacing="1" w:after="100" w:afterAutospacing="1" w:line="240" w:lineRule="auto"/>
      <w:textAlignment w:val="center"/>
    </w:pPr>
    <w:rPr>
      <w:rFonts w:eastAsia="Times New Roman"/>
      <w:sz w:val="24"/>
      <w:szCs w:val="24"/>
      <w:lang w:val="en-GB" w:eastAsia="en-GB"/>
    </w:rPr>
  </w:style>
  <w:style w:type="character" w:styleId="FollowedHyperlink">
    <w:name w:val="FollowedHyperlink"/>
    <w:uiPriority w:val="99"/>
    <w:rPr>
      <w:rFonts w:cs="Times New Roman"/>
      <w:color w:val="800080"/>
      <w:u w:val="single"/>
    </w:rPr>
  </w:style>
  <w:style w:type="paragraph" w:customStyle="1" w:styleId="Revenue">
    <w:name w:val="Revenue"/>
    <w:basedOn w:val="Normal"/>
    <w:next w:val="Normal"/>
    <w:pPr>
      <w:keepNext/>
      <w:spacing w:before="480" w:after="120" w:line="240" w:lineRule="auto"/>
    </w:pPr>
    <w:rPr>
      <w:rFonts w:eastAsia="Times New Roman"/>
      <w:b/>
      <w:bCs/>
      <w:smallCaps/>
      <w:sz w:val="36"/>
      <w:szCs w:val="36"/>
      <w:lang w:val="en-GB" w:eastAsia="en-GB"/>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val="en-GB" w:eastAsia="en-GB"/>
    </w:rPr>
  </w:style>
  <w:style w:type="paragraph" w:customStyle="1" w:styleId="ReusedInfo">
    <w:name w:val="ReusedInfo"/>
    <w:basedOn w:val="Normal"/>
    <w:next w:val="Normal"/>
    <w:uiPriority w:val="99"/>
    <w:pPr>
      <w:shd w:val="clear" w:color="auto" w:fill="C0C0C0"/>
      <w:spacing w:before="60" w:after="60" w:line="240" w:lineRule="auto"/>
    </w:pPr>
    <w:rPr>
      <w:rFonts w:eastAsia="Times New Roman"/>
      <w:sz w:val="20"/>
      <w:szCs w:val="20"/>
      <w:lang w:val="en-GB" w:eastAsia="en-GB"/>
    </w:rPr>
  </w:style>
  <w:style w:type="paragraph" w:customStyle="1" w:styleId="literallayout">
    <w:name w:val="literallayout"/>
    <w:basedOn w:val="Normal"/>
    <w:next w:val="Normal"/>
    <w:uiPriority w:val="99"/>
    <w:pPr>
      <w:spacing w:after="0" w:line="240" w:lineRule="auto"/>
    </w:pPr>
    <w:rPr>
      <w:rFonts w:ascii="Courier New" w:eastAsia="Times New Roman" w:hAnsi="Courier New" w:cs="Courier New"/>
      <w:sz w:val="18"/>
      <w:szCs w:val="18"/>
      <w:lang w:val="en-GB" w:eastAsia="en-GB"/>
    </w:rPr>
  </w:style>
  <w:style w:type="paragraph" w:customStyle="1" w:styleId="copytitle">
    <w:name w:val="copytitle"/>
    <w:basedOn w:val="Normal"/>
    <w:next w:val="Normal"/>
    <w:uiPriority w:val="99"/>
    <w:pPr>
      <w:spacing w:before="360" w:after="360" w:line="240" w:lineRule="auto"/>
      <w:jc w:val="center"/>
    </w:pPr>
    <w:rPr>
      <w:rFonts w:eastAsia="Times New Roman"/>
      <w:b/>
      <w:bCs/>
      <w:sz w:val="32"/>
      <w:szCs w:val="32"/>
      <w:lang w:val="en-GB" w:eastAsia="en-GB"/>
    </w:rPr>
  </w:style>
  <w:style w:type="character" w:customStyle="1" w:styleId="literal">
    <w:name w:val="literal"/>
    <w:uiPriority w:val="99"/>
    <w:rPr>
      <w:rFonts w:ascii="Courier New" w:hAnsi="Courier New" w:cs="Courier New"/>
      <w:sz w:val="18"/>
      <w:szCs w:val="18"/>
    </w:rPr>
  </w:style>
  <w:style w:type="character" w:customStyle="1" w:styleId="tw4winExternal">
    <w:name w:val="tw4winExternal"/>
    <w:uiPriority w:val="99"/>
  </w:style>
  <w:style w:type="character" w:customStyle="1" w:styleId="Placeholder">
    <w:name w:val="Placeholder"/>
    <w:uiPriority w:val="99"/>
    <w:rPr>
      <w:color w:val="008000"/>
    </w:rPr>
  </w:style>
  <w:style w:type="paragraph" w:customStyle="1" w:styleId="font5">
    <w:name w:val="font5"/>
    <w:basedOn w:val="Normal"/>
    <w:pPr>
      <w:spacing w:before="100" w:beforeAutospacing="1" w:after="100" w:afterAutospacing="1" w:line="240" w:lineRule="auto"/>
    </w:pPr>
    <w:rPr>
      <w:rFonts w:eastAsia="Times New Roman"/>
      <w:sz w:val="16"/>
      <w:szCs w:val="16"/>
      <w:lang w:val="en-GB" w:eastAsia="en-GB"/>
    </w:rPr>
  </w:style>
  <w:style w:type="paragraph" w:customStyle="1" w:styleId="xl260">
    <w:name w:val="xl260"/>
    <w:basedOn w:val="Normal"/>
    <w:pPr>
      <w:spacing w:before="100" w:beforeAutospacing="1" w:after="100" w:afterAutospacing="1" w:line="240" w:lineRule="auto"/>
    </w:pPr>
    <w:rPr>
      <w:rFonts w:eastAsia="Times New Roman"/>
      <w:color w:val="000000"/>
      <w:sz w:val="24"/>
      <w:szCs w:val="24"/>
      <w:lang w:val="en-GB" w:eastAsia="en-GB"/>
    </w:rPr>
  </w:style>
  <w:style w:type="paragraph" w:customStyle="1" w:styleId="xl261">
    <w:name w:val="xl261"/>
    <w:basedOn w:val="Normal"/>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262">
    <w:name w:val="xl262"/>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263">
    <w:name w:val="xl263"/>
    <w:basedOn w:val="Normal"/>
    <w:pPr>
      <w:pBdr>
        <w:top w:val="dotted"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264">
    <w:name w:val="xl264"/>
    <w:basedOn w:val="Normal"/>
    <w:pPr>
      <w:pBdr>
        <w:top w:val="dotted"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265">
    <w:name w:val="xl265"/>
    <w:basedOn w:val="Normal"/>
    <w:pPr>
      <w:pBdr>
        <w:top w:val="single" w:sz="4" w:space="0" w:color="000000"/>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266">
    <w:name w:val="xl266"/>
    <w:basedOn w:val="Normal"/>
    <w:pPr>
      <w:pBdr>
        <w:top w:val="dotted"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267">
    <w:name w:val="xl267"/>
    <w:basedOn w:val="Normal"/>
    <w:pPr>
      <w:pBdr>
        <w:bottom w:val="dotted" w:sz="4" w:space="0" w:color="000000"/>
        <w:right w:val="single" w:sz="4" w:space="0" w:color="000000"/>
      </w:pBdr>
      <w:spacing w:before="100" w:beforeAutospacing="1" w:after="100" w:afterAutospacing="1" w:line="240" w:lineRule="auto"/>
      <w:jc w:val="right"/>
      <w:textAlignment w:val="top"/>
    </w:pPr>
    <w:rPr>
      <w:rFonts w:eastAsia="Times New Roman"/>
      <w:b/>
      <w:bCs/>
      <w:i/>
      <w:iCs/>
      <w:sz w:val="16"/>
      <w:szCs w:val="16"/>
      <w:lang w:val="en-GB" w:eastAsia="en-GB"/>
    </w:rPr>
  </w:style>
  <w:style w:type="paragraph" w:customStyle="1" w:styleId="xl268">
    <w:name w:val="xl268"/>
    <w:basedOn w:val="Normal"/>
    <w:pPr>
      <w:pBdr>
        <w:bottom w:val="dotted" w:sz="4" w:space="0" w:color="000000"/>
        <w:right w:val="single" w:sz="4" w:space="0" w:color="000000"/>
      </w:pBdr>
      <w:spacing w:before="100" w:beforeAutospacing="1" w:after="100" w:afterAutospacing="1" w:line="240" w:lineRule="auto"/>
      <w:jc w:val="right"/>
      <w:textAlignment w:val="top"/>
    </w:pPr>
    <w:rPr>
      <w:rFonts w:eastAsia="Times New Roman"/>
      <w:i/>
      <w:iCs/>
      <w:sz w:val="16"/>
      <w:szCs w:val="16"/>
      <w:lang w:val="en-GB" w:eastAsia="en-GB"/>
    </w:rPr>
  </w:style>
  <w:style w:type="paragraph" w:customStyle="1" w:styleId="xl269">
    <w:name w:val="xl269"/>
    <w:basedOn w:val="Normal"/>
    <w:pPr>
      <w:pBdr>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270">
    <w:name w:val="xl270"/>
    <w:basedOn w:val="Normal"/>
    <w:pPr>
      <w:pBdr>
        <w:top w:val="single" w:sz="4" w:space="0" w:color="000000"/>
        <w:bottom w:val="dotted" w:sz="4" w:space="0" w:color="000000"/>
        <w:right w:val="single" w:sz="4" w:space="0" w:color="000000"/>
      </w:pBdr>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271">
    <w:name w:val="xl271"/>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272">
    <w:name w:val="xl272"/>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eastAsia="Times New Roman"/>
      <w:b/>
      <w:bCs/>
      <w:i/>
      <w:iCs/>
      <w:sz w:val="16"/>
      <w:szCs w:val="16"/>
      <w:lang w:val="en-GB" w:eastAsia="en-GB"/>
    </w:rPr>
  </w:style>
  <w:style w:type="paragraph" w:customStyle="1" w:styleId="xl273">
    <w:name w:val="xl273"/>
    <w:basedOn w:val="Normal"/>
    <w:pPr>
      <w:pBdr>
        <w:bottom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274">
    <w:name w:val="xl274"/>
    <w:basedOn w:val="Normal"/>
    <w:pPr>
      <w:pBdr>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275">
    <w:name w:val="xl275"/>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276">
    <w:name w:val="xl276"/>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277">
    <w:name w:val="xl277"/>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eastAsia="Times New Roman"/>
      <w:i/>
      <w:iCs/>
      <w:sz w:val="16"/>
      <w:szCs w:val="16"/>
      <w:lang w:val="en-GB" w:eastAsia="en-GB"/>
    </w:rPr>
  </w:style>
  <w:style w:type="paragraph" w:customStyle="1" w:styleId="xl278">
    <w:name w:val="xl278"/>
    <w:basedOn w:val="Normal"/>
    <w:pPr>
      <w:pBdr>
        <w:bottom w:val="dotted" w:sz="4" w:space="0" w:color="000000"/>
        <w:right w:val="single" w:sz="4" w:space="0" w:color="auto"/>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279">
    <w:name w:val="xl279"/>
    <w:basedOn w:val="Normal"/>
    <w:pPr>
      <w:pBdr>
        <w:top w:val="dotted" w:sz="4" w:space="0" w:color="000000"/>
        <w:left w:val="single" w:sz="4" w:space="0" w:color="auto"/>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280">
    <w:name w:val="xl280"/>
    <w:basedOn w:val="Normal"/>
    <w:pPr>
      <w:pBdr>
        <w:top w:val="dotted" w:sz="4" w:space="0" w:color="000000"/>
        <w:bottom w:val="single" w:sz="4" w:space="0" w:color="000000"/>
        <w:right w:val="single" w:sz="4" w:space="0" w:color="auto"/>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281">
    <w:name w:val="xl281"/>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282">
    <w:name w:val="xl282"/>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283">
    <w:name w:val="xl283"/>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284">
    <w:name w:val="xl284"/>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285">
    <w:name w:val="xl285"/>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286">
    <w:name w:val="xl286"/>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287">
    <w:name w:val="xl287"/>
    <w:basedOn w:val="Normal"/>
    <w:pPr>
      <w:pBdr>
        <w:top w:val="dotted" w:sz="4" w:space="0" w:color="000000"/>
        <w:left w:val="single" w:sz="4" w:space="0" w:color="auto"/>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288">
    <w:name w:val="xl288"/>
    <w:basedOn w:val="Normal"/>
    <w:pPr>
      <w:pBdr>
        <w:top w:val="dotted" w:sz="4" w:space="0" w:color="000000"/>
        <w:bottom w:val="single"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289">
    <w:name w:val="xl289"/>
    <w:basedOn w:val="Normal"/>
    <w:pPr>
      <w:pBdr>
        <w:right w:val="single" w:sz="4" w:space="0" w:color="auto"/>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290">
    <w:name w:val="xl290"/>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291">
    <w:name w:val="xl291"/>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292">
    <w:name w:val="xl292"/>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293">
    <w:name w:val="xl293"/>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294">
    <w:name w:val="xl294"/>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i/>
      <w:iCs/>
      <w:sz w:val="16"/>
      <w:szCs w:val="16"/>
      <w:lang w:val="en-GB" w:eastAsia="en-GB"/>
    </w:rPr>
  </w:style>
  <w:style w:type="paragraph" w:customStyle="1" w:styleId="xl295">
    <w:name w:val="xl295"/>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296">
    <w:name w:val="xl296"/>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297">
    <w:name w:val="xl297"/>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298">
    <w:name w:val="xl298"/>
    <w:basedOn w:val="Normal"/>
    <w:pPr>
      <w:pBdr>
        <w:left w:val="single" w:sz="4" w:space="0" w:color="auto"/>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299">
    <w:name w:val="xl299"/>
    <w:basedOn w:val="Normal"/>
    <w:pPr>
      <w:pBdr>
        <w:left w:val="single"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00">
    <w:name w:val="xl300"/>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01">
    <w:name w:val="xl301"/>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02">
    <w:name w:val="xl302"/>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03">
    <w:name w:val="xl303"/>
    <w:basedOn w:val="Normal"/>
    <w:pPr>
      <w:pBdr>
        <w:bottom w:val="dotted" w:sz="4" w:space="0" w:color="000000"/>
        <w:right w:val="single" w:sz="4" w:space="0" w:color="auto"/>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04">
    <w:name w:val="xl304"/>
    <w:basedOn w:val="Normal"/>
    <w:pPr>
      <w:pBdr>
        <w:top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05">
    <w:name w:val="xl305"/>
    <w:basedOn w:val="Normal"/>
    <w:pPr>
      <w:pBdr>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06">
    <w:name w:val="xl306"/>
    <w:basedOn w:val="Normal"/>
    <w:pPr>
      <w:pBdr>
        <w:top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307">
    <w:name w:val="xl307"/>
    <w:basedOn w:val="Normal"/>
    <w:pPr>
      <w:pBdr>
        <w:top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08">
    <w:name w:val="xl308"/>
    <w:basedOn w:val="Normal"/>
    <w:pPr>
      <w:pBdr>
        <w:top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09">
    <w:name w:val="xl309"/>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10">
    <w:name w:val="xl310"/>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11">
    <w:name w:val="xl311"/>
    <w:basedOn w:val="Normal"/>
    <w:pPr>
      <w:pBdr>
        <w:left w:val="single" w:sz="4" w:space="0" w:color="auto"/>
        <w:bottom w:val="dotted" w:sz="4" w:space="0" w:color="auto"/>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12">
    <w:name w:val="xl312"/>
    <w:basedOn w:val="Normal"/>
    <w:pPr>
      <w:pBdr>
        <w:left w:val="single" w:sz="4" w:space="0" w:color="000000"/>
        <w:bottom w:val="dotted" w:sz="4" w:space="0" w:color="auto"/>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13">
    <w:name w:val="xl313"/>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14">
    <w:name w:val="xl314"/>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15">
    <w:name w:val="xl315"/>
    <w:basedOn w:val="Normal"/>
    <w:pPr>
      <w:pBdr>
        <w:top w:val="dotted"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16">
    <w:name w:val="xl316"/>
    <w:basedOn w:val="Normal"/>
    <w:pPr>
      <w:pBdr>
        <w:top w:val="dotted"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17">
    <w:name w:val="xl317"/>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18">
    <w:name w:val="xl318"/>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19">
    <w:name w:val="xl319"/>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20">
    <w:name w:val="xl320"/>
    <w:basedOn w:val="Normal"/>
    <w:pPr>
      <w:pBdr>
        <w:top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21">
    <w:name w:val="xl321"/>
    <w:basedOn w:val="Normal"/>
    <w:pPr>
      <w:pBdr>
        <w:top w:val="single"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22">
    <w:name w:val="xl322"/>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23">
    <w:name w:val="xl323"/>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eastAsia="Times New Roman"/>
      <w:b/>
      <w:bCs/>
      <w:i/>
      <w:iCs/>
      <w:sz w:val="16"/>
      <w:szCs w:val="16"/>
      <w:lang w:val="en-GB" w:eastAsia="en-GB"/>
    </w:rPr>
  </w:style>
  <w:style w:type="paragraph" w:customStyle="1" w:styleId="xl324">
    <w:name w:val="xl324"/>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i/>
      <w:iCs/>
      <w:sz w:val="16"/>
      <w:szCs w:val="16"/>
      <w:lang w:val="en-GB" w:eastAsia="en-GB"/>
    </w:rPr>
  </w:style>
  <w:style w:type="paragraph" w:customStyle="1" w:styleId="xl325">
    <w:name w:val="xl325"/>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26">
    <w:name w:val="xl326"/>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27">
    <w:name w:val="xl327"/>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328">
    <w:name w:val="xl328"/>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329">
    <w:name w:val="xl329"/>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330">
    <w:name w:val="xl330"/>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331">
    <w:name w:val="xl331"/>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32">
    <w:name w:val="xl332"/>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33">
    <w:name w:val="xl333"/>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34">
    <w:name w:val="xl334"/>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35">
    <w:name w:val="xl335"/>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36">
    <w:name w:val="xl336"/>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37">
    <w:name w:val="xl337"/>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338">
    <w:name w:val="xl338"/>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339">
    <w:name w:val="xl339"/>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eastAsia="Times New Roman"/>
      <w:i/>
      <w:iCs/>
      <w:sz w:val="16"/>
      <w:szCs w:val="16"/>
      <w:lang w:val="en-GB" w:eastAsia="en-GB"/>
    </w:rPr>
  </w:style>
  <w:style w:type="paragraph" w:customStyle="1" w:styleId="xl340">
    <w:name w:val="xl340"/>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i/>
      <w:iCs/>
      <w:sz w:val="16"/>
      <w:szCs w:val="16"/>
      <w:lang w:val="en-GB" w:eastAsia="en-GB"/>
    </w:rPr>
  </w:style>
  <w:style w:type="paragraph" w:customStyle="1" w:styleId="xl341">
    <w:name w:val="xl341"/>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342">
    <w:name w:val="xl342"/>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343">
    <w:name w:val="xl343"/>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44">
    <w:name w:val="xl344"/>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45">
    <w:name w:val="xl345"/>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46">
    <w:name w:val="xl346"/>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47">
    <w:name w:val="xl347"/>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48">
    <w:name w:val="xl348"/>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49">
    <w:name w:val="xl349"/>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50">
    <w:name w:val="xl350"/>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51">
    <w:name w:val="xl351"/>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52">
    <w:name w:val="xl352"/>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i/>
      <w:iCs/>
      <w:sz w:val="16"/>
      <w:szCs w:val="16"/>
      <w:lang w:val="en-GB" w:eastAsia="en-GB"/>
    </w:rPr>
  </w:style>
  <w:style w:type="paragraph" w:customStyle="1" w:styleId="xl353">
    <w:name w:val="xl353"/>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354">
    <w:name w:val="xl354"/>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355">
    <w:name w:val="xl355"/>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356">
    <w:name w:val="xl356"/>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357">
    <w:name w:val="xl357"/>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358">
    <w:name w:val="xl358"/>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59">
    <w:name w:val="xl359"/>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60">
    <w:name w:val="xl360"/>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61">
    <w:name w:val="xl361"/>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62">
    <w:name w:val="xl362"/>
    <w:basedOn w:val="Normal"/>
    <w:pPr>
      <w:pBdr>
        <w:top w:val="dotted" w:sz="4" w:space="0" w:color="000000"/>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63">
    <w:name w:val="xl363"/>
    <w:basedOn w:val="Normal"/>
    <w:pPr>
      <w:pBdr>
        <w:top w:val="dotted" w:sz="4" w:space="0" w:color="000000"/>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64">
    <w:name w:val="xl364"/>
    <w:basedOn w:val="Normal"/>
    <w:pPr>
      <w:pBdr>
        <w:top w:val="dotted"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65">
    <w:name w:val="xl365"/>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66">
    <w:name w:val="xl366"/>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67">
    <w:name w:val="xl367"/>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68">
    <w:name w:val="xl368"/>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69">
    <w:name w:val="xl369"/>
    <w:basedOn w:val="Normal"/>
    <w:pPr>
      <w:pBdr>
        <w:top w:val="dotted" w:sz="4" w:space="0" w:color="000000"/>
        <w:left w:val="single" w:sz="4" w:space="0" w:color="auto"/>
        <w:right w:val="single" w:sz="4" w:space="0" w:color="000000"/>
      </w:pBdr>
      <w:shd w:val="clear" w:color="000000" w:fill="FFFFFF"/>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70">
    <w:name w:val="xl370"/>
    <w:basedOn w:val="Normal"/>
    <w:pPr>
      <w:pBdr>
        <w:top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71">
    <w:name w:val="xl371"/>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72">
    <w:name w:val="xl372"/>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73">
    <w:name w:val="xl373"/>
    <w:basedOn w:val="Normal"/>
    <w:pPr>
      <w:pBdr>
        <w:top w:val="single" w:sz="4" w:space="0" w:color="auto"/>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74">
    <w:name w:val="xl374"/>
    <w:basedOn w:val="Normal"/>
    <w:pPr>
      <w:pBdr>
        <w:top w:val="single" w:sz="4" w:space="0" w:color="auto"/>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75">
    <w:name w:val="xl375"/>
    <w:basedOn w:val="Normal"/>
    <w:pPr>
      <w:pBdr>
        <w:top w:val="single" w:sz="4" w:space="0" w:color="auto"/>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76">
    <w:name w:val="xl376"/>
    <w:basedOn w:val="Normal"/>
    <w:pPr>
      <w:pBdr>
        <w:top w:val="single" w:sz="4" w:space="0" w:color="auto"/>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77">
    <w:name w:val="xl377"/>
    <w:basedOn w:val="Normal"/>
    <w:pPr>
      <w:pBdr>
        <w:top w:val="single" w:sz="4" w:space="0" w:color="auto"/>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78">
    <w:name w:val="xl378"/>
    <w:basedOn w:val="Normal"/>
    <w:pPr>
      <w:pBdr>
        <w:top w:val="single" w:sz="4" w:space="0" w:color="auto"/>
        <w:left w:val="single" w:sz="4" w:space="0" w:color="auto"/>
        <w:right w:val="single" w:sz="4" w:space="0" w:color="000000"/>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79">
    <w:name w:val="xl379"/>
    <w:basedOn w:val="Normal"/>
    <w:pPr>
      <w:pBdr>
        <w:top w:val="single" w:sz="4" w:space="0" w:color="auto"/>
        <w:left w:val="single" w:sz="4" w:space="0" w:color="000000"/>
        <w:right w:val="single" w:sz="4" w:space="0" w:color="auto"/>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80">
    <w:name w:val="xl380"/>
    <w:basedOn w:val="Normal"/>
    <w:pPr>
      <w:pBdr>
        <w:top w:val="single" w:sz="4" w:space="0" w:color="auto"/>
        <w:right w:val="single" w:sz="4" w:space="0" w:color="auto"/>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81">
    <w:name w:val="xl381"/>
    <w:basedOn w:val="Normal"/>
    <w:pPr>
      <w:pBdr>
        <w:top w:val="single" w:sz="4" w:space="0" w:color="auto"/>
        <w:left w:val="single" w:sz="4" w:space="0" w:color="auto"/>
        <w:right w:val="single" w:sz="4" w:space="0" w:color="000000"/>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82">
    <w:name w:val="xl382"/>
    <w:basedOn w:val="Normal"/>
    <w:pPr>
      <w:pBdr>
        <w:top w:val="single" w:sz="4" w:space="0" w:color="auto"/>
        <w:left w:val="single" w:sz="4" w:space="0" w:color="000000"/>
        <w:right w:val="single" w:sz="4" w:space="0" w:color="auto"/>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83">
    <w:name w:val="xl383"/>
    <w:basedOn w:val="Normal"/>
    <w:pPr>
      <w:pBdr>
        <w:top w:val="single" w:sz="4" w:space="0" w:color="auto"/>
        <w:bottom w:val="dotted" w:sz="4" w:space="0" w:color="000000"/>
        <w:right w:val="single" w:sz="4" w:space="0" w:color="000000"/>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84">
    <w:name w:val="xl384"/>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385">
    <w:name w:val="xl385"/>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386">
    <w:name w:val="xl386"/>
    <w:basedOn w:val="Normal"/>
    <w:pPr>
      <w:pBdr>
        <w:top w:val="dotted"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387">
    <w:name w:val="xl387"/>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388">
    <w:name w:val="xl388"/>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389">
    <w:name w:val="xl389"/>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390">
    <w:name w:val="xl390"/>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391">
    <w:name w:val="xl391"/>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392">
    <w:name w:val="xl392"/>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393">
    <w:name w:val="xl393"/>
    <w:basedOn w:val="Normal"/>
    <w:pPr>
      <w:pBdr>
        <w:top w:val="dotted"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394">
    <w:name w:val="xl394"/>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395">
    <w:name w:val="xl395"/>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396">
    <w:name w:val="xl396"/>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397">
    <w:name w:val="xl397"/>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398">
    <w:name w:val="xl398"/>
    <w:basedOn w:val="Normal"/>
    <w:pPr>
      <w:pBdr>
        <w:top w:val="single" w:sz="4" w:space="0" w:color="auto"/>
        <w:left w:val="single" w:sz="4" w:space="0" w:color="auto"/>
        <w:bottom w:val="dotted" w:sz="4" w:space="0" w:color="000000"/>
      </w:pBdr>
      <w:spacing w:before="100" w:beforeAutospacing="1" w:after="100" w:afterAutospacing="1" w:line="240" w:lineRule="auto"/>
      <w:textAlignment w:val="center"/>
    </w:pPr>
    <w:rPr>
      <w:rFonts w:eastAsia="Times New Roman"/>
      <w:sz w:val="16"/>
      <w:szCs w:val="16"/>
      <w:lang w:val="en-GB" w:eastAsia="en-GB"/>
    </w:rPr>
  </w:style>
  <w:style w:type="paragraph" w:customStyle="1" w:styleId="xl399">
    <w:name w:val="xl399"/>
    <w:basedOn w:val="Normal"/>
    <w:pPr>
      <w:pBdr>
        <w:left w:val="single" w:sz="4" w:space="0" w:color="auto"/>
        <w:bottom w:val="dotted" w:sz="4" w:space="0" w:color="000000"/>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400">
    <w:name w:val="xl400"/>
    <w:basedOn w:val="Normal"/>
    <w:pPr>
      <w:pBdr>
        <w:top w:val="dotted" w:sz="4" w:space="0" w:color="000000"/>
        <w:left w:val="single" w:sz="4" w:space="0" w:color="auto"/>
        <w:bottom w:val="dotted" w:sz="4" w:space="0" w:color="000000"/>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401">
    <w:name w:val="xl401"/>
    <w:basedOn w:val="Normal"/>
    <w:pPr>
      <w:pBdr>
        <w:top w:val="dotted" w:sz="4" w:space="0" w:color="000000"/>
        <w:left w:val="single" w:sz="4" w:space="0" w:color="auto"/>
        <w:bottom w:val="single" w:sz="4" w:space="0" w:color="auto"/>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402">
    <w:name w:val="xl402"/>
    <w:basedOn w:val="Normal"/>
    <w:pPr>
      <w:pBdr>
        <w:top w:val="single" w:sz="4" w:space="0" w:color="auto"/>
        <w:left w:val="single" w:sz="4" w:space="0" w:color="auto"/>
        <w:bottom w:val="dotted" w:sz="4" w:space="0" w:color="000000"/>
      </w:pBdr>
      <w:spacing w:before="100" w:beforeAutospacing="1" w:after="100" w:afterAutospacing="1" w:line="240" w:lineRule="auto"/>
      <w:textAlignment w:val="center"/>
    </w:pPr>
    <w:rPr>
      <w:rFonts w:eastAsia="Times New Roman"/>
      <w:b/>
      <w:bCs/>
      <w:sz w:val="16"/>
      <w:szCs w:val="16"/>
      <w:lang w:val="en-GB" w:eastAsia="en-GB"/>
    </w:rPr>
  </w:style>
  <w:style w:type="paragraph" w:customStyle="1" w:styleId="xl403">
    <w:name w:val="xl403"/>
    <w:basedOn w:val="Normal"/>
    <w:pPr>
      <w:pBdr>
        <w:top w:val="dotted" w:sz="4" w:space="0" w:color="000000"/>
        <w:bottom w:val="dotted" w:sz="4" w:space="0" w:color="000000"/>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04">
    <w:name w:val="xl404"/>
    <w:basedOn w:val="Normal"/>
    <w:pPr>
      <w:pBdr>
        <w:top w:val="dotted" w:sz="4" w:space="0" w:color="000000"/>
        <w:bottom w:val="dotted" w:sz="4" w:space="0" w:color="000000"/>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405">
    <w:name w:val="xl405"/>
    <w:basedOn w:val="Normal"/>
    <w:pPr>
      <w:pBdr>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406">
    <w:name w:val="xl406"/>
    <w:basedOn w:val="Normal"/>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407">
    <w:name w:val="xl407"/>
    <w:basedOn w:val="Normal"/>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408">
    <w:name w:val="xl408"/>
    <w:basedOn w:val="Normal"/>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409">
    <w:name w:val="xl409"/>
    <w:basedOn w:val="Normal"/>
    <w:pPr>
      <w:pBdr>
        <w:top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410">
    <w:name w:val="xl410"/>
    <w:basedOn w:val="Normal"/>
    <w:pPr>
      <w:pBdr>
        <w:right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411">
    <w:name w:val="xl411"/>
    <w:basedOn w:val="Normal"/>
    <w:pPr>
      <w:pBdr>
        <w:top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412">
    <w:name w:val="xl412"/>
    <w:basedOn w:val="Normal"/>
    <w:pPr>
      <w:pBdr>
        <w:bottom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413">
    <w:name w:val="xl413"/>
    <w:basedOn w:val="Normal"/>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414">
    <w:name w:val="xl414"/>
    <w:basedOn w:val="Normal"/>
    <w:pPr>
      <w:pBdr>
        <w:top w:val="dotted" w:sz="4" w:space="0" w:color="000000"/>
        <w:left w:val="single" w:sz="4" w:space="0" w:color="auto"/>
        <w:bottom w:val="dotted" w:sz="4" w:space="0" w:color="000000"/>
      </w:pBdr>
      <w:shd w:val="clear" w:color="000000" w:fill="D9D9D9"/>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15">
    <w:name w:val="xl415"/>
    <w:basedOn w:val="Normal"/>
    <w:pPr>
      <w:pBdr>
        <w:top w:val="dotted" w:sz="4" w:space="0" w:color="000000"/>
        <w:bottom w:val="dotted" w:sz="4" w:space="0" w:color="000000"/>
      </w:pBdr>
      <w:shd w:val="clear" w:color="000000" w:fill="D9D9D9"/>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16">
    <w:name w:val="xl416"/>
    <w:basedOn w:val="Normal"/>
    <w:pPr>
      <w:pBdr>
        <w:top w:val="dotted"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17">
    <w:name w:val="xl417"/>
    <w:basedOn w:val="Normal"/>
    <w:pPr>
      <w:pBdr>
        <w:top w:val="dotted" w:sz="4" w:space="0" w:color="000000"/>
        <w:left w:val="single" w:sz="4" w:space="0" w:color="auto"/>
        <w:bottom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18">
    <w:name w:val="xl418"/>
    <w:basedOn w:val="Normal"/>
    <w:pPr>
      <w:pBdr>
        <w:top w:val="dotted" w:sz="4" w:space="0" w:color="000000"/>
        <w:bottom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19">
    <w:name w:val="xl419"/>
    <w:basedOn w:val="Normal"/>
    <w:pPr>
      <w:pBdr>
        <w:top w:val="dotted" w:sz="4" w:space="0" w:color="000000"/>
        <w:bottom w:val="single" w:sz="4" w:space="0" w:color="auto"/>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20">
    <w:name w:val="xl420"/>
    <w:basedOn w:val="Normal"/>
    <w:pPr>
      <w:pBdr>
        <w:top w:val="single" w:sz="4" w:space="0" w:color="auto"/>
        <w:left w:val="single" w:sz="4" w:space="0" w:color="auto"/>
        <w:bottom w:val="dotted"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421">
    <w:name w:val="xl421"/>
    <w:basedOn w:val="Normal"/>
    <w:pPr>
      <w:pBdr>
        <w:top w:val="single" w:sz="4" w:space="0" w:color="auto"/>
        <w:bottom w:val="dotted"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422">
    <w:name w:val="xl422"/>
    <w:basedOn w:val="Normal"/>
    <w:pPr>
      <w:pBdr>
        <w:top w:val="single" w:sz="4" w:space="0" w:color="auto"/>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423">
    <w:name w:val="xl423"/>
    <w:basedOn w:val="Normal"/>
    <w:pPr>
      <w:pBdr>
        <w:bottom w:val="dotted" w:sz="4" w:space="0" w:color="000000"/>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24">
    <w:name w:val="xl424"/>
    <w:basedOn w:val="Normal"/>
    <w:pPr>
      <w:pBdr>
        <w:bottom w:val="dotted" w:sz="4" w:space="0" w:color="000000"/>
        <w:right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25">
    <w:name w:val="xl425"/>
    <w:basedOn w:val="Normal"/>
    <w:pPr>
      <w:pBdr>
        <w:left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426">
    <w:name w:val="xl426"/>
    <w:basedOn w:val="Normal"/>
    <w:pP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427">
    <w:name w:val="xl427"/>
    <w:basedOn w:val="Normal"/>
    <w:pPr>
      <w:pBdr>
        <w:top w:val="dotted" w:sz="4" w:space="0" w:color="000000"/>
        <w:left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28">
    <w:name w:val="xl428"/>
    <w:basedOn w:val="Normal"/>
    <w:pPr>
      <w:pBdr>
        <w:top w:val="dotted" w:sz="4" w:space="0" w:color="000000"/>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29">
    <w:name w:val="xl429"/>
    <w:basedOn w:val="Normal"/>
    <w:pPr>
      <w:pBdr>
        <w:top w:val="dotted" w:sz="4" w:space="0" w:color="000000"/>
        <w:right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30">
    <w:name w:val="xl430"/>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431">
    <w:name w:val="xl431"/>
    <w:basedOn w:val="Normal"/>
    <w:pPr>
      <w:pBdr>
        <w:top w:val="dotted" w:sz="4" w:space="0" w:color="000000"/>
        <w:bottom w:val="single" w:sz="4" w:space="0" w:color="auto"/>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432">
    <w:name w:val="xl432"/>
    <w:basedOn w:val="Normal"/>
    <w:pPr>
      <w:pBdr>
        <w:top w:val="dotted" w:sz="4" w:space="0" w:color="000000"/>
        <w:bottom w:val="single" w:sz="4" w:space="0" w:color="auto"/>
        <w:right w:val="single" w:sz="4" w:space="0" w:color="auto"/>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433">
    <w:name w:val="xl433"/>
    <w:basedOn w:val="Normal"/>
    <w:pPr>
      <w:pBdr>
        <w:top w:val="single" w:sz="4" w:space="0" w:color="auto"/>
        <w:bottom w:val="dotted" w:sz="4" w:space="0" w:color="000000"/>
      </w:pBdr>
      <w:spacing w:before="100" w:beforeAutospacing="1" w:after="100" w:afterAutospacing="1" w:line="240" w:lineRule="auto"/>
      <w:textAlignment w:val="center"/>
    </w:pPr>
    <w:rPr>
      <w:rFonts w:eastAsia="Times New Roman"/>
      <w:b/>
      <w:bCs/>
      <w:sz w:val="16"/>
      <w:szCs w:val="16"/>
      <w:lang w:val="en-GB" w:eastAsia="en-GB"/>
    </w:rPr>
  </w:style>
  <w:style w:type="paragraph" w:customStyle="1" w:styleId="xl434">
    <w:name w:val="xl434"/>
    <w:basedOn w:val="Normal"/>
    <w:pPr>
      <w:pBdr>
        <w:top w:val="single" w:sz="4" w:space="0" w:color="auto"/>
        <w:bottom w:val="dotted" w:sz="4" w:space="0" w:color="000000"/>
        <w:right w:val="single" w:sz="4" w:space="0" w:color="auto"/>
      </w:pBdr>
      <w:spacing w:before="100" w:beforeAutospacing="1" w:after="100" w:afterAutospacing="1" w:line="240" w:lineRule="auto"/>
      <w:textAlignment w:val="center"/>
    </w:pPr>
    <w:rPr>
      <w:rFonts w:eastAsia="Times New Roman"/>
      <w:b/>
      <w:bCs/>
      <w:sz w:val="16"/>
      <w:szCs w:val="16"/>
      <w:lang w:val="en-GB" w:eastAsia="en-GB"/>
    </w:rPr>
  </w:style>
  <w:style w:type="paragraph" w:customStyle="1" w:styleId="xl435">
    <w:name w:val="xl435"/>
    <w:basedOn w:val="Normal"/>
    <w:pPr>
      <w:pBdr>
        <w:top w:val="dotted" w:sz="4" w:space="0" w:color="000000"/>
        <w:left w:val="single" w:sz="4" w:space="0" w:color="auto"/>
        <w:bottom w:val="dotted" w:sz="4" w:space="0" w:color="000000"/>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36">
    <w:name w:val="xl436"/>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37">
    <w:name w:val="xl437"/>
    <w:basedOn w:val="Normal"/>
    <w:pPr>
      <w:pBdr>
        <w:top w:val="single" w:sz="4" w:space="0" w:color="auto"/>
        <w:bottom w:val="dotted" w:sz="4" w:space="0" w:color="000000"/>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38">
    <w:name w:val="xl438"/>
    <w:basedOn w:val="Normal"/>
    <w:pPr>
      <w:pBdr>
        <w:top w:val="single" w:sz="4" w:space="0" w:color="auto"/>
        <w:bottom w:val="dotted" w:sz="4" w:space="0" w:color="000000"/>
        <w:right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39">
    <w:name w:val="xl439"/>
    <w:basedOn w:val="Normal"/>
    <w:pPr>
      <w:pBdr>
        <w:top w:val="dotted" w:sz="4" w:space="0" w:color="000000"/>
        <w:left w:val="single" w:sz="4" w:space="0" w:color="auto"/>
        <w:bottom w:val="dotted"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40">
    <w:name w:val="xl440"/>
    <w:basedOn w:val="Normal"/>
    <w:pPr>
      <w:pBdr>
        <w:top w:val="dotted" w:sz="4" w:space="0" w:color="000000"/>
        <w:bottom w:val="dotted"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41">
    <w:name w:val="xl441"/>
    <w:basedOn w:val="Normal"/>
    <w:pPr>
      <w:pBdr>
        <w:top w:val="dotted" w:sz="4" w:space="0" w:color="000000"/>
        <w:bottom w:val="dotted" w:sz="4" w:space="0" w:color="auto"/>
        <w:right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42">
    <w:name w:val="xl442"/>
    <w:basedOn w:val="Normal"/>
    <w:pPr>
      <w:pBdr>
        <w:top w:val="single" w:sz="4" w:space="0" w:color="auto"/>
        <w:left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43">
    <w:name w:val="xl443"/>
    <w:basedOn w:val="Normal"/>
    <w:pPr>
      <w:pBdr>
        <w:top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44">
    <w:name w:val="xl444"/>
    <w:basedOn w:val="Normal"/>
    <w:pPr>
      <w:pBdr>
        <w:top w:val="single" w:sz="4" w:space="0" w:color="auto"/>
        <w:right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45">
    <w:name w:val="xl445"/>
    <w:basedOn w:val="Normal"/>
    <w:pPr>
      <w:pBdr>
        <w:left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46">
    <w:name w:val="xl446"/>
    <w:basedOn w:val="Normal"/>
    <w:pPr>
      <w:spacing w:before="100" w:beforeAutospacing="1" w:after="100" w:afterAutospacing="1" w:line="240" w:lineRule="auto"/>
      <w:textAlignment w:val="center"/>
    </w:pPr>
    <w:rPr>
      <w:rFonts w:eastAsia="Times New Roman"/>
      <w:sz w:val="16"/>
      <w:szCs w:val="16"/>
      <w:lang w:val="en-GB" w:eastAsia="en-GB"/>
    </w:rPr>
  </w:style>
  <w:style w:type="paragraph" w:customStyle="1" w:styleId="xl447">
    <w:name w:val="xl447"/>
    <w:basedOn w:val="Normal"/>
    <w:pPr>
      <w:pBdr>
        <w:right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48">
    <w:name w:val="xl448"/>
    <w:basedOn w:val="Normal"/>
    <w:pPr>
      <w:pBdr>
        <w:left w:val="single" w:sz="4" w:space="0" w:color="auto"/>
        <w:bottom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49">
    <w:name w:val="xl449"/>
    <w:basedOn w:val="Normal"/>
    <w:pPr>
      <w:pBdr>
        <w:bottom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50">
    <w:name w:val="xl450"/>
    <w:basedOn w:val="Normal"/>
    <w:pPr>
      <w:pBdr>
        <w:bottom w:val="single" w:sz="4" w:space="0" w:color="auto"/>
        <w:right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51">
    <w:name w:val="xl451"/>
    <w:basedOn w:val="Normal"/>
    <w:pPr>
      <w:pBdr>
        <w:top w:val="dotted" w:sz="4" w:space="0" w:color="000000"/>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452">
    <w:name w:val="xl452"/>
    <w:basedOn w:val="Normal"/>
    <w:pPr>
      <w:pBdr>
        <w:top w:val="dotted" w:sz="4" w:space="0" w:color="000000"/>
        <w:bottom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453">
    <w:name w:val="xl453"/>
    <w:basedOn w:val="Normal"/>
    <w:pPr>
      <w:pBdr>
        <w:top w:val="dotted"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454">
    <w:name w:val="xl454"/>
    <w:basedOn w:val="Normal"/>
    <w:pPr>
      <w:pBdr>
        <w:top w:val="dotted" w:sz="4" w:space="0" w:color="auto"/>
        <w:bottom w:val="dotted"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55">
    <w:name w:val="xl455"/>
    <w:basedOn w:val="Normal"/>
    <w:pPr>
      <w:pBdr>
        <w:top w:val="dotted" w:sz="4" w:space="0" w:color="auto"/>
        <w:bottom w:val="dotted" w:sz="4" w:space="0" w:color="auto"/>
        <w:right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56">
    <w:name w:val="xl456"/>
    <w:basedOn w:val="Normal"/>
    <w:pPr>
      <w:pBdr>
        <w:top w:val="dotted" w:sz="4" w:space="0" w:color="000000"/>
        <w:lef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57">
    <w:name w:val="xl457"/>
    <w:basedOn w:val="Normal"/>
    <w:pPr>
      <w:pBdr>
        <w:top w:val="dotted" w:sz="4" w:space="0" w:color="000000"/>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58">
    <w:name w:val="xl458"/>
    <w:basedOn w:val="Normal"/>
    <w:pPr>
      <w:pBdr>
        <w:top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59">
    <w:name w:val="xl459"/>
    <w:basedOn w:val="Normal"/>
    <w:pPr>
      <w:pBdr>
        <w:top w:val="single" w:sz="4" w:space="0" w:color="auto"/>
        <w:left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60">
    <w:name w:val="xl460"/>
    <w:basedOn w:val="Normal"/>
    <w:pPr>
      <w:pBdr>
        <w:top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61">
    <w:name w:val="xl461"/>
    <w:basedOn w:val="Normal"/>
    <w:pPr>
      <w:pBdr>
        <w:top w:val="single" w:sz="4" w:space="0" w:color="auto"/>
        <w:right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lang w:val="en-GB" w:eastAsia="en-GB"/>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 w:val="24"/>
      <w:szCs w:val="24"/>
      <w:lang w:val="en-GB" w:eastAsia="en-GB"/>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line="240" w:lineRule="auto"/>
      <w:jc w:val="both"/>
    </w:pPr>
    <w:rPr>
      <w:rFonts w:eastAsiaTheme="minorHAnsi"/>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styleId="ListParagraph">
    <w:name w:val="List Paragraph"/>
    <w:basedOn w:val="Normal"/>
    <w:uiPriority w:val="34"/>
    <w:qFormat/>
    <w:pPr>
      <w:spacing w:after="0" w:line="240" w:lineRule="auto"/>
    </w:pPr>
    <w:rPr>
      <w:rFonts w:eastAsia="Times New Roman"/>
      <w:sz w:val="24"/>
      <w:szCs w:val="24"/>
      <w:lang w:val="en-GB" w:eastAsia="en-GB"/>
    </w:rPr>
  </w:style>
  <w:style w:type="paragraph" w:styleId="Revision">
    <w:name w:val="Revision"/>
    <w:hidden/>
    <w:uiPriority w:val="99"/>
    <w:semiHidden/>
    <w:rPr>
      <w:rFonts w:ascii="Times New Roman" w:hAnsi="Times New Roman"/>
      <w:sz w:val="23"/>
      <w:szCs w:val="22"/>
      <w:lang w:val="fr-BE" w:eastAsia="en-US"/>
    </w:rPr>
  </w:style>
  <w:style w:type="paragraph" w:customStyle="1" w:styleId="xl462">
    <w:name w:val="xl462"/>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463">
    <w:name w:val="xl463"/>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464">
    <w:name w:val="xl464"/>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465">
    <w:name w:val="xl465"/>
    <w:basedOn w:val="Normal"/>
    <w:pPr>
      <w:pBdr>
        <w:top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466">
    <w:name w:val="xl466"/>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67">
    <w:name w:val="xl467"/>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68">
    <w:name w:val="xl468"/>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69">
    <w:name w:val="xl469"/>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70">
    <w:name w:val="xl470"/>
    <w:basedOn w:val="Normal"/>
    <w:pPr>
      <w:pBdr>
        <w:left w:val="single" w:sz="4" w:space="0" w:color="auto"/>
        <w:bottom w:val="dotted" w:sz="4" w:space="0" w:color="auto"/>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471">
    <w:name w:val="xl471"/>
    <w:basedOn w:val="Normal"/>
    <w:pPr>
      <w:pBdr>
        <w:left w:val="single" w:sz="4" w:space="0" w:color="000000"/>
        <w:bottom w:val="dotted" w:sz="4" w:space="0" w:color="auto"/>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472">
    <w:name w:val="xl472"/>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473">
    <w:name w:val="xl473"/>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474">
    <w:name w:val="xl474"/>
    <w:basedOn w:val="Normal"/>
    <w:pPr>
      <w:pBdr>
        <w:top w:val="dotted"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475">
    <w:name w:val="xl475"/>
    <w:basedOn w:val="Normal"/>
    <w:pPr>
      <w:pBdr>
        <w:top w:val="dotted"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476">
    <w:name w:val="xl476"/>
    <w:basedOn w:val="Normal"/>
    <w:pPr>
      <w:pBdr>
        <w:left w:val="single" w:sz="4" w:space="0" w:color="auto"/>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477">
    <w:name w:val="xl477"/>
    <w:basedOn w:val="Normal"/>
    <w:pPr>
      <w:pBdr>
        <w:left w:val="single"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478">
    <w:name w:val="xl478"/>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479">
    <w:name w:val="xl479"/>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480">
    <w:name w:val="xl480"/>
    <w:basedOn w:val="Normal"/>
    <w:pPr>
      <w:pBdr>
        <w:top w:val="dotted" w:sz="4" w:space="0" w:color="000000"/>
        <w:left w:val="single" w:sz="4" w:space="0" w:color="auto"/>
        <w:right w:val="single" w:sz="4" w:space="0" w:color="000000"/>
      </w:pBdr>
      <w:shd w:val="clear" w:color="000000" w:fill="FFFFFF"/>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81">
    <w:name w:val="xl481"/>
    <w:basedOn w:val="Normal"/>
    <w:pPr>
      <w:pBdr>
        <w:top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82">
    <w:name w:val="xl482"/>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83">
    <w:name w:val="xl483"/>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84">
    <w:name w:val="xl484"/>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85">
    <w:name w:val="xl485"/>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86">
    <w:name w:val="xl486"/>
    <w:basedOn w:val="Normal"/>
    <w:pPr>
      <w:pBdr>
        <w:top w:val="single" w:sz="4" w:space="0" w:color="auto"/>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487">
    <w:name w:val="xl487"/>
    <w:basedOn w:val="Normal"/>
    <w:pPr>
      <w:pBdr>
        <w:top w:val="single" w:sz="4" w:space="0" w:color="auto"/>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488">
    <w:name w:val="xl488"/>
    <w:basedOn w:val="Normal"/>
    <w:pPr>
      <w:pBdr>
        <w:top w:val="single" w:sz="4" w:space="0" w:color="auto"/>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489">
    <w:name w:val="xl489"/>
    <w:basedOn w:val="Normal"/>
    <w:pPr>
      <w:pBdr>
        <w:top w:val="single" w:sz="4" w:space="0" w:color="auto"/>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490">
    <w:name w:val="xl490"/>
    <w:basedOn w:val="Normal"/>
    <w:pPr>
      <w:pBdr>
        <w:top w:val="single" w:sz="4" w:space="0" w:color="auto"/>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491">
    <w:name w:val="xl491"/>
    <w:basedOn w:val="Normal"/>
    <w:pPr>
      <w:pBdr>
        <w:top w:val="dotted" w:sz="4" w:space="0" w:color="000000"/>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92">
    <w:name w:val="xl492"/>
    <w:basedOn w:val="Normal"/>
    <w:pPr>
      <w:pBdr>
        <w:top w:val="dotted" w:sz="4" w:space="0" w:color="000000"/>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93">
    <w:name w:val="xl493"/>
    <w:basedOn w:val="Normal"/>
    <w:pPr>
      <w:pBdr>
        <w:top w:val="dotted"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94">
    <w:name w:val="xl494"/>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95">
    <w:name w:val="xl495"/>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96">
    <w:name w:val="xl496"/>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97">
    <w:name w:val="xl497"/>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98">
    <w:name w:val="xl498"/>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499">
    <w:name w:val="xl499"/>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500">
    <w:name w:val="xl500"/>
    <w:basedOn w:val="Normal"/>
    <w:pPr>
      <w:pBdr>
        <w:top w:val="dotted"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501">
    <w:name w:val="xl501"/>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502">
    <w:name w:val="xl502"/>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503">
    <w:name w:val="xl503"/>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504">
    <w:name w:val="xl504"/>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505">
    <w:name w:val="xl505"/>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506">
    <w:name w:val="xl506"/>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507">
    <w:name w:val="xl507"/>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508">
    <w:name w:val="xl508"/>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509">
    <w:name w:val="xl509"/>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510">
    <w:name w:val="xl510"/>
    <w:basedOn w:val="Normal"/>
    <w:pPr>
      <w:pBdr>
        <w:top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511">
    <w:name w:val="xl511"/>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512">
    <w:name w:val="xl512"/>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513">
    <w:name w:val="xl513"/>
    <w:basedOn w:val="Normal"/>
    <w:pPr>
      <w:pBdr>
        <w:top w:val="single" w:sz="4" w:space="0" w:color="auto"/>
        <w:left w:val="single" w:sz="4" w:space="0" w:color="auto"/>
        <w:right w:val="single" w:sz="4" w:space="0" w:color="000000"/>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514">
    <w:name w:val="xl514"/>
    <w:basedOn w:val="Normal"/>
    <w:pPr>
      <w:pBdr>
        <w:top w:val="single" w:sz="4" w:space="0" w:color="auto"/>
        <w:left w:val="single" w:sz="4" w:space="0" w:color="000000"/>
        <w:right w:val="single" w:sz="4" w:space="0" w:color="auto"/>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515">
    <w:name w:val="xl515"/>
    <w:basedOn w:val="Normal"/>
    <w:pPr>
      <w:pBdr>
        <w:top w:val="single" w:sz="4" w:space="0" w:color="auto"/>
        <w:right w:val="single" w:sz="4" w:space="0" w:color="auto"/>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516">
    <w:name w:val="xl516"/>
    <w:basedOn w:val="Normal"/>
    <w:pPr>
      <w:pBdr>
        <w:top w:val="single" w:sz="4" w:space="0" w:color="auto"/>
        <w:left w:val="single" w:sz="4" w:space="0" w:color="auto"/>
        <w:right w:val="single" w:sz="4" w:space="0" w:color="000000"/>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517">
    <w:name w:val="xl517"/>
    <w:basedOn w:val="Normal"/>
    <w:pPr>
      <w:pBdr>
        <w:top w:val="single" w:sz="4" w:space="0" w:color="auto"/>
        <w:left w:val="single" w:sz="4" w:space="0" w:color="000000"/>
        <w:right w:val="single" w:sz="4" w:space="0" w:color="auto"/>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518">
    <w:name w:val="xl518"/>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519">
    <w:name w:val="xl519"/>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520">
    <w:name w:val="xl520"/>
    <w:basedOn w:val="Normal"/>
    <w:pPr>
      <w:pBdr>
        <w:top w:val="dotted"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521">
    <w:name w:val="xl521"/>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522">
    <w:name w:val="xl522"/>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523">
    <w:name w:val="xl523"/>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524">
    <w:name w:val="xl524"/>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525">
    <w:name w:val="xl525"/>
    <w:basedOn w:val="Normal"/>
    <w:pPr>
      <w:pBdr>
        <w:top w:val="dotted"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526">
    <w:name w:val="xl526"/>
    <w:basedOn w:val="Normal"/>
    <w:pPr>
      <w:pBdr>
        <w:top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527">
    <w:name w:val="xl527"/>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528">
    <w:name w:val="xl528"/>
    <w:basedOn w:val="Normal"/>
    <w:pPr>
      <w:pBdr>
        <w:top w:val="single"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529">
    <w:name w:val="xl529"/>
    <w:basedOn w:val="Normal"/>
    <w:pPr>
      <w:pBdr>
        <w:top w:val="single" w:sz="4" w:space="0" w:color="auto"/>
        <w:bottom w:val="dotted" w:sz="4" w:space="0" w:color="000000"/>
        <w:right w:val="single" w:sz="4" w:space="0" w:color="auto"/>
      </w:pBdr>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530">
    <w:name w:val="xl530"/>
    <w:basedOn w:val="Normal"/>
    <w:pPr>
      <w:pBdr>
        <w:top w:val="single"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531">
    <w:name w:val="xl531"/>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532">
    <w:name w:val="xl532"/>
    <w:basedOn w:val="Normal"/>
    <w:pPr>
      <w:pBdr>
        <w:bottom w:val="single" w:sz="4" w:space="0" w:color="auto"/>
        <w:right w:val="single" w:sz="4" w:space="0" w:color="000000"/>
      </w:pBdr>
      <w:spacing w:before="100" w:beforeAutospacing="1" w:after="100" w:afterAutospacing="1" w:line="240" w:lineRule="auto"/>
      <w:jc w:val="right"/>
      <w:textAlignment w:val="top"/>
    </w:pPr>
    <w:rPr>
      <w:rFonts w:eastAsia="Times New Roman"/>
      <w:i/>
      <w:iCs/>
      <w:sz w:val="16"/>
      <w:szCs w:val="16"/>
      <w:lang w:val="en-GB" w:eastAsia="en-GB"/>
    </w:rPr>
  </w:style>
  <w:style w:type="paragraph" w:customStyle="1" w:styleId="xl533">
    <w:name w:val="xl533"/>
    <w:basedOn w:val="Normal"/>
    <w:pPr>
      <w:pBdr>
        <w:bottom w:val="single" w:sz="4" w:space="0" w:color="auto"/>
        <w:right w:val="single" w:sz="4" w:space="0" w:color="auto"/>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534">
    <w:name w:val="xl534"/>
    <w:basedOn w:val="Normal"/>
    <w:pPr>
      <w:pBdr>
        <w:left w:val="single" w:sz="4" w:space="0" w:color="auto"/>
        <w:bottom w:val="single" w:sz="4" w:space="0" w:color="auto"/>
        <w:right w:val="single" w:sz="4" w:space="0" w:color="000000"/>
      </w:pBdr>
      <w:spacing w:before="100" w:beforeAutospacing="1" w:after="100" w:afterAutospacing="1" w:line="240" w:lineRule="auto"/>
      <w:jc w:val="right"/>
      <w:textAlignment w:val="top"/>
    </w:pPr>
    <w:rPr>
      <w:rFonts w:eastAsia="Times New Roman"/>
      <w:i/>
      <w:iCs/>
      <w:sz w:val="16"/>
      <w:szCs w:val="16"/>
      <w:lang w:val="en-GB" w:eastAsia="en-GB"/>
    </w:rPr>
  </w:style>
  <w:style w:type="paragraph" w:customStyle="1" w:styleId="xl535">
    <w:name w:val="xl535"/>
    <w:basedOn w:val="Normal"/>
    <w:pPr>
      <w:pBdr>
        <w:bottom w:val="single" w:sz="4" w:space="0" w:color="auto"/>
        <w:right w:val="single" w:sz="4" w:space="0" w:color="auto"/>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536">
    <w:name w:val="xl536"/>
    <w:basedOn w:val="Normal"/>
    <w:pPr>
      <w:pBdr>
        <w:left w:val="single" w:sz="4" w:space="0" w:color="auto"/>
        <w:bottom w:val="single" w:sz="4" w:space="0" w:color="auto"/>
        <w:right w:val="single" w:sz="4" w:space="0" w:color="000000"/>
      </w:pBdr>
      <w:spacing w:before="100" w:beforeAutospacing="1" w:after="100" w:afterAutospacing="1" w:line="240" w:lineRule="auto"/>
      <w:jc w:val="right"/>
      <w:textAlignment w:val="top"/>
    </w:pPr>
    <w:rPr>
      <w:rFonts w:eastAsia="Times New Roman"/>
      <w:i/>
      <w:iCs/>
      <w:sz w:val="16"/>
      <w:szCs w:val="16"/>
      <w:lang w:val="en-GB" w:eastAsia="en-GB"/>
    </w:rPr>
  </w:style>
  <w:style w:type="paragraph" w:customStyle="1" w:styleId="xl537">
    <w:name w:val="xl537"/>
    <w:basedOn w:val="Normal"/>
    <w:pPr>
      <w:pBdr>
        <w:left w:val="single" w:sz="4" w:space="0" w:color="000000"/>
        <w:bottom w:val="single" w:sz="4" w:space="0" w:color="auto"/>
        <w:right w:val="single" w:sz="4" w:space="0" w:color="auto"/>
      </w:pBdr>
      <w:spacing w:before="100" w:beforeAutospacing="1" w:after="100" w:afterAutospacing="1" w:line="240" w:lineRule="auto"/>
      <w:jc w:val="right"/>
      <w:textAlignment w:val="top"/>
    </w:pPr>
    <w:rPr>
      <w:rFonts w:eastAsia="Times New Roman"/>
      <w:i/>
      <w:iCs/>
      <w:sz w:val="16"/>
      <w:szCs w:val="16"/>
      <w:lang w:val="en-GB" w:eastAsia="en-GB"/>
    </w:rPr>
  </w:style>
  <w:style w:type="paragraph" w:customStyle="1" w:styleId="xl538">
    <w:name w:val="xl538"/>
    <w:basedOn w:val="Normal"/>
    <w:pPr>
      <w:pBdr>
        <w:left w:val="single" w:sz="4" w:space="0" w:color="000000"/>
        <w:bottom w:val="single" w:sz="4" w:space="0" w:color="auto"/>
        <w:right w:val="single" w:sz="4" w:space="0" w:color="auto"/>
      </w:pBdr>
      <w:spacing w:before="100" w:beforeAutospacing="1" w:after="100" w:afterAutospacing="1" w:line="240" w:lineRule="auto"/>
      <w:jc w:val="right"/>
      <w:textAlignment w:val="top"/>
    </w:pPr>
    <w:rPr>
      <w:rFonts w:eastAsia="Times New Roman"/>
      <w:i/>
      <w:iCs/>
      <w:sz w:val="16"/>
      <w:szCs w:val="16"/>
      <w:lang w:val="en-GB" w:eastAsia="en-GB"/>
    </w:rPr>
  </w:style>
  <w:style w:type="paragraph" w:customStyle="1" w:styleId="xl539">
    <w:name w:val="xl539"/>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540">
    <w:name w:val="xl540"/>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541">
    <w:name w:val="xl541"/>
    <w:basedOn w:val="Normal"/>
    <w:pPr>
      <w:pBdr>
        <w:top w:val="single"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542">
    <w:name w:val="xl542"/>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543">
    <w:name w:val="xl543"/>
    <w:basedOn w:val="Normal"/>
    <w:pPr>
      <w:pBdr>
        <w:top w:val="single" w:sz="4" w:space="0" w:color="auto"/>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544">
    <w:name w:val="xl544"/>
    <w:basedOn w:val="Normal"/>
    <w:pPr>
      <w:pBdr>
        <w:top w:val="single"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545">
    <w:name w:val="xl545"/>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546">
    <w:name w:val="xl546"/>
    <w:basedOn w:val="Normal"/>
    <w:pPr>
      <w:pBdr>
        <w:top w:val="dotted" w:sz="4" w:space="0" w:color="000000"/>
        <w:left w:val="single" w:sz="4" w:space="0" w:color="auto"/>
        <w:bottom w:val="single" w:sz="4" w:space="0" w:color="auto"/>
        <w:right w:val="single" w:sz="4" w:space="0" w:color="000000"/>
      </w:pBdr>
      <w:shd w:val="clear" w:color="000000" w:fill="FFFFFF"/>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547">
    <w:name w:val="xl547"/>
    <w:basedOn w:val="Normal"/>
    <w:pPr>
      <w:pBdr>
        <w:top w:val="dotted" w:sz="4" w:space="0" w:color="000000"/>
        <w:bottom w:val="single" w:sz="4" w:space="0" w:color="auto"/>
        <w:right w:val="single" w:sz="4" w:space="0" w:color="auto"/>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548">
    <w:name w:val="xl548"/>
    <w:basedOn w:val="Normal"/>
    <w:pPr>
      <w:pBdr>
        <w:top w:val="dotted" w:sz="4" w:space="0" w:color="000000"/>
        <w:left w:val="single" w:sz="4" w:space="0" w:color="auto"/>
        <w:bottom w:val="single" w:sz="4" w:space="0" w:color="auto"/>
        <w:right w:val="single" w:sz="4" w:space="0" w:color="000000"/>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549">
    <w:name w:val="xl549"/>
    <w:basedOn w:val="Normal"/>
    <w:pPr>
      <w:pBdr>
        <w:top w:val="dotted" w:sz="4" w:space="0" w:color="000000"/>
        <w:left w:val="single" w:sz="4" w:space="0" w:color="000000"/>
        <w:bottom w:val="single" w:sz="4" w:space="0" w:color="auto"/>
        <w:right w:val="single" w:sz="4" w:space="0" w:color="auto"/>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550">
    <w:name w:val="xl550"/>
    <w:basedOn w:val="Normal"/>
    <w:pPr>
      <w:pBdr>
        <w:top w:val="dotted" w:sz="4" w:space="0" w:color="000000"/>
        <w:left w:val="single" w:sz="4" w:space="0" w:color="auto"/>
        <w:bottom w:val="single" w:sz="4" w:space="0" w:color="auto"/>
        <w:right w:val="single" w:sz="4" w:space="0" w:color="000000"/>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551">
    <w:name w:val="xl551"/>
    <w:basedOn w:val="Normal"/>
    <w:pPr>
      <w:pBdr>
        <w:top w:val="dotted" w:sz="4" w:space="0" w:color="000000"/>
        <w:left w:val="single" w:sz="4" w:space="0" w:color="000000"/>
        <w:bottom w:val="single" w:sz="4" w:space="0" w:color="auto"/>
        <w:right w:val="single" w:sz="4" w:space="0" w:color="auto"/>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552">
    <w:name w:val="xl552"/>
    <w:basedOn w:val="Normal"/>
    <w:pPr>
      <w:pBdr>
        <w:top w:val="single" w:sz="4" w:space="0" w:color="auto"/>
        <w:left w:val="single" w:sz="4" w:space="0" w:color="auto"/>
        <w:bottom w:val="dotted" w:sz="4" w:space="0" w:color="000000"/>
      </w:pBdr>
      <w:spacing w:before="100" w:beforeAutospacing="1" w:after="100" w:afterAutospacing="1" w:line="240" w:lineRule="auto"/>
      <w:textAlignment w:val="center"/>
    </w:pPr>
    <w:rPr>
      <w:rFonts w:eastAsia="Times New Roman"/>
      <w:sz w:val="15"/>
      <w:szCs w:val="15"/>
      <w:lang w:val="en-GB" w:eastAsia="en-GB"/>
    </w:rPr>
  </w:style>
  <w:style w:type="paragraph" w:customStyle="1" w:styleId="xl553">
    <w:name w:val="xl553"/>
    <w:basedOn w:val="Normal"/>
    <w:pPr>
      <w:pBdr>
        <w:left w:val="single" w:sz="4" w:space="0" w:color="auto"/>
        <w:bottom w:val="dotted" w:sz="4" w:space="0" w:color="000000"/>
      </w:pBdr>
      <w:spacing w:before="100" w:beforeAutospacing="1" w:after="100" w:afterAutospacing="1" w:line="240" w:lineRule="auto"/>
      <w:jc w:val="right"/>
      <w:textAlignment w:val="center"/>
    </w:pPr>
    <w:rPr>
      <w:rFonts w:eastAsia="Times New Roman"/>
      <w:i/>
      <w:iCs/>
      <w:sz w:val="15"/>
      <w:szCs w:val="15"/>
      <w:lang w:val="en-GB" w:eastAsia="en-GB"/>
    </w:rPr>
  </w:style>
  <w:style w:type="paragraph" w:customStyle="1" w:styleId="xl554">
    <w:name w:val="xl554"/>
    <w:basedOn w:val="Normal"/>
    <w:pPr>
      <w:pBdr>
        <w:top w:val="single" w:sz="4" w:space="0" w:color="auto"/>
        <w:left w:val="single" w:sz="4" w:space="0" w:color="auto"/>
        <w:bottom w:val="dotted" w:sz="4" w:space="0" w:color="000000"/>
      </w:pBdr>
      <w:spacing w:before="100" w:beforeAutospacing="1" w:after="100" w:afterAutospacing="1" w:line="240" w:lineRule="auto"/>
      <w:textAlignment w:val="center"/>
    </w:pPr>
    <w:rPr>
      <w:rFonts w:eastAsia="Times New Roman"/>
      <w:b/>
      <w:bCs/>
      <w:sz w:val="15"/>
      <w:szCs w:val="15"/>
      <w:lang w:val="en-GB" w:eastAsia="en-GB"/>
    </w:rPr>
  </w:style>
  <w:style w:type="paragraph" w:customStyle="1" w:styleId="xl555">
    <w:name w:val="xl555"/>
    <w:basedOn w:val="Normal"/>
    <w:pPr>
      <w:pBdr>
        <w:top w:val="dotted" w:sz="4" w:space="0" w:color="000000"/>
        <w:left w:val="single" w:sz="4" w:space="0" w:color="auto"/>
        <w:bottom w:val="dotted" w:sz="4" w:space="0" w:color="000000"/>
      </w:pBdr>
      <w:spacing w:before="100" w:beforeAutospacing="1" w:after="100" w:afterAutospacing="1" w:line="240" w:lineRule="auto"/>
      <w:jc w:val="right"/>
      <w:textAlignment w:val="center"/>
    </w:pPr>
    <w:rPr>
      <w:rFonts w:eastAsia="Times New Roman"/>
      <w:i/>
      <w:iCs/>
      <w:sz w:val="15"/>
      <w:szCs w:val="15"/>
      <w:lang w:val="en-GB" w:eastAsia="en-GB"/>
    </w:rPr>
  </w:style>
  <w:style w:type="paragraph" w:customStyle="1" w:styleId="xl556">
    <w:name w:val="xl556"/>
    <w:basedOn w:val="Normal"/>
    <w:pPr>
      <w:pBdr>
        <w:top w:val="dotted" w:sz="4" w:space="0" w:color="000000"/>
        <w:left w:val="single" w:sz="4" w:space="0" w:color="auto"/>
        <w:bottom w:val="single" w:sz="4" w:space="0" w:color="auto"/>
      </w:pBdr>
      <w:spacing w:before="100" w:beforeAutospacing="1" w:after="100" w:afterAutospacing="1" w:line="240" w:lineRule="auto"/>
      <w:jc w:val="right"/>
      <w:textAlignment w:val="center"/>
    </w:pPr>
    <w:rPr>
      <w:rFonts w:eastAsia="Times New Roman"/>
      <w:i/>
      <w:iCs/>
      <w:sz w:val="15"/>
      <w:szCs w:val="15"/>
      <w:lang w:val="en-GB" w:eastAsia="en-GB"/>
    </w:rPr>
  </w:style>
  <w:style w:type="paragraph" w:customStyle="1" w:styleId="xl557">
    <w:name w:val="xl557"/>
    <w:basedOn w:val="Normal"/>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558">
    <w:name w:val="xl558"/>
    <w:basedOn w:val="Normal"/>
    <w:pPr>
      <w:pBdr>
        <w:top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559">
    <w:name w:val="xl559"/>
    <w:basedOn w:val="Normal"/>
    <w:pPr>
      <w:pBdr>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560">
    <w:name w:val="xl560"/>
    <w:basedOn w:val="Normal"/>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561">
    <w:name w:val="xl561"/>
    <w:basedOn w:val="Normal"/>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562">
    <w:name w:val="xl562"/>
    <w:basedOn w:val="Normal"/>
    <w:pPr>
      <w:pBdr>
        <w:top w:val="single" w:sz="4" w:space="0" w:color="auto"/>
        <w:bottom w:val="dotted" w:sz="4" w:space="0" w:color="000000"/>
      </w:pBdr>
      <w:spacing w:before="100" w:beforeAutospacing="1" w:after="100" w:afterAutospacing="1" w:line="240" w:lineRule="auto"/>
      <w:textAlignment w:val="center"/>
    </w:pPr>
    <w:rPr>
      <w:rFonts w:eastAsia="Times New Roman"/>
      <w:b/>
      <w:bCs/>
      <w:sz w:val="15"/>
      <w:szCs w:val="15"/>
      <w:lang w:val="en-GB" w:eastAsia="en-GB"/>
    </w:rPr>
  </w:style>
  <w:style w:type="paragraph" w:customStyle="1" w:styleId="xl563">
    <w:name w:val="xl563"/>
    <w:basedOn w:val="Normal"/>
    <w:pPr>
      <w:pBdr>
        <w:top w:val="single" w:sz="4" w:space="0" w:color="auto"/>
        <w:bottom w:val="dotted" w:sz="4" w:space="0" w:color="000000"/>
        <w:right w:val="single" w:sz="4" w:space="0" w:color="auto"/>
      </w:pBdr>
      <w:spacing w:before="100" w:beforeAutospacing="1" w:after="100" w:afterAutospacing="1" w:line="240" w:lineRule="auto"/>
      <w:textAlignment w:val="center"/>
    </w:pPr>
    <w:rPr>
      <w:rFonts w:eastAsia="Times New Roman"/>
      <w:b/>
      <w:bCs/>
      <w:sz w:val="15"/>
      <w:szCs w:val="15"/>
      <w:lang w:val="en-GB" w:eastAsia="en-GB"/>
    </w:rPr>
  </w:style>
  <w:style w:type="paragraph" w:customStyle="1" w:styleId="xl564">
    <w:name w:val="xl564"/>
    <w:basedOn w:val="Normal"/>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565">
    <w:name w:val="xl565"/>
    <w:basedOn w:val="Normal"/>
    <w:pPr>
      <w:pBdr>
        <w:top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566">
    <w:name w:val="xl566"/>
    <w:basedOn w:val="Normal"/>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eastAsia="Times New Roman"/>
      <w:b/>
      <w:bCs/>
      <w:sz w:val="15"/>
      <w:szCs w:val="15"/>
      <w:lang w:val="en-GB" w:eastAsia="en-GB"/>
    </w:rPr>
  </w:style>
  <w:style w:type="paragraph" w:customStyle="1" w:styleId="xl567">
    <w:name w:val="xl567"/>
    <w:basedOn w:val="Normal"/>
    <w:pPr>
      <w:pBdr>
        <w:top w:val="single" w:sz="4" w:space="0" w:color="auto"/>
      </w:pBdr>
      <w:shd w:val="clear" w:color="000000" w:fill="D9D9D9"/>
      <w:spacing w:before="100" w:beforeAutospacing="1" w:after="100" w:afterAutospacing="1" w:line="240" w:lineRule="auto"/>
      <w:jc w:val="center"/>
      <w:textAlignment w:val="center"/>
    </w:pPr>
    <w:rPr>
      <w:rFonts w:eastAsia="Times New Roman"/>
      <w:b/>
      <w:bCs/>
      <w:sz w:val="15"/>
      <w:szCs w:val="15"/>
      <w:lang w:val="en-GB" w:eastAsia="en-GB"/>
    </w:rPr>
  </w:style>
  <w:style w:type="paragraph" w:customStyle="1" w:styleId="xl568">
    <w:name w:val="xl568"/>
    <w:basedOn w:val="Normal"/>
    <w:pPr>
      <w:pBdr>
        <w:top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b/>
      <w:bCs/>
      <w:sz w:val="15"/>
      <w:szCs w:val="15"/>
      <w:lang w:val="en-GB" w:eastAsia="en-GB"/>
    </w:rPr>
  </w:style>
  <w:style w:type="paragraph" w:customStyle="1" w:styleId="xl569">
    <w:name w:val="xl569"/>
    <w:basedOn w:val="Normal"/>
    <w:pPr>
      <w:pBdr>
        <w:left w:val="single" w:sz="4" w:space="0" w:color="auto"/>
      </w:pBdr>
      <w:shd w:val="clear" w:color="000000" w:fill="D9D9D9"/>
      <w:spacing w:before="100" w:beforeAutospacing="1" w:after="100" w:afterAutospacing="1" w:line="240" w:lineRule="auto"/>
      <w:jc w:val="center"/>
      <w:textAlignment w:val="center"/>
    </w:pPr>
    <w:rPr>
      <w:rFonts w:eastAsia="Times New Roman"/>
      <w:b/>
      <w:bCs/>
      <w:sz w:val="15"/>
      <w:szCs w:val="15"/>
      <w:lang w:val="en-GB" w:eastAsia="en-GB"/>
    </w:rPr>
  </w:style>
  <w:style w:type="paragraph" w:customStyle="1" w:styleId="xl570">
    <w:name w:val="xl570"/>
    <w:basedOn w:val="Normal"/>
    <w:pPr>
      <w:shd w:val="clear" w:color="000000" w:fill="D9D9D9"/>
      <w:spacing w:before="100" w:beforeAutospacing="1" w:after="100" w:afterAutospacing="1" w:line="240" w:lineRule="auto"/>
      <w:jc w:val="center"/>
      <w:textAlignment w:val="center"/>
    </w:pPr>
    <w:rPr>
      <w:rFonts w:eastAsia="Times New Roman"/>
      <w:b/>
      <w:bCs/>
      <w:sz w:val="15"/>
      <w:szCs w:val="15"/>
      <w:lang w:val="en-GB" w:eastAsia="en-GB"/>
    </w:rPr>
  </w:style>
  <w:style w:type="paragraph" w:customStyle="1" w:styleId="xl571">
    <w:name w:val="xl571"/>
    <w:basedOn w:val="Normal"/>
    <w:pPr>
      <w:pBdr>
        <w:right w:val="single" w:sz="4" w:space="0" w:color="auto"/>
      </w:pBdr>
      <w:shd w:val="clear" w:color="000000" w:fill="D9D9D9"/>
      <w:spacing w:before="100" w:beforeAutospacing="1" w:after="100" w:afterAutospacing="1" w:line="240" w:lineRule="auto"/>
      <w:jc w:val="center"/>
      <w:textAlignment w:val="center"/>
    </w:pPr>
    <w:rPr>
      <w:rFonts w:eastAsia="Times New Roman"/>
      <w:b/>
      <w:bCs/>
      <w:sz w:val="15"/>
      <w:szCs w:val="15"/>
      <w:lang w:val="en-GB" w:eastAsia="en-GB"/>
    </w:rPr>
  </w:style>
  <w:style w:type="paragraph" w:customStyle="1" w:styleId="xl572">
    <w:name w:val="xl572"/>
    <w:basedOn w:val="Normal"/>
    <w:pPr>
      <w:pBdr>
        <w:bottom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573">
    <w:name w:val="xl573"/>
    <w:basedOn w:val="Normal"/>
    <w:pPr>
      <w:pBdr>
        <w:bottom w:val="dotted" w:sz="4" w:space="0" w:color="000000"/>
      </w:pBdr>
      <w:spacing w:before="100" w:beforeAutospacing="1" w:after="100" w:afterAutospacing="1" w:line="240" w:lineRule="auto"/>
      <w:textAlignment w:val="center"/>
    </w:pPr>
    <w:rPr>
      <w:rFonts w:eastAsia="Times New Roman"/>
      <w:sz w:val="15"/>
      <w:szCs w:val="15"/>
      <w:lang w:val="en-GB" w:eastAsia="en-GB"/>
    </w:rPr>
  </w:style>
  <w:style w:type="paragraph" w:customStyle="1" w:styleId="xl574">
    <w:name w:val="xl574"/>
    <w:basedOn w:val="Normal"/>
    <w:pPr>
      <w:pBdr>
        <w:bottom w:val="dotted" w:sz="4" w:space="0" w:color="000000"/>
        <w:right w:val="single" w:sz="4" w:space="0" w:color="auto"/>
      </w:pBdr>
      <w:spacing w:before="100" w:beforeAutospacing="1" w:after="100" w:afterAutospacing="1" w:line="240" w:lineRule="auto"/>
      <w:textAlignment w:val="center"/>
    </w:pPr>
    <w:rPr>
      <w:rFonts w:eastAsia="Times New Roman"/>
      <w:sz w:val="15"/>
      <w:szCs w:val="15"/>
      <w:lang w:val="en-GB" w:eastAsia="en-GB"/>
    </w:rPr>
  </w:style>
  <w:style w:type="paragraph" w:customStyle="1" w:styleId="xl575">
    <w:name w:val="xl575"/>
    <w:basedOn w:val="Normal"/>
    <w:pPr>
      <w:pBdr>
        <w:top w:val="dotted" w:sz="4" w:space="0" w:color="000000"/>
        <w:bottom w:val="single" w:sz="4" w:space="0" w:color="auto"/>
      </w:pBdr>
      <w:spacing w:before="100" w:beforeAutospacing="1" w:after="100" w:afterAutospacing="1" w:line="240" w:lineRule="auto"/>
      <w:jc w:val="right"/>
      <w:textAlignment w:val="center"/>
    </w:pPr>
    <w:rPr>
      <w:rFonts w:eastAsia="Times New Roman"/>
      <w:i/>
      <w:iCs/>
      <w:sz w:val="15"/>
      <w:szCs w:val="15"/>
      <w:lang w:val="en-GB" w:eastAsia="en-GB"/>
    </w:rPr>
  </w:style>
  <w:style w:type="paragraph" w:customStyle="1" w:styleId="xl576">
    <w:name w:val="xl576"/>
    <w:basedOn w:val="Normal"/>
    <w:pPr>
      <w:pBdr>
        <w:top w:val="dotted" w:sz="4" w:space="0" w:color="000000"/>
        <w:bottom w:val="single" w:sz="4" w:space="0" w:color="auto"/>
        <w:right w:val="single" w:sz="4" w:space="0" w:color="auto"/>
      </w:pBdr>
      <w:spacing w:before="100" w:beforeAutospacing="1" w:after="100" w:afterAutospacing="1" w:line="240" w:lineRule="auto"/>
      <w:jc w:val="right"/>
      <w:textAlignment w:val="center"/>
    </w:pPr>
    <w:rPr>
      <w:rFonts w:eastAsia="Times New Roman"/>
      <w:i/>
      <w:iCs/>
      <w:sz w:val="15"/>
      <w:szCs w:val="15"/>
      <w:lang w:val="en-GB" w:eastAsia="en-GB"/>
    </w:rPr>
  </w:style>
  <w:style w:type="paragraph" w:customStyle="1" w:styleId="xl577">
    <w:name w:val="xl577"/>
    <w:basedOn w:val="Normal"/>
    <w:pPr>
      <w:pBdr>
        <w:top w:val="dotted" w:sz="4" w:space="0" w:color="000000"/>
        <w:left w:val="single" w:sz="4" w:space="0" w:color="auto"/>
        <w:bottom w:val="dotted" w:sz="4" w:space="0" w:color="auto"/>
      </w:pBdr>
      <w:spacing w:before="100" w:beforeAutospacing="1" w:after="100" w:afterAutospacing="1" w:line="240" w:lineRule="auto"/>
      <w:textAlignment w:val="center"/>
    </w:pPr>
    <w:rPr>
      <w:rFonts w:eastAsia="Times New Roman"/>
      <w:sz w:val="15"/>
      <w:szCs w:val="15"/>
      <w:lang w:val="en-GB" w:eastAsia="en-GB"/>
    </w:rPr>
  </w:style>
  <w:style w:type="paragraph" w:customStyle="1" w:styleId="xl578">
    <w:name w:val="xl578"/>
    <w:basedOn w:val="Normal"/>
    <w:pPr>
      <w:pBdr>
        <w:top w:val="dotted" w:sz="4" w:space="0" w:color="000000"/>
        <w:bottom w:val="dotted" w:sz="4" w:space="0" w:color="auto"/>
      </w:pBdr>
      <w:spacing w:before="100" w:beforeAutospacing="1" w:after="100" w:afterAutospacing="1" w:line="240" w:lineRule="auto"/>
      <w:textAlignment w:val="center"/>
    </w:pPr>
    <w:rPr>
      <w:rFonts w:eastAsia="Times New Roman"/>
      <w:sz w:val="15"/>
      <w:szCs w:val="15"/>
      <w:lang w:val="en-GB" w:eastAsia="en-GB"/>
    </w:rPr>
  </w:style>
  <w:style w:type="paragraph" w:customStyle="1" w:styleId="xl579">
    <w:name w:val="xl579"/>
    <w:basedOn w:val="Normal"/>
    <w:pPr>
      <w:pBdr>
        <w:top w:val="dotted" w:sz="4" w:space="0" w:color="000000"/>
        <w:bottom w:val="dotted" w:sz="4" w:space="0" w:color="auto"/>
        <w:right w:val="single" w:sz="4" w:space="0" w:color="auto"/>
      </w:pBdr>
      <w:spacing w:before="100" w:beforeAutospacing="1" w:after="100" w:afterAutospacing="1" w:line="240" w:lineRule="auto"/>
      <w:textAlignment w:val="center"/>
    </w:pPr>
    <w:rPr>
      <w:rFonts w:eastAsia="Times New Roman"/>
      <w:sz w:val="15"/>
      <w:szCs w:val="15"/>
      <w:lang w:val="en-GB" w:eastAsia="en-GB"/>
    </w:rPr>
  </w:style>
  <w:style w:type="paragraph" w:customStyle="1" w:styleId="xl580">
    <w:name w:val="xl580"/>
    <w:basedOn w:val="Normal"/>
    <w:pPr>
      <w:pBdr>
        <w:top w:val="single" w:sz="4" w:space="0" w:color="auto"/>
        <w:bottom w:val="dotted" w:sz="4" w:space="0" w:color="000000"/>
      </w:pBdr>
      <w:spacing w:before="100" w:beforeAutospacing="1" w:after="100" w:afterAutospacing="1" w:line="240" w:lineRule="auto"/>
      <w:textAlignment w:val="center"/>
    </w:pPr>
    <w:rPr>
      <w:rFonts w:eastAsia="Times New Roman"/>
      <w:sz w:val="15"/>
      <w:szCs w:val="15"/>
      <w:lang w:val="en-GB" w:eastAsia="en-GB"/>
    </w:rPr>
  </w:style>
  <w:style w:type="paragraph" w:customStyle="1" w:styleId="xl581">
    <w:name w:val="xl581"/>
    <w:basedOn w:val="Normal"/>
    <w:pPr>
      <w:pBdr>
        <w:top w:val="single" w:sz="4" w:space="0" w:color="auto"/>
        <w:bottom w:val="dotted" w:sz="4" w:space="0" w:color="000000"/>
        <w:right w:val="single" w:sz="4" w:space="0" w:color="auto"/>
      </w:pBdr>
      <w:spacing w:before="100" w:beforeAutospacing="1" w:after="100" w:afterAutospacing="1" w:line="240" w:lineRule="auto"/>
      <w:textAlignment w:val="center"/>
    </w:pPr>
    <w:rPr>
      <w:rFonts w:eastAsia="Times New Roman"/>
      <w:sz w:val="15"/>
      <w:szCs w:val="15"/>
      <w:lang w:val="en-GB" w:eastAsia="en-GB"/>
    </w:rPr>
  </w:style>
  <w:style w:type="paragraph" w:customStyle="1" w:styleId="xl582">
    <w:name w:val="xl582"/>
    <w:basedOn w:val="Normal"/>
    <w:pPr>
      <w:pBdr>
        <w:top w:val="dotted" w:sz="4" w:space="0" w:color="000000"/>
        <w:bottom w:val="dotted" w:sz="4" w:space="0" w:color="000000"/>
      </w:pBdr>
      <w:spacing w:before="100" w:beforeAutospacing="1" w:after="100" w:afterAutospacing="1" w:line="240" w:lineRule="auto"/>
      <w:jc w:val="right"/>
      <w:textAlignment w:val="center"/>
    </w:pPr>
    <w:rPr>
      <w:rFonts w:eastAsia="Times New Roman"/>
      <w:i/>
      <w:iCs/>
      <w:sz w:val="15"/>
      <w:szCs w:val="15"/>
      <w:lang w:val="en-GB" w:eastAsia="en-GB"/>
    </w:rPr>
  </w:style>
  <w:style w:type="paragraph" w:customStyle="1" w:styleId="xl583">
    <w:name w:val="xl583"/>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i/>
      <w:iCs/>
      <w:sz w:val="15"/>
      <w:szCs w:val="15"/>
      <w:lang w:val="en-GB" w:eastAsia="en-GB"/>
    </w:rPr>
  </w:style>
  <w:style w:type="paragraph" w:customStyle="1" w:styleId="xl584">
    <w:name w:val="xl584"/>
    <w:basedOn w:val="Normal"/>
    <w:pPr>
      <w:pBdr>
        <w:top w:val="dotted" w:sz="4" w:space="0" w:color="000000"/>
        <w:left w:val="single" w:sz="4" w:space="0" w:color="auto"/>
        <w:bottom w:val="dotted" w:sz="4" w:space="0" w:color="000000"/>
      </w:pBdr>
      <w:spacing w:before="100" w:beforeAutospacing="1" w:after="100" w:afterAutospacing="1" w:line="240" w:lineRule="auto"/>
      <w:jc w:val="right"/>
      <w:textAlignment w:val="center"/>
    </w:pPr>
    <w:rPr>
      <w:rFonts w:eastAsia="Times New Roman"/>
      <w:b/>
      <w:bCs/>
      <w:i/>
      <w:iCs/>
      <w:sz w:val="15"/>
      <w:szCs w:val="15"/>
      <w:lang w:val="en-GB" w:eastAsia="en-GB"/>
    </w:rPr>
  </w:style>
  <w:style w:type="paragraph" w:customStyle="1" w:styleId="xl585">
    <w:name w:val="xl585"/>
    <w:basedOn w:val="Normal"/>
    <w:pPr>
      <w:pBdr>
        <w:top w:val="dotted" w:sz="4" w:space="0" w:color="000000"/>
        <w:bottom w:val="dotted" w:sz="4" w:space="0" w:color="000000"/>
      </w:pBdr>
      <w:spacing w:before="100" w:beforeAutospacing="1" w:after="100" w:afterAutospacing="1" w:line="240" w:lineRule="auto"/>
      <w:jc w:val="right"/>
      <w:textAlignment w:val="center"/>
    </w:pPr>
    <w:rPr>
      <w:rFonts w:eastAsia="Times New Roman"/>
      <w:b/>
      <w:bCs/>
      <w:i/>
      <w:iCs/>
      <w:sz w:val="15"/>
      <w:szCs w:val="15"/>
      <w:lang w:val="en-GB" w:eastAsia="en-GB"/>
    </w:rPr>
  </w:style>
  <w:style w:type="paragraph" w:customStyle="1" w:styleId="xl586">
    <w:name w:val="xl586"/>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5"/>
      <w:szCs w:val="15"/>
      <w:lang w:val="en-GB" w:eastAsia="en-GB"/>
    </w:rPr>
  </w:style>
  <w:style w:type="paragraph" w:customStyle="1" w:styleId="xl587">
    <w:name w:val="xl587"/>
    <w:basedOn w:val="Normal"/>
    <w:pPr>
      <w:pBdr>
        <w:top w:val="dotted" w:sz="4" w:space="0" w:color="000000"/>
        <w:left w:val="single" w:sz="4" w:space="0" w:color="auto"/>
        <w:bottom w:val="single" w:sz="4" w:space="0" w:color="auto"/>
      </w:pBdr>
      <w:spacing w:before="100" w:beforeAutospacing="1" w:after="100" w:afterAutospacing="1" w:line="240" w:lineRule="auto"/>
      <w:jc w:val="right"/>
      <w:textAlignment w:val="center"/>
    </w:pPr>
    <w:rPr>
      <w:rFonts w:eastAsia="Times New Roman"/>
      <w:b/>
      <w:bCs/>
      <w:i/>
      <w:iCs/>
      <w:sz w:val="15"/>
      <w:szCs w:val="15"/>
      <w:lang w:val="en-GB" w:eastAsia="en-GB"/>
    </w:rPr>
  </w:style>
  <w:style w:type="paragraph" w:customStyle="1" w:styleId="xl588">
    <w:name w:val="xl588"/>
    <w:basedOn w:val="Normal"/>
    <w:pPr>
      <w:pBdr>
        <w:top w:val="dotted" w:sz="4" w:space="0" w:color="000000"/>
        <w:bottom w:val="single" w:sz="4" w:space="0" w:color="auto"/>
      </w:pBdr>
      <w:spacing w:before="100" w:beforeAutospacing="1" w:after="100" w:afterAutospacing="1" w:line="240" w:lineRule="auto"/>
      <w:jc w:val="right"/>
      <w:textAlignment w:val="center"/>
    </w:pPr>
    <w:rPr>
      <w:rFonts w:eastAsia="Times New Roman"/>
      <w:b/>
      <w:bCs/>
      <w:i/>
      <w:iCs/>
      <w:sz w:val="15"/>
      <w:szCs w:val="15"/>
      <w:lang w:val="en-GB" w:eastAsia="en-GB"/>
    </w:rPr>
  </w:style>
  <w:style w:type="paragraph" w:customStyle="1" w:styleId="xl589">
    <w:name w:val="xl589"/>
    <w:basedOn w:val="Normal"/>
    <w:pPr>
      <w:pBdr>
        <w:top w:val="dotted" w:sz="4" w:space="0" w:color="000000"/>
        <w:bottom w:val="single" w:sz="4" w:space="0" w:color="auto"/>
        <w:right w:val="single" w:sz="4" w:space="0" w:color="auto"/>
      </w:pBdr>
      <w:spacing w:before="100" w:beforeAutospacing="1" w:after="100" w:afterAutospacing="1" w:line="240" w:lineRule="auto"/>
      <w:jc w:val="right"/>
      <w:textAlignment w:val="center"/>
    </w:pPr>
    <w:rPr>
      <w:rFonts w:eastAsia="Times New Roman"/>
      <w:b/>
      <w:bCs/>
      <w:i/>
      <w:iCs/>
      <w:sz w:val="15"/>
      <w:szCs w:val="15"/>
      <w:lang w:val="en-GB" w:eastAsia="en-GB"/>
    </w:rPr>
  </w:style>
  <w:style w:type="paragraph" w:customStyle="1" w:styleId="xl590">
    <w:name w:val="xl590"/>
    <w:basedOn w:val="Normal"/>
    <w:pPr>
      <w:pBdr>
        <w:top w:val="dotted" w:sz="4" w:space="0" w:color="000000"/>
        <w:left w:val="single" w:sz="4" w:space="0" w:color="auto"/>
      </w:pBdr>
      <w:spacing w:before="100" w:beforeAutospacing="1" w:after="100" w:afterAutospacing="1" w:line="240" w:lineRule="auto"/>
      <w:textAlignment w:val="center"/>
    </w:pPr>
    <w:rPr>
      <w:rFonts w:eastAsia="Times New Roman"/>
      <w:sz w:val="15"/>
      <w:szCs w:val="15"/>
      <w:lang w:val="en-GB" w:eastAsia="en-GB"/>
    </w:rPr>
  </w:style>
  <w:style w:type="paragraph" w:customStyle="1" w:styleId="xl591">
    <w:name w:val="xl591"/>
    <w:basedOn w:val="Normal"/>
    <w:pPr>
      <w:pBdr>
        <w:top w:val="dotted" w:sz="4" w:space="0" w:color="000000"/>
      </w:pBdr>
      <w:spacing w:before="100" w:beforeAutospacing="1" w:after="100" w:afterAutospacing="1" w:line="240" w:lineRule="auto"/>
      <w:textAlignment w:val="center"/>
    </w:pPr>
    <w:rPr>
      <w:rFonts w:eastAsia="Times New Roman"/>
      <w:sz w:val="15"/>
      <w:szCs w:val="15"/>
      <w:lang w:val="en-GB" w:eastAsia="en-GB"/>
    </w:rPr>
  </w:style>
  <w:style w:type="paragraph" w:customStyle="1" w:styleId="xl592">
    <w:name w:val="xl592"/>
    <w:basedOn w:val="Normal"/>
    <w:pPr>
      <w:pBdr>
        <w:top w:val="dotted" w:sz="4" w:space="0" w:color="000000"/>
        <w:right w:val="single" w:sz="4" w:space="0" w:color="auto"/>
      </w:pBdr>
      <w:spacing w:before="100" w:beforeAutospacing="1" w:after="100" w:afterAutospacing="1" w:line="240" w:lineRule="auto"/>
      <w:textAlignment w:val="center"/>
    </w:pPr>
    <w:rPr>
      <w:rFonts w:eastAsia="Times New Roman"/>
      <w:sz w:val="15"/>
      <w:szCs w:val="15"/>
      <w:lang w:val="en-GB" w:eastAsia="en-GB"/>
    </w:rPr>
  </w:style>
  <w:style w:type="paragraph" w:customStyle="1" w:styleId="xl593">
    <w:name w:val="xl593"/>
    <w:basedOn w:val="Normal"/>
    <w:pPr>
      <w:pBdr>
        <w:top w:val="dotted" w:sz="4" w:space="0" w:color="000000"/>
        <w:left w:val="single" w:sz="4" w:space="0" w:color="auto"/>
      </w:pBdr>
      <w:spacing w:before="100" w:beforeAutospacing="1" w:after="100" w:afterAutospacing="1" w:line="240" w:lineRule="auto"/>
      <w:jc w:val="right"/>
      <w:textAlignment w:val="center"/>
    </w:pPr>
    <w:rPr>
      <w:rFonts w:eastAsia="Times New Roman"/>
      <w:b/>
      <w:bCs/>
      <w:i/>
      <w:iCs/>
      <w:sz w:val="15"/>
      <w:szCs w:val="15"/>
      <w:lang w:val="en-GB" w:eastAsia="en-GB"/>
    </w:rPr>
  </w:style>
  <w:style w:type="paragraph" w:customStyle="1" w:styleId="xl594">
    <w:name w:val="xl594"/>
    <w:basedOn w:val="Normal"/>
    <w:pPr>
      <w:pBdr>
        <w:top w:val="dotted" w:sz="4" w:space="0" w:color="000000"/>
      </w:pBdr>
      <w:spacing w:before="100" w:beforeAutospacing="1" w:after="100" w:afterAutospacing="1" w:line="240" w:lineRule="auto"/>
      <w:jc w:val="right"/>
      <w:textAlignment w:val="center"/>
    </w:pPr>
    <w:rPr>
      <w:rFonts w:eastAsia="Times New Roman"/>
      <w:b/>
      <w:bCs/>
      <w:i/>
      <w:iCs/>
      <w:sz w:val="15"/>
      <w:szCs w:val="15"/>
      <w:lang w:val="en-GB" w:eastAsia="en-GB"/>
    </w:rPr>
  </w:style>
  <w:style w:type="paragraph" w:customStyle="1" w:styleId="xl595">
    <w:name w:val="xl595"/>
    <w:basedOn w:val="Normal"/>
    <w:pPr>
      <w:pBdr>
        <w:top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5"/>
      <w:szCs w:val="15"/>
      <w:lang w:val="en-GB" w:eastAsia="en-GB"/>
    </w:rPr>
  </w:style>
  <w:style w:type="paragraph" w:customStyle="1" w:styleId="xl596">
    <w:name w:val="xl596"/>
    <w:basedOn w:val="Normal"/>
    <w:pPr>
      <w:pBdr>
        <w:bottom w:val="dotted" w:sz="4" w:space="0" w:color="000000"/>
      </w:pBdr>
      <w:spacing w:before="100" w:beforeAutospacing="1" w:after="100" w:afterAutospacing="1" w:line="240" w:lineRule="auto"/>
      <w:jc w:val="right"/>
      <w:textAlignment w:val="center"/>
    </w:pPr>
    <w:rPr>
      <w:rFonts w:eastAsia="Times New Roman"/>
      <w:i/>
      <w:iCs/>
      <w:sz w:val="15"/>
      <w:szCs w:val="15"/>
      <w:lang w:val="en-GB" w:eastAsia="en-GB"/>
    </w:rPr>
  </w:style>
  <w:style w:type="paragraph" w:customStyle="1" w:styleId="xl597">
    <w:name w:val="xl597"/>
    <w:basedOn w:val="Normal"/>
    <w:pPr>
      <w:pBdr>
        <w:bottom w:val="dotted" w:sz="4" w:space="0" w:color="000000"/>
        <w:right w:val="single" w:sz="4" w:space="0" w:color="auto"/>
      </w:pBdr>
      <w:spacing w:before="100" w:beforeAutospacing="1" w:after="100" w:afterAutospacing="1" w:line="240" w:lineRule="auto"/>
      <w:jc w:val="right"/>
      <w:textAlignment w:val="center"/>
    </w:pPr>
    <w:rPr>
      <w:rFonts w:eastAsia="Times New Roman"/>
      <w:i/>
      <w:iCs/>
      <w:sz w:val="15"/>
      <w:szCs w:val="15"/>
      <w:lang w:val="en-GB" w:eastAsia="en-GB"/>
    </w:rPr>
  </w:style>
  <w:style w:type="paragraph" w:customStyle="1" w:styleId="xl598">
    <w:name w:val="xl598"/>
    <w:basedOn w:val="Normal"/>
    <w:pPr>
      <w:pBdr>
        <w:top w:val="single" w:sz="4" w:space="0" w:color="auto"/>
        <w:left w:val="single" w:sz="4" w:space="0" w:color="auto"/>
      </w:pBdr>
      <w:spacing w:before="100" w:beforeAutospacing="1" w:after="100" w:afterAutospacing="1" w:line="240" w:lineRule="auto"/>
      <w:textAlignment w:val="center"/>
    </w:pPr>
    <w:rPr>
      <w:rFonts w:eastAsia="Times New Roman"/>
      <w:sz w:val="15"/>
      <w:szCs w:val="15"/>
      <w:lang w:val="en-GB" w:eastAsia="en-GB"/>
    </w:rPr>
  </w:style>
  <w:style w:type="paragraph" w:customStyle="1" w:styleId="xl599">
    <w:name w:val="xl599"/>
    <w:basedOn w:val="Normal"/>
    <w:pPr>
      <w:pBdr>
        <w:top w:val="single" w:sz="4" w:space="0" w:color="auto"/>
      </w:pBdr>
      <w:spacing w:before="100" w:beforeAutospacing="1" w:after="100" w:afterAutospacing="1" w:line="240" w:lineRule="auto"/>
      <w:textAlignment w:val="center"/>
    </w:pPr>
    <w:rPr>
      <w:rFonts w:eastAsia="Times New Roman"/>
      <w:sz w:val="15"/>
      <w:szCs w:val="15"/>
      <w:lang w:val="en-GB" w:eastAsia="en-GB"/>
    </w:rPr>
  </w:style>
  <w:style w:type="paragraph" w:customStyle="1" w:styleId="xl600">
    <w:name w:val="xl600"/>
    <w:basedOn w:val="Normal"/>
    <w:pPr>
      <w:pBdr>
        <w:top w:val="single" w:sz="4" w:space="0" w:color="auto"/>
        <w:right w:val="single" w:sz="4" w:space="0" w:color="auto"/>
      </w:pBdr>
      <w:spacing w:before="100" w:beforeAutospacing="1" w:after="100" w:afterAutospacing="1" w:line="240" w:lineRule="auto"/>
      <w:textAlignment w:val="center"/>
    </w:pPr>
    <w:rPr>
      <w:rFonts w:eastAsia="Times New Roman"/>
      <w:sz w:val="15"/>
      <w:szCs w:val="15"/>
      <w:lang w:val="en-GB" w:eastAsia="en-GB"/>
    </w:rPr>
  </w:style>
  <w:style w:type="paragraph" w:customStyle="1" w:styleId="xl601">
    <w:name w:val="xl601"/>
    <w:basedOn w:val="Normal"/>
    <w:pPr>
      <w:pBdr>
        <w:left w:val="single" w:sz="4" w:space="0" w:color="auto"/>
        <w:bottom w:val="dotted" w:sz="4" w:space="0" w:color="auto"/>
      </w:pBdr>
      <w:spacing w:before="100" w:beforeAutospacing="1" w:after="100" w:afterAutospacing="1" w:line="240" w:lineRule="auto"/>
      <w:textAlignment w:val="center"/>
    </w:pPr>
    <w:rPr>
      <w:rFonts w:eastAsia="Times New Roman"/>
      <w:sz w:val="15"/>
      <w:szCs w:val="15"/>
      <w:lang w:val="en-GB" w:eastAsia="en-GB"/>
    </w:rPr>
  </w:style>
  <w:style w:type="paragraph" w:customStyle="1" w:styleId="xl602">
    <w:name w:val="xl602"/>
    <w:basedOn w:val="Normal"/>
    <w:pPr>
      <w:pBdr>
        <w:bottom w:val="dotted" w:sz="4" w:space="0" w:color="auto"/>
      </w:pBdr>
      <w:spacing w:before="100" w:beforeAutospacing="1" w:after="100" w:afterAutospacing="1" w:line="240" w:lineRule="auto"/>
      <w:textAlignment w:val="center"/>
    </w:pPr>
    <w:rPr>
      <w:rFonts w:eastAsia="Times New Roman"/>
      <w:sz w:val="15"/>
      <w:szCs w:val="15"/>
      <w:lang w:val="en-GB" w:eastAsia="en-GB"/>
    </w:rPr>
  </w:style>
  <w:style w:type="paragraph" w:customStyle="1" w:styleId="xl603">
    <w:name w:val="xl603"/>
    <w:basedOn w:val="Normal"/>
    <w:pPr>
      <w:pBdr>
        <w:bottom w:val="dotted" w:sz="4" w:space="0" w:color="auto"/>
        <w:right w:val="single" w:sz="4" w:space="0" w:color="auto"/>
      </w:pBdr>
      <w:spacing w:before="100" w:beforeAutospacing="1" w:after="100" w:afterAutospacing="1" w:line="240" w:lineRule="auto"/>
      <w:textAlignment w:val="center"/>
    </w:pPr>
    <w:rPr>
      <w:rFonts w:eastAsia="Times New Roman"/>
      <w:sz w:val="15"/>
      <w:szCs w:val="15"/>
      <w:lang w:val="en-GB" w:eastAsia="en-GB"/>
    </w:rPr>
  </w:style>
  <w:style w:type="paragraph" w:customStyle="1" w:styleId="xl604">
    <w:name w:val="xl604"/>
    <w:basedOn w:val="Normal"/>
    <w:pPr>
      <w:pBdr>
        <w:top w:val="dotted" w:sz="4" w:space="0" w:color="000000"/>
        <w:left w:val="single" w:sz="4" w:space="0" w:color="auto"/>
        <w:bottom w:val="dotted" w:sz="4" w:space="0" w:color="000000"/>
      </w:pBdr>
      <w:shd w:val="clear" w:color="000000" w:fill="D9D9D9"/>
      <w:spacing w:before="100" w:beforeAutospacing="1" w:after="100" w:afterAutospacing="1" w:line="240" w:lineRule="auto"/>
      <w:jc w:val="right"/>
      <w:textAlignment w:val="center"/>
    </w:pPr>
    <w:rPr>
      <w:rFonts w:eastAsia="Times New Roman"/>
      <w:b/>
      <w:bCs/>
      <w:i/>
      <w:iCs/>
      <w:sz w:val="15"/>
      <w:szCs w:val="15"/>
      <w:lang w:val="en-GB" w:eastAsia="en-GB"/>
    </w:rPr>
  </w:style>
  <w:style w:type="paragraph" w:customStyle="1" w:styleId="xl605">
    <w:name w:val="xl605"/>
    <w:basedOn w:val="Normal"/>
    <w:pPr>
      <w:pBdr>
        <w:top w:val="dotted" w:sz="4" w:space="0" w:color="000000"/>
        <w:bottom w:val="dotted" w:sz="4" w:space="0" w:color="000000"/>
      </w:pBdr>
      <w:shd w:val="clear" w:color="000000" w:fill="D9D9D9"/>
      <w:spacing w:before="100" w:beforeAutospacing="1" w:after="100" w:afterAutospacing="1" w:line="240" w:lineRule="auto"/>
      <w:jc w:val="right"/>
      <w:textAlignment w:val="center"/>
    </w:pPr>
    <w:rPr>
      <w:rFonts w:eastAsia="Times New Roman"/>
      <w:b/>
      <w:bCs/>
      <w:i/>
      <w:iCs/>
      <w:sz w:val="15"/>
      <w:szCs w:val="15"/>
      <w:lang w:val="en-GB" w:eastAsia="en-GB"/>
    </w:rPr>
  </w:style>
  <w:style w:type="paragraph" w:customStyle="1" w:styleId="xl606">
    <w:name w:val="xl606"/>
    <w:basedOn w:val="Normal"/>
    <w:pPr>
      <w:pBdr>
        <w:top w:val="dotted"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i/>
      <w:iCs/>
      <w:sz w:val="15"/>
      <w:szCs w:val="15"/>
      <w:lang w:val="en-GB" w:eastAsia="en-GB"/>
    </w:rPr>
  </w:style>
  <w:style w:type="paragraph" w:customStyle="1" w:styleId="xl607">
    <w:name w:val="xl607"/>
    <w:basedOn w:val="Normal"/>
    <w:pPr>
      <w:pBdr>
        <w:bottom w:val="single" w:sz="4" w:space="0" w:color="auto"/>
      </w:pBdr>
      <w:spacing w:before="100" w:beforeAutospacing="1" w:after="100" w:afterAutospacing="1" w:line="240" w:lineRule="auto"/>
      <w:jc w:val="right"/>
    </w:pPr>
    <w:rPr>
      <w:rFonts w:eastAsia="Times New Roman"/>
      <w:i/>
      <w:iCs/>
      <w:color w:val="000000"/>
      <w:sz w:val="24"/>
      <w:szCs w:val="24"/>
      <w:lang w:val="en-GB" w:eastAsia="en-GB"/>
    </w:rPr>
  </w:style>
  <w:style w:type="paragraph" w:customStyle="1" w:styleId="xl608">
    <w:name w:val="xl608"/>
    <w:basedOn w:val="Normal"/>
    <w:pPr>
      <w:pBdr>
        <w:left w:val="single" w:sz="4" w:space="0" w:color="auto"/>
        <w:bottom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609">
    <w:name w:val="xl609"/>
    <w:basedOn w:val="Normal"/>
    <w:pPr>
      <w:pBdr>
        <w:bottom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610">
    <w:name w:val="xl610"/>
    <w:basedOn w:val="Normal"/>
    <w:pPr>
      <w:pBdr>
        <w:bottom w:val="single" w:sz="4" w:space="0" w:color="auto"/>
        <w:right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611">
    <w:name w:val="xl611"/>
    <w:basedOn w:val="Normal"/>
    <w:pPr>
      <w:pBdr>
        <w:top w:val="dotted" w:sz="4" w:space="0" w:color="000000"/>
        <w:left w:val="single" w:sz="4" w:space="0" w:color="auto"/>
        <w:bottom w:val="dotted" w:sz="4" w:space="0" w:color="000000"/>
      </w:pBdr>
      <w:spacing w:before="100" w:beforeAutospacing="1" w:after="100" w:afterAutospacing="1" w:line="240" w:lineRule="auto"/>
      <w:textAlignment w:val="center"/>
    </w:pPr>
    <w:rPr>
      <w:rFonts w:eastAsia="Times New Roman"/>
      <w:sz w:val="15"/>
      <w:szCs w:val="15"/>
      <w:lang w:val="en-GB" w:eastAsia="en-GB"/>
    </w:rPr>
  </w:style>
  <w:style w:type="paragraph" w:customStyle="1" w:styleId="xl612">
    <w:name w:val="xl612"/>
    <w:basedOn w:val="Normal"/>
    <w:pPr>
      <w:pBdr>
        <w:top w:val="dotted" w:sz="4" w:space="0" w:color="000000"/>
        <w:bottom w:val="dotted" w:sz="4" w:space="0" w:color="000000"/>
      </w:pBdr>
      <w:spacing w:before="100" w:beforeAutospacing="1" w:after="100" w:afterAutospacing="1" w:line="240" w:lineRule="auto"/>
      <w:textAlignment w:val="center"/>
    </w:pPr>
    <w:rPr>
      <w:rFonts w:eastAsia="Times New Roman"/>
      <w:sz w:val="15"/>
      <w:szCs w:val="15"/>
      <w:lang w:val="en-GB" w:eastAsia="en-GB"/>
    </w:rPr>
  </w:style>
  <w:style w:type="paragraph" w:customStyle="1" w:styleId="xl613">
    <w:name w:val="xl613"/>
    <w:basedOn w:val="Normal"/>
    <w:pPr>
      <w:pBdr>
        <w:top w:val="dotted" w:sz="4" w:space="0" w:color="000000"/>
        <w:bottom w:val="dotted" w:sz="4" w:space="0" w:color="000000"/>
        <w:right w:val="single" w:sz="4" w:space="0" w:color="auto"/>
      </w:pBdr>
      <w:spacing w:before="100" w:beforeAutospacing="1" w:after="100" w:afterAutospacing="1" w:line="240" w:lineRule="auto"/>
      <w:textAlignment w:val="center"/>
    </w:pPr>
    <w:rPr>
      <w:rFonts w:eastAsia="Times New Roman"/>
      <w:sz w:val="15"/>
      <w:szCs w:val="15"/>
      <w:lang w:val="en-GB" w:eastAsia="en-GB"/>
    </w:rPr>
  </w:style>
  <w:style w:type="paragraph" w:customStyle="1" w:styleId="xl614">
    <w:name w:val="xl614"/>
    <w:basedOn w:val="Normal"/>
    <w:pPr>
      <w:pBdr>
        <w:top w:val="dotted" w:sz="4" w:space="0" w:color="000000"/>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eastAsia="Times New Roman"/>
      <w:b/>
      <w:bCs/>
      <w:sz w:val="15"/>
      <w:szCs w:val="15"/>
      <w:lang w:val="en-GB" w:eastAsia="en-GB"/>
    </w:rPr>
  </w:style>
  <w:style w:type="paragraph" w:customStyle="1" w:styleId="xl615">
    <w:name w:val="xl615"/>
    <w:basedOn w:val="Normal"/>
    <w:pPr>
      <w:pBdr>
        <w:top w:val="dotted" w:sz="4" w:space="0" w:color="000000"/>
        <w:bottom w:val="single" w:sz="4" w:space="0" w:color="auto"/>
      </w:pBdr>
      <w:shd w:val="clear" w:color="000000" w:fill="D9D9D9"/>
      <w:spacing w:before="100" w:beforeAutospacing="1" w:after="100" w:afterAutospacing="1" w:line="240" w:lineRule="auto"/>
      <w:jc w:val="right"/>
      <w:textAlignment w:val="center"/>
    </w:pPr>
    <w:rPr>
      <w:rFonts w:eastAsia="Times New Roman"/>
      <w:b/>
      <w:bCs/>
      <w:sz w:val="15"/>
      <w:szCs w:val="15"/>
      <w:lang w:val="en-GB" w:eastAsia="en-GB"/>
    </w:rPr>
  </w:style>
  <w:style w:type="paragraph" w:customStyle="1" w:styleId="xl616">
    <w:name w:val="xl616"/>
    <w:basedOn w:val="Normal"/>
    <w:pPr>
      <w:pBdr>
        <w:top w:val="dotted"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5"/>
      <w:szCs w:val="15"/>
      <w:lang w:val="en-GB" w:eastAsia="en-GB"/>
    </w:rPr>
  </w:style>
  <w:style w:type="paragraph" w:customStyle="1" w:styleId="xl617">
    <w:name w:val="xl617"/>
    <w:basedOn w:val="Normal"/>
    <w:pPr>
      <w:pBdr>
        <w:top w:val="single" w:sz="4" w:space="0" w:color="auto"/>
        <w:left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618">
    <w:name w:val="xl618"/>
    <w:basedOn w:val="Normal"/>
    <w:pPr>
      <w:pBdr>
        <w:top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619">
    <w:name w:val="xl619"/>
    <w:basedOn w:val="Normal"/>
    <w:pPr>
      <w:pBdr>
        <w:top w:val="single" w:sz="4" w:space="0" w:color="auto"/>
        <w:right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620">
    <w:name w:val="xl620"/>
    <w:basedOn w:val="Normal"/>
    <w:pPr>
      <w:pBdr>
        <w:left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621">
    <w:name w:val="xl621"/>
    <w:basedOn w:val="Normal"/>
    <w:pPr>
      <w:spacing w:before="100" w:beforeAutospacing="1" w:after="100" w:afterAutospacing="1" w:line="240" w:lineRule="auto"/>
      <w:textAlignment w:val="center"/>
    </w:pPr>
    <w:rPr>
      <w:rFonts w:eastAsia="Times New Roman"/>
      <w:sz w:val="16"/>
      <w:szCs w:val="16"/>
      <w:lang w:val="en-GB" w:eastAsia="en-GB"/>
    </w:rPr>
  </w:style>
  <w:style w:type="paragraph" w:customStyle="1" w:styleId="xl622">
    <w:name w:val="xl622"/>
    <w:basedOn w:val="Normal"/>
    <w:pPr>
      <w:pBdr>
        <w:right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623">
    <w:name w:val="xl623"/>
    <w:basedOn w:val="Normal"/>
    <w:pPr>
      <w:pBdr>
        <w:top w:val="dotted" w:sz="4" w:space="0" w:color="auto"/>
        <w:bottom w:val="dotted" w:sz="4" w:space="0" w:color="auto"/>
      </w:pBdr>
      <w:spacing w:before="100" w:beforeAutospacing="1" w:after="100" w:afterAutospacing="1" w:line="240" w:lineRule="auto"/>
      <w:textAlignment w:val="center"/>
    </w:pPr>
    <w:rPr>
      <w:rFonts w:eastAsia="Times New Roman"/>
      <w:sz w:val="15"/>
      <w:szCs w:val="15"/>
      <w:lang w:val="en-GB" w:eastAsia="en-GB"/>
    </w:rPr>
  </w:style>
  <w:style w:type="paragraph" w:customStyle="1" w:styleId="xl624">
    <w:name w:val="xl624"/>
    <w:basedOn w:val="Normal"/>
    <w:pPr>
      <w:pBdr>
        <w:top w:val="dotted" w:sz="4" w:space="0" w:color="auto"/>
        <w:bottom w:val="dotted" w:sz="4" w:space="0" w:color="auto"/>
        <w:right w:val="single" w:sz="4" w:space="0" w:color="auto"/>
      </w:pBdr>
      <w:spacing w:before="100" w:beforeAutospacing="1" w:after="100" w:afterAutospacing="1" w:line="240" w:lineRule="auto"/>
      <w:textAlignment w:val="center"/>
    </w:pPr>
    <w:rPr>
      <w:rFonts w:eastAsia="Times New Roman"/>
      <w:sz w:val="15"/>
      <w:szCs w:val="15"/>
      <w:lang w:val="en-GB" w:eastAsia="en-GB"/>
    </w:rPr>
  </w:style>
  <w:style w:type="paragraph" w:customStyle="1" w:styleId="xl625">
    <w:name w:val="xl625"/>
    <w:basedOn w:val="Normal"/>
    <w:pPr>
      <w:pBdr>
        <w:top w:val="single" w:sz="4" w:space="0" w:color="auto"/>
        <w:left w:val="single" w:sz="4" w:space="0" w:color="auto"/>
        <w:bottom w:val="dotted" w:sz="4" w:space="0" w:color="000000"/>
      </w:pBdr>
      <w:shd w:val="clear" w:color="000000" w:fill="D9D9D9"/>
      <w:spacing w:before="100" w:beforeAutospacing="1" w:after="100" w:afterAutospacing="1" w:line="240" w:lineRule="auto"/>
      <w:jc w:val="right"/>
      <w:textAlignment w:val="center"/>
    </w:pPr>
    <w:rPr>
      <w:rFonts w:eastAsia="Times New Roman"/>
      <w:b/>
      <w:bCs/>
      <w:sz w:val="15"/>
      <w:szCs w:val="15"/>
      <w:lang w:val="en-GB" w:eastAsia="en-GB"/>
    </w:rPr>
  </w:style>
  <w:style w:type="paragraph" w:customStyle="1" w:styleId="xl626">
    <w:name w:val="xl626"/>
    <w:basedOn w:val="Normal"/>
    <w:pPr>
      <w:pBdr>
        <w:top w:val="single" w:sz="4" w:space="0" w:color="auto"/>
        <w:bottom w:val="dotted" w:sz="4" w:space="0" w:color="000000"/>
      </w:pBdr>
      <w:shd w:val="clear" w:color="000000" w:fill="D9D9D9"/>
      <w:spacing w:before="100" w:beforeAutospacing="1" w:after="100" w:afterAutospacing="1" w:line="240" w:lineRule="auto"/>
      <w:jc w:val="right"/>
      <w:textAlignment w:val="center"/>
    </w:pPr>
    <w:rPr>
      <w:rFonts w:eastAsia="Times New Roman"/>
      <w:b/>
      <w:bCs/>
      <w:sz w:val="15"/>
      <w:szCs w:val="15"/>
      <w:lang w:val="en-GB" w:eastAsia="en-GB"/>
    </w:rPr>
  </w:style>
  <w:style w:type="paragraph" w:customStyle="1" w:styleId="xl627">
    <w:name w:val="xl627"/>
    <w:basedOn w:val="Normal"/>
    <w:pPr>
      <w:pBdr>
        <w:top w:val="single" w:sz="4" w:space="0" w:color="auto"/>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5"/>
      <w:szCs w:val="15"/>
      <w:lang w:val="en-GB" w:eastAsia="en-GB"/>
    </w:rPr>
  </w:style>
  <w:style w:type="character" w:styleId="SubtleReference">
    <w:name w:val="Subtle Reference"/>
    <w:basedOn w:val="DefaultParagraphFont"/>
    <w:uiPriority w:val="31"/>
    <w:qFormat/>
    <w:rPr>
      <w:smallCaps/>
      <w:color w:val="C0504D" w:themeColor="accent2"/>
      <w:u w:val="single"/>
    </w:rPr>
  </w:style>
  <w:style w:type="paragraph" w:customStyle="1" w:styleId="xl628">
    <w:name w:val="xl628"/>
    <w:basedOn w:val="Normal"/>
    <w:pPr>
      <w:pBdr>
        <w:bottom w:val="single" w:sz="4" w:space="0" w:color="auto"/>
        <w:right w:val="single" w:sz="4" w:space="0" w:color="auto"/>
      </w:pBdr>
      <w:spacing w:before="100" w:beforeAutospacing="1" w:after="100" w:afterAutospacing="1" w:line="240" w:lineRule="auto"/>
      <w:textAlignment w:val="center"/>
    </w:pPr>
    <w:rPr>
      <w:rFonts w:eastAsia="Times New Roman"/>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02348">
      <w:bodyDiv w:val="1"/>
      <w:marLeft w:val="0"/>
      <w:marRight w:val="0"/>
      <w:marTop w:val="0"/>
      <w:marBottom w:val="0"/>
      <w:divBdr>
        <w:top w:val="none" w:sz="0" w:space="0" w:color="auto"/>
        <w:left w:val="none" w:sz="0" w:space="0" w:color="auto"/>
        <w:bottom w:val="none" w:sz="0" w:space="0" w:color="auto"/>
        <w:right w:val="none" w:sz="0" w:space="0" w:color="auto"/>
      </w:divBdr>
    </w:div>
    <w:div w:id="61417114">
      <w:bodyDiv w:val="1"/>
      <w:marLeft w:val="0"/>
      <w:marRight w:val="0"/>
      <w:marTop w:val="0"/>
      <w:marBottom w:val="0"/>
      <w:divBdr>
        <w:top w:val="none" w:sz="0" w:space="0" w:color="auto"/>
        <w:left w:val="none" w:sz="0" w:space="0" w:color="auto"/>
        <w:bottom w:val="none" w:sz="0" w:space="0" w:color="auto"/>
        <w:right w:val="none" w:sz="0" w:space="0" w:color="auto"/>
      </w:divBdr>
    </w:div>
    <w:div w:id="62653190">
      <w:bodyDiv w:val="1"/>
      <w:marLeft w:val="0"/>
      <w:marRight w:val="0"/>
      <w:marTop w:val="0"/>
      <w:marBottom w:val="0"/>
      <w:divBdr>
        <w:top w:val="none" w:sz="0" w:space="0" w:color="auto"/>
        <w:left w:val="none" w:sz="0" w:space="0" w:color="auto"/>
        <w:bottom w:val="none" w:sz="0" w:space="0" w:color="auto"/>
        <w:right w:val="none" w:sz="0" w:space="0" w:color="auto"/>
      </w:divBdr>
    </w:div>
    <w:div w:id="89325835">
      <w:bodyDiv w:val="1"/>
      <w:marLeft w:val="0"/>
      <w:marRight w:val="0"/>
      <w:marTop w:val="0"/>
      <w:marBottom w:val="0"/>
      <w:divBdr>
        <w:top w:val="none" w:sz="0" w:space="0" w:color="auto"/>
        <w:left w:val="none" w:sz="0" w:space="0" w:color="auto"/>
        <w:bottom w:val="none" w:sz="0" w:space="0" w:color="auto"/>
        <w:right w:val="none" w:sz="0" w:space="0" w:color="auto"/>
      </w:divBdr>
    </w:div>
    <w:div w:id="164977603">
      <w:bodyDiv w:val="1"/>
      <w:marLeft w:val="0"/>
      <w:marRight w:val="0"/>
      <w:marTop w:val="0"/>
      <w:marBottom w:val="0"/>
      <w:divBdr>
        <w:top w:val="none" w:sz="0" w:space="0" w:color="auto"/>
        <w:left w:val="none" w:sz="0" w:space="0" w:color="auto"/>
        <w:bottom w:val="none" w:sz="0" w:space="0" w:color="auto"/>
        <w:right w:val="none" w:sz="0" w:space="0" w:color="auto"/>
      </w:divBdr>
    </w:div>
    <w:div w:id="166136784">
      <w:bodyDiv w:val="1"/>
      <w:marLeft w:val="0"/>
      <w:marRight w:val="0"/>
      <w:marTop w:val="0"/>
      <w:marBottom w:val="0"/>
      <w:divBdr>
        <w:top w:val="none" w:sz="0" w:space="0" w:color="auto"/>
        <w:left w:val="none" w:sz="0" w:space="0" w:color="auto"/>
        <w:bottom w:val="none" w:sz="0" w:space="0" w:color="auto"/>
        <w:right w:val="none" w:sz="0" w:space="0" w:color="auto"/>
      </w:divBdr>
    </w:div>
    <w:div w:id="221334237">
      <w:bodyDiv w:val="1"/>
      <w:marLeft w:val="0"/>
      <w:marRight w:val="0"/>
      <w:marTop w:val="0"/>
      <w:marBottom w:val="0"/>
      <w:divBdr>
        <w:top w:val="none" w:sz="0" w:space="0" w:color="auto"/>
        <w:left w:val="none" w:sz="0" w:space="0" w:color="auto"/>
        <w:bottom w:val="none" w:sz="0" w:space="0" w:color="auto"/>
        <w:right w:val="none" w:sz="0" w:space="0" w:color="auto"/>
      </w:divBdr>
    </w:div>
    <w:div w:id="248084997">
      <w:bodyDiv w:val="1"/>
      <w:marLeft w:val="0"/>
      <w:marRight w:val="0"/>
      <w:marTop w:val="0"/>
      <w:marBottom w:val="0"/>
      <w:divBdr>
        <w:top w:val="none" w:sz="0" w:space="0" w:color="auto"/>
        <w:left w:val="none" w:sz="0" w:space="0" w:color="auto"/>
        <w:bottom w:val="none" w:sz="0" w:space="0" w:color="auto"/>
        <w:right w:val="none" w:sz="0" w:space="0" w:color="auto"/>
      </w:divBdr>
    </w:div>
    <w:div w:id="276640180">
      <w:bodyDiv w:val="1"/>
      <w:marLeft w:val="0"/>
      <w:marRight w:val="0"/>
      <w:marTop w:val="0"/>
      <w:marBottom w:val="0"/>
      <w:divBdr>
        <w:top w:val="none" w:sz="0" w:space="0" w:color="auto"/>
        <w:left w:val="none" w:sz="0" w:space="0" w:color="auto"/>
        <w:bottom w:val="none" w:sz="0" w:space="0" w:color="auto"/>
        <w:right w:val="none" w:sz="0" w:space="0" w:color="auto"/>
      </w:divBdr>
    </w:div>
    <w:div w:id="325406908">
      <w:bodyDiv w:val="1"/>
      <w:marLeft w:val="0"/>
      <w:marRight w:val="0"/>
      <w:marTop w:val="0"/>
      <w:marBottom w:val="0"/>
      <w:divBdr>
        <w:top w:val="none" w:sz="0" w:space="0" w:color="auto"/>
        <w:left w:val="none" w:sz="0" w:space="0" w:color="auto"/>
        <w:bottom w:val="none" w:sz="0" w:space="0" w:color="auto"/>
        <w:right w:val="none" w:sz="0" w:space="0" w:color="auto"/>
      </w:divBdr>
    </w:div>
    <w:div w:id="411395159">
      <w:bodyDiv w:val="1"/>
      <w:marLeft w:val="0"/>
      <w:marRight w:val="0"/>
      <w:marTop w:val="0"/>
      <w:marBottom w:val="0"/>
      <w:divBdr>
        <w:top w:val="none" w:sz="0" w:space="0" w:color="auto"/>
        <w:left w:val="none" w:sz="0" w:space="0" w:color="auto"/>
        <w:bottom w:val="none" w:sz="0" w:space="0" w:color="auto"/>
        <w:right w:val="none" w:sz="0" w:space="0" w:color="auto"/>
      </w:divBdr>
    </w:div>
    <w:div w:id="473957491">
      <w:bodyDiv w:val="1"/>
      <w:marLeft w:val="0"/>
      <w:marRight w:val="0"/>
      <w:marTop w:val="0"/>
      <w:marBottom w:val="0"/>
      <w:divBdr>
        <w:top w:val="none" w:sz="0" w:space="0" w:color="auto"/>
        <w:left w:val="none" w:sz="0" w:space="0" w:color="auto"/>
        <w:bottom w:val="none" w:sz="0" w:space="0" w:color="auto"/>
        <w:right w:val="none" w:sz="0" w:space="0" w:color="auto"/>
      </w:divBdr>
    </w:div>
    <w:div w:id="488130580">
      <w:bodyDiv w:val="1"/>
      <w:marLeft w:val="0"/>
      <w:marRight w:val="0"/>
      <w:marTop w:val="0"/>
      <w:marBottom w:val="0"/>
      <w:divBdr>
        <w:top w:val="none" w:sz="0" w:space="0" w:color="auto"/>
        <w:left w:val="none" w:sz="0" w:space="0" w:color="auto"/>
        <w:bottom w:val="none" w:sz="0" w:space="0" w:color="auto"/>
        <w:right w:val="none" w:sz="0" w:space="0" w:color="auto"/>
      </w:divBdr>
    </w:div>
    <w:div w:id="549537111">
      <w:bodyDiv w:val="1"/>
      <w:marLeft w:val="0"/>
      <w:marRight w:val="0"/>
      <w:marTop w:val="0"/>
      <w:marBottom w:val="0"/>
      <w:divBdr>
        <w:top w:val="none" w:sz="0" w:space="0" w:color="auto"/>
        <w:left w:val="none" w:sz="0" w:space="0" w:color="auto"/>
        <w:bottom w:val="none" w:sz="0" w:space="0" w:color="auto"/>
        <w:right w:val="none" w:sz="0" w:space="0" w:color="auto"/>
      </w:divBdr>
    </w:div>
    <w:div w:id="582253043">
      <w:bodyDiv w:val="1"/>
      <w:marLeft w:val="0"/>
      <w:marRight w:val="0"/>
      <w:marTop w:val="0"/>
      <w:marBottom w:val="0"/>
      <w:divBdr>
        <w:top w:val="none" w:sz="0" w:space="0" w:color="auto"/>
        <w:left w:val="none" w:sz="0" w:space="0" w:color="auto"/>
        <w:bottom w:val="none" w:sz="0" w:space="0" w:color="auto"/>
        <w:right w:val="none" w:sz="0" w:space="0" w:color="auto"/>
      </w:divBdr>
    </w:div>
    <w:div w:id="603339696">
      <w:bodyDiv w:val="1"/>
      <w:marLeft w:val="0"/>
      <w:marRight w:val="0"/>
      <w:marTop w:val="0"/>
      <w:marBottom w:val="0"/>
      <w:divBdr>
        <w:top w:val="none" w:sz="0" w:space="0" w:color="auto"/>
        <w:left w:val="none" w:sz="0" w:space="0" w:color="auto"/>
        <w:bottom w:val="none" w:sz="0" w:space="0" w:color="auto"/>
        <w:right w:val="none" w:sz="0" w:space="0" w:color="auto"/>
      </w:divBdr>
    </w:div>
    <w:div w:id="686179405">
      <w:bodyDiv w:val="1"/>
      <w:marLeft w:val="0"/>
      <w:marRight w:val="0"/>
      <w:marTop w:val="0"/>
      <w:marBottom w:val="0"/>
      <w:divBdr>
        <w:top w:val="none" w:sz="0" w:space="0" w:color="auto"/>
        <w:left w:val="none" w:sz="0" w:space="0" w:color="auto"/>
        <w:bottom w:val="none" w:sz="0" w:space="0" w:color="auto"/>
        <w:right w:val="none" w:sz="0" w:space="0" w:color="auto"/>
      </w:divBdr>
    </w:div>
    <w:div w:id="840243227">
      <w:bodyDiv w:val="1"/>
      <w:marLeft w:val="0"/>
      <w:marRight w:val="0"/>
      <w:marTop w:val="0"/>
      <w:marBottom w:val="0"/>
      <w:divBdr>
        <w:top w:val="none" w:sz="0" w:space="0" w:color="auto"/>
        <w:left w:val="none" w:sz="0" w:space="0" w:color="auto"/>
        <w:bottom w:val="none" w:sz="0" w:space="0" w:color="auto"/>
        <w:right w:val="none" w:sz="0" w:space="0" w:color="auto"/>
      </w:divBdr>
    </w:div>
    <w:div w:id="862132396">
      <w:bodyDiv w:val="1"/>
      <w:marLeft w:val="0"/>
      <w:marRight w:val="0"/>
      <w:marTop w:val="0"/>
      <w:marBottom w:val="0"/>
      <w:divBdr>
        <w:top w:val="none" w:sz="0" w:space="0" w:color="auto"/>
        <w:left w:val="none" w:sz="0" w:space="0" w:color="auto"/>
        <w:bottom w:val="none" w:sz="0" w:space="0" w:color="auto"/>
        <w:right w:val="none" w:sz="0" w:space="0" w:color="auto"/>
      </w:divBdr>
    </w:div>
    <w:div w:id="919683525">
      <w:bodyDiv w:val="1"/>
      <w:marLeft w:val="0"/>
      <w:marRight w:val="0"/>
      <w:marTop w:val="0"/>
      <w:marBottom w:val="0"/>
      <w:divBdr>
        <w:top w:val="none" w:sz="0" w:space="0" w:color="auto"/>
        <w:left w:val="none" w:sz="0" w:space="0" w:color="auto"/>
        <w:bottom w:val="none" w:sz="0" w:space="0" w:color="auto"/>
        <w:right w:val="none" w:sz="0" w:space="0" w:color="auto"/>
      </w:divBdr>
    </w:div>
    <w:div w:id="956369177">
      <w:bodyDiv w:val="1"/>
      <w:marLeft w:val="0"/>
      <w:marRight w:val="0"/>
      <w:marTop w:val="0"/>
      <w:marBottom w:val="0"/>
      <w:divBdr>
        <w:top w:val="none" w:sz="0" w:space="0" w:color="auto"/>
        <w:left w:val="none" w:sz="0" w:space="0" w:color="auto"/>
        <w:bottom w:val="none" w:sz="0" w:space="0" w:color="auto"/>
        <w:right w:val="none" w:sz="0" w:space="0" w:color="auto"/>
      </w:divBdr>
    </w:div>
    <w:div w:id="989208815">
      <w:bodyDiv w:val="1"/>
      <w:marLeft w:val="0"/>
      <w:marRight w:val="0"/>
      <w:marTop w:val="0"/>
      <w:marBottom w:val="0"/>
      <w:divBdr>
        <w:top w:val="none" w:sz="0" w:space="0" w:color="auto"/>
        <w:left w:val="none" w:sz="0" w:space="0" w:color="auto"/>
        <w:bottom w:val="none" w:sz="0" w:space="0" w:color="auto"/>
        <w:right w:val="none" w:sz="0" w:space="0" w:color="auto"/>
      </w:divBdr>
    </w:div>
    <w:div w:id="1014529364">
      <w:bodyDiv w:val="1"/>
      <w:marLeft w:val="0"/>
      <w:marRight w:val="0"/>
      <w:marTop w:val="0"/>
      <w:marBottom w:val="0"/>
      <w:divBdr>
        <w:top w:val="none" w:sz="0" w:space="0" w:color="auto"/>
        <w:left w:val="none" w:sz="0" w:space="0" w:color="auto"/>
        <w:bottom w:val="none" w:sz="0" w:space="0" w:color="auto"/>
        <w:right w:val="none" w:sz="0" w:space="0" w:color="auto"/>
      </w:divBdr>
    </w:div>
    <w:div w:id="1024480836">
      <w:bodyDiv w:val="1"/>
      <w:marLeft w:val="0"/>
      <w:marRight w:val="0"/>
      <w:marTop w:val="0"/>
      <w:marBottom w:val="0"/>
      <w:divBdr>
        <w:top w:val="none" w:sz="0" w:space="0" w:color="auto"/>
        <w:left w:val="none" w:sz="0" w:space="0" w:color="auto"/>
        <w:bottom w:val="none" w:sz="0" w:space="0" w:color="auto"/>
        <w:right w:val="none" w:sz="0" w:space="0" w:color="auto"/>
      </w:divBdr>
    </w:div>
    <w:div w:id="1059088559">
      <w:bodyDiv w:val="1"/>
      <w:marLeft w:val="0"/>
      <w:marRight w:val="0"/>
      <w:marTop w:val="0"/>
      <w:marBottom w:val="0"/>
      <w:divBdr>
        <w:top w:val="none" w:sz="0" w:space="0" w:color="auto"/>
        <w:left w:val="none" w:sz="0" w:space="0" w:color="auto"/>
        <w:bottom w:val="none" w:sz="0" w:space="0" w:color="auto"/>
        <w:right w:val="none" w:sz="0" w:space="0" w:color="auto"/>
      </w:divBdr>
    </w:div>
    <w:div w:id="1071468826">
      <w:bodyDiv w:val="1"/>
      <w:marLeft w:val="0"/>
      <w:marRight w:val="0"/>
      <w:marTop w:val="0"/>
      <w:marBottom w:val="0"/>
      <w:divBdr>
        <w:top w:val="none" w:sz="0" w:space="0" w:color="auto"/>
        <w:left w:val="none" w:sz="0" w:space="0" w:color="auto"/>
        <w:bottom w:val="none" w:sz="0" w:space="0" w:color="auto"/>
        <w:right w:val="none" w:sz="0" w:space="0" w:color="auto"/>
      </w:divBdr>
    </w:div>
    <w:div w:id="1078476055">
      <w:bodyDiv w:val="1"/>
      <w:marLeft w:val="0"/>
      <w:marRight w:val="0"/>
      <w:marTop w:val="0"/>
      <w:marBottom w:val="0"/>
      <w:divBdr>
        <w:top w:val="none" w:sz="0" w:space="0" w:color="auto"/>
        <w:left w:val="none" w:sz="0" w:space="0" w:color="auto"/>
        <w:bottom w:val="none" w:sz="0" w:space="0" w:color="auto"/>
        <w:right w:val="none" w:sz="0" w:space="0" w:color="auto"/>
      </w:divBdr>
    </w:div>
    <w:div w:id="1197423844">
      <w:bodyDiv w:val="1"/>
      <w:marLeft w:val="0"/>
      <w:marRight w:val="0"/>
      <w:marTop w:val="0"/>
      <w:marBottom w:val="0"/>
      <w:divBdr>
        <w:top w:val="none" w:sz="0" w:space="0" w:color="auto"/>
        <w:left w:val="none" w:sz="0" w:space="0" w:color="auto"/>
        <w:bottom w:val="none" w:sz="0" w:space="0" w:color="auto"/>
        <w:right w:val="none" w:sz="0" w:space="0" w:color="auto"/>
      </w:divBdr>
    </w:div>
    <w:div w:id="1259941803">
      <w:bodyDiv w:val="1"/>
      <w:marLeft w:val="0"/>
      <w:marRight w:val="0"/>
      <w:marTop w:val="0"/>
      <w:marBottom w:val="0"/>
      <w:divBdr>
        <w:top w:val="none" w:sz="0" w:space="0" w:color="auto"/>
        <w:left w:val="none" w:sz="0" w:space="0" w:color="auto"/>
        <w:bottom w:val="none" w:sz="0" w:space="0" w:color="auto"/>
        <w:right w:val="none" w:sz="0" w:space="0" w:color="auto"/>
      </w:divBdr>
    </w:div>
    <w:div w:id="1319844136">
      <w:bodyDiv w:val="1"/>
      <w:marLeft w:val="0"/>
      <w:marRight w:val="0"/>
      <w:marTop w:val="0"/>
      <w:marBottom w:val="0"/>
      <w:divBdr>
        <w:top w:val="none" w:sz="0" w:space="0" w:color="auto"/>
        <w:left w:val="none" w:sz="0" w:space="0" w:color="auto"/>
        <w:bottom w:val="none" w:sz="0" w:space="0" w:color="auto"/>
        <w:right w:val="none" w:sz="0" w:space="0" w:color="auto"/>
      </w:divBdr>
    </w:div>
    <w:div w:id="1378895927">
      <w:bodyDiv w:val="1"/>
      <w:marLeft w:val="0"/>
      <w:marRight w:val="0"/>
      <w:marTop w:val="0"/>
      <w:marBottom w:val="0"/>
      <w:divBdr>
        <w:top w:val="none" w:sz="0" w:space="0" w:color="auto"/>
        <w:left w:val="none" w:sz="0" w:space="0" w:color="auto"/>
        <w:bottom w:val="none" w:sz="0" w:space="0" w:color="auto"/>
        <w:right w:val="none" w:sz="0" w:space="0" w:color="auto"/>
      </w:divBdr>
    </w:div>
    <w:div w:id="1547910535">
      <w:bodyDiv w:val="1"/>
      <w:marLeft w:val="0"/>
      <w:marRight w:val="0"/>
      <w:marTop w:val="0"/>
      <w:marBottom w:val="0"/>
      <w:divBdr>
        <w:top w:val="none" w:sz="0" w:space="0" w:color="auto"/>
        <w:left w:val="none" w:sz="0" w:space="0" w:color="auto"/>
        <w:bottom w:val="none" w:sz="0" w:space="0" w:color="auto"/>
        <w:right w:val="none" w:sz="0" w:space="0" w:color="auto"/>
      </w:divBdr>
    </w:div>
    <w:div w:id="1739397481">
      <w:bodyDiv w:val="1"/>
      <w:marLeft w:val="0"/>
      <w:marRight w:val="0"/>
      <w:marTop w:val="0"/>
      <w:marBottom w:val="0"/>
      <w:divBdr>
        <w:top w:val="none" w:sz="0" w:space="0" w:color="auto"/>
        <w:left w:val="none" w:sz="0" w:space="0" w:color="auto"/>
        <w:bottom w:val="none" w:sz="0" w:space="0" w:color="auto"/>
        <w:right w:val="none" w:sz="0" w:space="0" w:color="auto"/>
      </w:divBdr>
    </w:div>
    <w:div w:id="1913537732">
      <w:bodyDiv w:val="1"/>
      <w:marLeft w:val="0"/>
      <w:marRight w:val="0"/>
      <w:marTop w:val="0"/>
      <w:marBottom w:val="0"/>
      <w:divBdr>
        <w:top w:val="none" w:sz="0" w:space="0" w:color="auto"/>
        <w:left w:val="none" w:sz="0" w:space="0" w:color="auto"/>
        <w:bottom w:val="none" w:sz="0" w:space="0" w:color="auto"/>
        <w:right w:val="none" w:sz="0" w:space="0" w:color="auto"/>
      </w:divBdr>
    </w:div>
    <w:div w:id="1929728559">
      <w:bodyDiv w:val="1"/>
      <w:marLeft w:val="0"/>
      <w:marRight w:val="0"/>
      <w:marTop w:val="0"/>
      <w:marBottom w:val="0"/>
      <w:divBdr>
        <w:top w:val="none" w:sz="0" w:space="0" w:color="auto"/>
        <w:left w:val="none" w:sz="0" w:space="0" w:color="auto"/>
        <w:bottom w:val="none" w:sz="0" w:space="0" w:color="auto"/>
        <w:right w:val="none" w:sz="0" w:space="0" w:color="auto"/>
      </w:divBdr>
    </w:div>
    <w:div w:id="1935942065">
      <w:bodyDiv w:val="1"/>
      <w:marLeft w:val="0"/>
      <w:marRight w:val="0"/>
      <w:marTop w:val="0"/>
      <w:marBottom w:val="0"/>
      <w:divBdr>
        <w:top w:val="none" w:sz="0" w:space="0" w:color="auto"/>
        <w:left w:val="none" w:sz="0" w:space="0" w:color="auto"/>
        <w:bottom w:val="none" w:sz="0" w:space="0" w:color="auto"/>
        <w:right w:val="none" w:sz="0" w:space="0" w:color="auto"/>
      </w:divBdr>
    </w:div>
    <w:div w:id="1952127853">
      <w:bodyDiv w:val="1"/>
      <w:marLeft w:val="0"/>
      <w:marRight w:val="0"/>
      <w:marTop w:val="0"/>
      <w:marBottom w:val="0"/>
      <w:divBdr>
        <w:top w:val="none" w:sz="0" w:space="0" w:color="auto"/>
        <w:left w:val="none" w:sz="0" w:space="0" w:color="auto"/>
        <w:bottom w:val="none" w:sz="0" w:space="0" w:color="auto"/>
        <w:right w:val="none" w:sz="0" w:space="0" w:color="auto"/>
      </w:divBdr>
    </w:div>
    <w:div w:id="2031223351">
      <w:bodyDiv w:val="1"/>
      <w:marLeft w:val="0"/>
      <w:marRight w:val="0"/>
      <w:marTop w:val="0"/>
      <w:marBottom w:val="0"/>
      <w:divBdr>
        <w:top w:val="none" w:sz="0" w:space="0" w:color="auto"/>
        <w:left w:val="none" w:sz="0" w:space="0" w:color="auto"/>
        <w:bottom w:val="none" w:sz="0" w:space="0" w:color="auto"/>
        <w:right w:val="none" w:sz="0" w:space="0" w:color="auto"/>
      </w:divBdr>
    </w:div>
    <w:div w:id="2034110117">
      <w:bodyDiv w:val="1"/>
      <w:marLeft w:val="0"/>
      <w:marRight w:val="0"/>
      <w:marTop w:val="0"/>
      <w:marBottom w:val="0"/>
      <w:divBdr>
        <w:top w:val="none" w:sz="0" w:space="0" w:color="auto"/>
        <w:left w:val="none" w:sz="0" w:space="0" w:color="auto"/>
        <w:bottom w:val="none" w:sz="0" w:space="0" w:color="auto"/>
        <w:right w:val="none" w:sz="0" w:space="0" w:color="auto"/>
      </w:divBdr>
    </w:div>
    <w:div w:id="2034451304">
      <w:bodyDiv w:val="1"/>
      <w:marLeft w:val="0"/>
      <w:marRight w:val="0"/>
      <w:marTop w:val="0"/>
      <w:marBottom w:val="0"/>
      <w:divBdr>
        <w:top w:val="none" w:sz="0" w:space="0" w:color="auto"/>
        <w:left w:val="none" w:sz="0" w:space="0" w:color="auto"/>
        <w:bottom w:val="none" w:sz="0" w:space="0" w:color="auto"/>
        <w:right w:val="none" w:sz="0" w:space="0" w:color="auto"/>
      </w:divBdr>
    </w:div>
    <w:div w:id="209015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2.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eur-lex.europa.eu/budget/www/index-en.htm" TargetMode="Externa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8AF72-F207-4547-87C4-2A2D72ABB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9621</Words>
  <Characters>48203</Characters>
  <Application>Microsoft Office Word</Application>
  <DocSecurity>0</DocSecurity>
  <Lines>3443</Lines>
  <Paragraphs>2628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55196</CharactersWithSpaces>
  <SharedDoc>false</SharedDoc>
  <HLinks>
    <vt:vector size="138" baseType="variant">
      <vt:variant>
        <vt:i4>5046279</vt:i4>
      </vt:variant>
      <vt:variant>
        <vt:i4>135</vt:i4>
      </vt:variant>
      <vt:variant>
        <vt:i4>0</vt:i4>
      </vt:variant>
      <vt:variant>
        <vt:i4>5</vt:i4>
      </vt:variant>
      <vt:variant>
        <vt:lpwstr>http://eur-lex.europa.eu/budget/www/index-en.htm</vt:lpwstr>
      </vt:variant>
      <vt:variant>
        <vt:lpwstr/>
      </vt:variant>
      <vt:variant>
        <vt:i4>1572925</vt:i4>
      </vt:variant>
      <vt:variant>
        <vt:i4>128</vt:i4>
      </vt:variant>
      <vt:variant>
        <vt:i4>0</vt:i4>
      </vt:variant>
      <vt:variant>
        <vt:i4>5</vt:i4>
      </vt:variant>
      <vt:variant>
        <vt:lpwstr/>
      </vt:variant>
      <vt:variant>
        <vt:lpwstr>_Toc404699400</vt:lpwstr>
      </vt:variant>
      <vt:variant>
        <vt:i4>1114170</vt:i4>
      </vt:variant>
      <vt:variant>
        <vt:i4>122</vt:i4>
      </vt:variant>
      <vt:variant>
        <vt:i4>0</vt:i4>
      </vt:variant>
      <vt:variant>
        <vt:i4>5</vt:i4>
      </vt:variant>
      <vt:variant>
        <vt:lpwstr/>
      </vt:variant>
      <vt:variant>
        <vt:lpwstr>_Toc404699399</vt:lpwstr>
      </vt:variant>
      <vt:variant>
        <vt:i4>1114170</vt:i4>
      </vt:variant>
      <vt:variant>
        <vt:i4>116</vt:i4>
      </vt:variant>
      <vt:variant>
        <vt:i4>0</vt:i4>
      </vt:variant>
      <vt:variant>
        <vt:i4>5</vt:i4>
      </vt:variant>
      <vt:variant>
        <vt:lpwstr/>
      </vt:variant>
      <vt:variant>
        <vt:lpwstr>_Toc404699398</vt:lpwstr>
      </vt:variant>
      <vt:variant>
        <vt:i4>1114170</vt:i4>
      </vt:variant>
      <vt:variant>
        <vt:i4>110</vt:i4>
      </vt:variant>
      <vt:variant>
        <vt:i4>0</vt:i4>
      </vt:variant>
      <vt:variant>
        <vt:i4>5</vt:i4>
      </vt:variant>
      <vt:variant>
        <vt:lpwstr/>
      </vt:variant>
      <vt:variant>
        <vt:lpwstr>_Toc404699397</vt:lpwstr>
      </vt:variant>
      <vt:variant>
        <vt:i4>1114170</vt:i4>
      </vt:variant>
      <vt:variant>
        <vt:i4>104</vt:i4>
      </vt:variant>
      <vt:variant>
        <vt:i4>0</vt:i4>
      </vt:variant>
      <vt:variant>
        <vt:i4>5</vt:i4>
      </vt:variant>
      <vt:variant>
        <vt:lpwstr/>
      </vt:variant>
      <vt:variant>
        <vt:lpwstr>_Toc404699396</vt:lpwstr>
      </vt:variant>
      <vt:variant>
        <vt:i4>1114170</vt:i4>
      </vt:variant>
      <vt:variant>
        <vt:i4>98</vt:i4>
      </vt:variant>
      <vt:variant>
        <vt:i4>0</vt:i4>
      </vt:variant>
      <vt:variant>
        <vt:i4>5</vt:i4>
      </vt:variant>
      <vt:variant>
        <vt:lpwstr/>
      </vt:variant>
      <vt:variant>
        <vt:lpwstr>_Toc404699395</vt:lpwstr>
      </vt:variant>
      <vt:variant>
        <vt:i4>1114170</vt:i4>
      </vt:variant>
      <vt:variant>
        <vt:i4>92</vt:i4>
      </vt:variant>
      <vt:variant>
        <vt:i4>0</vt:i4>
      </vt:variant>
      <vt:variant>
        <vt:i4>5</vt:i4>
      </vt:variant>
      <vt:variant>
        <vt:lpwstr/>
      </vt:variant>
      <vt:variant>
        <vt:lpwstr>_Toc404699394</vt:lpwstr>
      </vt:variant>
      <vt:variant>
        <vt:i4>1114170</vt:i4>
      </vt:variant>
      <vt:variant>
        <vt:i4>86</vt:i4>
      </vt:variant>
      <vt:variant>
        <vt:i4>0</vt:i4>
      </vt:variant>
      <vt:variant>
        <vt:i4>5</vt:i4>
      </vt:variant>
      <vt:variant>
        <vt:lpwstr/>
      </vt:variant>
      <vt:variant>
        <vt:lpwstr>_Toc404699393</vt:lpwstr>
      </vt:variant>
      <vt:variant>
        <vt:i4>1114170</vt:i4>
      </vt:variant>
      <vt:variant>
        <vt:i4>80</vt:i4>
      </vt:variant>
      <vt:variant>
        <vt:i4>0</vt:i4>
      </vt:variant>
      <vt:variant>
        <vt:i4>5</vt:i4>
      </vt:variant>
      <vt:variant>
        <vt:lpwstr/>
      </vt:variant>
      <vt:variant>
        <vt:lpwstr>_Toc404699392</vt:lpwstr>
      </vt:variant>
      <vt:variant>
        <vt:i4>1114170</vt:i4>
      </vt:variant>
      <vt:variant>
        <vt:i4>74</vt:i4>
      </vt:variant>
      <vt:variant>
        <vt:i4>0</vt:i4>
      </vt:variant>
      <vt:variant>
        <vt:i4>5</vt:i4>
      </vt:variant>
      <vt:variant>
        <vt:lpwstr/>
      </vt:variant>
      <vt:variant>
        <vt:lpwstr>_Toc404699391</vt:lpwstr>
      </vt:variant>
      <vt:variant>
        <vt:i4>1114170</vt:i4>
      </vt:variant>
      <vt:variant>
        <vt:i4>68</vt:i4>
      </vt:variant>
      <vt:variant>
        <vt:i4>0</vt:i4>
      </vt:variant>
      <vt:variant>
        <vt:i4>5</vt:i4>
      </vt:variant>
      <vt:variant>
        <vt:lpwstr/>
      </vt:variant>
      <vt:variant>
        <vt:lpwstr>_Toc404699390</vt:lpwstr>
      </vt:variant>
      <vt:variant>
        <vt:i4>1048634</vt:i4>
      </vt:variant>
      <vt:variant>
        <vt:i4>62</vt:i4>
      </vt:variant>
      <vt:variant>
        <vt:i4>0</vt:i4>
      </vt:variant>
      <vt:variant>
        <vt:i4>5</vt:i4>
      </vt:variant>
      <vt:variant>
        <vt:lpwstr/>
      </vt:variant>
      <vt:variant>
        <vt:lpwstr>_Toc404699389</vt:lpwstr>
      </vt:variant>
      <vt:variant>
        <vt:i4>1048634</vt:i4>
      </vt:variant>
      <vt:variant>
        <vt:i4>56</vt:i4>
      </vt:variant>
      <vt:variant>
        <vt:i4>0</vt:i4>
      </vt:variant>
      <vt:variant>
        <vt:i4>5</vt:i4>
      </vt:variant>
      <vt:variant>
        <vt:lpwstr/>
      </vt:variant>
      <vt:variant>
        <vt:lpwstr>_Toc404699388</vt:lpwstr>
      </vt:variant>
      <vt:variant>
        <vt:i4>1048634</vt:i4>
      </vt:variant>
      <vt:variant>
        <vt:i4>50</vt:i4>
      </vt:variant>
      <vt:variant>
        <vt:i4>0</vt:i4>
      </vt:variant>
      <vt:variant>
        <vt:i4>5</vt:i4>
      </vt:variant>
      <vt:variant>
        <vt:lpwstr/>
      </vt:variant>
      <vt:variant>
        <vt:lpwstr>_Toc404699387</vt:lpwstr>
      </vt:variant>
      <vt:variant>
        <vt:i4>1048634</vt:i4>
      </vt:variant>
      <vt:variant>
        <vt:i4>44</vt:i4>
      </vt:variant>
      <vt:variant>
        <vt:i4>0</vt:i4>
      </vt:variant>
      <vt:variant>
        <vt:i4>5</vt:i4>
      </vt:variant>
      <vt:variant>
        <vt:lpwstr/>
      </vt:variant>
      <vt:variant>
        <vt:lpwstr>_Toc404699386</vt:lpwstr>
      </vt:variant>
      <vt:variant>
        <vt:i4>1048634</vt:i4>
      </vt:variant>
      <vt:variant>
        <vt:i4>38</vt:i4>
      </vt:variant>
      <vt:variant>
        <vt:i4>0</vt:i4>
      </vt:variant>
      <vt:variant>
        <vt:i4>5</vt:i4>
      </vt:variant>
      <vt:variant>
        <vt:lpwstr/>
      </vt:variant>
      <vt:variant>
        <vt:lpwstr>_Toc404699385</vt:lpwstr>
      </vt:variant>
      <vt:variant>
        <vt:i4>1048634</vt:i4>
      </vt:variant>
      <vt:variant>
        <vt:i4>32</vt:i4>
      </vt:variant>
      <vt:variant>
        <vt:i4>0</vt:i4>
      </vt:variant>
      <vt:variant>
        <vt:i4>5</vt:i4>
      </vt:variant>
      <vt:variant>
        <vt:lpwstr/>
      </vt:variant>
      <vt:variant>
        <vt:lpwstr>_Toc404699384</vt:lpwstr>
      </vt:variant>
      <vt:variant>
        <vt:i4>1048634</vt:i4>
      </vt:variant>
      <vt:variant>
        <vt:i4>26</vt:i4>
      </vt:variant>
      <vt:variant>
        <vt:i4>0</vt:i4>
      </vt:variant>
      <vt:variant>
        <vt:i4>5</vt:i4>
      </vt:variant>
      <vt:variant>
        <vt:lpwstr/>
      </vt:variant>
      <vt:variant>
        <vt:lpwstr>_Toc404699383</vt:lpwstr>
      </vt:variant>
      <vt:variant>
        <vt:i4>1048634</vt:i4>
      </vt:variant>
      <vt:variant>
        <vt:i4>20</vt:i4>
      </vt:variant>
      <vt:variant>
        <vt:i4>0</vt:i4>
      </vt:variant>
      <vt:variant>
        <vt:i4>5</vt:i4>
      </vt:variant>
      <vt:variant>
        <vt:lpwstr/>
      </vt:variant>
      <vt:variant>
        <vt:lpwstr>_Toc404699382</vt:lpwstr>
      </vt:variant>
      <vt:variant>
        <vt:i4>1048634</vt:i4>
      </vt:variant>
      <vt:variant>
        <vt:i4>14</vt:i4>
      </vt:variant>
      <vt:variant>
        <vt:i4>0</vt:i4>
      </vt:variant>
      <vt:variant>
        <vt:i4>5</vt:i4>
      </vt:variant>
      <vt:variant>
        <vt:lpwstr/>
      </vt:variant>
      <vt:variant>
        <vt:lpwstr>_Toc404699381</vt:lpwstr>
      </vt:variant>
      <vt:variant>
        <vt:i4>1048634</vt:i4>
      </vt:variant>
      <vt:variant>
        <vt:i4>8</vt:i4>
      </vt:variant>
      <vt:variant>
        <vt:i4>0</vt:i4>
      </vt:variant>
      <vt:variant>
        <vt:i4>5</vt:i4>
      </vt:variant>
      <vt:variant>
        <vt:lpwstr/>
      </vt:variant>
      <vt:variant>
        <vt:lpwstr>_Toc404699380</vt:lpwstr>
      </vt:variant>
      <vt:variant>
        <vt:i4>2031674</vt:i4>
      </vt:variant>
      <vt:variant>
        <vt:i4>2</vt:i4>
      </vt:variant>
      <vt:variant>
        <vt:i4>0</vt:i4>
      </vt:variant>
      <vt:variant>
        <vt:i4>5</vt:i4>
      </vt:variant>
      <vt:variant>
        <vt:lpwstr/>
      </vt:variant>
      <vt:variant>
        <vt:lpwstr>_Toc404699379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16</cp:revision>
  <cp:lastPrinted>2018-11-21T09:51:00Z</cp:lastPrinted>
  <dcterms:created xsi:type="dcterms:W3CDTF">2018-11-29T11:48:00Z</dcterms:created>
  <dcterms:modified xsi:type="dcterms:W3CDTF">2018-11-30T08:25:00Z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evel of sensitivity">
    <vt:lpwstr>Standard treatment</vt:lpwstr>
  </property>
  <property fmtid="{D5CDD505-2E9C-101B-9397-08002B2CF9AE}" pid="7" name="Last edited using">
    <vt:lpwstr>LW 6.0.1, Build 20180503</vt:lpwstr>
  </property>
  <property fmtid="{D5CDD505-2E9C-101B-9397-08002B2CF9AE}" pid="8" name="Created using">
    <vt:lpwstr>LW 6.0.1, Build 20180503</vt:lpwstr>
  </property>
</Properties>
</file>