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AF9B30A-23D1-4881-A5A3-0C274D6A7BE7" style="width:451.5pt;height:320.25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tabs>
          <w:tab w:val="left" w:pos="7560"/>
        </w:tabs>
        <w:spacing w:after="0" w:line="240" w:lineRule="auto"/>
        <w:jc w:val="both"/>
        <w:rPr>
          <w:rFonts w:eastAsia="Times New Roman"/>
          <w:b/>
          <w:noProof/>
          <w:sz w:val="80"/>
          <w:szCs w:val="80"/>
        </w:rPr>
      </w:pPr>
      <w:bookmarkStart w:id="1" w:name="_GoBack"/>
      <w:bookmarkEnd w:id="1"/>
      <w:r>
        <w:rPr>
          <w:b/>
          <w:noProof/>
          <w:sz w:val="80"/>
        </w:rPr>
        <w:lastRenderedPageBreak/>
        <w:t>DOCUMENTS</w:t>
      </w: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tc>
          <w:tcPr>
            <w:tcW w:w="11040" w:type="dxa"/>
            <w:shd w:val="clear" w:color="auto" w:fill="0000FF"/>
          </w:tcPr>
          <w:p>
            <w:pPr>
              <w:tabs>
                <w:tab w:val="left" w:pos="1800"/>
                <w:tab w:val="left" w:pos="2250"/>
                <w:tab w:val="left" w:pos="7560"/>
              </w:tabs>
              <w:spacing w:after="0" w:line="240" w:lineRule="auto"/>
              <w:jc w:val="both"/>
              <w:rPr>
                <w:rFonts w:eastAsia="Times New Roman"/>
                <w:noProof/>
                <w:color w:val="0000FF"/>
                <w:sz w:val="24"/>
                <w:szCs w:val="24"/>
              </w:rPr>
            </w:pPr>
            <w:r>
              <w:rPr>
                <w:noProof/>
              </w:rPr>
              <w:tab/>
            </w:r>
            <w:r>
              <w:rPr>
                <w:noProof/>
              </w:rPr>
              <w:tab/>
            </w:r>
          </w:p>
        </w:tc>
      </w:tr>
    </w:tbl>
    <w:p>
      <w:pPr>
        <w:spacing w:after="0" w:line="240" w:lineRule="auto"/>
        <w:ind w:right="972"/>
        <w:rPr>
          <w:rFonts w:eastAsia="Times New Roman"/>
          <w:b/>
          <w:noProof/>
          <w:sz w:val="44"/>
          <w:szCs w:val="44"/>
        </w:rPr>
      </w:pPr>
      <w:r>
        <w:rPr>
          <w:b/>
          <w:noProof/>
          <w:sz w:val="44"/>
        </w:rPr>
        <w:t>Deuxième PROJET de budget général</w:t>
      </w:r>
      <w:r>
        <w:rPr>
          <w:rFonts w:eastAsia="Times New Roman"/>
          <w:b/>
          <w:noProof/>
          <w:sz w:val="44"/>
          <w:szCs w:val="44"/>
        </w:rPr>
        <w:br/>
      </w:r>
      <w:r>
        <w:rPr>
          <w:b/>
          <w:noProof/>
          <w:sz w:val="44"/>
        </w:rPr>
        <w:t>de l'Union européenne</w:t>
      </w:r>
      <w:r>
        <w:rPr>
          <w:rFonts w:eastAsia="Times New Roman"/>
          <w:b/>
          <w:noProof/>
          <w:sz w:val="44"/>
          <w:szCs w:val="44"/>
        </w:rPr>
        <w:br/>
      </w:r>
      <w:r>
        <w:rPr>
          <w:b/>
          <w:noProof/>
          <w:sz w:val="44"/>
        </w:rPr>
        <w:t>pour l'exercice 2019</w:t>
      </w:r>
    </w:p>
    <w:p>
      <w:pPr>
        <w:spacing w:after="0" w:line="240" w:lineRule="auto"/>
        <w:jc w:val="both"/>
        <w:rPr>
          <w:rFonts w:eastAsia="Times New Roman"/>
          <w:b/>
          <w:noProof/>
          <w:sz w:val="44"/>
          <w:szCs w:val="44"/>
        </w:rPr>
      </w:pPr>
    </w:p>
    <w:p>
      <w:pPr>
        <w:spacing w:after="0" w:line="240" w:lineRule="auto"/>
        <w:jc w:val="both"/>
        <w:rPr>
          <w:rFonts w:eastAsia="Times New Roman"/>
          <w:b/>
          <w:noProof/>
          <w:sz w:val="44"/>
          <w:szCs w:val="44"/>
        </w:rPr>
      </w:pPr>
    </w:p>
    <w:p>
      <w:pPr>
        <w:spacing w:after="0" w:line="240" w:lineRule="auto"/>
        <w:ind w:right="1512"/>
        <w:jc w:val="both"/>
        <w:rPr>
          <w:rFonts w:eastAsia="Times New Roman"/>
          <w:b/>
          <w:noProof/>
          <w:sz w:val="36"/>
          <w:szCs w:val="36"/>
        </w:rPr>
      </w:pPr>
      <w:r>
        <w:rPr>
          <w:b/>
          <w:noProof/>
          <w:sz w:val="36"/>
        </w:rPr>
        <w:t>INTRODUCTION GÉNÉRALE</w:t>
      </w: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7560"/>
          <w:tab w:val="right" w:pos="9000"/>
        </w:tabs>
        <w:spacing w:after="0" w:line="240" w:lineRule="auto"/>
        <w:ind w:right="23"/>
        <w:jc w:val="right"/>
        <w:rPr>
          <w:rFonts w:eastAsia="Times New Roman"/>
          <w:noProof/>
        </w:rPr>
      </w:pPr>
    </w:p>
    <w:p>
      <w:pPr>
        <w:tabs>
          <w:tab w:val="left" w:pos="7560"/>
          <w:tab w:val="right" w:pos="9000"/>
        </w:tabs>
        <w:spacing w:after="0" w:line="240" w:lineRule="auto"/>
        <w:ind w:right="23"/>
        <w:jc w:val="right"/>
        <w:rPr>
          <w:rFonts w:eastAsia="Times New Roman"/>
          <w:noProof/>
        </w:rPr>
      </w:pP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tc>
          <w:tcPr>
            <w:tcW w:w="11040" w:type="dxa"/>
            <w:shd w:val="clear" w:color="auto" w:fill="0000FF"/>
          </w:tcPr>
          <w:p>
            <w:pPr>
              <w:tabs>
                <w:tab w:val="left" w:pos="7560"/>
              </w:tabs>
              <w:spacing w:after="0" w:line="240" w:lineRule="auto"/>
              <w:jc w:val="both"/>
              <w:rPr>
                <w:rFonts w:eastAsia="Times New Roman"/>
                <w:noProof/>
                <w:sz w:val="32"/>
                <w:szCs w:val="32"/>
              </w:rPr>
            </w:pPr>
          </w:p>
          <w:p>
            <w:pPr>
              <w:tabs>
                <w:tab w:val="left" w:pos="7560"/>
              </w:tabs>
              <w:spacing w:after="0" w:line="240" w:lineRule="auto"/>
              <w:jc w:val="both"/>
              <w:rPr>
                <w:rFonts w:eastAsia="Times New Roman"/>
                <w:noProof/>
                <w:sz w:val="32"/>
                <w:szCs w:val="32"/>
              </w:rPr>
            </w:pPr>
          </w:p>
          <w:p>
            <w:pPr>
              <w:tabs>
                <w:tab w:val="left" w:pos="7560"/>
              </w:tabs>
              <w:spacing w:after="0" w:line="240" w:lineRule="auto"/>
              <w:jc w:val="both"/>
              <w:rPr>
                <w:rFonts w:eastAsia="Times New Roman"/>
                <w:noProof/>
                <w:sz w:val="32"/>
                <w:szCs w:val="32"/>
              </w:rPr>
            </w:pPr>
          </w:p>
          <w:p>
            <w:pPr>
              <w:tabs>
                <w:tab w:val="left" w:pos="7560"/>
              </w:tabs>
              <w:spacing w:after="0" w:line="240" w:lineRule="auto"/>
              <w:jc w:val="both"/>
              <w:rPr>
                <w:rFonts w:eastAsia="Times New Roman"/>
                <w:noProof/>
                <w:sz w:val="32"/>
                <w:szCs w:val="32"/>
              </w:rPr>
            </w:pPr>
          </w:p>
          <w:p>
            <w:pPr>
              <w:tabs>
                <w:tab w:val="left" w:pos="7560"/>
              </w:tabs>
              <w:spacing w:after="0" w:line="240" w:lineRule="auto"/>
              <w:jc w:val="both"/>
              <w:rPr>
                <w:rFonts w:eastAsia="Times New Roman"/>
                <w:noProof/>
                <w:sz w:val="32"/>
                <w:szCs w:val="32"/>
              </w:rPr>
            </w:pPr>
          </w:p>
        </w:tc>
      </w:tr>
    </w:tbl>
    <w:p>
      <w:pPr>
        <w:spacing w:line="240" w:lineRule="auto"/>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p>
    <w:p>
      <w:pPr>
        <w:pStyle w:val="Prliminairetype"/>
        <w:rPr>
          <w:noProof/>
        </w:rPr>
      </w:pPr>
      <w:r>
        <w:rPr>
          <w:noProof/>
        </w:rPr>
        <w:t>PROJET DE BUDGET GÉNÉRAL 2019</w:t>
      </w:r>
    </w:p>
    <w:p>
      <w:pPr>
        <w:pStyle w:val="Prliminairetitre"/>
        <w:rPr>
          <w:noProof/>
        </w:rPr>
      </w:pPr>
      <w:bookmarkStart w:id="2" w:name="_Toc278112514"/>
      <w:r>
        <w:rPr>
          <w:noProof/>
        </w:rPr>
        <w:t>ÉTAT DES RECETTES ET DES DÉPENSES PAR SECTION</w:t>
      </w:r>
      <w:bookmarkEnd w:id="2"/>
      <w:r>
        <w:rPr>
          <w:noProof/>
        </w:rPr>
        <w:br/>
      </w:r>
    </w:p>
    <w:p>
      <w:pPr>
        <w:spacing w:line="240" w:lineRule="auto"/>
        <w:rPr>
          <w:noProof/>
        </w:rPr>
      </w:pPr>
      <w:r>
        <w:rPr>
          <w:noProof/>
        </w:rPr>
        <w:t>Vu:</w:t>
      </w:r>
    </w:p>
    <w:p>
      <w:pPr>
        <w:pStyle w:val="Tiret0"/>
        <w:numPr>
          <w:ilvl w:val="0"/>
          <w:numId w:val="24"/>
        </w:numPr>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rPr>
          <w:rFonts w:cs="Arial"/>
          <w:noProof/>
          <w:szCs w:val="18"/>
        </w:rPr>
      </w:pPr>
      <w:r>
        <w:rPr>
          <w:noProof/>
        </w:rPr>
        <w:t>le règlement (UE, Euratom) nº 1311/2013 du Conseil du 2 décembre 2013 fixant le cadre financier pluriannuel pour la période 2014-2020</w:t>
      </w:r>
      <w:r>
        <w:rPr>
          <w:rStyle w:val="FootnoteReference"/>
          <w:noProof/>
        </w:rPr>
        <w:footnoteReference w:id="1"/>
      </w:r>
      <w:r>
        <w:rPr>
          <w:noProof/>
        </w:rPr>
        <w:t xml:space="preserve"> (le «règlement CFP»), et notamment son article 13,</w:t>
      </w:r>
    </w:p>
    <w:p>
      <w:pPr>
        <w:pStyle w:val="Tiret0"/>
        <w:rPr>
          <w:rFonts w:cs="Arial"/>
          <w:noProof/>
          <w:szCs w:val="18"/>
        </w:rPr>
      </w:pPr>
      <w:r>
        <w:rPr>
          <w:noProof/>
        </w:rPr>
        <w:t>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
      </w:r>
      <w:r>
        <w:rPr>
          <w:noProof/>
        </w:rPr>
        <w:t>,</w:t>
      </w:r>
    </w:p>
    <w:p>
      <w:pPr>
        <w:pStyle w:val="Tiret0"/>
        <w:rPr>
          <w:rFonts w:cs="Arial"/>
          <w:noProof/>
          <w:szCs w:val="18"/>
        </w:rPr>
      </w:pPr>
      <w:r>
        <w:rPr>
          <w:noProof/>
        </w:rPr>
        <w:t>la décision 2014/335/UE, Euratom du Conseil du 26 mai 2014 relative au système des ressources propres de l’Union européenne</w:t>
      </w:r>
      <w:r>
        <w:rPr>
          <w:rStyle w:val="FootnoteReference"/>
          <w:noProof/>
        </w:rPr>
        <w:footnoteReference w:id="3"/>
      </w:r>
      <w:r>
        <w:rPr>
          <w:noProof/>
        </w:rPr>
        <w:t>,</w:t>
      </w:r>
    </w:p>
    <w:p>
      <w:pPr>
        <w:pStyle w:val="Tiret0"/>
        <w:numPr>
          <w:ilvl w:val="0"/>
          <w:numId w:val="24"/>
        </w:numPr>
        <w:rPr>
          <w:noProof/>
          <w:szCs w:val="18"/>
        </w:rPr>
      </w:pPr>
      <w:r>
        <w:rPr>
          <w:noProof/>
        </w:rPr>
        <w:t>le 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w:t>
      </w:r>
      <w:r>
        <w:rPr>
          <w:rStyle w:val="FootnoteReference"/>
          <w:noProof/>
        </w:rPr>
        <w:footnoteReference w:id="4"/>
      </w:r>
      <w:r>
        <w:rPr>
          <w:noProof/>
        </w:rPr>
        <w:t>,</w:t>
      </w:r>
    </w:p>
    <w:p>
      <w:pPr>
        <w:pStyle w:val="Tiret0"/>
        <w:numPr>
          <w:ilvl w:val="0"/>
          <w:numId w:val="24"/>
        </w:numPr>
        <w:rPr>
          <w:noProof/>
        </w:rPr>
      </w:pPr>
      <w:r>
        <w:rPr>
          <w:noProof/>
        </w:rPr>
        <w:t>le projet initial de budget général de l'Union européenne pour l'exercice 2019, présenté par la Commission le 21 juin 2018</w:t>
      </w:r>
      <w:r>
        <w:rPr>
          <w:rStyle w:val="FootnoteReference"/>
          <w:noProof/>
        </w:rPr>
        <w:footnoteReference w:id="5"/>
      </w:r>
      <w:r>
        <w:rPr>
          <w:noProof/>
        </w:rPr>
        <w:t>,</w:t>
      </w:r>
    </w:p>
    <w:p>
      <w:pPr>
        <w:pStyle w:val="Tiret0"/>
        <w:numPr>
          <w:ilvl w:val="0"/>
          <w:numId w:val="24"/>
        </w:numPr>
        <w:rPr>
          <w:noProof/>
        </w:rPr>
      </w:pPr>
      <w:r>
        <w:rPr>
          <w:noProof/>
        </w:rPr>
        <w:t>la position du Conseil sur le projet initial de budget général de l'Union européenne pour l'exercice 2019, adoptée par le Conseil le 4 septembre 2018</w:t>
      </w:r>
      <w:r>
        <w:rPr>
          <w:rStyle w:val="FootnoteReference"/>
          <w:noProof/>
        </w:rPr>
        <w:footnoteReference w:id="6"/>
      </w:r>
      <w:r>
        <w:rPr>
          <w:noProof/>
        </w:rPr>
        <w:t>,</w:t>
      </w:r>
    </w:p>
    <w:p>
      <w:pPr>
        <w:pStyle w:val="Tiret0"/>
        <w:numPr>
          <w:ilvl w:val="0"/>
          <w:numId w:val="24"/>
        </w:numPr>
        <w:rPr>
          <w:noProof/>
        </w:rPr>
      </w:pPr>
      <w:r>
        <w:rPr>
          <w:noProof/>
        </w:rPr>
        <w:t>la lettre rectificative nº 1/2019 au projet initial de budget général pour l'exercice 2019, présentée par la Commission le 16 octobre 2018</w:t>
      </w:r>
      <w:r>
        <w:rPr>
          <w:rStyle w:val="FootnoteReference"/>
          <w:noProof/>
        </w:rPr>
        <w:footnoteReference w:id="7"/>
      </w:r>
      <w:r>
        <w:rPr>
          <w:noProof/>
        </w:rPr>
        <w:t>,</w:t>
      </w:r>
    </w:p>
    <w:p>
      <w:pPr>
        <w:pStyle w:val="Tiret0"/>
        <w:numPr>
          <w:ilvl w:val="0"/>
          <w:numId w:val="24"/>
        </w:numPr>
        <w:rPr>
          <w:noProof/>
        </w:rPr>
      </w:pPr>
      <w:r>
        <w:rPr>
          <w:noProof/>
        </w:rPr>
        <w:t>les amendements du Parlement européen à la position du Conseil sur le projet initial de budget général de l'Union européenne pour l'exercice 2019, adoptés par le Parlement européen le 25 octobre 2018</w:t>
      </w:r>
      <w:r>
        <w:rPr>
          <w:rStyle w:val="FootnoteReference"/>
          <w:noProof/>
        </w:rPr>
        <w:footnoteReference w:id="8"/>
      </w:r>
      <w:r>
        <w:rPr>
          <w:noProof/>
        </w:rPr>
        <w:t>,</w:t>
      </w:r>
    </w:p>
    <w:p>
      <w:pPr>
        <w:spacing w:line="240" w:lineRule="auto"/>
        <w:jc w:val="both"/>
        <w:rPr>
          <w:noProof/>
        </w:rPr>
      </w:pPr>
      <w:r>
        <w:rPr>
          <w:noProof/>
        </w:rPr>
        <w:t>la Commission européenne présente ci-après au Parlement européen et au Conseil l’introduction générale au deuxième projet de budget général pour 2019.</w:t>
      </w:r>
    </w:p>
    <w:p>
      <w:pPr>
        <w:spacing w:line="240" w:lineRule="auto"/>
        <w:jc w:val="both"/>
        <w:rPr>
          <w:noProof/>
        </w:rPr>
      </w:pPr>
      <w:r>
        <w:rPr>
          <w:noProof/>
        </w:rPr>
        <w:t>Parallèlement à cette introduction générale, les informations détaillées par section du deuxième projet de budget pour 2019 sont disponibles sur le site EUR-Lex (</w:t>
      </w:r>
      <w:hyperlink r:id="rId22" w:tooltip="blocked::http://eur-lex.europa.eu/budget/www/index-fr.htm">
        <w:r>
          <w:rPr>
            <w:noProof/>
            <w:color w:val="0000FF"/>
            <w:u w:val="single"/>
          </w:rPr>
          <w:t>http://eur-lex.europa.eu/budget/www/index-fr.htm</w:t>
        </w:r>
      </w:hyperlink>
      <w:r>
        <w:rPr>
          <w:noProof/>
        </w:rPr>
        <w:t>) dans toutes les versions linguistiques.</w:t>
      </w:r>
    </w:p>
    <w:p>
      <w:pPr>
        <w:spacing w:line="240" w:lineRule="auto"/>
        <w:jc w:val="both"/>
        <w:rPr>
          <w:noProof/>
        </w:rPr>
      </w:pPr>
    </w:p>
    <w:p>
      <w:pPr>
        <w:pStyle w:val="TOCHeading"/>
        <w:rPr>
          <w:noProof/>
        </w:rPr>
      </w:pPr>
      <w:r>
        <w:rPr>
          <w:noProof/>
        </w:rPr>
        <w:t>TABLE DES MATIÈRES</w:t>
      </w:r>
    </w:p>
    <w:p>
      <w:pPr>
        <w:pStyle w:val="TOC1"/>
        <w:tabs>
          <w:tab w:val="left" w:pos="480"/>
          <w:tab w:val="right" w:leader="dot" w:pos="9770"/>
        </w:tabs>
        <w:rPr>
          <w:rFonts w:ascii="Times New Roman" w:eastAsiaTheme="minorEastAsia" w:hAnsi="Times New Roman" w:cs="Times New Roman"/>
          <w:b w:val="0"/>
          <w:bCs w:val="0"/>
          <w:caps w:val="0"/>
          <w:noProof/>
          <w:sz w:val="22"/>
          <w:szCs w:val="22"/>
          <w:lang w:val="en-GB" w:eastAsia="en-GB" w:bidi="ar-SA"/>
        </w:rPr>
      </w:pPr>
      <w:r>
        <w:rPr>
          <w:rFonts w:ascii="Times New Roman" w:hAnsi="Times New Roman" w:cs="Times New Roman"/>
          <w:b w:val="0"/>
          <w:bCs w:val="0"/>
          <w:caps w:val="0"/>
          <w:noProof/>
        </w:rPr>
        <w:fldChar w:fldCharType="begin"/>
      </w:r>
      <w:r>
        <w:rPr>
          <w:rFonts w:ascii="Times New Roman" w:hAnsi="Times New Roman" w:cs="Times New Roman"/>
          <w:b w:val="0"/>
          <w:bCs w:val="0"/>
          <w:caps w:val="0"/>
          <w:noProof/>
        </w:rPr>
        <w:instrText xml:space="preserve"> TOC \o "1-3" \h \z \u </w:instrText>
      </w:r>
      <w:r>
        <w:rPr>
          <w:rFonts w:ascii="Times New Roman" w:hAnsi="Times New Roman" w:cs="Times New Roman"/>
          <w:b w:val="0"/>
          <w:bCs w:val="0"/>
          <w:caps w:val="0"/>
          <w:noProof/>
        </w:rPr>
        <w:fldChar w:fldCharType="separate"/>
      </w:r>
      <w:hyperlink w:anchor="_Toc531266743" w:history="1">
        <w:r>
          <w:rPr>
            <w:rStyle w:val="Hyperlink"/>
            <w:rFonts w:ascii="Times New Roman" w:hAnsi="Times New Roman"/>
            <w:noProof/>
          </w:rPr>
          <w:t>1.</w:t>
        </w:r>
        <w:r>
          <w:rPr>
            <w:rFonts w:ascii="Times New Roman" w:eastAsiaTheme="minorEastAsia" w:hAnsi="Times New Roman" w:cs="Times New Roman"/>
            <w:b w:val="0"/>
            <w:bCs w:val="0"/>
            <w:caps w:val="0"/>
            <w:noProof/>
            <w:sz w:val="22"/>
            <w:szCs w:val="22"/>
            <w:lang w:val="en-GB" w:eastAsia="en-GB" w:bidi="ar-SA"/>
          </w:rPr>
          <w:tab/>
        </w:r>
        <w:r>
          <w:rPr>
            <w:rStyle w:val="Hyperlink"/>
            <w:rFonts w:ascii="Times New Roman" w:hAnsi="Times New Roman"/>
            <w:noProof/>
          </w:rPr>
          <w:t>Introduction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_Toc531266743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tabs>
          <w:tab w:val="left" w:pos="480"/>
          <w:tab w:val="right" w:leader="dot" w:pos="9770"/>
        </w:tabs>
        <w:rPr>
          <w:rFonts w:ascii="Times New Roman" w:eastAsiaTheme="minorEastAsia" w:hAnsi="Times New Roman" w:cs="Times New Roman"/>
          <w:b w:val="0"/>
          <w:bCs w:val="0"/>
          <w:caps w:val="0"/>
          <w:noProof/>
          <w:sz w:val="22"/>
          <w:szCs w:val="22"/>
          <w:lang w:val="en-GB" w:eastAsia="en-GB" w:bidi="ar-SA"/>
        </w:rPr>
      </w:pPr>
      <w:hyperlink w:anchor="_Toc531266744" w:history="1">
        <w:r>
          <w:rPr>
            <w:rStyle w:val="Hyperlink"/>
            <w:rFonts w:ascii="Times New Roman" w:hAnsi="Times New Roman"/>
            <w:noProof/>
          </w:rPr>
          <w:t>2.</w:t>
        </w:r>
        <w:r>
          <w:rPr>
            <w:rFonts w:ascii="Times New Roman" w:eastAsiaTheme="minorEastAsia" w:hAnsi="Times New Roman" w:cs="Times New Roman"/>
            <w:b w:val="0"/>
            <w:bCs w:val="0"/>
            <w:caps w:val="0"/>
            <w:noProof/>
            <w:sz w:val="22"/>
            <w:szCs w:val="22"/>
            <w:lang w:val="en-GB" w:eastAsia="en-GB" w:bidi="ar-SA"/>
          </w:rPr>
          <w:tab/>
        </w:r>
        <w:r>
          <w:rPr>
            <w:rStyle w:val="Hyperlink"/>
            <w:rFonts w:ascii="Times New Roman" w:hAnsi="Times New Roman"/>
            <w:noProof/>
          </w:rPr>
          <w:t>Le cadre financier pluriannuel et le deuxième projet de budget 2019</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_Toc531266744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val="en-GB" w:eastAsia="en-GB" w:bidi="ar-SA"/>
        </w:rPr>
      </w:pPr>
      <w:hyperlink w:anchor="_Toc531266745" w:history="1">
        <w:r>
          <w:rPr>
            <w:rStyle w:val="Hyperlink"/>
            <w:rFonts w:ascii="Times New Roman" w:hAnsi="Times New Roman"/>
            <w:noProof/>
          </w:rPr>
          <w:t>2.1.</w:t>
        </w:r>
        <w:r>
          <w:rPr>
            <w:rFonts w:ascii="Times New Roman" w:eastAsiaTheme="minorEastAsia" w:hAnsi="Times New Roman" w:cs="Times New Roman"/>
            <w:smallCaps w:val="0"/>
            <w:noProof/>
            <w:sz w:val="22"/>
            <w:szCs w:val="22"/>
            <w:lang w:val="en-GB" w:eastAsia="en-GB" w:bidi="ar-SA"/>
          </w:rPr>
          <w:tab/>
        </w:r>
        <w:r>
          <w:rPr>
            <w:rStyle w:val="Hyperlink"/>
            <w:rFonts w:ascii="Times New Roman" w:hAnsi="Times New Roman"/>
            <w:noProof/>
          </w:rPr>
          <w:t>Plafonds du cadre financier pluriannuel pour le budget 2019</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_Toc531266745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val="en-GB" w:eastAsia="en-GB" w:bidi="ar-SA"/>
        </w:rPr>
      </w:pPr>
      <w:hyperlink w:anchor="_Toc531266746" w:history="1">
        <w:r>
          <w:rPr>
            <w:rStyle w:val="Hyperlink"/>
            <w:rFonts w:ascii="Times New Roman" w:hAnsi="Times New Roman"/>
            <w:noProof/>
          </w:rPr>
          <w:t>2.2.</w:t>
        </w:r>
        <w:r>
          <w:rPr>
            <w:rFonts w:ascii="Times New Roman" w:eastAsiaTheme="minorEastAsia" w:hAnsi="Times New Roman" w:cs="Times New Roman"/>
            <w:smallCaps w:val="0"/>
            <w:noProof/>
            <w:sz w:val="22"/>
            <w:szCs w:val="22"/>
            <w:lang w:val="en-GB" w:eastAsia="en-GB" w:bidi="ar-SA"/>
          </w:rPr>
          <w:tab/>
        </w:r>
        <w:r>
          <w:rPr>
            <w:rStyle w:val="Hyperlink"/>
            <w:rFonts w:ascii="Times New Roman" w:hAnsi="Times New Roman"/>
            <w:noProof/>
          </w:rPr>
          <w:t>Vue d'ensemble du deuxième projet de budget 2019</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_Toc531266746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1"/>
        <w:tabs>
          <w:tab w:val="left" w:pos="480"/>
          <w:tab w:val="right" w:leader="dot" w:pos="9770"/>
        </w:tabs>
        <w:rPr>
          <w:rFonts w:ascii="Times New Roman" w:eastAsiaTheme="minorEastAsia" w:hAnsi="Times New Roman" w:cs="Times New Roman"/>
          <w:b w:val="0"/>
          <w:bCs w:val="0"/>
          <w:caps w:val="0"/>
          <w:noProof/>
          <w:sz w:val="22"/>
          <w:szCs w:val="22"/>
          <w:lang w:val="en-GB" w:eastAsia="en-GB" w:bidi="ar-SA"/>
        </w:rPr>
      </w:pPr>
      <w:hyperlink w:anchor="_Toc531266747" w:history="1">
        <w:r>
          <w:rPr>
            <w:rStyle w:val="Hyperlink"/>
            <w:rFonts w:ascii="Times New Roman" w:hAnsi="Times New Roman"/>
            <w:noProof/>
          </w:rPr>
          <w:t>3.</w:t>
        </w:r>
        <w:r>
          <w:rPr>
            <w:rFonts w:ascii="Times New Roman" w:eastAsiaTheme="minorEastAsia" w:hAnsi="Times New Roman" w:cs="Times New Roman"/>
            <w:b w:val="0"/>
            <w:bCs w:val="0"/>
            <w:caps w:val="0"/>
            <w:noProof/>
            <w:sz w:val="22"/>
            <w:szCs w:val="22"/>
            <w:lang w:val="en-GB" w:eastAsia="en-GB" w:bidi="ar-SA"/>
          </w:rPr>
          <w:tab/>
        </w:r>
        <w:r>
          <w:rPr>
            <w:rStyle w:val="Hyperlink"/>
            <w:rFonts w:ascii="Times New Roman" w:hAnsi="Times New Roman"/>
            <w:noProof/>
          </w:rPr>
          <w:t>Éléments clés de la deuxième proposition de projet de budget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_Toc531266747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val="en-GB" w:eastAsia="en-GB" w:bidi="ar-SA"/>
        </w:rPr>
      </w:pPr>
      <w:hyperlink w:anchor="_Toc531266748" w:history="1">
        <w:r>
          <w:rPr>
            <w:rStyle w:val="Hyperlink"/>
            <w:rFonts w:ascii="Times New Roman" w:hAnsi="Times New Roman"/>
            <w:noProof/>
          </w:rPr>
          <w:t>3.1.</w:t>
        </w:r>
        <w:r>
          <w:rPr>
            <w:rFonts w:ascii="Times New Roman" w:eastAsiaTheme="minorEastAsia" w:hAnsi="Times New Roman" w:cs="Times New Roman"/>
            <w:smallCaps w:val="0"/>
            <w:noProof/>
            <w:sz w:val="22"/>
            <w:szCs w:val="22"/>
            <w:lang w:val="en-GB" w:eastAsia="en-GB" w:bidi="ar-SA"/>
          </w:rPr>
          <w:tab/>
        </w:r>
        <w:r>
          <w:rPr>
            <w:rStyle w:val="Hyperlink"/>
            <w:rFonts w:ascii="Times New Roman" w:hAnsi="Times New Roman"/>
            <w:noProof/>
          </w:rPr>
          <w:t>Questions horizontales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_Toc531266748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val="en-GB" w:eastAsia="en-GB" w:bidi="ar-SA"/>
        </w:rPr>
      </w:pPr>
      <w:hyperlink w:anchor="_Toc531266749" w:history="1">
        <w:r>
          <w:rPr>
            <w:rStyle w:val="Hyperlink"/>
            <w:rFonts w:ascii="Times New Roman" w:hAnsi="Times New Roman"/>
            <w:noProof/>
          </w:rPr>
          <w:t>3.1.1.</w:t>
        </w:r>
        <w:r>
          <w:rPr>
            <w:rFonts w:ascii="Times New Roman" w:eastAsiaTheme="minorEastAsia" w:hAnsi="Times New Roman" w:cs="Times New Roman"/>
            <w:i w:val="0"/>
            <w:iCs w:val="0"/>
            <w:noProof/>
            <w:sz w:val="22"/>
            <w:szCs w:val="22"/>
            <w:lang w:val="en-GB" w:eastAsia="en-GB" w:bidi="ar-SA"/>
          </w:rPr>
          <w:tab/>
        </w:r>
        <w:r>
          <w:rPr>
            <w:rStyle w:val="Hyperlink"/>
            <w:rFonts w:ascii="Times New Roman" w:hAnsi="Times New Roman"/>
            <w:noProof/>
          </w:rPr>
          <w:t>Organismes décentralisés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_Toc531266749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val="en-GB" w:eastAsia="en-GB" w:bidi="ar-SA"/>
        </w:rPr>
      </w:pPr>
      <w:hyperlink w:anchor="_Toc531266750" w:history="1">
        <w:r>
          <w:rPr>
            <w:rStyle w:val="Hyperlink"/>
            <w:rFonts w:ascii="Times New Roman" w:hAnsi="Times New Roman"/>
            <w:noProof/>
          </w:rPr>
          <w:t>3.1.2.</w:t>
        </w:r>
        <w:r>
          <w:rPr>
            <w:rFonts w:ascii="Times New Roman" w:eastAsiaTheme="minorEastAsia" w:hAnsi="Times New Roman" w:cs="Times New Roman"/>
            <w:i w:val="0"/>
            <w:iCs w:val="0"/>
            <w:noProof/>
            <w:sz w:val="22"/>
            <w:szCs w:val="22"/>
            <w:lang w:val="en-GB" w:eastAsia="en-GB" w:bidi="ar-SA"/>
          </w:rPr>
          <w:tab/>
        </w:r>
        <w:r>
          <w:rPr>
            <w:rStyle w:val="Hyperlink"/>
            <w:rFonts w:ascii="Times New Roman" w:hAnsi="Times New Roman"/>
            <w:noProof/>
          </w:rPr>
          <w:t>Agences exécutives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_Toc531266750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val="en-GB" w:eastAsia="en-GB" w:bidi="ar-SA"/>
        </w:rPr>
      </w:pPr>
      <w:hyperlink w:anchor="_Toc531266751" w:history="1">
        <w:r>
          <w:rPr>
            <w:rStyle w:val="Hyperlink"/>
            <w:rFonts w:ascii="Times New Roman" w:hAnsi="Times New Roman"/>
            <w:noProof/>
          </w:rPr>
          <w:t>3.1.3.</w:t>
        </w:r>
        <w:r>
          <w:rPr>
            <w:rFonts w:ascii="Times New Roman" w:eastAsiaTheme="minorEastAsia" w:hAnsi="Times New Roman" w:cs="Times New Roman"/>
            <w:i w:val="0"/>
            <w:iCs w:val="0"/>
            <w:noProof/>
            <w:sz w:val="22"/>
            <w:szCs w:val="22"/>
            <w:lang w:val="en-GB" w:eastAsia="en-GB" w:bidi="ar-SA"/>
          </w:rPr>
          <w:tab/>
        </w:r>
        <w:r>
          <w:rPr>
            <w:rStyle w:val="Hyperlink"/>
            <w:rFonts w:ascii="Times New Roman" w:hAnsi="Times New Roman"/>
            <w:noProof/>
          </w:rPr>
          <w:t>Projets pilotes et actions préparatoires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_Toc531266751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val="en-GB" w:eastAsia="en-GB" w:bidi="ar-SA"/>
        </w:rPr>
      </w:pPr>
      <w:hyperlink w:anchor="_Toc531266752" w:history="1">
        <w:r>
          <w:rPr>
            <w:rStyle w:val="Hyperlink"/>
            <w:rFonts w:ascii="Times New Roman" w:hAnsi="Times New Roman"/>
            <w:noProof/>
          </w:rPr>
          <w:t>3.2.</w:t>
        </w:r>
        <w:r>
          <w:rPr>
            <w:rFonts w:ascii="Times New Roman" w:eastAsiaTheme="minorEastAsia" w:hAnsi="Times New Roman" w:cs="Times New Roman"/>
            <w:smallCaps w:val="0"/>
            <w:noProof/>
            <w:sz w:val="22"/>
            <w:szCs w:val="22"/>
            <w:lang w:val="en-GB" w:eastAsia="en-GB" w:bidi="ar-SA"/>
          </w:rPr>
          <w:tab/>
        </w:r>
        <w:r>
          <w:rPr>
            <w:rStyle w:val="Hyperlink"/>
            <w:rFonts w:ascii="Times New Roman" w:hAnsi="Times New Roman"/>
            <w:noProof/>
          </w:rPr>
          <w:t>Approche globale en matière de crédits d’engagement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_Toc531266752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val="en-GB" w:eastAsia="en-GB" w:bidi="ar-SA"/>
        </w:rPr>
      </w:pPr>
      <w:hyperlink w:anchor="_Toc531266753" w:history="1">
        <w:r>
          <w:rPr>
            <w:rStyle w:val="Hyperlink"/>
            <w:rFonts w:ascii="Times New Roman" w:hAnsi="Times New Roman"/>
            <w:noProof/>
          </w:rPr>
          <w:t>3.2.1.</w:t>
        </w:r>
        <w:r>
          <w:rPr>
            <w:rFonts w:ascii="Times New Roman" w:eastAsiaTheme="minorEastAsia" w:hAnsi="Times New Roman" w:cs="Times New Roman"/>
            <w:i w:val="0"/>
            <w:iCs w:val="0"/>
            <w:noProof/>
            <w:sz w:val="22"/>
            <w:szCs w:val="22"/>
            <w:lang w:val="en-GB" w:eastAsia="en-GB" w:bidi="ar-SA"/>
          </w:rPr>
          <w:tab/>
        </w:r>
        <w:r>
          <w:rPr>
            <w:rStyle w:val="Hyperlink"/>
            <w:rFonts w:ascii="Times New Roman" w:hAnsi="Times New Roman"/>
            <w:noProof/>
          </w:rPr>
          <w:t>Rubrique 1a — Compétitivité pour la croissance et l'emploi</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_Toc531266753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val="en-GB" w:eastAsia="en-GB" w:bidi="ar-SA"/>
        </w:rPr>
      </w:pPr>
      <w:hyperlink w:anchor="_Toc531266754" w:history="1">
        <w:r>
          <w:rPr>
            <w:rStyle w:val="Hyperlink"/>
            <w:rFonts w:ascii="Times New Roman" w:hAnsi="Times New Roman"/>
            <w:noProof/>
          </w:rPr>
          <w:t>3.2.2.</w:t>
        </w:r>
        <w:r>
          <w:rPr>
            <w:rFonts w:ascii="Times New Roman" w:eastAsiaTheme="minorEastAsia" w:hAnsi="Times New Roman" w:cs="Times New Roman"/>
            <w:i w:val="0"/>
            <w:iCs w:val="0"/>
            <w:noProof/>
            <w:sz w:val="22"/>
            <w:szCs w:val="22"/>
            <w:lang w:val="en-GB" w:eastAsia="en-GB" w:bidi="ar-SA"/>
          </w:rPr>
          <w:tab/>
        </w:r>
        <w:r>
          <w:rPr>
            <w:rStyle w:val="Hyperlink"/>
            <w:rFonts w:ascii="Times New Roman" w:hAnsi="Times New Roman"/>
            <w:noProof/>
          </w:rPr>
          <w:t>Rubrique 1b — Cohésion économique, sociale et territoriale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_Toc531266754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val="en-GB" w:eastAsia="en-GB" w:bidi="ar-SA"/>
        </w:rPr>
      </w:pPr>
      <w:hyperlink w:anchor="_Toc531266755" w:history="1">
        <w:r>
          <w:rPr>
            <w:rStyle w:val="Hyperlink"/>
            <w:rFonts w:ascii="Times New Roman" w:hAnsi="Times New Roman"/>
            <w:noProof/>
          </w:rPr>
          <w:t>3.2.3.</w:t>
        </w:r>
        <w:r>
          <w:rPr>
            <w:rFonts w:ascii="Times New Roman" w:eastAsiaTheme="minorEastAsia" w:hAnsi="Times New Roman" w:cs="Times New Roman"/>
            <w:i w:val="0"/>
            <w:iCs w:val="0"/>
            <w:noProof/>
            <w:sz w:val="22"/>
            <w:szCs w:val="22"/>
            <w:lang w:val="en-GB" w:eastAsia="en-GB" w:bidi="ar-SA"/>
          </w:rPr>
          <w:tab/>
        </w:r>
        <w:r>
          <w:rPr>
            <w:rStyle w:val="Hyperlink"/>
            <w:rFonts w:ascii="Times New Roman" w:hAnsi="Times New Roman"/>
            <w:noProof/>
          </w:rPr>
          <w:t>Rubrique 2 — Croissance durable: ressources naturelles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_Toc531266755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val="en-GB" w:eastAsia="en-GB" w:bidi="ar-SA"/>
        </w:rPr>
      </w:pPr>
      <w:hyperlink w:anchor="_Toc531266756" w:history="1">
        <w:r>
          <w:rPr>
            <w:rStyle w:val="Hyperlink"/>
            <w:rFonts w:ascii="Times New Roman" w:hAnsi="Times New Roman"/>
            <w:noProof/>
          </w:rPr>
          <w:t>3.2.4.</w:t>
        </w:r>
        <w:r>
          <w:rPr>
            <w:rFonts w:ascii="Times New Roman" w:eastAsiaTheme="minorEastAsia" w:hAnsi="Times New Roman" w:cs="Times New Roman"/>
            <w:i w:val="0"/>
            <w:iCs w:val="0"/>
            <w:noProof/>
            <w:sz w:val="22"/>
            <w:szCs w:val="22"/>
            <w:lang w:val="en-GB" w:eastAsia="en-GB" w:bidi="ar-SA"/>
          </w:rPr>
          <w:tab/>
        </w:r>
        <w:r>
          <w:rPr>
            <w:rStyle w:val="Hyperlink"/>
            <w:rFonts w:ascii="Times New Roman" w:hAnsi="Times New Roman"/>
            <w:noProof/>
          </w:rPr>
          <w:t>Rubrique 3 — Sécurité et citoyenneté</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_Toc531266756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12</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val="en-GB" w:eastAsia="en-GB" w:bidi="ar-SA"/>
        </w:rPr>
      </w:pPr>
      <w:hyperlink w:anchor="_Toc531266757" w:history="1">
        <w:r>
          <w:rPr>
            <w:rStyle w:val="Hyperlink"/>
            <w:rFonts w:ascii="Times New Roman" w:hAnsi="Times New Roman"/>
            <w:noProof/>
          </w:rPr>
          <w:t>3.2.5.</w:t>
        </w:r>
        <w:r>
          <w:rPr>
            <w:rFonts w:ascii="Times New Roman" w:eastAsiaTheme="minorEastAsia" w:hAnsi="Times New Roman" w:cs="Times New Roman"/>
            <w:i w:val="0"/>
            <w:iCs w:val="0"/>
            <w:noProof/>
            <w:sz w:val="22"/>
            <w:szCs w:val="22"/>
            <w:lang w:val="en-GB" w:eastAsia="en-GB" w:bidi="ar-SA"/>
          </w:rPr>
          <w:tab/>
        </w:r>
        <w:r>
          <w:rPr>
            <w:rStyle w:val="Hyperlink"/>
            <w:rFonts w:ascii="Times New Roman" w:hAnsi="Times New Roman"/>
            <w:noProof/>
          </w:rPr>
          <w:t>Rubrique 4 — L'Europe dans le monde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_Toc531266757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12</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val="en-GB" w:eastAsia="en-GB" w:bidi="ar-SA"/>
        </w:rPr>
      </w:pPr>
      <w:hyperlink w:anchor="_Toc531266758" w:history="1">
        <w:r>
          <w:rPr>
            <w:rStyle w:val="Hyperlink"/>
            <w:rFonts w:ascii="Times New Roman" w:hAnsi="Times New Roman"/>
            <w:noProof/>
          </w:rPr>
          <w:t>3.2.6.</w:t>
        </w:r>
        <w:r>
          <w:rPr>
            <w:rFonts w:ascii="Times New Roman" w:eastAsiaTheme="minorEastAsia" w:hAnsi="Times New Roman" w:cs="Times New Roman"/>
            <w:i w:val="0"/>
            <w:iCs w:val="0"/>
            <w:noProof/>
            <w:sz w:val="22"/>
            <w:szCs w:val="22"/>
            <w:lang w:val="en-GB" w:eastAsia="en-GB" w:bidi="ar-SA"/>
          </w:rPr>
          <w:tab/>
        </w:r>
        <w:r>
          <w:rPr>
            <w:rStyle w:val="Hyperlink"/>
            <w:rFonts w:ascii="Times New Roman" w:hAnsi="Times New Roman"/>
            <w:noProof/>
          </w:rPr>
          <w:t>Rubrique 5 — Administration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_Toc531266758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14</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val="en-GB" w:eastAsia="en-GB" w:bidi="ar-SA"/>
        </w:rPr>
      </w:pPr>
      <w:hyperlink w:anchor="_Toc531266759" w:history="1">
        <w:r>
          <w:rPr>
            <w:rStyle w:val="Hyperlink"/>
            <w:rFonts w:ascii="Times New Roman" w:hAnsi="Times New Roman"/>
            <w:noProof/>
          </w:rPr>
          <w:t>3.2.7.</w:t>
        </w:r>
        <w:r>
          <w:rPr>
            <w:rFonts w:ascii="Times New Roman" w:eastAsiaTheme="minorEastAsia" w:hAnsi="Times New Roman" w:cs="Times New Roman"/>
            <w:i w:val="0"/>
            <w:iCs w:val="0"/>
            <w:noProof/>
            <w:sz w:val="22"/>
            <w:szCs w:val="22"/>
            <w:lang w:val="en-GB" w:eastAsia="en-GB" w:bidi="ar-SA"/>
          </w:rPr>
          <w:tab/>
        </w:r>
        <w:r>
          <w:rPr>
            <w:rStyle w:val="Hyperlink"/>
            <w:rFonts w:ascii="Times New Roman" w:hAnsi="Times New Roman"/>
            <w:noProof/>
          </w:rPr>
          <w:t>Instruments spéciaux: FEM, réserve d’aide d’urgence et FSUE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_Toc531266759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15</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val="en-GB" w:eastAsia="en-GB" w:bidi="ar-SA"/>
        </w:rPr>
      </w:pPr>
      <w:hyperlink w:anchor="_Toc531266760" w:history="1">
        <w:r>
          <w:rPr>
            <w:rStyle w:val="Hyperlink"/>
            <w:rFonts w:ascii="Times New Roman" w:hAnsi="Times New Roman"/>
            <w:noProof/>
          </w:rPr>
          <w:t>3.3.</w:t>
        </w:r>
        <w:r>
          <w:rPr>
            <w:rFonts w:ascii="Times New Roman" w:eastAsiaTheme="minorEastAsia" w:hAnsi="Times New Roman" w:cs="Times New Roman"/>
            <w:smallCaps w:val="0"/>
            <w:noProof/>
            <w:sz w:val="22"/>
            <w:szCs w:val="22"/>
            <w:lang w:val="en-GB" w:eastAsia="en-GB" w:bidi="ar-SA"/>
          </w:rPr>
          <w:tab/>
        </w:r>
        <w:r>
          <w:rPr>
            <w:rStyle w:val="Hyperlink"/>
            <w:rFonts w:ascii="Times New Roman" w:hAnsi="Times New Roman"/>
            <w:noProof/>
          </w:rPr>
          <w:t>Approche globale en matière de crédits de paiement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_Toc531266760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15</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val="en-GB" w:eastAsia="en-GB" w:bidi="ar-SA"/>
        </w:rPr>
      </w:pPr>
      <w:hyperlink w:anchor="_Toc531266761" w:history="1">
        <w:r>
          <w:rPr>
            <w:rStyle w:val="Hyperlink"/>
            <w:rFonts w:ascii="Times New Roman" w:hAnsi="Times New Roman"/>
            <w:noProof/>
          </w:rPr>
          <w:t>3.4.</w:t>
        </w:r>
        <w:r>
          <w:rPr>
            <w:rFonts w:ascii="Times New Roman" w:eastAsiaTheme="minorEastAsia" w:hAnsi="Times New Roman" w:cs="Times New Roman"/>
            <w:smallCaps w:val="0"/>
            <w:noProof/>
            <w:sz w:val="22"/>
            <w:szCs w:val="22"/>
            <w:lang w:val="en-GB" w:eastAsia="en-GB" w:bidi="ar-SA"/>
          </w:rPr>
          <w:tab/>
        </w:r>
        <w:r>
          <w:rPr>
            <w:rStyle w:val="Hyperlink"/>
            <w:rFonts w:ascii="Times New Roman" w:hAnsi="Times New Roman"/>
            <w:noProof/>
          </w:rPr>
          <w:t>Réserves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_Toc531266761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17</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val="en-GB" w:eastAsia="en-GB" w:bidi="ar-SA"/>
        </w:rPr>
      </w:pPr>
      <w:hyperlink w:anchor="_Toc531266762" w:history="1">
        <w:r>
          <w:rPr>
            <w:rStyle w:val="Hyperlink"/>
            <w:rFonts w:ascii="Times New Roman" w:hAnsi="Times New Roman"/>
            <w:noProof/>
          </w:rPr>
          <w:t>3.5.</w:t>
        </w:r>
        <w:r>
          <w:rPr>
            <w:rFonts w:ascii="Times New Roman" w:eastAsiaTheme="minorEastAsia" w:hAnsi="Times New Roman" w:cs="Times New Roman"/>
            <w:smallCaps w:val="0"/>
            <w:noProof/>
            <w:sz w:val="22"/>
            <w:szCs w:val="22"/>
            <w:lang w:val="en-GB" w:eastAsia="en-GB" w:bidi="ar-SA"/>
          </w:rPr>
          <w:tab/>
        </w:r>
        <w:r>
          <w:rPr>
            <w:rStyle w:val="Hyperlink"/>
            <w:rFonts w:ascii="Times New Roman" w:hAnsi="Times New Roman"/>
            <w:noProof/>
          </w:rPr>
          <w:t>Changements dans la nomenclature et les commentaires budgétaires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_Toc531266762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17</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val="en-GB" w:eastAsia="en-GB" w:bidi="ar-SA"/>
        </w:rPr>
      </w:pPr>
      <w:hyperlink w:anchor="_Toc531266763" w:history="1">
        <w:r>
          <w:rPr>
            <w:rStyle w:val="Hyperlink"/>
            <w:rFonts w:ascii="Times New Roman" w:hAnsi="Times New Roman"/>
            <w:noProof/>
          </w:rPr>
          <w:t>3.5.1.</w:t>
        </w:r>
        <w:r>
          <w:rPr>
            <w:rFonts w:ascii="Times New Roman" w:eastAsiaTheme="minorEastAsia" w:hAnsi="Times New Roman" w:cs="Times New Roman"/>
            <w:i w:val="0"/>
            <w:iCs w:val="0"/>
            <w:noProof/>
            <w:sz w:val="22"/>
            <w:szCs w:val="22"/>
            <w:lang w:val="en-GB" w:eastAsia="en-GB" w:bidi="ar-SA"/>
          </w:rPr>
          <w:tab/>
        </w:r>
        <w:r>
          <w:rPr>
            <w:rStyle w:val="Hyperlink"/>
            <w:rFonts w:ascii="Times New Roman" w:hAnsi="Times New Roman"/>
            <w:noProof/>
          </w:rPr>
          <w:t>Commentaires budgétaires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_Toc531266763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17</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val="en-GB" w:eastAsia="en-GB" w:bidi="ar-SA"/>
        </w:rPr>
      </w:pPr>
      <w:hyperlink w:anchor="_Toc531266764" w:history="1">
        <w:r>
          <w:rPr>
            <w:rStyle w:val="Hyperlink"/>
            <w:rFonts w:ascii="Times New Roman" w:hAnsi="Times New Roman"/>
            <w:noProof/>
          </w:rPr>
          <w:t>3.5.2.</w:t>
        </w:r>
        <w:r>
          <w:rPr>
            <w:rFonts w:ascii="Times New Roman" w:eastAsiaTheme="minorEastAsia" w:hAnsi="Times New Roman" w:cs="Times New Roman"/>
            <w:i w:val="0"/>
            <w:iCs w:val="0"/>
            <w:noProof/>
            <w:sz w:val="22"/>
            <w:szCs w:val="22"/>
            <w:lang w:val="en-GB" w:eastAsia="en-GB" w:bidi="ar-SA"/>
          </w:rPr>
          <w:tab/>
        </w:r>
        <w:r>
          <w:rPr>
            <w:rStyle w:val="Hyperlink"/>
            <w:rFonts w:ascii="Times New Roman" w:hAnsi="Times New Roman"/>
            <w:noProof/>
          </w:rPr>
          <w:t>Nomenclature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_Toc531266764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18</w:t>
        </w:r>
        <w:r>
          <w:rPr>
            <w:rFonts w:ascii="Times New Roman" w:hAnsi="Times New Roman" w:cs="Times New Roman"/>
            <w:noProof/>
            <w:webHidden/>
          </w:rPr>
          <w:fldChar w:fldCharType="end"/>
        </w:r>
      </w:hyperlink>
    </w:p>
    <w:p>
      <w:pPr>
        <w:pStyle w:val="TOC1"/>
        <w:tabs>
          <w:tab w:val="left" w:pos="480"/>
          <w:tab w:val="right" w:leader="dot" w:pos="9770"/>
        </w:tabs>
        <w:rPr>
          <w:rFonts w:ascii="Times New Roman" w:eastAsiaTheme="minorEastAsia" w:hAnsi="Times New Roman" w:cs="Times New Roman"/>
          <w:b w:val="0"/>
          <w:bCs w:val="0"/>
          <w:caps w:val="0"/>
          <w:noProof/>
          <w:sz w:val="22"/>
          <w:szCs w:val="22"/>
          <w:lang w:val="en-GB" w:eastAsia="en-GB" w:bidi="ar-SA"/>
        </w:rPr>
      </w:pPr>
      <w:hyperlink w:anchor="_Toc531266765" w:history="1">
        <w:r>
          <w:rPr>
            <w:rStyle w:val="Hyperlink"/>
            <w:rFonts w:ascii="Times New Roman" w:hAnsi="Times New Roman"/>
            <w:noProof/>
          </w:rPr>
          <w:t>4.</w:t>
        </w:r>
        <w:r>
          <w:rPr>
            <w:rFonts w:ascii="Times New Roman" w:eastAsiaTheme="minorEastAsia" w:hAnsi="Times New Roman" w:cs="Times New Roman"/>
            <w:b w:val="0"/>
            <w:bCs w:val="0"/>
            <w:caps w:val="0"/>
            <w:noProof/>
            <w:sz w:val="22"/>
            <w:szCs w:val="22"/>
            <w:lang w:val="en-GB" w:eastAsia="en-GB" w:bidi="ar-SA"/>
          </w:rPr>
          <w:tab/>
        </w:r>
        <w:r>
          <w:rPr>
            <w:rStyle w:val="Hyperlink"/>
            <w:rFonts w:ascii="Times New Roman" w:hAnsi="Times New Roman"/>
            <w:noProof/>
          </w:rPr>
          <w:t>Observations finales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_Toc531266765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18</w:t>
        </w:r>
        <w:r>
          <w:rPr>
            <w:rFonts w:ascii="Times New Roman" w:hAnsi="Times New Roman" w:cs="Times New Roman"/>
            <w:noProof/>
            <w:webHidden/>
          </w:rPr>
          <w:fldChar w:fldCharType="end"/>
        </w:r>
      </w:hyperlink>
    </w:p>
    <w:p>
      <w:pPr>
        <w:pStyle w:val="TOC1"/>
        <w:tabs>
          <w:tab w:val="left" w:pos="480"/>
          <w:tab w:val="right" w:leader="dot" w:pos="9770"/>
        </w:tabs>
        <w:rPr>
          <w:rFonts w:ascii="Times New Roman" w:eastAsiaTheme="minorEastAsia" w:hAnsi="Times New Roman" w:cs="Times New Roman"/>
          <w:b w:val="0"/>
          <w:bCs w:val="0"/>
          <w:caps w:val="0"/>
          <w:noProof/>
          <w:sz w:val="22"/>
          <w:szCs w:val="22"/>
          <w:lang w:val="en-GB" w:eastAsia="en-GB" w:bidi="ar-SA"/>
        </w:rPr>
      </w:pPr>
      <w:hyperlink w:anchor="_Toc531266766" w:history="1">
        <w:r>
          <w:rPr>
            <w:rStyle w:val="Hyperlink"/>
            <w:rFonts w:ascii="Times New Roman" w:hAnsi="Times New Roman"/>
            <w:noProof/>
          </w:rPr>
          <w:t>5.</w:t>
        </w:r>
        <w:r>
          <w:rPr>
            <w:rFonts w:ascii="Times New Roman" w:eastAsiaTheme="minorEastAsia" w:hAnsi="Times New Roman" w:cs="Times New Roman"/>
            <w:b w:val="0"/>
            <w:bCs w:val="0"/>
            <w:caps w:val="0"/>
            <w:noProof/>
            <w:sz w:val="22"/>
            <w:szCs w:val="22"/>
            <w:lang w:val="en-GB" w:eastAsia="en-GB" w:bidi="ar-SA"/>
          </w:rPr>
          <w:tab/>
        </w:r>
        <w:r>
          <w:rPr>
            <w:rStyle w:val="Hyperlink"/>
            <w:rFonts w:ascii="Times New Roman" w:hAnsi="Times New Roman"/>
            <w:noProof/>
          </w:rPr>
          <w:t>Deuxième projet de budget 2019 par rubrique du cadre financier et par grand programme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_Toc531266766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19</w:t>
        </w:r>
        <w:r>
          <w:rPr>
            <w:rFonts w:ascii="Times New Roman" w:hAnsi="Times New Roman" w:cs="Times New Roman"/>
            <w:noProof/>
            <w:webHidden/>
          </w:rPr>
          <w:fldChar w:fldCharType="end"/>
        </w:r>
      </w:hyperlink>
    </w:p>
    <w:p>
      <w:pPr>
        <w:pStyle w:val="TOC1"/>
        <w:tabs>
          <w:tab w:val="left" w:pos="480"/>
          <w:tab w:val="right" w:leader="dot" w:pos="9770"/>
        </w:tabs>
        <w:rPr>
          <w:rFonts w:ascii="Times New Roman" w:eastAsiaTheme="minorEastAsia" w:hAnsi="Times New Roman" w:cs="Times New Roman"/>
          <w:b w:val="0"/>
          <w:bCs w:val="0"/>
          <w:caps w:val="0"/>
          <w:noProof/>
          <w:sz w:val="22"/>
          <w:szCs w:val="22"/>
        </w:rPr>
      </w:pPr>
      <w:r>
        <w:rPr>
          <w:noProof/>
        </w:rPr>
        <w:fldChar w:fldCharType="end"/>
      </w:r>
    </w:p>
    <w:p>
      <w:pPr>
        <w:spacing w:line="240" w:lineRule="auto"/>
        <w:jc w:val="both"/>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1134" w:right="1418" w:bottom="1134" w:left="709" w:header="709" w:footer="709" w:gutter="0"/>
          <w:cols w:space="708"/>
          <w:docGrid w:linePitch="360"/>
        </w:sectPr>
      </w:pPr>
    </w:p>
    <w:p>
      <w:pPr>
        <w:pStyle w:val="ManualHeading1"/>
        <w:rPr>
          <w:noProof/>
        </w:rPr>
      </w:pPr>
      <w:bookmarkStart w:id="3" w:name="_Toc278112515"/>
      <w:bookmarkStart w:id="4" w:name="_Toc530674093"/>
      <w:bookmarkStart w:id="5" w:name="_Toc531266743"/>
      <w:r>
        <w:t>1.</w:t>
      </w:r>
      <w:r>
        <w:tab/>
      </w:r>
      <w:r>
        <w:rPr>
          <w:noProof/>
        </w:rPr>
        <w:t>Introduction</w:t>
      </w:r>
      <w:bookmarkEnd w:id="3"/>
      <w:bookmarkEnd w:id="4"/>
      <w:bookmarkEnd w:id="5"/>
    </w:p>
    <w:p>
      <w:pPr>
        <w:spacing w:line="240" w:lineRule="auto"/>
        <w:jc w:val="both"/>
        <w:rPr>
          <w:noProof/>
          <w:sz w:val="24"/>
        </w:rPr>
      </w:pPr>
      <w:bookmarkStart w:id="6" w:name="_Toc322520752"/>
      <w:bookmarkStart w:id="7" w:name="_Toc323061076"/>
      <w:bookmarkStart w:id="8" w:name="_Toc278112516"/>
      <w:r>
        <w:rPr>
          <w:noProof/>
          <w:sz w:val="24"/>
        </w:rPr>
        <w:t>Le 21 juin 2018, la Commission a transmis le projet de budget pour l'exercice 2019 dans toutes les langues officielles</w:t>
      </w:r>
      <w:r>
        <w:rPr>
          <w:rStyle w:val="FootnoteReference"/>
          <w:noProof/>
        </w:rPr>
        <w:footnoteReference w:id="9"/>
      </w:r>
      <w:r>
        <w:rPr>
          <w:noProof/>
          <w:sz w:val="24"/>
        </w:rPr>
        <w:t>. Le 4 septembre 2018, le Conseil a achevé sa lecture du projet de budget et, le 25 octobre 2018, le Parlement européen a adopté sa lecture. Le 16 octobre, la Commission a transmis la lettre rectificative nº 1/2019 contenant les estimations actualisées pour l’exercice 2019.  Comme le Parlement européen a adopté des amendements au projet de budget qui n'ont pas été acceptés par le Conseil, le comité de conciliation a été convoqué, conformément aux dispositions de l'article 314, paragraphe 4, point c), du traité sur le fonctionnement de l'Union européenne (TFUE).</w:t>
      </w:r>
    </w:p>
    <w:p>
      <w:pPr>
        <w:spacing w:line="240" w:lineRule="auto"/>
        <w:jc w:val="both"/>
        <w:rPr>
          <w:noProof/>
          <w:sz w:val="24"/>
        </w:rPr>
      </w:pPr>
      <w:r>
        <w:rPr>
          <w:noProof/>
          <w:sz w:val="24"/>
        </w:rPr>
        <w:t>Le comité de conciliation s'est réuni pendant une période de vingt et un jours, entre le 30 octobre et le 19 novembre 2018. Bien que des progrès notables aient été accomplis au cours des discussions, il n'a pas été possible de rapprocher les positions du Parlement européen et du Conseil pendant cette période, notamment en ce qui concerne l’application du nouvel article 15, paragraphe 3, du règlement financier, qui porte sur la reconstitution de crédits correspondant à des dégagements pour des projets de recherche. En revanche, le Parlement européen et le Conseil ont tous deux approuvé</w:t>
      </w:r>
      <w:r>
        <w:rPr>
          <w:rStyle w:val="FootnoteReference"/>
          <w:noProof/>
        </w:rPr>
        <w:footnoteReference w:id="10"/>
      </w:r>
      <w:r>
        <w:rPr>
          <w:noProof/>
          <w:sz w:val="24"/>
        </w:rPr>
        <w:t xml:space="preserve"> le projet de budget rectificatif nº 6/2018</w:t>
      </w:r>
      <w:r>
        <w:rPr>
          <w:rStyle w:val="FootnoteReference"/>
          <w:noProof/>
        </w:rPr>
        <w:footnoteReference w:id="11"/>
      </w:r>
      <w:r>
        <w:rPr>
          <w:noProof/>
          <w:sz w:val="24"/>
        </w:rPr>
        <w:t>.</w:t>
      </w:r>
    </w:p>
    <w:p>
      <w:pPr>
        <w:pStyle w:val="CM1"/>
        <w:spacing w:before="200" w:after="200"/>
        <w:jc w:val="both"/>
        <w:rPr>
          <w:noProof/>
        </w:rPr>
      </w:pPr>
      <w:r>
        <w:rPr>
          <w:rFonts w:ascii="Times New Roman" w:hAnsi="Times New Roman"/>
          <w:noProof/>
        </w:rPr>
        <w:t>Faute d'accord au sein du comité de conciliation, la Commission soumet à présent un deuxième projet de budget pour 2019, conformément aux dispositions de l'article 314, paragraphe 8, du TFUE. Avec cette proposition, elle s’efforce de rapprocher les positions du Parlement européen et du Conseil, sans recours à une nouvelle période de conciliation en raison des contraintes de calendrier. Si aucun accord ne peut être dégagé sur le budget avant la fin de 2018, le régime des douzièmes provisoires prendra effet à compter du 1</w:t>
      </w:r>
      <w:r>
        <w:rPr>
          <w:rFonts w:ascii="Times New Roman" w:hAnsi="Times New Roman"/>
          <w:noProof/>
          <w:vertAlign w:val="superscript"/>
        </w:rPr>
        <w:t>er</w:t>
      </w:r>
      <w:r>
        <w:rPr>
          <w:rFonts w:ascii="Times New Roman" w:hAnsi="Times New Roman"/>
          <w:noProof/>
        </w:rPr>
        <w:t xml:space="preserve"> janvier 2019. Cette procédure, qui est exposée à l’article 315, paragraphe 1, du TFUE, entraînerait des retards dans la mise en œuvre des programmes et des politiques clés, notamment dans le domaine de l’agriculture, et empêcherait le démarrage de toute nouvelle activité. </w:t>
      </w:r>
    </w:p>
    <w:p>
      <w:pPr>
        <w:spacing w:line="240" w:lineRule="auto"/>
        <w:jc w:val="both"/>
        <w:rPr>
          <w:noProof/>
          <w:sz w:val="24"/>
        </w:rPr>
      </w:pPr>
      <w:r>
        <w:rPr>
          <w:noProof/>
          <w:sz w:val="24"/>
        </w:rPr>
        <w:t>L'impératif étant de parvenir à l'adoption du budget 2019 en temps utile, la proposition de la Commission en vue d'un deuxième projet de budget pour 2019 s'appuie sur les avancées enregistrées au sein du comité de conciliation, qui ont permis, dans une large mesure, de rétablir le projet de budget initial de la Commission, tel que modifié par la lettre rectificative nº 1/2019</w:t>
      </w:r>
      <w:r>
        <w:rPr>
          <w:rStyle w:val="FootnoteReference"/>
          <w:noProof/>
        </w:rPr>
        <w:footnoteReference w:id="12"/>
      </w:r>
      <w:r>
        <w:rPr>
          <w:noProof/>
          <w:sz w:val="24"/>
        </w:rPr>
        <w:t>, avec d’importants renforcements des crédits d’engagement pour les programmes clés contribuant à la croissance et à l’emploi (tels qu’Erasmus+ et l’initiative pour l’emploi des jeunes) et quelques diminutions et redéploiements, notamment dans la rubrique 4, suivant les lectures du projet de budget initial au Conseil et au Parlement européen. Une augmentation ciblée d’Horizon 2020 est proposée dans le cadre de l’application de l’article 15, paragraphe 3, du règlement financier. Le niveau global des paiements, à la suite des modifications intervenues dans les engagements ainsi que du rééquilibrage pour certains versements anticipatifs en 2018, est inférieur à celui de la lettre rectificative nº 1/2019.</w:t>
      </w:r>
    </w:p>
    <w:p>
      <w:pPr>
        <w:pStyle w:val="ManualHeading1"/>
        <w:rPr>
          <w:noProof/>
        </w:rPr>
      </w:pPr>
      <w:r>
        <w:rPr>
          <w:noProof/>
        </w:rPr>
        <w:br w:type="page"/>
      </w:r>
      <w:bookmarkStart w:id="9" w:name="_Toc530674094"/>
      <w:bookmarkStart w:id="10" w:name="_Toc531266744"/>
      <w:r>
        <w:t>2.</w:t>
      </w:r>
      <w:r>
        <w:tab/>
      </w:r>
      <w:r>
        <w:rPr>
          <w:noProof/>
        </w:rPr>
        <w:t>Le cadre financier pluriannuel et le deuxième projet de budget 2019</w:t>
      </w:r>
      <w:bookmarkEnd w:id="6"/>
      <w:bookmarkEnd w:id="7"/>
      <w:bookmarkEnd w:id="9"/>
      <w:bookmarkEnd w:id="10"/>
    </w:p>
    <w:p>
      <w:pPr>
        <w:pStyle w:val="ManualHeading2"/>
        <w:rPr>
          <w:noProof/>
        </w:rPr>
      </w:pPr>
      <w:bookmarkStart w:id="11" w:name="_Toc322520753"/>
      <w:bookmarkStart w:id="12" w:name="_Toc323061077"/>
      <w:bookmarkStart w:id="13" w:name="_Toc530674095"/>
      <w:bookmarkStart w:id="14" w:name="_Toc531266745"/>
      <w:r>
        <w:t>2.1.</w:t>
      </w:r>
      <w:r>
        <w:tab/>
      </w:r>
      <w:r>
        <w:rPr>
          <w:noProof/>
        </w:rPr>
        <w:t>Plafonds du cadre financier pluriannuel pour le budget 2019</w:t>
      </w:r>
      <w:bookmarkEnd w:id="11"/>
      <w:bookmarkEnd w:id="12"/>
      <w:bookmarkEnd w:id="13"/>
      <w:bookmarkEnd w:id="14"/>
    </w:p>
    <w:p>
      <w:pPr>
        <w:rPr>
          <w:noProof/>
        </w:rPr>
      </w:pPr>
      <w:bookmarkStart w:id="15" w:name="_Toc278112518"/>
      <w:bookmarkEnd w:id="8"/>
      <w:r>
        <w:rPr>
          <w:noProof/>
        </w:rPr>
        <w:t>Le tableau ci-dessous présente les plafonds des crédits d'engagement et des crédits de paiement dans le cadre financier pluriannuel (CFP)</w:t>
      </w:r>
      <w:r>
        <w:rPr>
          <w:rStyle w:val="FootnoteReference"/>
          <w:noProof/>
        </w:rPr>
        <w:footnoteReference w:id="13"/>
      </w:r>
      <w:r>
        <w:rPr>
          <w:noProof/>
        </w:rPr>
        <w:t xml:space="preserve"> pour l'établissement du deuxième projet de budget 2019:</w:t>
      </w:r>
    </w:p>
    <w:tbl>
      <w:tblPr>
        <w:tblW w:w="0" w:type="auto"/>
        <w:jc w:val="center"/>
        <w:tblLayout w:type="fixed"/>
        <w:tblCellMar>
          <w:left w:w="40" w:type="dxa"/>
          <w:right w:w="40" w:type="dxa"/>
        </w:tblCellMar>
        <w:tblLook w:val="0000" w:firstRow="0" w:lastRow="0" w:firstColumn="0" w:lastColumn="0" w:noHBand="0" w:noVBand="0"/>
      </w:tblPr>
      <w:tblGrid>
        <w:gridCol w:w="324"/>
        <w:gridCol w:w="5063"/>
        <w:gridCol w:w="1956"/>
      </w:tblGrid>
      <w:tr>
        <w:trPr>
          <w:jc w:val="center"/>
        </w:trPr>
        <w:tc>
          <w:tcPr>
            <w:tcW w:w="538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pPr>
              <w:pStyle w:val="NormalCentered"/>
              <w:spacing w:before="30" w:after="30"/>
              <w:rPr>
                <w:noProof/>
                <w:sz w:val="16"/>
                <w:szCs w:val="16"/>
              </w:rPr>
            </w:pPr>
            <w:r>
              <w:rPr>
                <w:b/>
                <w:noProof/>
                <w:sz w:val="16"/>
              </w:rPr>
              <w:t>Rubrique</w:t>
            </w:r>
          </w:p>
        </w:tc>
        <w:tc>
          <w:tcPr>
            <w:tcW w:w="1956" w:type="dxa"/>
            <w:tcBorders>
              <w:top w:val="single" w:sz="4" w:space="0" w:color="auto"/>
              <w:left w:val="nil"/>
              <w:bottom w:val="single" w:sz="4" w:space="0" w:color="auto"/>
              <w:right w:val="single" w:sz="4" w:space="0" w:color="auto"/>
            </w:tcBorders>
            <w:shd w:val="clear" w:color="auto" w:fill="E0E0E0"/>
            <w:vAlign w:val="center"/>
          </w:tcPr>
          <w:p>
            <w:pPr>
              <w:pStyle w:val="NormalCentered"/>
              <w:spacing w:before="30" w:after="30"/>
              <w:rPr>
                <w:noProof/>
                <w:sz w:val="16"/>
                <w:szCs w:val="16"/>
              </w:rPr>
            </w:pPr>
            <w:r>
              <w:rPr>
                <w:b/>
                <w:noProof/>
                <w:sz w:val="16"/>
              </w:rPr>
              <w:t>Plafonds CFP 2019</w:t>
            </w:r>
          </w:p>
          <w:p>
            <w:pPr>
              <w:pStyle w:val="NormalCentered"/>
              <w:spacing w:before="30" w:after="30"/>
              <w:rPr>
                <w:noProof/>
                <w:sz w:val="16"/>
                <w:szCs w:val="16"/>
              </w:rPr>
            </w:pPr>
            <w:r>
              <w:rPr>
                <w:b/>
                <w:noProof/>
                <w:sz w:val="16"/>
              </w:rPr>
              <w:t>en Mio EUR, aux prix courants</w:t>
            </w:r>
          </w:p>
        </w:tc>
      </w:tr>
      <w:tr>
        <w:trPr>
          <w:jc w:val="center"/>
        </w:trPr>
        <w:tc>
          <w:tcPr>
            <w:tcW w:w="324" w:type="dxa"/>
            <w:tcBorders>
              <w:top w:val="nil"/>
              <w:left w:val="single" w:sz="4" w:space="0" w:color="auto"/>
              <w:bottom w:val="dotted" w:sz="2" w:space="0" w:color="auto"/>
              <w:right w:val="nil"/>
            </w:tcBorders>
          </w:tcPr>
          <w:p>
            <w:pPr>
              <w:spacing w:before="30" w:after="30"/>
              <w:rPr>
                <w:noProof/>
                <w:sz w:val="16"/>
                <w:szCs w:val="16"/>
              </w:rPr>
            </w:pPr>
          </w:p>
        </w:tc>
        <w:tc>
          <w:tcPr>
            <w:tcW w:w="5063" w:type="dxa"/>
            <w:tcBorders>
              <w:top w:val="nil"/>
              <w:left w:val="nil"/>
              <w:bottom w:val="dotted" w:sz="2" w:space="0" w:color="auto"/>
              <w:right w:val="single" w:sz="4" w:space="0" w:color="auto"/>
            </w:tcBorders>
          </w:tcPr>
          <w:p>
            <w:pPr>
              <w:spacing w:before="30" w:after="30"/>
              <w:rPr>
                <w:noProof/>
                <w:sz w:val="16"/>
                <w:szCs w:val="16"/>
              </w:rPr>
            </w:pPr>
            <w:r>
              <w:rPr>
                <w:b/>
                <w:noProof/>
                <w:sz w:val="16"/>
              </w:rPr>
              <w:t>Crédits d'engagement</w:t>
            </w:r>
          </w:p>
        </w:tc>
        <w:tc>
          <w:tcPr>
            <w:tcW w:w="1956" w:type="dxa"/>
            <w:tcBorders>
              <w:top w:val="nil"/>
              <w:left w:val="nil"/>
              <w:bottom w:val="dotted" w:sz="2" w:space="0" w:color="auto"/>
              <w:right w:val="single" w:sz="4" w:space="0" w:color="auto"/>
            </w:tcBorders>
          </w:tcPr>
          <w:p>
            <w:pPr>
              <w:spacing w:before="30" w:after="30"/>
              <w:rPr>
                <w:noProof/>
                <w:sz w:val="16"/>
                <w:szCs w:val="16"/>
              </w:rPr>
            </w:pPr>
          </w:p>
        </w:tc>
      </w:tr>
      <w:tr>
        <w:trPr>
          <w:jc w:val="center"/>
        </w:trPr>
        <w:tc>
          <w:tcPr>
            <w:tcW w:w="324" w:type="dxa"/>
            <w:tcBorders>
              <w:top w:val="nil"/>
              <w:left w:val="single" w:sz="4" w:space="0" w:color="auto"/>
              <w:bottom w:val="dotted" w:sz="2" w:space="0" w:color="auto"/>
              <w:right w:val="nil"/>
            </w:tcBorders>
          </w:tcPr>
          <w:p>
            <w:pPr>
              <w:spacing w:before="30" w:after="30"/>
              <w:rPr>
                <w:noProof/>
                <w:sz w:val="16"/>
                <w:szCs w:val="16"/>
              </w:rPr>
            </w:pPr>
            <w:r>
              <w:rPr>
                <w:b/>
                <w:noProof/>
                <w:sz w:val="16"/>
              </w:rPr>
              <w:t>1.</w:t>
            </w:r>
          </w:p>
        </w:tc>
        <w:tc>
          <w:tcPr>
            <w:tcW w:w="5063" w:type="dxa"/>
            <w:tcBorders>
              <w:top w:val="nil"/>
              <w:left w:val="nil"/>
              <w:bottom w:val="dotted" w:sz="2" w:space="0" w:color="auto"/>
              <w:right w:val="single" w:sz="4" w:space="0" w:color="auto"/>
            </w:tcBorders>
          </w:tcPr>
          <w:p>
            <w:pPr>
              <w:spacing w:before="30" w:after="30"/>
              <w:rPr>
                <w:noProof/>
                <w:sz w:val="16"/>
                <w:szCs w:val="16"/>
              </w:rPr>
            </w:pPr>
            <w:r>
              <w:rPr>
                <w:b/>
                <w:noProof/>
                <w:sz w:val="16"/>
              </w:rPr>
              <w:t>Croissance intelligente et inclusive</w:t>
            </w:r>
          </w:p>
        </w:tc>
        <w:tc>
          <w:tcPr>
            <w:tcW w:w="1956" w:type="dxa"/>
            <w:tcBorders>
              <w:top w:val="nil"/>
              <w:left w:val="nil"/>
              <w:bottom w:val="dotted" w:sz="2" w:space="0" w:color="auto"/>
              <w:right w:val="single" w:sz="4" w:space="0" w:color="auto"/>
            </w:tcBorders>
          </w:tcPr>
          <w:p>
            <w:pPr>
              <w:pStyle w:val="NormalRight"/>
              <w:spacing w:before="30" w:after="30"/>
              <w:rPr>
                <w:noProof/>
                <w:sz w:val="16"/>
                <w:szCs w:val="16"/>
              </w:rPr>
            </w:pPr>
            <w:r>
              <w:rPr>
                <w:b/>
                <w:noProof/>
                <w:sz w:val="16"/>
              </w:rPr>
              <w:t>79 924,0</w:t>
            </w:r>
          </w:p>
        </w:tc>
      </w:tr>
      <w:tr>
        <w:trPr>
          <w:jc w:val="center"/>
        </w:trP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rPr>
              <w:t xml:space="preserve">1a </w:t>
            </w:r>
          </w:p>
        </w:tc>
        <w:tc>
          <w:tcPr>
            <w:tcW w:w="5063" w:type="dxa"/>
            <w:tcBorders>
              <w:top w:val="nil"/>
              <w:left w:val="nil"/>
              <w:bottom w:val="dotted" w:sz="2" w:space="0" w:color="auto"/>
              <w:right w:val="single" w:sz="4" w:space="0" w:color="auto"/>
            </w:tcBorders>
          </w:tcPr>
          <w:p>
            <w:pPr>
              <w:spacing w:before="30" w:after="30"/>
              <w:rPr>
                <w:noProof/>
                <w:sz w:val="16"/>
                <w:szCs w:val="16"/>
              </w:rPr>
            </w:pPr>
            <w:r>
              <w:rPr>
                <w:noProof/>
                <w:sz w:val="16"/>
              </w:rPr>
              <w:t>Compétitivité pour la croissance et l’emploi</w:t>
            </w:r>
          </w:p>
        </w:tc>
        <w:tc>
          <w:tcPr>
            <w:tcW w:w="1956"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23 082,0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r>
              <w:rPr>
                <w:noProof/>
                <w:sz w:val="16"/>
              </w:rPr>
              <w:t xml:space="preserve">1b </w:t>
            </w:r>
          </w:p>
        </w:tc>
        <w:tc>
          <w:tcPr>
            <w:tcW w:w="5063" w:type="dxa"/>
            <w:tcBorders>
              <w:top w:val="nil"/>
              <w:left w:val="nil"/>
              <w:bottom w:val="single" w:sz="4" w:space="0" w:color="auto"/>
              <w:right w:val="single" w:sz="4" w:space="0" w:color="auto"/>
            </w:tcBorders>
          </w:tcPr>
          <w:p>
            <w:pPr>
              <w:spacing w:before="30" w:after="30"/>
              <w:rPr>
                <w:noProof/>
                <w:sz w:val="16"/>
                <w:szCs w:val="16"/>
              </w:rPr>
            </w:pPr>
            <w:r>
              <w:rPr>
                <w:noProof/>
                <w:sz w:val="16"/>
              </w:rPr>
              <w:t>Cohésion économique, sociale et territoriale</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noProof/>
                <w:sz w:val="16"/>
              </w:rPr>
              <w:t>56 842,0</w:t>
            </w:r>
          </w:p>
        </w:tc>
      </w:tr>
      <w:tr>
        <w:trPr>
          <w:jc w:val="center"/>
        </w:trPr>
        <w:tc>
          <w:tcPr>
            <w:tcW w:w="324" w:type="dxa"/>
            <w:tcBorders>
              <w:top w:val="nil"/>
              <w:left w:val="single" w:sz="4" w:space="0" w:color="auto"/>
              <w:bottom w:val="dotted" w:sz="2" w:space="0" w:color="auto"/>
              <w:right w:val="nil"/>
            </w:tcBorders>
          </w:tcPr>
          <w:p>
            <w:pPr>
              <w:spacing w:before="30" w:after="30"/>
              <w:rPr>
                <w:noProof/>
                <w:sz w:val="16"/>
                <w:szCs w:val="16"/>
              </w:rPr>
            </w:pPr>
            <w:r>
              <w:rPr>
                <w:b/>
                <w:noProof/>
                <w:sz w:val="16"/>
              </w:rPr>
              <w:t xml:space="preserve">2. </w:t>
            </w:r>
          </w:p>
        </w:tc>
        <w:tc>
          <w:tcPr>
            <w:tcW w:w="5063" w:type="dxa"/>
            <w:tcBorders>
              <w:top w:val="nil"/>
              <w:left w:val="nil"/>
              <w:bottom w:val="dotted" w:sz="2" w:space="0" w:color="auto"/>
              <w:right w:val="single" w:sz="4" w:space="0" w:color="auto"/>
            </w:tcBorders>
          </w:tcPr>
          <w:p>
            <w:pPr>
              <w:spacing w:before="30" w:after="30"/>
              <w:rPr>
                <w:noProof/>
                <w:sz w:val="16"/>
                <w:szCs w:val="16"/>
              </w:rPr>
            </w:pPr>
            <w:r>
              <w:rPr>
                <w:b/>
                <w:noProof/>
                <w:sz w:val="16"/>
              </w:rPr>
              <w:t>Croissance durable: ressources naturelles</w:t>
            </w:r>
          </w:p>
        </w:tc>
        <w:tc>
          <w:tcPr>
            <w:tcW w:w="1956" w:type="dxa"/>
            <w:tcBorders>
              <w:top w:val="nil"/>
              <w:left w:val="nil"/>
              <w:bottom w:val="dotted" w:sz="2" w:space="0" w:color="auto"/>
              <w:right w:val="single" w:sz="4" w:space="0" w:color="auto"/>
            </w:tcBorders>
          </w:tcPr>
          <w:p>
            <w:pPr>
              <w:pStyle w:val="NormalRight"/>
              <w:spacing w:before="30" w:after="30"/>
              <w:rPr>
                <w:noProof/>
                <w:sz w:val="16"/>
                <w:szCs w:val="16"/>
              </w:rPr>
            </w:pPr>
            <w:r>
              <w:rPr>
                <w:b/>
                <w:noProof/>
                <w:sz w:val="16"/>
              </w:rPr>
              <w:t>60 344,0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p>
        </w:tc>
        <w:tc>
          <w:tcPr>
            <w:tcW w:w="5063" w:type="dxa"/>
            <w:tcBorders>
              <w:top w:val="nil"/>
              <w:left w:val="nil"/>
              <w:bottom w:val="single" w:sz="4" w:space="0" w:color="auto"/>
              <w:right w:val="single" w:sz="4" w:space="0" w:color="auto"/>
            </w:tcBorders>
          </w:tcPr>
          <w:p>
            <w:pPr>
              <w:spacing w:before="30" w:after="30"/>
              <w:rPr>
                <w:noProof/>
                <w:sz w:val="16"/>
                <w:szCs w:val="16"/>
              </w:rPr>
            </w:pPr>
            <w:r>
              <w:rPr>
                <w:noProof/>
                <w:sz w:val="16"/>
              </w:rPr>
              <w:t>dont: Fonds européen agricole de garantie (FEAGA) — Dépenses relatives au marché et paiements directs</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noProof/>
                <w:sz w:val="16"/>
              </w:rPr>
              <w:t>43 881,0</w:t>
            </w:r>
          </w:p>
        </w:tc>
      </w:tr>
      <w:tr>
        <w:trPr>
          <w:jc w:val="center"/>
        </w:trPr>
        <w:tc>
          <w:tcPr>
            <w:tcW w:w="324" w:type="dxa"/>
            <w:tcBorders>
              <w:top w:val="nil"/>
              <w:left w:val="single" w:sz="4" w:space="0" w:color="auto"/>
              <w:bottom w:val="dotted" w:sz="2" w:space="0" w:color="auto"/>
              <w:right w:val="nil"/>
            </w:tcBorders>
          </w:tcPr>
          <w:p>
            <w:pPr>
              <w:spacing w:before="30" w:after="30"/>
              <w:rPr>
                <w:noProof/>
                <w:sz w:val="16"/>
                <w:szCs w:val="16"/>
              </w:rPr>
            </w:pPr>
            <w:r>
              <w:rPr>
                <w:b/>
                <w:noProof/>
                <w:sz w:val="16"/>
              </w:rPr>
              <w:t xml:space="preserve">3. </w:t>
            </w:r>
          </w:p>
        </w:tc>
        <w:tc>
          <w:tcPr>
            <w:tcW w:w="5063" w:type="dxa"/>
            <w:tcBorders>
              <w:top w:val="nil"/>
              <w:left w:val="nil"/>
              <w:bottom w:val="dotted" w:sz="2" w:space="0" w:color="auto"/>
              <w:right w:val="single" w:sz="4" w:space="0" w:color="auto"/>
            </w:tcBorders>
          </w:tcPr>
          <w:p>
            <w:pPr>
              <w:spacing w:before="30" w:after="30"/>
              <w:rPr>
                <w:noProof/>
                <w:sz w:val="16"/>
                <w:szCs w:val="16"/>
              </w:rPr>
            </w:pPr>
            <w:r>
              <w:rPr>
                <w:b/>
                <w:noProof/>
                <w:sz w:val="16"/>
              </w:rPr>
              <w:t>Sécurité et citoyenneté</w:t>
            </w:r>
          </w:p>
        </w:tc>
        <w:tc>
          <w:tcPr>
            <w:tcW w:w="1956" w:type="dxa"/>
            <w:tcBorders>
              <w:top w:val="nil"/>
              <w:left w:val="nil"/>
              <w:bottom w:val="dotted" w:sz="2" w:space="0" w:color="auto"/>
              <w:right w:val="single" w:sz="4" w:space="0" w:color="auto"/>
            </w:tcBorders>
          </w:tcPr>
          <w:p>
            <w:pPr>
              <w:pStyle w:val="NormalRight"/>
              <w:spacing w:before="30" w:after="30"/>
              <w:rPr>
                <w:noProof/>
                <w:sz w:val="16"/>
                <w:szCs w:val="16"/>
              </w:rPr>
            </w:pPr>
            <w:r>
              <w:rPr>
                <w:b/>
                <w:noProof/>
                <w:sz w:val="16"/>
              </w:rPr>
              <w:t>2 801,0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r>
              <w:rPr>
                <w:b/>
                <w:noProof/>
                <w:sz w:val="16"/>
              </w:rPr>
              <w:t xml:space="preserve">4. </w:t>
            </w:r>
          </w:p>
        </w:tc>
        <w:tc>
          <w:tcPr>
            <w:tcW w:w="5063" w:type="dxa"/>
            <w:tcBorders>
              <w:top w:val="nil"/>
              <w:left w:val="nil"/>
              <w:bottom w:val="single" w:sz="4" w:space="0" w:color="auto"/>
              <w:right w:val="single" w:sz="4" w:space="0" w:color="auto"/>
            </w:tcBorders>
          </w:tcPr>
          <w:p>
            <w:pPr>
              <w:spacing w:before="30" w:after="30"/>
              <w:rPr>
                <w:noProof/>
                <w:sz w:val="16"/>
                <w:szCs w:val="16"/>
              </w:rPr>
            </w:pPr>
            <w:r>
              <w:rPr>
                <w:b/>
                <w:noProof/>
                <w:sz w:val="16"/>
              </w:rPr>
              <w:t>L’Europe dans le monde</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b/>
                <w:noProof/>
                <w:sz w:val="16"/>
              </w:rPr>
              <w:t>10 268,0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r>
              <w:rPr>
                <w:b/>
                <w:noProof/>
                <w:sz w:val="16"/>
              </w:rPr>
              <w:t xml:space="preserve">5. </w:t>
            </w:r>
          </w:p>
        </w:tc>
        <w:tc>
          <w:tcPr>
            <w:tcW w:w="5063" w:type="dxa"/>
            <w:tcBorders>
              <w:top w:val="nil"/>
              <w:left w:val="nil"/>
              <w:bottom w:val="single" w:sz="4" w:space="0" w:color="auto"/>
              <w:right w:val="single" w:sz="4" w:space="0" w:color="auto"/>
            </w:tcBorders>
          </w:tcPr>
          <w:p>
            <w:pPr>
              <w:spacing w:before="30" w:after="30"/>
              <w:rPr>
                <w:noProof/>
                <w:sz w:val="16"/>
                <w:szCs w:val="16"/>
              </w:rPr>
            </w:pPr>
            <w:r>
              <w:rPr>
                <w:b/>
                <w:noProof/>
                <w:sz w:val="16"/>
              </w:rPr>
              <w:t>Administration</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b/>
                <w:noProof/>
                <w:sz w:val="16"/>
              </w:rPr>
              <w:t>10 786,0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p>
        </w:tc>
        <w:tc>
          <w:tcPr>
            <w:tcW w:w="5063" w:type="dxa"/>
            <w:tcBorders>
              <w:top w:val="nil"/>
              <w:left w:val="nil"/>
              <w:bottom w:val="single" w:sz="4" w:space="0" w:color="auto"/>
              <w:right w:val="single" w:sz="4" w:space="0" w:color="auto"/>
            </w:tcBorders>
          </w:tcPr>
          <w:p>
            <w:pPr>
              <w:spacing w:before="30" w:after="30"/>
              <w:rPr>
                <w:noProof/>
                <w:sz w:val="16"/>
                <w:szCs w:val="16"/>
              </w:rPr>
            </w:pPr>
            <w:r>
              <w:rPr>
                <w:noProof/>
                <w:sz w:val="16"/>
              </w:rPr>
              <w:t>dont: dépenses administratives des institutions</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noProof/>
                <w:sz w:val="16"/>
              </w:rPr>
              <w:t>8 700,0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r>
              <w:rPr>
                <w:b/>
                <w:noProof/>
                <w:sz w:val="16"/>
              </w:rPr>
              <w:t xml:space="preserve">6. </w:t>
            </w:r>
          </w:p>
        </w:tc>
        <w:tc>
          <w:tcPr>
            <w:tcW w:w="5063" w:type="dxa"/>
            <w:tcBorders>
              <w:top w:val="nil"/>
              <w:left w:val="nil"/>
              <w:bottom w:val="single" w:sz="4" w:space="0" w:color="auto"/>
              <w:right w:val="single" w:sz="4" w:space="0" w:color="auto"/>
            </w:tcBorders>
          </w:tcPr>
          <w:p>
            <w:pPr>
              <w:spacing w:before="30" w:after="30"/>
              <w:rPr>
                <w:noProof/>
                <w:sz w:val="16"/>
                <w:szCs w:val="16"/>
              </w:rPr>
            </w:pPr>
            <w:r>
              <w:rPr>
                <w:b/>
                <w:noProof/>
                <w:sz w:val="16"/>
              </w:rPr>
              <w:t>Compensations</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b/>
                <w:noProof/>
                <w:sz w:val="16"/>
              </w:rPr>
              <w:t>0,0</w:t>
            </w:r>
          </w:p>
        </w:tc>
      </w:tr>
      <w:tr>
        <w:trPr>
          <w:jc w:val="center"/>
        </w:trPr>
        <w:tc>
          <w:tcPr>
            <w:tcW w:w="324" w:type="dxa"/>
            <w:tcBorders>
              <w:top w:val="nil"/>
              <w:left w:val="single" w:sz="4" w:space="0" w:color="auto"/>
              <w:bottom w:val="single" w:sz="4" w:space="0" w:color="auto"/>
              <w:right w:val="nil"/>
            </w:tcBorders>
            <w:shd w:val="clear" w:color="auto" w:fill="E0E0E0"/>
          </w:tcPr>
          <w:p>
            <w:pPr>
              <w:spacing w:before="30" w:after="30"/>
              <w:rPr>
                <w:noProof/>
                <w:sz w:val="16"/>
                <w:szCs w:val="16"/>
              </w:rPr>
            </w:pPr>
          </w:p>
        </w:tc>
        <w:tc>
          <w:tcPr>
            <w:tcW w:w="5063" w:type="dxa"/>
            <w:tcBorders>
              <w:top w:val="nil"/>
              <w:left w:val="nil"/>
              <w:bottom w:val="single" w:sz="4" w:space="0" w:color="auto"/>
              <w:right w:val="single" w:sz="4" w:space="0" w:color="auto"/>
            </w:tcBorders>
            <w:shd w:val="clear" w:color="auto" w:fill="E0E0E0"/>
          </w:tcPr>
          <w:p>
            <w:pPr>
              <w:pStyle w:val="NormalRight"/>
              <w:spacing w:before="30" w:after="30"/>
              <w:rPr>
                <w:noProof/>
                <w:sz w:val="16"/>
                <w:szCs w:val="16"/>
              </w:rPr>
            </w:pPr>
            <w:r>
              <w:rPr>
                <w:b/>
                <w:noProof/>
                <w:sz w:val="16"/>
              </w:rPr>
              <w:t>TOTAL DES ENGAGEMENTS</w:t>
            </w:r>
          </w:p>
        </w:tc>
        <w:tc>
          <w:tcPr>
            <w:tcW w:w="1956" w:type="dxa"/>
            <w:tcBorders>
              <w:top w:val="nil"/>
              <w:left w:val="nil"/>
              <w:bottom w:val="single" w:sz="4" w:space="0" w:color="auto"/>
              <w:right w:val="single" w:sz="4" w:space="0" w:color="auto"/>
            </w:tcBorders>
            <w:shd w:val="clear" w:color="auto" w:fill="E0E0E0"/>
          </w:tcPr>
          <w:p>
            <w:pPr>
              <w:pStyle w:val="NormalRight"/>
              <w:spacing w:before="30" w:after="30"/>
              <w:rPr>
                <w:noProof/>
                <w:sz w:val="16"/>
                <w:szCs w:val="16"/>
              </w:rPr>
            </w:pPr>
            <w:r>
              <w:rPr>
                <w:b/>
                <w:noProof/>
                <w:sz w:val="16"/>
              </w:rPr>
              <w:t>164 123,0</w:t>
            </w:r>
          </w:p>
        </w:tc>
      </w:tr>
      <w:tr>
        <w:trPr>
          <w:jc w:val="center"/>
        </w:trPr>
        <w:tc>
          <w:tcPr>
            <w:tcW w:w="324" w:type="dxa"/>
            <w:tcBorders>
              <w:top w:val="nil"/>
              <w:left w:val="single" w:sz="4" w:space="0" w:color="auto"/>
              <w:bottom w:val="single" w:sz="4" w:space="0" w:color="auto"/>
              <w:right w:val="nil"/>
            </w:tcBorders>
            <w:shd w:val="clear" w:color="auto" w:fill="E0E0E0"/>
          </w:tcPr>
          <w:p>
            <w:pPr>
              <w:spacing w:before="30" w:after="30"/>
              <w:rPr>
                <w:noProof/>
                <w:sz w:val="16"/>
                <w:szCs w:val="16"/>
              </w:rPr>
            </w:pPr>
          </w:p>
        </w:tc>
        <w:tc>
          <w:tcPr>
            <w:tcW w:w="5063" w:type="dxa"/>
            <w:tcBorders>
              <w:top w:val="nil"/>
              <w:left w:val="nil"/>
              <w:bottom w:val="single" w:sz="4" w:space="0" w:color="auto"/>
              <w:right w:val="single" w:sz="4" w:space="0" w:color="auto"/>
            </w:tcBorders>
            <w:shd w:val="clear" w:color="auto" w:fill="E0E0E0"/>
          </w:tcPr>
          <w:p>
            <w:pPr>
              <w:pStyle w:val="NormalRight"/>
              <w:spacing w:before="30" w:after="30"/>
              <w:rPr>
                <w:noProof/>
                <w:sz w:val="16"/>
                <w:szCs w:val="16"/>
              </w:rPr>
            </w:pPr>
            <w:r>
              <w:rPr>
                <w:b/>
                <w:noProof/>
                <w:sz w:val="16"/>
              </w:rPr>
              <w:t>TOTAL DES PAIEMENTS</w:t>
            </w:r>
          </w:p>
        </w:tc>
        <w:tc>
          <w:tcPr>
            <w:tcW w:w="1956" w:type="dxa"/>
            <w:tcBorders>
              <w:top w:val="nil"/>
              <w:left w:val="nil"/>
              <w:bottom w:val="single" w:sz="4" w:space="0" w:color="auto"/>
              <w:right w:val="single" w:sz="4" w:space="0" w:color="auto"/>
            </w:tcBorders>
            <w:shd w:val="clear" w:color="auto" w:fill="E0E0E0"/>
          </w:tcPr>
          <w:p>
            <w:pPr>
              <w:pStyle w:val="NormalRight"/>
              <w:spacing w:before="30" w:after="30"/>
              <w:rPr>
                <w:noProof/>
                <w:sz w:val="16"/>
                <w:szCs w:val="16"/>
              </w:rPr>
            </w:pPr>
            <w:r>
              <w:rPr>
                <w:b/>
                <w:noProof/>
                <w:sz w:val="16"/>
              </w:rPr>
              <w:t>166 709,0</w:t>
            </w:r>
          </w:p>
        </w:tc>
      </w:tr>
    </w:tbl>
    <w:p>
      <w:pPr>
        <w:spacing w:before="240"/>
        <w:rPr>
          <w:noProof/>
        </w:rPr>
      </w:pPr>
      <w:r>
        <w:rPr>
          <w:noProof/>
        </w:rPr>
        <w:t>Dans le CFP, le plafond global des crédits d'engagement s'établit à 164 123 millions d'EUR, ce qui représente 1,00 % du revenu national brut (RNB) de l'Union. Le plafond des crédits de paiement s'établit à 166 709 millions d'EUR, soit à 1,01 % du RNB.</w:t>
      </w:r>
    </w:p>
    <w:p>
      <w:pPr>
        <w:pStyle w:val="ManualHeading2"/>
        <w:rPr>
          <w:noProof/>
        </w:rPr>
      </w:pPr>
      <w:bookmarkStart w:id="16" w:name="_Toc530674096"/>
      <w:bookmarkStart w:id="17" w:name="_Toc531266746"/>
      <w:r>
        <w:t>2.2.</w:t>
      </w:r>
      <w:r>
        <w:tab/>
      </w:r>
      <w:r>
        <w:rPr>
          <w:noProof/>
        </w:rPr>
        <w:t xml:space="preserve">Vue d'ensemble du deuxième </w:t>
      </w:r>
      <w:bookmarkEnd w:id="15"/>
      <w:r>
        <w:rPr>
          <w:noProof/>
        </w:rPr>
        <w:t>projet de budget 2019</w:t>
      </w:r>
      <w:bookmarkEnd w:id="16"/>
      <w:bookmarkEnd w:id="17"/>
    </w:p>
    <w:tbl>
      <w:tblPr>
        <w:tblW w:w="10560" w:type="dxa"/>
        <w:tblInd w:w="108" w:type="dxa"/>
        <w:tblLook w:val="04A0" w:firstRow="1" w:lastRow="0" w:firstColumn="1" w:lastColumn="0" w:noHBand="0" w:noVBand="1"/>
      </w:tblPr>
      <w:tblGrid>
        <w:gridCol w:w="403"/>
        <w:gridCol w:w="2757"/>
        <w:gridCol w:w="980"/>
        <w:gridCol w:w="980"/>
        <w:gridCol w:w="980"/>
        <w:gridCol w:w="980"/>
        <w:gridCol w:w="980"/>
        <w:gridCol w:w="980"/>
        <w:gridCol w:w="760"/>
        <w:gridCol w:w="760"/>
      </w:tblGrid>
      <w:tr>
        <w:trPr>
          <w:trHeight w:val="255"/>
          <w:tblHeader/>
        </w:trPr>
        <w:tc>
          <w:tcPr>
            <w:tcW w:w="10560" w:type="dxa"/>
            <w:gridSpan w:val="10"/>
            <w:tcBorders>
              <w:top w:val="nil"/>
              <w:left w:val="nil"/>
              <w:bottom w:val="single" w:sz="4" w:space="0" w:color="auto"/>
              <w:right w:val="nil"/>
            </w:tcBorders>
            <w:shd w:val="clear" w:color="auto" w:fill="auto"/>
            <w:noWrap/>
            <w:vAlign w:val="bottom"/>
            <w:hideMark/>
          </w:tcPr>
          <w:p>
            <w:pPr>
              <w:spacing w:after="0" w:line="240" w:lineRule="auto"/>
              <w:jc w:val="right"/>
              <w:rPr>
                <w:rFonts w:eastAsia="Times New Roman"/>
                <w:i/>
                <w:iCs/>
                <w:noProof/>
                <w:sz w:val="20"/>
                <w:szCs w:val="20"/>
              </w:rPr>
            </w:pPr>
            <w:r>
              <w:rPr>
                <w:i/>
                <w:noProof/>
                <w:sz w:val="20"/>
              </w:rPr>
              <w:t>[Crédits d’engagement (CE) et crédits de paiement (CP) en Mio EUR, arrondis aux prix courants]</w:t>
            </w:r>
          </w:p>
        </w:tc>
      </w:tr>
      <w:tr>
        <w:trPr>
          <w:trHeight w:val="210"/>
          <w:tblHeader/>
        </w:trPr>
        <w:tc>
          <w:tcPr>
            <w:tcW w:w="316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Rubrique</w:t>
            </w:r>
          </w:p>
        </w:tc>
        <w:tc>
          <w:tcPr>
            <w:tcW w:w="1960"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Budget</w:t>
            </w:r>
          </w:p>
        </w:tc>
        <w:tc>
          <w:tcPr>
            <w:tcW w:w="1960"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Deuxième projet de budget</w:t>
            </w:r>
          </w:p>
        </w:tc>
        <w:tc>
          <w:tcPr>
            <w:tcW w:w="1960"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Différence</w:t>
            </w:r>
          </w:p>
        </w:tc>
        <w:tc>
          <w:tcPr>
            <w:tcW w:w="1520"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Différence</w:t>
            </w:r>
          </w:p>
        </w:tc>
      </w:tr>
      <w:tr>
        <w:trPr>
          <w:trHeight w:val="210"/>
          <w:tblHeader/>
        </w:trPr>
        <w:tc>
          <w:tcPr>
            <w:tcW w:w="316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eastAsia="Times New Roman"/>
                <w:b/>
                <w:bCs/>
                <w:noProof/>
                <w:sz w:val="16"/>
                <w:szCs w:val="16"/>
              </w:rPr>
            </w:pPr>
          </w:p>
        </w:tc>
        <w:tc>
          <w:tcPr>
            <w:tcW w:w="1960"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 xml:space="preserve">2018 </w:t>
            </w:r>
            <w:r>
              <w:rPr>
                <w:noProof/>
                <w:sz w:val="16"/>
                <w:vertAlign w:val="superscript"/>
              </w:rPr>
              <w:t>(1)</w:t>
            </w:r>
          </w:p>
        </w:tc>
        <w:tc>
          <w:tcPr>
            <w:tcW w:w="1960"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2019</w:t>
            </w:r>
          </w:p>
        </w:tc>
        <w:tc>
          <w:tcPr>
            <w:tcW w:w="1960"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2019 – 2018</w:t>
            </w:r>
          </w:p>
        </w:tc>
        <w:tc>
          <w:tcPr>
            <w:tcW w:w="1520"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2019 – 2018</w:t>
            </w:r>
          </w:p>
        </w:tc>
      </w:tr>
      <w:tr>
        <w:trPr>
          <w:trHeight w:val="210"/>
          <w:tblHeader/>
        </w:trPr>
        <w:tc>
          <w:tcPr>
            <w:tcW w:w="316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eastAsia="Times New Roman"/>
                <w:b/>
                <w:bCs/>
                <w:noProof/>
                <w:sz w:val="16"/>
                <w:szCs w:val="16"/>
              </w:rPr>
            </w:pPr>
          </w:p>
        </w:tc>
        <w:tc>
          <w:tcPr>
            <w:tcW w:w="1960"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(1)</w:t>
            </w:r>
          </w:p>
        </w:tc>
        <w:tc>
          <w:tcPr>
            <w:tcW w:w="1960"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w:t>
            </w:r>
          </w:p>
        </w:tc>
        <w:tc>
          <w:tcPr>
            <w:tcW w:w="1960"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 – 1)</w:t>
            </w:r>
          </w:p>
        </w:tc>
        <w:tc>
          <w:tcPr>
            <w:tcW w:w="1520"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 / 1)</w:t>
            </w:r>
          </w:p>
        </w:tc>
      </w:tr>
      <w:tr>
        <w:trPr>
          <w:trHeight w:val="210"/>
          <w:tblHeader/>
        </w:trPr>
        <w:tc>
          <w:tcPr>
            <w:tcW w:w="316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eastAsia="Times New Roman"/>
                <w:b/>
                <w:bCs/>
                <w:noProof/>
                <w:sz w:val="16"/>
                <w:szCs w:val="16"/>
              </w:rPr>
            </w:pP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CE</w:t>
            </w: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CP</w:t>
            </w: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CE</w:t>
            </w: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CP</w:t>
            </w: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CE</w:t>
            </w: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CP</w:t>
            </w:r>
          </w:p>
        </w:tc>
        <w:tc>
          <w:tcPr>
            <w:tcW w:w="76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CE</w:t>
            </w:r>
          </w:p>
        </w:tc>
        <w:tc>
          <w:tcPr>
            <w:tcW w:w="76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CP</w:t>
            </w:r>
          </w:p>
        </w:tc>
      </w:tr>
      <w:tr>
        <w:trPr>
          <w:trHeight w:val="240"/>
        </w:trPr>
        <w:tc>
          <w:tcPr>
            <w:tcW w:w="280" w:type="dxa"/>
            <w:tcBorders>
              <w:top w:val="single" w:sz="4" w:space="0" w:color="auto"/>
              <w:left w:val="single" w:sz="4" w:space="0" w:color="auto"/>
              <w:bottom w:val="dotted" w:sz="4" w:space="0" w:color="auto"/>
              <w:right w:val="nil"/>
            </w:tcBorders>
            <w:shd w:val="clear" w:color="auto" w:fill="auto"/>
            <w:vAlign w:val="center"/>
            <w:hideMark/>
          </w:tcPr>
          <w:p>
            <w:pPr>
              <w:spacing w:after="0" w:line="240" w:lineRule="auto"/>
              <w:rPr>
                <w:rFonts w:eastAsia="Times New Roman"/>
                <w:b/>
                <w:bCs/>
                <w:noProof/>
                <w:sz w:val="15"/>
                <w:szCs w:val="15"/>
              </w:rPr>
            </w:pPr>
            <w:r>
              <w:rPr>
                <w:b/>
                <w:noProof/>
                <w:sz w:val="15"/>
              </w:rPr>
              <w:t>1.</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b/>
                <w:bCs/>
                <w:noProof/>
                <w:sz w:val="15"/>
                <w:szCs w:val="15"/>
              </w:rPr>
            </w:pPr>
            <w:r>
              <w:rPr>
                <w:b/>
                <w:noProof/>
                <w:sz w:val="15"/>
              </w:rPr>
              <w:t>Croissance intelligente et inclusive</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77 531,8</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66 622,6</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80 337,4</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67 556,9</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2 805,7</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934,4</w:t>
            </w:r>
          </w:p>
        </w:tc>
        <w:tc>
          <w:tcPr>
            <w:tcW w:w="76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3,6%</w:t>
            </w:r>
          </w:p>
        </w:tc>
        <w:tc>
          <w:tcPr>
            <w:tcW w:w="76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1,4%</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dont part relevant de la marge globale pour les engagements</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1 111,8</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413,4</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Plafond</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76 420,0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79 924,0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Marge</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noProof/>
                <w:sz w:val="15"/>
                <w:szCs w:val="15"/>
              </w:rPr>
            </w:pPr>
            <w:r>
              <w:rPr>
                <w:noProof/>
                <w:sz w:val="15"/>
              </w:rPr>
              <w:t>1a</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noProof/>
                <w:sz w:val="15"/>
                <w:szCs w:val="15"/>
              </w:rPr>
            </w:pPr>
            <w:r>
              <w:rPr>
                <w:noProof/>
                <w:sz w:val="15"/>
              </w:rPr>
              <w:t>Compétitivité pour la croissance et l’emploi</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21 999,6</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20 095,3</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23 145,4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20 521,5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1 145,9</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 xml:space="preserve"> 426,3</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5,2%</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2,1%</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dont part relevant de l’instrument de flexibilité</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dont part relevant de la marge globale pour les engagements</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760,6</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63,4</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Plafond</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21 239,0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23 082,0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Marge</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noProof/>
                <w:sz w:val="15"/>
                <w:szCs w:val="15"/>
              </w:rPr>
            </w:pPr>
            <w:r>
              <w:rPr>
                <w:noProof/>
                <w:sz w:val="15"/>
              </w:rPr>
              <w:t xml:space="preserve">1b </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noProof/>
                <w:sz w:val="15"/>
                <w:szCs w:val="15"/>
              </w:rPr>
            </w:pPr>
            <w:r>
              <w:rPr>
                <w:noProof/>
                <w:sz w:val="15"/>
              </w:rPr>
              <w:t>Cohésion économique, sociale et territoriale</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55 532,2</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46 527,3</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57 192,0</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47 035,4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1 659,8</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 xml:space="preserve"> 508,1</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3,0%</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1,1%</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dont part relevant de la marge globale pour les engagements</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351,2</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350,0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Plafond</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55 181,0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56 842,0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Marge</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b/>
                <w:bCs/>
                <w:noProof/>
                <w:sz w:val="15"/>
                <w:szCs w:val="15"/>
              </w:rPr>
            </w:pPr>
            <w:r>
              <w:rPr>
                <w:b/>
                <w:noProof/>
                <w:sz w:val="15"/>
              </w:rPr>
              <w:t>2.</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b/>
                <w:bCs/>
                <w:noProof/>
                <w:sz w:val="15"/>
                <w:szCs w:val="15"/>
              </w:rPr>
            </w:pPr>
            <w:r>
              <w:rPr>
                <w:b/>
                <w:noProof/>
                <w:sz w:val="15"/>
              </w:rPr>
              <w:t>Croissance durable: ressources naturelles</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59 238,6</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56 041,0</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59 642,1</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57 399,9</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403,5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1 358,9</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0,7%</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2,4%</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Plafond</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60 267,0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60 344,0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Marge</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1 028,4</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701,9</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75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dont: Fonds européen agricole de garantie (FEAGA) — Dépenses relatives au marché et paiements directs</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43 233,1</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43 187,3</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43 191,9</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43 116,4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- 41,2</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- 70,9</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-0,1%</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-0,2%</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Sous-plafond</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44 163,0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43 881,0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b/>
                <w:bCs/>
                <w:noProof/>
                <w:sz w:val="15"/>
                <w:szCs w:val="15"/>
              </w:rPr>
            </w:pPr>
            <w:r>
              <w:rPr>
                <w:b/>
                <w:noProof/>
                <w:sz w:val="15"/>
              </w:rPr>
              <w:t>3.</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b/>
                <w:bCs/>
                <w:noProof/>
                <w:sz w:val="15"/>
                <w:szCs w:val="15"/>
              </w:rPr>
            </w:pPr>
            <w:r>
              <w:rPr>
                <w:b/>
                <w:noProof/>
                <w:sz w:val="15"/>
              </w:rPr>
              <w:t>Sécurité et citoyenneté</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3 493,2</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2 980,7</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3 786,6</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3 527,4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293,4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546,7</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8,4%</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18,3%</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dont part relevant de l’instrument de flexibilité</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837,2</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985,6</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Plafond</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2 656,0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2 801,0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Marge</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b/>
                <w:bCs/>
                <w:noProof/>
                <w:sz w:val="15"/>
                <w:szCs w:val="15"/>
              </w:rPr>
            </w:pPr>
            <w:r>
              <w:rPr>
                <w:b/>
                <w:noProof/>
                <w:sz w:val="15"/>
              </w:rPr>
              <w:t>4.</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b/>
                <w:bCs/>
                <w:noProof/>
                <w:sz w:val="15"/>
                <w:szCs w:val="15"/>
              </w:rPr>
            </w:pPr>
            <w:r>
              <w:rPr>
                <w:b/>
                <w:noProof/>
                <w:sz w:val="15"/>
              </w:rPr>
              <w:t>L’Europe dans le monde</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10 068,8</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8 906,1</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11 319,3</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9 358,3</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1 250,4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452,2</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12,4%</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5,1%</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dont part relevant de la marge globale pour les engagements</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243,8</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1 051,3</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Plafond</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9 825,0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10 268,0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Marge</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b/>
                <w:bCs/>
                <w:noProof/>
                <w:sz w:val="15"/>
                <w:szCs w:val="15"/>
              </w:rPr>
            </w:pPr>
            <w:r>
              <w:rPr>
                <w:b/>
                <w:noProof/>
                <w:sz w:val="15"/>
              </w:rPr>
              <w:t>5.</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b/>
                <w:bCs/>
                <w:noProof/>
                <w:sz w:val="15"/>
                <w:szCs w:val="15"/>
              </w:rPr>
            </w:pPr>
            <w:r>
              <w:rPr>
                <w:b/>
                <w:noProof/>
                <w:sz w:val="15"/>
              </w:rPr>
              <w:t>Administration</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9 665,5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9 666,3</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9 943,0</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9 944,9</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277,5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278,6</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2,9%</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2,9%</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 xml:space="preserve">Plafond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10 346,0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10 786,0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dont part compensée sur la marge pour imprévus</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- 318,0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- 253,9</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Marge</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362,5</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589,1</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dont: dépenses administratives des institutions</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7 579,9</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7 580,7</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7 747,3</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7 749,2</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 xml:space="preserve"> 167,4</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 xml:space="preserve"> 168,5</w:t>
            </w:r>
          </w:p>
        </w:tc>
        <w:tc>
          <w:tcPr>
            <w:tcW w:w="76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2,2%</w:t>
            </w:r>
          </w:p>
        </w:tc>
        <w:tc>
          <w:tcPr>
            <w:tcW w:w="76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2,2%</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Sous-plafond</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8 360,0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8 700,0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dont part compensée sur la marge pour imprévus</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- 318,0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- 253,9</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Sous-marge</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462,1</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698,8</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5"/>
                <w:szCs w:val="15"/>
              </w:rPr>
            </w:pPr>
            <w:r>
              <w:rPr>
                <w:b/>
                <w:noProof/>
                <w:sz w:val="15"/>
              </w:rPr>
              <w:t>Crédits pour les rubriques 1 à 6</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159 998,0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144 216,7</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165 028,4</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147 787,4</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5 030,4</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3 570,8</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3,1%</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2,5%</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rPr>
            </w:pPr>
            <w:r>
              <w:rPr>
                <w:b/>
                <w:i/>
                <w:noProof/>
                <w:sz w:val="15"/>
              </w:rPr>
              <w:t>dont part relevant de l’instrument de flexibilité</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xml:space="preserve"> 837,2</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xml:space="preserve"> 678,3</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xml:space="preserve"> 985,6</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xml:space="preserve"> 909,8</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rPr>
            </w:pPr>
            <w:r>
              <w:rPr>
                <w:b/>
                <w:i/>
                <w:noProof/>
                <w:sz w:val="15"/>
              </w:rPr>
              <w:t>dont part relevant de la marge globale pour les engagements</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1 355,6</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1 464,7</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rPr>
            </w:pPr>
            <w:r>
              <w:rPr>
                <w:b/>
                <w:i/>
                <w:noProof/>
                <w:sz w:val="15"/>
              </w:rPr>
              <w:t>dont part relevant de la marge pour imprévus</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rPr>
            </w:pPr>
            <w:r>
              <w:rPr>
                <w:b/>
                <w:i/>
                <w:noProof/>
                <w:sz w:val="15"/>
              </w:rPr>
              <w:t>Plafond</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159 514,0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154 565,0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164 123,0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166 709,0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rPr>
            </w:pPr>
            <w:r>
              <w:rPr>
                <w:b/>
                <w:i/>
                <w:noProof/>
                <w:sz w:val="15"/>
              </w:rPr>
              <w:t>dont part compensée sur la marge pour imprévus</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- 318,0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- 253,9</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rPr>
            </w:pPr>
            <w:r>
              <w:rPr>
                <w:b/>
                <w:i/>
                <w:noProof/>
                <w:sz w:val="15"/>
              </w:rPr>
              <w:t>Marge</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1 390,9</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11 026,7</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1 291,1</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19 831,4</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r>
      <w:tr>
        <w:trPr>
          <w:trHeight w:val="240"/>
        </w:trPr>
        <w:tc>
          <w:tcPr>
            <w:tcW w:w="3160" w:type="dxa"/>
            <w:gridSpan w:val="2"/>
            <w:tcBorders>
              <w:top w:val="dotted" w:sz="4" w:space="0" w:color="auto"/>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5"/>
                <w:szCs w:val="15"/>
              </w:rPr>
            </w:pPr>
            <w:r>
              <w:rPr>
                <w:b/>
                <w:noProof/>
                <w:sz w:val="15"/>
              </w:rPr>
              <w:t>Crédits en % du RNB</w:t>
            </w:r>
            <w:r>
              <w:rPr>
                <w:noProof/>
                <w:sz w:val="15"/>
                <w:vertAlign w:val="superscript"/>
              </w:rPr>
              <w:t xml:space="preserve"> (2)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1,02%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0,92%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1,00%</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0,90%</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 </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 </w:t>
            </w:r>
          </w:p>
        </w:tc>
        <w:tc>
          <w:tcPr>
            <w:tcW w:w="76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 </w:t>
            </w:r>
          </w:p>
        </w:tc>
        <w:tc>
          <w:tcPr>
            <w:tcW w:w="76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 </w:t>
            </w:r>
          </w:p>
        </w:tc>
      </w:tr>
      <w:tr>
        <w:trPr>
          <w:trHeight w:val="240"/>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eastAsia="Times New Roman"/>
                <w:b/>
                <w:bCs/>
                <w:noProof/>
                <w:sz w:val="15"/>
                <w:szCs w:val="15"/>
              </w:rPr>
            </w:pPr>
            <w:r>
              <w:rPr>
                <w:b/>
                <w:noProof/>
                <w:sz w:val="15"/>
              </w:rPr>
              <w:t>Autres instruments spéciaux</w:t>
            </w:r>
            <w:r>
              <w:rPr>
                <w:noProof/>
                <w:sz w:val="15"/>
                <w:vertAlign w:val="superscript"/>
              </w:rPr>
              <w:t>(3)</w:t>
            </w:r>
          </w:p>
        </w:tc>
        <w:tc>
          <w:tcPr>
            <w:tcW w:w="980" w:type="dxa"/>
            <w:tcBorders>
              <w:top w:val="nil"/>
              <w:left w:val="single" w:sz="4" w:space="0" w:color="auto"/>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698,5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551,2</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577,2</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411,5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- 121,3</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- 139,7</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-17,4%</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-25,3%</w:t>
            </w:r>
          </w:p>
        </w:tc>
      </w:tr>
      <w:tr>
        <w:trPr>
          <w:trHeight w:val="240"/>
        </w:trPr>
        <w:tc>
          <w:tcPr>
            <w:tcW w:w="316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5"/>
                <w:szCs w:val="15"/>
              </w:rPr>
            </w:pPr>
            <w:r>
              <w:rPr>
                <w:b/>
                <w:noProof/>
                <w:sz w:val="15"/>
              </w:rPr>
              <w:t>Total des crédits</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160 696,5</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144 767,9</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165 605,6</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148 198,9</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4 909,2</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3 431,0</w:t>
            </w:r>
          </w:p>
        </w:tc>
        <w:tc>
          <w:tcPr>
            <w:tcW w:w="76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3,1%</w:t>
            </w:r>
          </w:p>
        </w:tc>
        <w:tc>
          <w:tcPr>
            <w:tcW w:w="76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2,4%</w:t>
            </w:r>
          </w:p>
        </w:tc>
      </w:tr>
      <w:tr>
        <w:trPr>
          <w:trHeight w:val="240"/>
        </w:trPr>
        <w:tc>
          <w:tcPr>
            <w:tcW w:w="3160" w:type="dxa"/>
            <w:gridSpan w:val="2"/>
            <w:tcBorders>
              <w:top w:val="dotted" w:sz="4" w:space="0" w:color="auto"/>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5"/>
                <w:szCs w:val="15"/>
              </w:rPr>
            </w:pPr>
            <w:r>
              <w:rPr>
                <w:b/>
                <w:noProof/>
                <w:sz w:val="15"/>
              </w:rPr>
              <w:t>Crédits en % du RNB</w:t>
            </w:r>
            <w:r>
              <w:rPr>
                <w:noProof/>
                <w:sz w:val="15"/>
                <w:vertAlign w:val="superscript"/>
              </w:rPr>
              <w:t xml:space="preserve"> (2)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1,02%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0,92%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1,00%</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0,90%</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 </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 </w:t>
            </w:r>
          </w:p>
        </w:tc>
        <w:tc>
          <w:tcPr>
            <w:tcW w:w="76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 </w:t>
            </w:r>
          </w:p>
        </w:tc>
        <w:tc>
          <w:tcPr>
            <w:tcW w:w="76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noProof/>
                <w:sz w:val="16"/>
                <w:szCs w:val="16"/>
              </w:rPr>
            </w:pPr>
            <w:r>
              <w:rPr>
                <w:noProof/>
                <w:sz w:val="16"/>
              </w:rPr>
              <w:t>(1)</w:t>
            </w:r>
          </w:p>
        </w:tc>
        <w:tc>
          <w:tcPr>
            <w:tcW w:w="10280" w:type="dxa"/>
            <w:gridSpan w:val="9"/>
            <w:tcBorders>
              <w:top w:val="single" w:sz="4" w:space="0" w:color="auto"/>
              <w:left w:val="nil"/>
              <w:bottom w:val="dotted" w:sz="4" w:space="0" w:color="auto"/>
              <w:right w:val="nil"/>
            </w:tcBorders>
            <w:shd w:val="clear" w:color="auto" w:fill="auto"/>
            <w:vAlign w:val="center"/>
            <w:hideMark/>
          </w:tcPr>
          <w:p>
            <w:pPr>
              <w:spacing w:after="0" w:line="240" w:lineRule="auto"/>
              <w:rPr>
                <w:rFonts w:eastAsia="Times New Roman"/>
                <w:noProof/>
                <w:sz w:val="16"/>
                <w:szCs w:val="16"/>
              </w:rPr>
            </w:pPr>
            <w:r>
              <w:rPr>
                <w:noProof/>
                <w:sz w:val="16"/>
              </w:rPr>
              <w:t>Le budget 2018 inclut les budgets rectificatifs nº 1 à nº 5 et le projet de budget rectificatif nº 6.</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noProof/>
                <w:sz w:val="16"/>
                <w:szCs w:val="16"/>
              </w:rPr>
            </w:pPr>
            <w:r>
              <w:rPr>
                <w:noProof/>
                <w:sz w:val="16"/>
              </w:rPr>
              <w:t>(2)</w:t>
            </w:r>
          </w:p>
        </w:tc>
        <w:tc>
          <w:tcPr>
            <w:tcW w:w="10280" w:type="dxa"/>
            <w:gridSpan w:val="9"/>
            <w:tcBorders>
              <w:top w:val="dotted" w:sz="4" w:space="0" w:color="auto"/>
              <w:left w:val="nil"/>
              <w:bottom w:val="dotted" w:sz="4" w:space="0" w:color="auto"/>
              <w:right w:val="nil"/>
            </w:tcBorders>
            <w:shd w:val="clear" w:color="auto" w:fill="auto"/>
            <w:vAlign w:val="center"/>
            <w:hideMark/>
          </w:tcPr>
          <w:p>
            <w:pPr>
              <w:spacing w:after="0" w:line="240" w:lineRule="auto"/>
              <w:rPr>
                <w:rFonts w:eastAsia="Times New Roman"/>
                <w:noProof/>
                <w:sz w:val="16"/>
                <w:szCs w:val="16"/>
              </w:rPr>
            </w:pPr>
            <w:r>
              <w:rPr>
                <w:noProof/>
                <w:sz w:val="16"/>
              </w:rPr>
              <w:t>Le deuxième projet de budget 2019 repose sur les prévisions du RNB telles qu’elles figurent dans l’ajustement technique du CFP adopté le 23 mai 2018 [COM(2018) 282].</w:t>
            </w:r>
          </w:p>
        </w:tc>
      </w:tr>
      <w:tr>
        <w:trPr>
          <w:trHeight w:val="240"/>
        </w:trPr>
        <w:tc>
          <w:tcPr>
            <w:tcW w:w="280" w:type="dxa"/>
            <w:tcBorders>
              <w:top w:val="nil"/>
              <w:left w:val="single" w:sz="4" w:space="0" w:color="auto"/>
              <w:bottom w:val="single" w:sz="4" w:space="0" w:color="auto"/>
              <w:right w:val="nil"/>
            </w:tcBorders>
            <w:shd w:val="clear" w:color="auto" w:fill="auto"/>
            <w:vAlign w:val="center"/>
            <w:hideMark/>
          </w:tcPr>
          <w:p>
            <w:pPr>
              <w:spacing w:after="0" w:line="240" w:lineRule="auto"/>
              <w:rPr>
                <w:rFonts w:eastAsia="Times New Roman"/>
                <w:noProof/>
                <w:sz w:val="16"/>
                <w:szCs w:val="16"/>
              </w:rPr>
            </w:pPr>
            <w:r>
              <w:rPr>
                <w:noProof/>
                <w:sz w:val="16"/>
              </w:rPr>
              <w:t>(3)</w:t>
            </w:r>
          </w:p>
        </w:tc>
        <w:tc>
          <w:tcPr>
            <w:tcW w:w="10280" w:type="dxa"/>
            <w:gridSpan w:val="9"/>
            <w:tcBorders>
              <w:top w:val="dotted" w:sz="4" w:space="0" w:color="auto"/>
              <w:left w:val="nil"/>
              <w:bottom w:val="single" w:sz="4" w:space="0" w:color="auto"/>
              <w:right w:val="nil"/>
            </w:tcBorders>
            <w:shd w:val="clear" w:color="auto" w:fill="auto"/>
            <w:vAlign w:val="center"/>
            <w:hideMark/>
          </w:tcPr>
          <w:p>
            <w:pPr>
              <w:spacing w:after="0" w:line="240" w:lineRule="auto"/>
              <w:rPr>
                <w:rFonts w:eastAsia="Times New Roman"/>
                <w:noProof/>
                <w:sz w:val="16"/>
                <w:szCs w:val="16"/>
              </w:rPr>
            </w:pPr>
            <w:r>
              <w:rPr>
                <w:noProof/>
                <w:sz w:val="16"/>
              </w:rPr>
              <w:t xml:space="preserve">Le terme «Autres instruments spéciaux» englobe la «réserve d'aide d'urgence», le «Fonds européen d'ajustement à la mondialisation» (FEM) et le «Fonds de solidarité de l'Union européenne» (FSUE). </w:t>
            </w:r>
          </w:p>
        </w:tc>
      </w:tr>
    </w:tbl>
    <w:p>
      <w:pPr>
        <w:spacing w:before="240" w:line="240" w:lineRule="auto"/>
        <w:jc w:val="both"/>
        <w:rPr>
          <w:noProof/>
        </w:rPr>
      </w:pPr>
      <w:r>
        <w:rPr>
          <w:noProof/>
        </w:rPr>
        <w:t xml:space="preserve">En </w:t>
      </w:r>
      <w:r>
        <w:rPr>
          <w:b/>
          <w:noProof/>
        </w:rPr>
        <w:t>crédits</w:t>
      </w:r>
      <w:r>
        <w:rPr>
          <w:noProof/>
        </w:rPr>
        <w:t xml:space="preserve"> d’</w:t>
      </w:r>
      <w:r>
        <w:rPr>
          <w:b/>
          <w:i/>
          <w:noProof/>
        </w:rPr>
        <w:t>engagement</w:t>
      </w:r>
      <w:r>
        <w:rPr>
          <w:noProof/>
        </w:rPr>
        <w:t xml:space="preserve"> (instruments spéciaux compris), le total des dépenses proposées dans le deuxième projet de budget (PB) 2019 s’établit à </w:t>
      </w:r>
      <w:r>
        <w:rPr>
          <w:b/>
          <w:noProof/>
        </w:rPr>
        <w:t>165 605,6 millions d’EUR</w:t>
      </w:r>
      <w:r>
        <w:rPr>
          <w:noProof/>
        </w:rPr>
        <w:t xml:space="preserve">, ce qui correspond à </w:t>
      </w:r>
      <w:r>
        <w:rPr>
          <w:b/>
          <w:noProof/>
        </w:rPr>
        <w:t>1,00 % du RNB</w:t>
      </w:r>
      <w:r>
        <w:rPr>
          <w:noProof/>
        </w:rPr>
        <w:t>, soit une augmentation de 4 909,2 millions d’EUR par rapport à 2018 (+ 3,1 %), si on inclut les budgets rectificatifs nº 1 à nº 5/2018 et le projet de budget rectificatif nº 6/2018. Dans l’ensemble, il subsiste ainsi une marge combinée de 1 291,1 millions d’EUR sous les divers plafonds du CFP, compte tenu de l’utilisation de la marge globale pour les engagements (1 464,7 millions d’EUR), de la mobilisation de l’instrument de flexibilité (985,6 millions d’EUR) et de la compensation du recours, en 2017, à la marge pour imprévus en faveur des dépenses liées à la migration (253,9 millions d’EUR).</w:t>
      </w:r>
    </w:p>
    <w:p>
      <w:pPr>
        <w:spacing w:line="240" w:lineRule="auto"/>
        <w:jc w:val="both"/>
        <w:rPr>
          <w:noProof/>
        </w:rPr>
      </w:pPr>
      <w:r>
        <w:rPr>
          <w:noProof/>
        </w:rPr>
        <w:t xml:space="preserve">En ce qui concerne les </w:t>
      </w:r>
      <w:r>
        <w:rPr>
          <w:b/>
          <w:noProof/>
        </w:rPr>
        <w:t>crédits</w:t>
      </w:r>
      <w:r>
        <w:rPr>
          <w:noProof/>
        </w:rPr>
        <w:t xml:space="preserve"> de </w:t>
      </w:r>
      <w:r>
        <w:rPr>
          <w:b/>
          <w:i/>
          <w:noProof/>
        </w:rPr>
        <w:t>paiement</w:t>
      </w:r>
      <w:r>
        <w:rPr>
          <w:noProof/>
        </w:rPr>
        <w:t xml:space="preserve"> (instruments spéciaux compris), les dépenses totales requises s'élèvent à </w:t>
      </w:r>
      <w:r>
        <w:rPr>
          <w:b/>
          <w:noProof/>
        </w:rPr>
        <w:t>148 198,9 millions d'EUR</w:t>
      </w:r>
      <w:r>
        <w:rPr>
          <w:noProof/>
        </w:rPr>
        <w:t xml:space="preserve">, c'est-à-dire à </w:t>
      </w:r>
      <w:r>
        <w:rPr>
          <w:b/>
          <w:noProof/>
        </w:rPr>
        <w:t>0,90 % du RNB</w:t>
      </w:r>
      <w:r>
        <w:rPr>
          <w:noProof/>
        </w:rPr>
        <w:t>, ce qui représente une hausse de 3 431,0 millions d’EUR par rapport à 2018 (+ 2,4 %), si on inclut les budgets rectificatifs nº 1 à nº 5/2018 et le projet de budget rectificatif nº 6/2018. Il subsiste ainsi une marge de 19 831,4 millions d’EUR sous le plafond du CFP, compte tenu de l’incidence sur les crédits de paiement de 2019 que représente la mobilisation de l’instrument de flexibilité en 2016, 2017, 2018 et 2019 (909,8 millions d’EUR).</w:t>
      </w:r>
    </w:p>
    <w:p>
      <w:pPr>
        <w:spacing w:line="240" w:lineRule="auto"/>
        <w:jc w:val="both"/>
        <w:rPr>
          <w:noProof/>
        </w:rPr>
      </w:pPr>
      <w:r>
        <w:rPr>
          <w:noProof/>
        </w:rPr>
        <w:t xml:space="preserve">Les crédits d'engagement en faveur de la </w:t>
      </w:r>
      <w:r>
        <w:rPr>
          <w:b/>
          <w:noProof/>
        </w:rPr>
        <w:t>Compétitivité pour la croissance et l'emploi (rubrique 1a)</w:t>
      </w:r>
      <w:r>
        <w:rPr>
          <w:noProof/>
        </w:rPr>
        <w:t xml:space="preserve"> s'établissent à 23 145,4 millions d'EUR. Ce montant enregistre une hausse de 5,2 % par rapport à 2018, qui concerne principalement le mécanisme pour l’interconnexion en Europe (MIE), Horizon 2020, Erasmus et le programme européen de développement industriel dans le domaine de la défense (EDIDP), ce qui ne laisse aucune marge dans cette rubrique et nécessite l’utilisation de la marge globale pour les engagements (63,4 millions d’EUR). Les crédits de paiement augmentent de 2,1 %, passant à 20 521,5 millions d'EUR.</w:t>
      </w:r>
    </w:p>
    <w:p>
      <w:pPr>
        <w:spacing w:line="240" w:lineRule="auto"/>
        <w:jc w:val="both"/>
        <w:rPr>
          <w:noProof/>
        </w:rPr>
      </w:pPr>
      <w:r>
        <w:rPr>
          <w:noProof/>
        </w:rPr>
        <w:t xml:space="preserve">Pour ce qui est de la </w:t>
      </w:r>
      <w:r>
        <w:rPr>
          <w:b/>
          <w:noProof/>
        </w:rPr>
        <w:t>Cohésion économique, sociale et territoriale (rubrique 1b)</w:t>
      </w:r>
      <w:r>
        <w:rPr>
          <w:noProof/>
        </w:rPr>
        <w:t xml:space="preserve">, les crédits d’engagement progressent de 3,0 %, passant à 57 192,0 millions d’EUR, ce qui ne laisse aucune marge dans cette rubrique après utilisation de la marge globale pour les engagements en vue du financement de l’initiative pour l’emploi des jeunes (350,0 millions d’EUR). Les crédits de paiement augmentent de 1,1 %, s’établissant à 47 035,4 millions d'EUR. </w:t>
      </w:r>
    </w:p>
    <w:p>
      <w:pPr>
        <w:spacing w:line="240" w:lineRule="auto"/>
        <w:jc w:val="both"/>
        <w:rPr>
          <w:noProof/>
        </w:rPr>
      </w:pPr>
      <w:r>
        <w:rPr>
          <w:noProof/>
        </w:rPr>
        <w:t xml:space="preserve">Des crédits d'engagement d'un montant de 59 642,1 millions d'EUR sont proposés pour la </w:t>
      </w:r>
      <w:r>
        <w:rPr>
          <w:b/>
          <w:noProof/>
        </w:rPr>
        <w:t>rubrique 2</w:t>
      </w:r>
      <w:r>
        <w:rPr>
          <w:noProof/>
        </w:rPr>
        <w:t xml:space="preserve">, </w:t>
      </w:r>
      <w:r>
        <w:rPr>
          <w:b/>
          <w:noProof/>
        </w:rPr>
        <w:t>Croissance durable: ressources naturelles</w:t>
      </w:r>
      <w:r>
        <w:rPr>
          <w:noProof/>
        </w:rPr>
        <w:t>. Ce niveau de dépenses représente une hausse de 0,7 % par rapport à 2018 et laisse une marge notable de 701,9 millions d'EUR sous le plafond. Les crédits de paiement s’établissent à 57 399,9 millions d’EUR, ce qui représente une augmentation de 2,4 % par rapport à 2018. Après intégration de la mise à jour la plus récente concernant les recettes affectées, le financement des dépenses relatives au marché et des aides directes se chiffre à 43 191,9 millions d'EUR en crédits d'engagement et à 43 116,4 millions d'EUR en crédits de paiement.</w:t>
      </w:r>
    </w:p>
    <w:p>
      <w:pPr>
        <w:spacing w:line="240" w:lineRule="auto"/>
        <w:jc w:val="both"/>
        <w:rPr>
          <w:noProof/>
        </w:rPr>
      </w:pPr>
      <w:r>
        <w:rPr>
          <w:noProof/>
        </w:rPr>
        <w:t xml:space="preserve">La </w:t>
      </w:r>
      <w:r>
        <w:rPr>
          <w:b/>
          <w:noProof/>
        </w:rPr>
        <w:t>rubrique 3, Sécurité et citoyenneté</w:t>
      </w:r>
      <w:r>
        <w:rPr>
          <w:noProof/>
        </w:rPr>
        <w:t>, enregistre une augmentation de 8,4 % des crédits d’engagement, qui passent à 3 786,6 millions d’EUR, ce qui ne laisse aucune marge dans cette rubrique après la mobilisation de l’instrument de flexibilité (985,6 millions d’EUR). Les crédits de paiement augmentent de 18,3 %, pour s’établir à 3 527,4 millions d'EUR.</w:t>
      </w:r>
    </w:p>
    <w:p>
      <w:pPr>
        <w:spacing w:line="240" w:lineRule="auto"/>
        <w:jc w:val="both"/>
        <w:rPr>
          <w:noProof/>
        </w:rPr>
      </w:pPr>
      <w:r>
        <w:rPr>
          <w:noProof/>
        </w:rPr>
        <w:t xml:space="preserve">La </w:t>
      </w:r>
      <w:r>
        <w:rPr>
          <w:b/>
          <w:noProof/>
        </w:rPr>
        <w:t>rubrique 4, L’Europe dans le monde</w:t>
      </w:r>
      <w:r>
        <w:rPr>
          <w:noProof/>
        </w:rPr>
        <w:t>, se caractérise par une hausse de 12,4 % des crédits d’engagement, qui passent à 11 319,3 millions d’EUR (compte tenu de l’incidence de la prolongation de la facilité en faveur des réfugiés en Turquie), ce qui ne laisse aucune marge dans cette rubrique et nécessite l’utilisation de la marge globale pour les engagements (1 051,3 millions d’EUR). Les crédits de paiement augmentent de 5,1 % pour s’établir à 9 358,3 millions d'EUR.</w:t>
      </w:r>
    </w:p>
    <w:p>
      <w:pPr>
        <w:spacing w:line="240" w:lineRule="auto"/>
        <w:jc w:val="both"/>
        <w:rPr>
          <w:noProof/>
        </w:rPr>
      </w:pPr>
      <w:r>
        <w:rPr>
          <w:noProof/>
        </w:rPr>
        <w:t xml:space="preserve">Toutes institutions confondues, et en incluant les pensions et les écoles européennes, les crédits pour la </w:t>
      </w:r>
      <w:r>
        <w:rPr>
          <w:b/>
          <w:noProof/>
        </w:rPr>
        <w:t>rubrique 5, Administration</w:t>
      </w:r>
      <w:r>
        <w:rPr>
          <w:noProof/>
        </w:rPr>
        <w:t>, augmentent de 2,9 %, tant pour les engagements (9 943,0 millions d'EUR) que pour les paiements (9 944,9 millions d'EUR). La marge non allouée qui en résulte est de 589,1 millions d’EUR, après compensation de l’utilisation, en 2017, de la marge pour imprévus en faveur des dépenses liées à la migration (253,9 millions d’EUR).</w:t>
      </w:r>
    </w:p>
    <w:p>
      <w:pPr>
        <w:pStyle w:val="ManualHeading1"/>
        <w:rPr>
          <w:noProof/>
        </w:rPr>
      </w:pPr>
      <w:bookmarkStart w:id="18" w:name="_Toc278112519"/>
      <w:bookmarkStart w:id="19" w:name="_Toc530674097"/>
      <w:bookmarkStart w:id="20" w:name="_Toc531266747"/>
      <w:r>
        <w:t>3.</w:t>
      </w:r>
      <w:r>
        <w:tab/>
      </w:r>
      <w:r>
        <w:rPr>
          <w:noProof/>
        </w:rPr>
        <w:t>Éléments clés de la deuxième proposition de projet de budget</w:t>
      </w:r>
      <w:bookmarkEnd w:id="18"/>
      <w:bookmarkEnd w:id="19"/>
      <w:bookmarkEnd w:id="20"/>
    </w:p>
    <w:p>
      <w:pPr>
        <w:spacing w:line="240" w:lineRule="auto"/>
        <w:jc w:val="both"/>
        <w:rPr>
          <w:noProof/>
        </w:rPr>
      </w:pPr>
      <w:r>
        <w:rPr>
          <w:noProof/>
        </w:rPr>
        <w:t>Globalement, ce deuxième projet de budget s’appuie sur les avancées enregistrées au sein du comité de conciliation.</w:t>
      </w:r>
      <w:r>
        <w:rPr>
          <w:noProof/>
          <w:sz w:val="24"/>
        </w:rPr>
        <w:t xml:space="preserve"> </w:t>
      </w:r>
      <w:r>
        <w:rPr>
          <w:noProof/>
        </w:rPr>
        <w:t>Les changements qu'il est proposé d'apporter au projet de budget initial, tel que modifié par la lettre rectificative nº 1/2019, sont exposés ci-après de manière détaillée.</w:t>
      </w:r>
    </w:p>
    <w:p>
      <w:pPr>
        <w:pStyle w:val="ManualHeading2"/>
        <w:rPr>
          <w:noProof/>
        </w:rPr>
      </w:pPr>
      <w:bookmarkStart w:id="21" w:name="_Toc530674098"/>
      <w:bookmarkStart w:id="22" w:name="_Toc531266748"/>
      <w:r>
        <w:t>3.1.</w:t>
      </w:r>
      <w:r>
        <w:tab/>
      </w:r>
      <w:r>
        <w:rPr>
          <w:noProof/>
        </w:rPr>
        <w:t>Questions horizontales</w:t>
      </w:r>
      <w:bookmarkEnd w:id="21"/>
      <w:bookmarkEnd w:id="22"/>
    </w:p>
    <w:p>
      <w:pPr>
        <w:pStyle w:val="ManualHeading3"/>
        <w:rPr>
          <w:noProof/>
        </w:rPr>
      </w:pPr>
      <w:bookmarkStart w:id="23" w:name="_Toc530674099"/>
      <w:bookmarkStart w:id="24" w:name="_Toc531266749"/>
      <w:r>
        <w:t>3.1.1.</w:t>
      </w:r>
      <w:r>
        <w:tab/>
      </w:r>
      <w:r>
        <w:rPr>
          <w:noProof/>
        </w:rPr>
        <w:t>Organismes décentralisés</w:t>
      </w:r>
      <w:bookmarkEnd w:id="23"/>
      <w:bookmarkEnd w:id="24"/>
    </w:p>
    <w:p>
      <w:pPr>
        <w:spacing w:line="240" w:lineRule="auto"/>
        <w:jc w:val="both"/>
        <w:rPr>
          <w:noProof/>
        </w:rPr>
      </w:pPr>
      <w:r>
        <w:rPr>
          <w:noProof/>
        </w:rPr>
        <w:t>Pour les organismes décentralisés, il est proposé de fixer la contribution de l'UE (en crédits d'engagement et en crédits de paiement) et le nombre d'emplois au niveau du projet de budget initial, tel que modifié par la lettre rectificative nº 1/2019, avec les modifications suivantes:</w:t>
      </w:r>
    </w:p>
    <w:p>
      <w:pPr>
        <w:pStyle w:val="ListParagraph"/>
        <w:numPr>
          <w:ilvl w:val="0"/>
          <w:numId w:val="39"/>
        </w:numPr>
        <w:spacing w:before="120" w:after="120"/>
        <w:jc w:val="both"/>
        <w:rPr>
          <w:noProof/>
          <w:sz w:val="23"/>
          <w:szCs w:val="23"/>
        </w:rPr>
      </w:pPr>
      <w:r>
        <w:rPr>
          <w:noProof/>
          <w:sz w:val="23"/>
        </w:rPr>
        <w:t>Sous la rubrique 1a:</w:t>
      </w:r>
    </w:p>
    <w:p>
      <w:pPr>
        <w:pStyle w:val="ListParagraph"/>
        <w:numPr>
          <w:ilvl w:val="1"/>
          <w:numId w:val="39"/>
        </w:numPr>
        <w:spacing w:before="120" w:after="120"/>
        <w:jc w:val="both"/>
        <w:rPr>
          <w:noProof/>
          <w:sz w:val="23"/>
          <w:szCs w:val="23"/>
        </w:rPr>
      </w:pPr>
      <w:r>
        <w:rPr>
          <w:noProof/>
          <w:sz w:val="23"/>
        </w:rPr>
        <w:t>pour l’Agence du GNSS européen (GSA, article 02 05 11), il est proposé d’allouer 5 emplois supplémentaires et d’augmenter de 357 500 EUR le niveau des crédits d’engagement et de paiement;</w:t>
      </w:r>
    </w:p>
    <w:p>
      <w:pPr>
        <w:pStyle w:val="ListParagraph"/>
        <w:numPr>
          <w:ilvl w:val="1"/>
          <w:numId w:val="39"/>
        </w:numPr>
        <w:spacing w:before="120" w:after="120"/>
        <w:jc w:val="both"/>
        <w:rPr>
          <w:noProof/>
          <w:sz w:val="23"/>
          <w:szCs w:val="23"/>
        </w:rPr>
      </w:pPr>
      <w:r>
        <w:rPr>
          <w:noProof/>
          <w:sz w:val="23"/>
        </w:rPr>
        <w:t>pour l’Autorité européenne du travail (ELA, article 04 03 15), il est proposé de baisser de 8 947 000 EUR le niveau des crédits d’engagement et de paiement;</w:t>
      </w:r>
    </w:p>
    <w:p>
      <w:pPr>
        <w:pStyle w:val="ListParagraph"/>
        <w:numPr>
          <w:ilvl w:val="1"/>
          <w:numId w:val="39"/>
        </w:numPr>
        <w:spacing w:before="120" w:after="120"/>
        <w:jc w:val="both"/>
        <w:rPr>
          <w:noProof/>
          <w:sz w:val="23"/>
          <w:szCs w:val="23"/>
        </w:rPr>
      </w:pPr>
      <w:r>
        <w:rPr>
          <w:noProof/>
          <w:sz w:val="23"/>
        </w:rPr>
        <w:t>pour l’Agence de l’Union européenne chargée de la sécurité des réseaux et de l’information (ENISA, article 09 02 03), il est proposé de relever de 400 000 EUR le niveau des crédits d’engagement et de paiement;</w:t>
      </w:r>
    </w:p>
    <w:p>
      <w:pPr>
        <w:pStyle w:val="ListParagraph"/>
        <w:numPr>
          <w:ilvl w:val="1"/>
          <w:numId w:val="39"/>
        </w:numPr>
        <w:spacing w:before="120" w:after="120"/>
        <w:jc w:val="both"/>
        <w:rPr>
          <w:noProof/>
          <w:sz w:val="23"/>
          <w:szCs w:val="23"/>
        </w:rPr>
      </w:pPr>
      <w:r>
        <w:rPr>
          <w:noProof/>
          <w:sz w:val="23"/>
        </w:rPr>
        <w:t>pour l’Organe des régulateurs européens des communications électroniques (ORECE, article 09 02 04), il est proposé d’allouer 2 emplois supplémentaires et d’augmenter de 143 000 EUR le niveau des crédits d’engagement et de paiement;</w:t>
      </w:r>
    </w:p>
    <w:p>
      <w:pPr>
        <w:pStyle w:val="ListParagraph"/>
        <w:numPr>
          <w:ilvl w:val="1"/>
          <w:numId w:val="39"/>
        </w:numPr>
        <w:spacing w:before="120" w:after="120"/>
        <w:jc w:val="both"/>
        <w:rPr>
          <w:noProof/>
          <w:sz w:val="23"/>
          <w:szCs w:val="23"/>
        </w:rPr>
      </w:pPr>
      <w:r>
        <w:rPr>
          <w:noProof/>
          <w:sz w:val="23"/>
        </w:rPr>
        <w:t>pour l’Autorité bancaire européenne (ABE, article 12 02 04), il est proposé de réduire le tableau des effectifs de 2 emplois;</w:t>
      </w:r>
    </w:p>
    <w:p>
      <w:pPr>
        <w:pStyle w:val="ListParagraph"/>
        <w:numPr>
          <w:ilvl w:val="1"/>
          <w:numId w:val="39"/>
        </w:numPr>
        <w:spacing w:before="120" w:after="120"/>
        <w:jc w:val="both"/>
        <w:rPr>
          <w:noProof/>
          <w:sz w:val="23"/>
          <w:szCs w:val="23"/>
        </w:rPr>
      </w:pPr>
      <w:r>
        <w:rPr>
          <w:noProof/>
          <w:sz w:val="23"/>
        </w:rPr>
        <w:t>pour l’Autorité européenne des assurances et des pensions professionnelles (AEAPP, article 12 02 05), il est proposé de réduire le tableau des effectifs de 4 emplois et de diminuer de 1 100 000 EUR le niveau des crédits d’engagement et de paiement;</w:t>
      </w:r>
    </w:p>
    <w:p>
      <w:pPr>
        <w:pStyle w:val="ListParagraph"/>
        <w:numPr>
          <w:ilvl w:val="1"/>
          <w:numId w:val="39"/>
        </w:numPr>
        <w:spacing w:before="120" w:after="120"/>
        <w:jc w:val="both"/>
        <w:rPr>
          <w:noProof/>
          <w:sz w:val="23"/>
          <w:szCs w:val="23"/>
        </w:rPr>
      </w:pPr>
      <w:r>
        <w:rPr>
          <w:noProof/>
          <w:sz w:val="23"/>
        </w:rPr>
        <w:t>pour l’Autorité européenne des marchés financiers (AEMF, article 12 02 06), il est proposé de réduire le tableau des effectifs de 23 emplois et de diminuer de 11 000 000 EUR le niveau des crédits d’engagement et de paiement.</w:t>
      </w:r>
    </w:p>
    <w:p>
      <w:pPr>
        <w:pStyle w:val="ListParagraph"/>
        <w:numPr>
          <w:ilvl w:val="0"/>
          <w:numId w:val="39"/>
        </w:numPr>
        <w:spacing w:before="120" w:after="120"/>
        <w:jc w:val="both"/>
        <w:rPr>
          <w:noProof/>
          <w:sz w:val="23"/>
          <w:szCs w:val="23"/>
        </w:rPr>
      </w:pPr>
      <w:r>
        <w:rPr>
          <w:noProof/>
          <w:sz w:val="23"/>
        </w:rPr>
        <w:t>Sous la rubrique 3:</w:t>
      </w:r>
    </w:p>
    <w:p>
      <w:pPr>
        <w:pStyle w:val="ListParagraph"/>
        <w:numPr>
          <w:ilvl w:val="1"/>
          <w:numId w:val="39"/>
        </w:numPr>
        <w:spacing w:before="120" w:after="120"/>
        <w:jc w:val="both"/>
        <w:rPr>
          <w:noProof/>
          <w:sz w:val="23"/>
          <w:szCs w:val="23"/>
        </w:rPr>
      </w:pPr>
      <w:r>
        <w:rPr>
          <w:noProof/>
          <w:sz w:val="23"/>
        </w:rPr>
        <w:t>pour l’Agence de l’Union européenne pour la coopération des services répressifs (Europol, article 18 02 04), il est proposé d’allouer 10 emplois supplémentaires et d’augmenter de 8 357 500 EUR le niveau des crédits d’engagement et de paiement;</w:t>
      </w:r>
    </w:p>
    <w:p>
      <w:pPr>
        <w:pStyle w:val="ListParagraph"/>
        <w:numPr>
          <w:ilvl w:val="1"/>
          <w:numId w:val="39"/>
        </w:numPr>
        <w:spacing w:before="120" w:after="120"/>
        <w:jc w:val="both"/>
        <w:rPr>
          <w:noProof/>
          <w:sz w:val="23"/>
          <w:szCs w:val="23"/>
        </w:rPr>
      </w:pPr>
      <w:r>
        <w:rPr>
          <w:noProof/>
          <w:sz w:val="23"/>
        </w:rPr>
        <w:t>pour l’Agence européenne pour la gestion opérationnelle des systèmes d’information à grande échelle au sein de l’espace de liberté, de sécurité et de justice (eu-LISA, article 18 02 07), il est proposé de relever de 4 000 000 EUR le niveau des crédits d’engagement et de paiement;</w:t>
      </w:r>
    </w:p>
    <w:p>
      <w:pPr>
        <w:pStyle w:val="ListParagraph"/>
        <w:numPr>
          <w:ilvl w:val="1"/>
          <w:numId w:val="39"/>
        </w:numPr>
        <w:spacing w:before="120" w:after="120"/>
        <w:jc w:val="both"/>
        <w:rPr>
          <w:noProof/>
          <w:sz w:val="23"/>
          <w:szCs w:val="23"/>
        </w:rPr>
      </w:pPr>
      <w:r>
        <w:rPr>
          <w:noProof/>
          <w:sz w:val="23"/>
        </w:rPr>
        <w:t>pour le Bureau européen d’appui en matière d’asile (EASO, article 18 03 02), il est proposé de fixer les crédits d’engagement et de paiement au niveau indiqué par la Commission dans le projet de budget initial. La Commission européenne examinera les besoins de financement de l’EASO pour l’exercice 2019 une fois qu’aura été adoptée la proposition législative du 12 septembre 2018 visant à renforcer les capacités de soutien opérationnel de l’Agence. En cas de besoin, la Commission présentera les propositions budgétaires correspondantes;</w:t>
      </w:r>
    </w:p>
    <w:p>
      <w:pPr>
        <w:pStyle w:val="ListParagraph"/>
        <w:numPr>
          <w:ilvl w:val="1"/>
          <w:numId w:val="39"/>
        </w:numPr>
        <w:spacing w:before="120" w:after="120"/>
        <w:jc w:val="both"/>
        <w:rPr>
          <w:b/>
          <w:noProof/>
          <w:sz w:val="23"/>
          <w:szCs w:val="23"/>
          <w:u w:val="single"/>
        </w:rPr>
      </w:pPr>
      <w:r>
        <w:rPr>
          <w:noProof/>
          <w:sz w:val="23"/>
        </w:rPr>
        <w:t>pour l’Organe européen pour le renforcement de la coopération judiciaire (Eurojust, article 33 03 04), il est proposé d’allouer 5 emplois supplémentaires et d’augmenter de 357 500 EUR le niveau des crédits d’engagement et de paiement.</w:t>
      </w:r>
    </w:p>
    <w:p>
      <w:pPr>
        <w:pStyle w:val="ManualHeading3"/>
        <w:rPr>
          <w:noProof/>
        </w:rPr>
      </w:pPr>
      <w:bookmarkStart w:id="25" w:name="_Toc530674100"/>
      <w:bookmarkStart w:id="26" w:name="_Toc531266750"/>
      <w:r>
        <w:t>3.1.2.</w:t>
      </w:r>
      <w:r>
        <w:tab/>
      </w:r>
      <w:r>
        <w:rPr>
          <w:noProof/>
        </w:rPr>
        <w:t>Agences exécutives</w:t>
      </w:r>
      <w:bookmarkEnd w:id="25"/>
      <w:bookmarkEnd w:id="26"/>
    </w:p>
    <w:p>
      <w:pPr>
        <w:spacing w:line="240" w:lineRule="auto"/>
        <w:jc w:val="both"/>
        <w:rPr>
          <w:noProof/>
        </w:rPr>
      </w:pPr>
      <w:r>
        <w:rPr>
          <w:noProof/>
        </w:rPr>
        <w:t>Pour les agences exécutives, il est proposé de fixer la contribution de l'UE (en crédits d'engagement et en crédits de paiement) et le nombre d'emplois au niveau du projet de budget initial, tel que modifié par la lettre rectificative nº 1/2019.</w:t>
      </w:r>
    </w:p>
    <w:p>
      <w:pPr>
        <w:pStyle w:val="ManualHeading3"/>
        <w:rPr>
          <w:noProof/>
        </w:rPr>
      </w:pPr>
      <w:bookmarkStart w:id="27" w:name="_Toc530674101"/>
      <w:bookmarkStart w:id="28" w:name="_Toc531266751"/>
      <w:r>
        <w:t>3.1.3.</w:t>
      </w:r>
      <w:r>
        <w:tab/>
      </w:r>
      <w:r>
        <w:rPr>
          <w:noProof/>
        </w:rPr>
        <w:t>Projets pilotes et actions préparatoires</w:t>
      </w:r>
      <w:bookmarkEnd w:id="27"/>
      <w:bookmarkEnd w:id="28"/>
    </w:p>
    <w:p>
      <w:pPr>
        <w:spacing w:line="240" w:lineRule="auto"/>
        <w:jc w:val="both"/>
        <w:rPr>
          <w:noProof/>
        </w:rPr>
      </w:pPr>
      <w:r>
        <w:rPr>
          <w:noProof/>
        </w:rPr>
        <w:t>Le deuxième projet de budget comprend 75 projets pilotes et actions préparatoires, pour un montant total de 114,9 millions d'EUR en crédits d'engagement, ce qui reflète la lecture du projet de budget initial par le Parlement européen.</w:t>
      </w:r>
    </w:p>
    <w:p>
      <w:pPr>
        <w:spacing w:after="0" w:line="240" w:lineRule="auto"/>
        <w:rPr>
          <w:rFonts w:eastAsia="Times New Roman"/>
          <w:b/>
          <w:bCs/>
          <w:iCs/>
          <w:noProof/>
          <w:sz w:val="24"/>
          <w:szCs w:val="28"/>
        </w:rPr>
      </w:pPr>
      <w:r>
        <w:rPr>
          <w:noProof/>
        </w:rPr>
        <w:br w:type="page"/>
      </w:r>
    </w:p>
    <w:p>
      <w:pPr>
        <w:pStyle w:val="ManualHeading2"/>
        <w:rPr>
          <w:noProof/>
        </w:rPr>
      </w:pPr>
      <w:bookmarkStart w:id="29" w:name="_Toc530586710"/>
      <w:bookmarkStart w:id="30" w:name="_Toc530586711"/>
      <w:bookmarkStart w:id="31" w:name="_Toc530586713"/>
      <w:bookmarkStart w:id="32" w:name="_Toc530674102"/>
      <w:bookmarkStart w:id="33" w:name="_Toc531266752"/>
      <w:bookmarkEnd w:id="29"/>
      <w:bookmarkEnd w:id="30"/>
      <w:bookmarkEnd w:id="31"/>
      <w:r>
        <w:t>3.2.</w:t>
      </w:r>
      <w:r>
        <w:tab/>
      </w:r>
      <w:r>
        <w:rPr>
          <w:noProof/>
        </w:rPr>
        <w:t>Approche globale en matière de crédits d’engagement</w:t>
      </w:r>
      <w:bookmarkEnd w:id="32"/>
      <w:bookmarkEnd w:id="33"/>
    </w:p>
    <w:p>
      <w:pPr>
        <w:pStyle w:val="ManualHeading3"/>
        <w:rPr>
          <w:noProof/>
        </w:rPr>
      </w:pPr>
      <w:r>
        <w:t>3.2.1.</w:t>
      </w:r>
      <w:r>
        <w:tab/>
      </w:r>
      <w:r>
        <w:rPr>
          <w:noProof/>
        </w:rPr>
        <w:t xml:space="preserve"> </w:t>
      </w:r>
      <w:bookmarkStart w:id="34" w:name="_Toc530586716"/>
      <w:bookmarkStart w:id="35" w:name="_Toc530674103"/>
      <w:bookmarkStart w:id="36" w:name="_Toc531266753"/>
      <w:bookmarkEnd w:id="34"/>
      <w:r>
        <w:rPr>
          <w:noProof/>
        </w:rPr>
        <w:t>Rubrique 1a — Compétitivité pour la croissance et l'emploi</w:t>
      </w:r>
      <w:bookmarkEnd w:id="35"/>
      <w:bookmarkEnd w:id="36"/>
    </w:p>
    <w:p>
      <w:pPr>
        <w:spacing w:line="240" w:lineRule="auto"/>
        <w:jc w:val="both"/>
        <w:rPr>
          <w:noProof/>
        </w:rPr>
      </w:pPr>
      <w:r>
        <w:rPr>
          <w:noProof/>
        </w:rPr>
        <w:t>Pour la rubrique 1a, il est proposé de fixer les crédits d’engagement au niveau du projet de budget initial, tel que modifié par la lettre rectificative nº 1/2019, avec les changements figurant dans le tableau ci-dessous:</w:t>
      </w:r>
    </w:p>
    <w:tbl>
      <w:tblPr>
        <w:tblW w:w="10536" w:type="dxa"/>
        <w:tblInd w:w="108" w:type="dxa"/>
        <w:tblLook w:val="04A0" w:firstRow="1" w:lastRow="0" w:firstColumn="1" w:lastColumn="0" w:noHBand="0" w:noVBand="1"/>
      </w:tblPr>
      <w:tblGrid>
        <w:gridCol w:w="1240"/>
        <w:gridCol w:w="4940"/>
        <w:gridCol w:w="1480"/>
        <w:gridCol w:w="1480"/>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rPr>
            </w:pPr>
            <w:r>
              <w:rPr>
                <w:i/>
                <w:noProof/>
                <w:sz w:val="20"/>
              </w:rPr>
              <w:t>En EUR</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rPr>
            </w:pPr>
            <w:r>
              <w:rPr>
                <w:b/>
                <w:noProof/>
                <w:color w:val="000000"/>
                <w:sz w:val="16"/>
              </w:rPr>
              <w:t>Ligne budgétaire / Programme</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Intitulé</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rPr>
            </w:pPr>
            <w:r>
              <w:rPr>
                <w:b/>
                <w:noProof/>
                <w:sz w:val="20"/>
              </w:rPr>
              <w:t>Renforcement des crédits d'engagement</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PB 2019 (y compris LR 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Deuxième projet de budget 2019</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rPr>
            </w:pPr>
            <w:r>
              <w:rPr>
                <w:b/>
                <w:noProof/>
                <w:color w:val="000000"/>
                <w:sz w:val="20"/>
              </w:rPr>
              <w:t>Différence</w:t>
            </w:r>
          </w:p>
        </w:tc>
      </w:tr>
      <w:tr>
        <w:trPr>
          <w:trHeight w:val="54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1.1.12</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Réacteur thermonucléaire expérimental international (ITER)</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-3 500 000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32 05 01 02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Construction, fonctionnement et exploitation des installations ITER — Entreprise commune ITER — Fusion for Energy (F4E)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354 658 200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351 158 200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-3 500 000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1.1.13</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Programme européen d'observation de la Terre (Copernicus)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-17 500 000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02 06 01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Fournir des services opérationnels basés sur les observations spatiales et les données in situ (programme Copernicus)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189 755 000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188 255 000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02 06 02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Mettre en place une capacité autonome de l’Union en matière d’observation de la Terre (Copernicus)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686 315 000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670 315 000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-16 000 000</w:t>
            </w:r>
          </w:p>
        </w:tc>
      </w:tr>
      <w:tr>
        <w:trPr>
          <w:trHeight w:val="54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1.1.4</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Compétitivité des entreprises et des petites et moyennes entreprises (COSME)</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5 000 000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02 02 01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Promouvoir l’esprit d’entreprise et améliorer la compétitivité et l’accès aux marchés des entreprises de l’Union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128 039 000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130 039 000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02 02 02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Améliorer l’accès au financement pour les petites et moyennes entreprises (PME), sous forme d’investissements en fonds propres et d’emprunts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221 430 000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224 430 000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1.1.5</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Éducation, formation et sport (Erasmus+)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200 000 000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15 02 01 01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Promouvoir l’excellence et la coopération dans le domaine de l’éducation et de la formation en Europe ainsi que son adéquation par rapport au marché du travail</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2 217 836 200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2 411 836 200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194 000 000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15 02 01 02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Promouvoir l’excellence et la coopération auprès de la jeunesse européenne ainsi que la participation des jeunes à la vie démocratique en Europe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169 070 000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175 070 000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6 000 000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1.1.6</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Emploi et innovation sociale (EaSI)</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6 300 000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04 01 04 02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Dépenses d’appui pour le programme pour l’emploi et l’innovation sociale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2 950 000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3 400 000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450 000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04 03 02 01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Progress — Soutenir l’élaboration, la mise en œuvre, le suivi et l’évaluation de la politique sociale et de l’emploi ainsi que de la législation relative aux conditions de travail de l’Union.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77 373 225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78 873 225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04 03 02 02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EURES — Encourager la mobilité géographique volontaire des travailleurs et multiplier les possibilités d’emploi</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28 626 491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32 976 491</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4 350 000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1.1.DAG</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Organismes décentralisés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-20 146 500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02 05 11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Agence du GNSS européen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32 270 863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32 628 363</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357 500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09 02 03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Agence de l’Union européenne chargée de la sécurité des réseaux et de l’information (ENISA)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15 424 465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15 824 465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09 02 04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Organe des régulateurs européens des communications électroniques (ORECE) — Office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5 534 665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5 677 665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143 000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12 02 05</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Autorité européenne des assurances et des pensions professionnelles (AEAPP)</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13 474 234</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12 374 234</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-1 100 000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12 02 06</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Autorité européenne des marchés financiers (AEMF)</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38 235 160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27 235 160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-11 000 000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04 03 15</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Autorité européenne du travail</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11 071 650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2 124 650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-8 947 000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1.1.OTH</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Autres actions et programmes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227 000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04 03 01 03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Libre circulation des travailleurs, coordination des régimes de sécurité sociale et actions en faveur des migrants, y compris les migrants provenant de pays tiers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7 998 950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9 285 950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1 287 000</w:t>
            </w:r>
          </w:p>
        </w:tc>
      </w:tr>
      <w:tr>
        <w:trPr>
          <w:trHeight w:val="102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29 02 01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Fournir des informations statistiques de qualité, mettre en œuvre de nouvelles méthodes de production des statistiques européennes et renforcer le partenariat au sein du système statistique européen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73 245 000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72 185 000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-1 060 000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1.1.PPPA</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Projets pilotes et actions préparatoires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72 258 000</w:t>
            </w:r>
          </w:p>
        </w:tc>
      </w:tr>
      <w:tr>
        <w:trPr>
          <w:trHeight w:val="81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1.1.SPEC</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Actions financées dans le cadre des prérogatives de la Commission et des compétences spécifiques conférées à la Commission</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-1 210 000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01 02 01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Coordination et surveillance de l’Union économique et monétaire, y compris l’euro, et communication portant sur celle-ci</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11 730 000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-270 000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04 03 01 06</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Information, consultation et participation des représentants des entreprises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7 903 000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7 103 000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04 03 01 08</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Relations du travail et dialogue social</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06 02 05</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Activités de soutien à la politique européenne des transports et aux droits des passagers, y compris aux activités de communication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11 500 000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12 860 000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1 360 000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09 02 01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Définition et mise en œuvre de la politique de l’Union dans le domaine des communications électroniques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3 765 000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3 265 000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rPr>
            </w:pPr>
            <w:r>
              <w:rPr>
                <w:b/>
                <w:noProof/>
                <w:sz w:val="20"/>
              </w:rPr>
              <w:t>Total</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r>
              <w:rPr>
                <w:b/>
                <w:noProof/>
                <w:sz w:val="20"/>
              </w:rPr>
              <w:t>241 428 500</w:t>
            </w:r>
          </w:p>
        </w:tc>
      </w:tr>
    </w:tbl>
    <w:p>
      <w:pPr>
        <w:spacing w:before="240" w:line="240" w:lineRule="auto"/>
        <w:jc w:val="both"/>
        <w:rPr>
          <w:noProof/>
        </w:rPr>
      </w:pPr>
      <w:r>
        <w:rPr>
          <w:noProof/>
        </w:rPr>
        <w:t>En conséquence, il est proposé de fixer à 23 145,4 millions d’EUR le niveau des crédits d’engagement, sans laisser de marge sous le plafond des dépenses de la rubrique 1a et en utilisant la marge globale pour les engagements à hauteur de 63,4 millions d’EUR.</w:t>
      </w:r>
    </w:p>
    <w:p>
      <w:pPr>
        <w:spacing w:line="240" w:lineRule="auto"/>
        <w:jc w:val="both"/>
        <w:rPr>
          <w:noProof/>
        </w:rPr>
      </w:pPr>
      <w:r>
        <w:rPr>
          <w:noProof/>
        </w:rPr>
        <w:t>À la suite des dégagements effectués en 2017 (412,8 millions d’EUR) du fait de la non-exécution totale ou partielle de projets de recherche, et conformément à l’article 15, paragraphe 3, du règlement financier</w:t>
      </w:r>
      <w:r>
        <w:rPr>
          <w:rStyle w:val="FootnoteReference"/>
          <w:noProof/>
        </w:rPr>
        <w:footnoteReference w:id="14"/>
      </w:r>
      <w:r>
        <w:rPr>
          <w:noProof/>
        </w:rPr>
        <w:t>, qui s’applique exclusivement à la recherche, la Commission propose de reconstituer, sur la ligne 08 02 08, 100 millions d’EUR de crédits d’engagement afin de renforcer l’initiative pilote sur le Conseil européen de l’innovation dans le cadre de l’instrument destiné aux PME</w:t>
      </w:r>
      <w:r>
        <w:rPr>
          <w:rStyle w:val="FootnoteReference"/>
          <w:noProof/>
        </w:rPr>
        <w:footnoteReference w:id="15"/>
      </w:r>
      <w:r>
        <w:rPr>
          <w:noProof/>
        </w:rPr>
        <w:t>:</w:t>
      </w:r>
    </w:p>
    <w:tbl>
      <w:tblPr>
        <w:tblW w:w="10500" w:type="dxa"/>
        <w:tblInd w:w="108" w:type="dxa"/>
        <w:tblLook w:val="04A0" w:firstRow="1" w:lastRow="0" w:firstColumn="1" w:lastColumn="0" w:noHBand="0" w:noVBand="1"/>
      </w:tblPr>
      <w:tblGrid>
        <w:gridCol w:w="1240"/>
        <w:gridCol w:w="7800"/>
        <w:gridCol w:w="1460"/>
      </w:tblGrid>
      <w:tr>
        <w:trPr>
          <w:trHeight w:val="255"/>
        </w:trPr>
        <w:tc>
          <w:tcPr>
            <w:tcW w:w="10500" w:type="dxa"/>
            <w:gridSpan w:val="3"/>
            <w:tcBorders>
              <w:top w:val="nil"/>
              <w:left w:val="nil"/>
              <w:bottom w:val="single" w:sz="4" w:space="0" w:color="auto"/>
              <w:right w:val="nil"/>
            </w:tcBorders>
            <w:shd w:val="clear" w:color="auto" w:fill="auto"/>
            <w:noWrap/>
            <w:vAlign w:val="center"/>
            <w:hideMark/>
          </w:tcPr>
          <w:p>
            <w:pPr>
              <w:spacing w:after="0" w:line="240" w:lineRule="auto"/>
              <w:jc w:val="right"/>
              <w:rPr>
                <w:rFonts w:eastAsia="Times New Roman"/>
                <w:i/>
                <w:iCs/>
                <w:noProof/>
                <w:sz w:val="20"/>
                <w:szCs w:val="20"/>
              </w:rPr>
            </w:pPr>
            <w:r>
              <w:rPr>
                <w:i/>
                <w:noProof/>
                <w:sz w:val="20"/>
              </w:rPr>
              <w:t>En EUR</w:t>
            </w:r>
          </w:p>
        </w:tc>
      </w:tr>
      <w:tr>
        <w:trPr>
          <w:trHeight w:val="509"/>
        </w:trPr>
        <w:tc>
          <w:tcPr>
            <w:tcW w:w="1240" w:type="dxa"/>
            <w:tcBorders>
              <w:top w:val="nil"/>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16"/>
                <w:szCs w:val="16"/>
              </w:rPr>
            </w:pPr>
            <w:r>
              <w:rPr>
                <w:b/>
                <w:noProof/>
                <w:color w:val="000000"/>
                <w:sz w:val="16"/>
              </w:rPr>
              <w:t>Ligne budgétaire / Programme</w:t>
            </w:r>
          </w:p>
        </w:tc>
        <w:tc>
          <w:tcPr>
            <w:tcW w:w="780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Intitulé</w:t>
            </w:r>
          </w:p>
        </w:tc>
        <w:tc>
          <w:tcPr>
            <w:tcW w:w="1460" w:type="dxa"/>
            <w:tcBorders>
              <w:top w:val="nil"/>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16"/>
                <w:szCs w:val="16"/>
              </w:rPr>
            </w:pPr>
            <w:r>
              <w:rPr>
                <w:b/>
                <w:noProof/>
                <w:color w:val="000000"/>
                <w:sz w:val="16"/>
              </w:rPr>
              <w:t>Crédits à reconstituer</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1.1.31</w:t>
            </w:r>
          </w:p>
        </w:tc>
        <w:tc>
          <w:tcPr>
            <w:tcW w:w="7800" w:type="dxa"/>
            <w:tcBorders>
              <w:top w:val="single" w:sz="4" w:space="0" w:color="auto"/>
              <w:left w:val="nil"/>
              <w:bottom w:val="single" w:sz="4" w:space="0" w:color="auto"/>
              <w:right w:val="single" w:sz="4" w:space="0" w:color="auto"/>
            </w:tcBorders>
            <w:shd w:val="clear" w:color="000000" w:fill="F2F2F2"/>
            <w:vAlign w:val="center"/>
            <w:hideMark/>
          </w:tcPr>
          <w:p>
            <w:pPr>
              <w:spacing w:after="0" w:line="240" w:lineRule="auto"/>
              <w:rPr>
                <w:rFonts w:eastAsia="Times New Roman"/>
                <w:b/>
                <w:bCs/>
                <w:i/>
                <w:iCs/>
                <w:noProof/>
                <w:sz w:val="20"/>
                <w:szCs w:val="20"/>
              </w:rPr>
            </w:pPr>
            <w:r>
              <w:rPr>
                <w:b/>
                <w:i/>
                <w:noProof/>
                <w:sz w:val="20"/>
              </w:rPr>
              <w:t>Horizon 2020</w:t>
            </w:r>
          </w:p>
        </w:tc>
        <w:tc>
          <w:tcPr>
            <w:tcW w:w="1460"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100 000 000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08 02 08</w:t>
            </w:r>
          </w:p>
        </w:tc>
        <w:tc>
          <w:tcPr>
            <w:tcW w:w="78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Instrument destiné aux PME</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100 000 000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rPr>
            </w:pPr>
          </w:p>
        </w:tc>
        <w:tc>
          <w:tcPr>
            <w:tcW w:w="780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rPr>
            </w:pPr>
            <w:r>
              <w:rPr>
                <w:b/>
                <w:noProof/>
                <w:sz w:val="20"/>
              </w:rPr>
              <w:t>Total</w:t>
            </w:r>
          </w:p>
        </w:tc>
        <w:tc>
          <w:tcPr>
            <w:tcW w:w="14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r>
              <w:rPr>
                <w:b/>
                <w:noProof/>
                <w:sz w:val="20"/>
              </w:rPr>
              <w:t>100 000 000</w:t>
            </w:r>
          </w:p>
        </w:tc>
      </w:tr>
    </w:tbl>
    <w:p>
      <w:pPr>
        <w:spacing w:before="240"/>
        <w:rPr>
          <w:rFonts w:eastAsia="Times New Roman"/>
          <w:noProof/>
          <w:sz w:val="24"/>
          <w:szCs w:val="26"/>
        </w:rPr>
      </w:pPr>
      <w:r>
        <w:rPr>
          <w:noProof/>
        </w:rPr>
        <w:t>Il est proposé d’adapter le commentaire budgétaire en conséquence.</w:t>
      </w:r>
    </w:p>
    <w:p>
      <w:pPr>
        <w:pStyle w:val="ManualHeading3"/>
        <w:rPr>
          <w:noProof/>
        </w:rPr>
      </w:pPr>
      <w:bookmarkStart w:id="37" w:name="_Toc530586720"/>
      <w:bookmarkStart w:id="38" w:name="_Toc530674104"/>
      <w:bookmarkStart w:id="39" w:name="_Toc531266754"/>
      <w:bookmarkEnd w:id="37"/>
      <w:r>
        <w:t>3.2.2.</w:t>
      </w:r>
      <w:r>
        <w:tab/>
      </w:r>
      <w:r>
        <w:rPr>
          <w:noProof/>
        </w:rPr>
        <w:t>Rubrique 1b — Cohésion économique, sociale et territoriale</w:t>
      </w:r>
      <w:bookmarkEnd w:id="38"/>
      <w:bookmarkEnd w:id="39"/>
    </w:p>
    <w:p>
      <w:pPr>
        <w:spacing w:line="240" w:lineRule="auto"/>
        <w:jc w:val="both"/>
        <w:rPr>
          <w:noProof/>
        </w:rPr>
      </w:pPr>
      <w:r>
        <w:rPr>
          <w:noProof/>
        </w:rPr>
        <w:t>Pour la rubrique 1b, il est proposé de fixer les crédits d’engagement au niveau du projet de budget initial, tel que modifié par la lettre rectificative nº 1/2019, avec les changements figurant dans le tableau ci-dessous:</w:t>
      </w:r>
    </w:p>
    <w:tbl>
      <w:tblPr>
        <w:tblW w:w="10536" w:type="dxa"/>
        <w:tblInd w:w="108" w:type="dxa"/>
        <w:tblLook w:val="04A0" w:firstRow="1" w:lastRow="0" w:firstColumn="1" w:lastColumn="0" w:noHBand="0" w:noVBand="1"/>
      </w:tblPr>
      <w:tblGrid>
        <w:gridCol w:w="1240"/>
        <w:gridCol w:w="4940"/>
        <w:gridCol w:w="1480"/>
        <w:gridCol w:w="1480"/>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rPr>
            </w:pPr>
            <w:r>
              <w:rPr>
                <w:i/>
                <w:noProof/>
                <w:sz w:val="20"/>
              </w:rPr>
              <w:t>En EUR</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rPr>
            </w:pPr>
            <w:r>
              <w:rPr>
                <w:b/>
                <w:noProof/>
                <w:color w:val="000000"/>
                <w:sz w:val="16"/>
              </w:rPr>
              <w:t>Ligne budgétaire / Programme</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Intitulé</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rPr>
            </w:pPr>
            <w:r>
              <w:rPr>
                <w:b/>
                <w:noProof/>
                <w:sz w:val="20"/>
              </w:rPr>
              <w:t>Renforcement des crédits d'engagement</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PB 2019 (y compris LR 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Deuxième projet de budget 2019</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rPr>
            </w:pPr>
            <w:r>
              <w:rPr>
                <w:b/>
                <w:noProof/>
                <w:color w:val="000000"/>
                <w:sz w:val="20"/>
              </w:rPr>
              <w:t>Différence</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1.2.31</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Assistance technique</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-1 744 903</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04 02 63 01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Fonds social européen — Assistance technique opérationnelle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25 078 000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23 333 097</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-1 744 903</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1.2.5</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Initiative pour l'emploi des jeunes (enveloppe spécifique complémentaire)</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116 666 667</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04 02 64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Initiative pour l’emploi des jeunes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233 333 333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350 000 000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116 666 667</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1.2.PPPA</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Projets pilotes et actions préparatoires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3 675 000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rPr>
            </w:pPr>
            <w:r>
              <w:rPr>
                <w:b/>
                <w:noProof/>
                <w:sz w:val="20"/>
              </w:rPr>
              <w:t>Total</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r>
              <w:rPr>
                <w:b/>
                <w:noProof/>
                <w:sz w:val="20"/>
              </w:rPr>
              <w:t>118 596 764</w:t>
            </w:r>
          </w:p>
        </w:tc>
      </w:tr>
    </w:tbl>
    <w:p>
      <w:pPr>
        <w:spacing w:before="240" w:after="120"/>
        <w:jc w:val="both"/>
        <w:rPr>
          <w:noProof/>
        </w:rPr>
      </w:pPr>
      <w:r>
        <w:rPr>
          <w:noProof/>
        </w:rPr>
        <w:t>En conséquence, il est proposé de fixer à 57 192,0 millions d’EUR le niveau des crédits d’engagement, sans laisser de marge sous le plafond des dépenses de la rubrique 1b et en utilisant la marge globale pour les engagements à hauteur de 350,0 millions d’EUR.</w:t>
      </w:r>
    </w:p>
    <w:p>
      <w:pPr>
        <w:pStyle w:val="ManualHeading3"/>
        <w:rPr>
          <w:noProof/>
        </w:rPr>
      </w:pPr>
      <w:bookmarkStart w:id="40" w:name="_Toc530586722"/>
      <w:bookmarkStart w:id="41" w:name="_Ref340817102"/>
      <w:bookmarkStart w:id="42" w:name="_Toc530674105"/>
      <w:bookmarkStart w:id="43" w:name="_Toc531266755"/>
      <w:bookmarkEnd w:id="40"/>
      <w:r>
        <w:t>3.2.3.</w:t>
      </w:r>
      <w:r>
        <w:tab/>
      </w:r>
      <w:r>
        <w:rPr>
          <w:noProof/>
        </w:rPr>
        <w:t>Rubrique 2 — Croissance durable: ressources naturelles</w:t>
      </w:r>
      <w:bookmarkEnd w:id="41"/>
      <w:bookmarkEnd w:id="42"/>
      <w:bookmarkEnd w:id="43"/>
    </w:p>
    <w:p>
      <w:pPr>
        <w:spacing w:line="240" w:lineRule="auto"/>
        <w:jc w:val="both"/>
        <w:rPr>
          <w:noProof/>
        </w:rPr>
      </w:pPr>
      <w:r>
        <w:rPr>
          <w:noProof/>
        </w:rPr>
        <w:t>Pour la rubrique 2, il est proposé de fixer les crédits d’engagement au niveau du projet de budget initial, tel que modifié par la lettre rectificative nº 1/2019, avec les changements figurant dans le tableau ci-dessous:</w:t>
      </w:r>
    </w:p>
    <w:tbl>
      <w:tblPr>
        <w:tblW w:w="10536" w:type="dxa"/>
        <w:tblInd w:w="108" w:type="dxa"/>
        <w:tblLook w:val="04A0" w:firstRow="1" w:lastRow="0" w:firstColumn="1" w:lastColumn="0" w:noHBand="0" w:noVBand="1"/>
      </w:tblPr>
      <w:tblGrid>
        <w:gridCol w:w="1240"/>
        <w:gridCol w:w="4940"/>
        <w:gridCol w:w="1480"/>
        <w:gridCol w:w="1480"/>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rPr>
            </w:pPr>
            <w:r>
              <w:rPr>
                <w:i/>
                <w:noProof/>
                <w:sz w:val="20"/>
              </w:rPr>
              <w:t>En EUR</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rPr>
            </w:pPr>
            <w:r>
              <w:rPr>
                <w:b/>
                <w:noProof/>
                <w:color w:val="000000"/>
                <w:sz w:val="16"/>
              </w:rPr>
              <w:t>Ligne budgétaire / Programme</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Intitulé</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rPr>
            </w:pPr>
            <w:r>
              <w:rPr>
                <w:b/>
                <w:noProof/>
                <w:sz w:val="20"/>
              </w:rPr>
              <w:t>Renforcement des crédits d'engagement</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PB 2019 (y compris LR 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Deuxième projet de budget 2019</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rPr>
            </w:pPr>
            <w:r>
              <w:rPr>
                <w:b/>
                <w:noProof/>
                <w:color w:val="000000"/>
                <w:sz w:val="20"/>
              </w:rPr>
              <w:t>Différence</w:t>
            </w:r>
          </w:p>
        </w:tc>
      </w:tr>
      <w:tr>
        <w:trPr>
          <w:trHeight w:val="54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2.0.10</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Fonds européen agricole de garantie (FEAGA) — Dépenses relatives au marché et paiements directs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-237 500 000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05 02 06 99</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Autres mesures pour l’huile d’olive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600 000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05 02 15 99</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Autres mesures pour les viandes porcines, les volailles, les œufs, l’apiculture et les autres produits animaux</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13 000 000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28 000 000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05 03 01 10</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Régime de paiement de base (RPB)</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16 464 000 000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16 211 000 000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-253 000 000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2.0.4</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Environnement et action pour le climat (LIFE)</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4 000 000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07 02 01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Contribuer à une économie plus verte et plus efficace dans l’utilisation des ressources et à l’élaboration et à la mise en œuvre de la politique et de la législation environnementales de l’Union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148 835 000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150 335 000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1 500 000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07 02 02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Stopper et inverser le processus d’appauvrissement de la biodiversité</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211 620 000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213 620 000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07 02 03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Contribuer à une meilleure gouvernance en matière d’environnement et à une meilleure information à tous les niveaux</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47 500 000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48 000 000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2.0.PPPA</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Projets pilotes et actions préparatoires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13 500 000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rPr>
            </w:pPr>
            <w:r>
              <w:rPr>
                <w:b/>
                <w:noProof/>
                <w:sz w:val="20"/>
              </w:rPr>
              <w:t>Total</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r>
              <w:rPr>
                <w:b/>
                <w:noProof/>
                <w:sz w:val="20"/>
              </w:rPr>
              <w:t>-220 000 000</w:t>
            </w:r>
          </w:p>
        </w:tc>
      </w:tr>
    </w:tbl>
    <w:p>
      <w:pPr>
        <w:spacing w:before="240" w:after="120"/>
        <w:jc w:val="both"/>
        <w:rPr>
          <w:noProof/>
        </w:rPr>
      </w:pPr>
      <w:r>
        <w:rPr>
          <w:noProof/>
        </w:rPr>
        <w:t xml:space="preserve">La diminution des crédits d’engagement est entièrement due à l’augmentation des recettes affectées découlant de l’excédent du FEAGA au 31 octobre 2018, qui couvrira l’ensemble des besoins du secteur tels qu’ils ont été actualisés dans la lettre rectificative nº 1/2019. </w:t>
      </w:r>
    </w:p>
    <w:p>
      <w:pPr>
        <w:spacing w:before="240" w:after="120"/>
        <w:jc w:val="both"/>
        <w:rPr>
          <w:noProof/>
        </w:rPr>
      </w:pPr>
      <w:r>
        <w:rPr>
          <w:noProof/>
        </w:rPr>
        <w:t>Par conséquent, il est proposé de fixer le niveau des engagements à 59 642,1 millions d'EUR, ce qui laisse une marge de 701,9 millions d'EUR sous le plafond des dépenses de la rubrique 2.</w:t>
      </w:r>
    </w:p>
    <w:p>
      <w:pPr>
        <w:pStyle w:val="ManualHeading3"/>
        <w:rPr>
          <w:noProof/>
        </w:rPr>
      </w:pPr>
      <w:bookmarkStart w:id="44" w:name="_Toc530674106"/>
      <w:bookmarkStart w:id="45" w:name="_Toc531266756"/>
      <w:r>
        <w:t>3.2.4.</w:t>
      </w:r>
      <w:r>
        <w:tab/>
      </w:r>
      <w:r>
        <w:rPr>
          <w:noProof/>
        </w:rPr>
        <w:t>Rubrique 3 — Sécurité et citoyenneté</w:t>
      </w:r>
      <w:bookmarkEnd w:id="44"/>
      <w:bookmarkEnd w:id="45"/>
    </w:p>
    <w:p>
      <w:pPr>
        <w:spacing w:line="240" w:lineRule="auto"/>
        <w:jc w:val="both"/>
        <w:rPr>
          <w:noProof/>
        </w:rPr>
      </w:pPr>
      <w:r>
        <w:rPr>
          <w:noProof/>
        </w:rPr>
        <w:t>Pour la rubrique 3, il est proposé de fixer les crédits d’engagement au niveau du projet de budget initial, tel que modifié par la lettre rectificative nº 1/2019, avec les changements figurant dans le tableau ci-dessous:</w:t>
      </w:r>
    </w:p>
    <w:tbl>
      <w:tblPr>
        <w:tblW w:w="10536" w:type="dxa"/>
        <w:tblInd w:w="108" w:type="dxa"/>
        <w:tblLook w:val="04A0" w:firstRow="1" w:lastRow="0" w:firstColumn="1" w:lastColumn="0" w:noHBand="0" w:noVBand="1"/>
      </w:tblPr>
      <w:tblGrid>
        <w:gridCol w:w="1240"/>
        <w:gridCol w:w="4940"/>
        <w:gridCol w:w="1480"/>
        <w:gridCol w:w="1480"/>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rPr>
            </w:pPr>
            <w:r>
              <w:rPr>
                <w:i/>
                <w:noProof/>
                <w:sz w:val="20"/>
              </w:rPr>
              <w:t>En EUR</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rPr>
            </w:pPr>
            <w:r>
              <w:rPr>
                <w:b/>
                <w:noProof/>
                <w:color w:val="000000"/>
                <w:sz w:val="16"/>
              </w:rPr>
              <w:t>Ligne budgétaire / Programme</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Intitulé</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rPr>
            </w:pPr>
            <w:r>
              <w:rPr>
                <w:b/>
                <w:noProof/>
                <w:sz w:val="20"/>
              </w:rPr>
              <w:t>Renforcement des crédits d'engagement</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PB 2019 (y compris LR 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Deuxième projet de budget 2019</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rPr>
            </w:pPr>
            <w:r>
              <w:rPr>
                <w:b/>
                <w:noProof/>
                <w:color w:val="000000"/>
                <w:sz w:val="20"/>
              </w:rPr>
              <w:t>Différence</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3.0.11</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Europe créative</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3 000 000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09 05 01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Sous-programme MEDIA — Opérer à l'échelle transnationale et internationale et promouvoir la circulation transnationale et la mobilité</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117 260 000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120 260 000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3.0.2</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Fonds pour la sécurité intérieure</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5 000 000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18 02 01 01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Appuyer la gestion des frontières et soutenir une politique commune des visas pour faciliter les voyages effectués de façon légitime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330 317 547</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335 317 547</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3.0.8</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Denrées alimentaires et aliments pour animaux</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-8 000 000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17 04 01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Veiller à l'amélioration du statut sanitaire des animaux et à un niveau élevé de protection des animaux dans l'Union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163 500 000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155 500 000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3.0.DAG</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Organismes décentralisés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-42 285 000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18 02 04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Agence de l’Union européenne pour la coopération des services répressifs (Europol)</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128 789 065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137 146 565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8 357 500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18 02 07</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Agence européenne pour la gestion opérationnelle des systèmes d’information à grande échelle au sein de l’espace de liberté, de sécurité et de justice (eu-LISA)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291 350 509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295 350 509</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18 03 02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Bureau européen d’appui en matière d’asile (EASO)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149 032 843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94 032 843</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-55 000 000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33 03 04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L’unité de coopération judiciaire de l’Union européenne (Eurojust)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37 316 059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37 673 559</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357 500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3.0.PPPA</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Projets pilotes et actions préparatoires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15 075 000</w:t>
            </w:r>
          </w:p>
        </w:tc>
      </w:tr>
      <w:tr>
        <w:trPr>
          <w:trHeight w:val="81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3.0.SPEC</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Actions financées dans le cadre des prérogatives de la Commission et des compétences spécifiques conférées à la Commission</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3 000 000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09 05 05</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Actions multimédia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20 346 000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23 546 000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3 200 000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16 03 01 03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Relais d’information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15 800 000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15 600 000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rPr>
            </w:pPr>
            <w:r>
              <w:rPr>
                <w:b/>
                <w:noProof/>
                <w:sz w:val="20"/>
              </w:rPr>
              <w:t>Total</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r>
              <w:rPr>
                <w:b/>
                <w:noProof/>
                <w:sz w:val="20"/>
              </w:rPr>
              <w:t>-24 210 000</w:t>
            </w:r>
          </w:p>
        </w:tc>
      </w:tr>
    </w:tbl>
    <w:p>
      <w:pPr>
        <w:spacing w:before="240" w:line="240" w:lineRule="auto"/>
        <w:jc w:val="both"/>
        <w:rPr>
          <w:noProof/>
        </w:rPr>
      </w:pPr>
      <w:r>
        <w:rPr>
          <w:noProof/>
        </w:rPr>
        <w:t>En conséquence, il est proposé de fixer à 3 786,6 millions d’EUR le niveau des crédits d’engagement, sans laisser de marge sous le plafond des dépenses de la rubrique 3 et en mobilisant l’instrument de flexibilité à hauteur de 985,6 millions d’EUR.</w:t>
      </w:r>
    </w:p>
    <w:p>
      <w:pPr>
        <w:pStyle w:val="ManualHeading3"/>
        <w:rPr>
          <w:noProof/>
        </w:rPr>
      </w:pPr>
      <w:bookmarkStart w:id="46" w:name="_Toc530674107"/>
      <w:bookmarkStart w:id="47" w:name="_Toc531266757"/>
      <w:r>
        <w:t>3.2.5.</w:t>
      </w:r>
      <w:r>
        <w:tab/>
      </w:r>
      <w:r>
        <w:rPr>
          <w:noProof/>
        </w:rPr>
        <w:t>Rubrique 4 — L'Europe dans le monde</w:t>
      </w:r>
      <w:bookmarkEnd w:id="46"/>
      <w:bookmarkEnd w:id="47"/>
    </w:p>
    <w:p>
      <w:pPr>
        <w:spacing w:line="240" w:lineRule="auto"/>
        <w:jc w:val="both"/>
        <w:rPr>
          <w:noProof/>
        </w:rPr>
      </w:pPr>
      <w:r>
        <w:rPr>
          <w:noProof/>
        </w:rPr>
        <w:t>Pour la rubrique 4, il est proposé de fixer les crédits d’engagement au niveau du projet de budget initial, tel que modifié par la lettre rectificative nº 1/2019, avec les changements figurant dans le tableau ci-dessous:</w:t>
      </w:r>
    </w:p>
    <w:tbl>
      <w:tblPr>
        <w:tblW w:w="10536" w:type="dxa"/>
        <w:tblInd w:w="108" w:type="dxa"/>
        <w:tblLook w:val="04A0" w:firstRow="1" w:lastRow="0" w:firstColumn="1" w:lastColumn="0" w:noHBand="0" w:noVBand="1"/>
      </w:tblPr>
      <w:tblGrid>
        <w:gridCol w:w="1240"/>
        <w:gridCol w:w="4940"/>
        <w:gridCol w:w="1480"/>
        <w:gridCol w:w="1480"/>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rPr>
            </w:pPr>
            <w:r>
              <w:rPr>
                <w:i/>
                <w:noProof/>
                <w:sz w:val="20"/>
              </w:rPr>
              <w:t>En EUR</w:t>
            </w:r>
          </w:p>
        </w:tc>
      </w:tr>
      <w:tr>
        <w:trPr>
          <w:trHeight w:val="39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rPr>
            </w:pPr>
            <w:r>
              <w:rPr>
                <w:b/>
                <w:noProof/>
                <w:color w:val="000000"/>
                <w:sz w:val="16"/>
              </w:rPr>
              <w:t>Ligne budgétaire / Programme</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Intitulé</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rPr>
            </w:pPr>
            <w:r>
              <w:rPr>
                <w:b/>
                <w:noProof/>
                <w:sz w:val="20"/>
              </w:rPr>
              <w:t>Renforcement des crédits d'engagement</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PB 2019 (y compris LR 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Deuxième projet de budget 2019</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rPr>
            </w:pPr>
            <w:r>
              <w:rPr>
                <w:b/>
                <w:noProof/>
                <w:color w:val="000000"/>
                <w:sz w:val="20"/>
              </w:rPr>
              <w:t>Différence</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4.0.1</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Instrument d’aide de préadhésion (IAP II)</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-138 700 000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05 05 04 02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Turquie - Soutien au développement économique, social et territorial et à l’alignement progressif correspondant sur l’acquis de l’Union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56 800 000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40 000 000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-16 800 000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22 02 01 01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Balkans occidentaux - Soutenir les réformes politiques et l’alignement progressif connexe sur l’acquis de l’Union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189 267 000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193 267 000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22 02 01 02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Balkans occidentaux - Soutenir le développement économique, social et territorial et l’alignement progressif connexe sur l’acquis de l’Union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306 439 000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310 439 000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22 02 03 01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Turquie - Soutenir les réformes politiques et l’alignement progressif connexe sur l’acquis de l’Union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244 100 000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160 000 000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-84 100 000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22 02 03 02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Turquie - Soutien au développement économique, social et territorial et à l’alignement progressif correspondant sur l’acquis de l’Union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944 500 000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898 700 000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-45 800 000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4.0.10</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Assistance macrofinancière (AMF)</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-15 000 000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01 03 02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Aide macrofinancière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42 000 000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27 000 000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4.0.11</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Fonds de garantie relatif aux actions extérieures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-48 222 935</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01 03 06</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Provisionnement du Fonds de garantie relatif aux actions extérieures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48 222 935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-48 222 935</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4.0.2</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Instrument européen de voisinage (IEV)</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97 119 000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22 04 01 01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Pays méditerranéens — Droits de l’homme, bonne gouvernance et mobilité</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125 838 308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133 923 308</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8 085 000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22 04 01 02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Pays méditerranéens — Réduction de la pauvreté et développement durable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629 108 985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668 160 985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39 052 000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22 04 01 03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Pays méditerranéens — Mesures propres à instaurer la confiance, sécurité et prévention et règlement des conflits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415 324 409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423 718 409</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8 394 000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22 04 01 04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Soutien au processus de paix et aide financière à la Palestine et à l’Office de secours et de travaux des Nations unies pour les réfugiés de Palestine (UNRWA)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308 811 939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329 811 939</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21 000 000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22 04 02 01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Partenariat oriental — Droits de l’homme, bonne gouvernance et mobilité</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241 931 953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250 016 953</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8 085 000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22 04 02 02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Partenariat oriental — Réduction de la pauvreté et développement durable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371 016 900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380 730 900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9 714 000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22 04 02 03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Partenariat oriental — Mesures propres à instaurer la confiance, sécurité et prévention et règlement des conflits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12 231 062</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12 770 062</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539 000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22 04 20</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Erasmus+ — Contribution de l’instrument européen de voisinage (IEV)</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84 544 000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86 794 000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2 250 000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4.0.3</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Instrument de financement de la coopération au développement (ICD)</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31 556 000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Coopération avec l'Asie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810 388 665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794 388 665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Coopération avec le Moyen-Orient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194 531 328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178 531 328</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21 02 07 01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Environnement et changement climatique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215 593 156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224 576 156</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8 983 000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21 02 07 02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Énergie durable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95 819 181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99 412 181</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3 593 000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21 02 07 03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Développement humain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205 589 346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238 149 346</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32 560 000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21 02 07 05</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Migration et asile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54 951 845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56 748 845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1 797 000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21 02 08 01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La société civile dans le développement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219 626 756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230 999 756</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11 373 000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21 02 20</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Erasmus+ — Contribution de l’instrument de financement de la coopération au développement (ICD)</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98 638 290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103 888 290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5 250 000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4.0.OTH</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Autres actions et programmes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2 000 000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13 07 01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Soutien financier visant à encourager le développement économique de la communauté chypriote turque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33 122 000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35 122 000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4.0.PPPA</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Projets pilotes et actions préparatoires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6 325 000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rPr>
            </w:pPr>
            <w:r>
              <w:rPr>
                <w:b/>
                <w:noProof/>
                <w:sz w:val="20"/>
              </w:rPr>
              <w:t>Total</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r>
              <w:rPr>
                <w:b/>
                <w:noProof/>
                <w:sz w:val="20"/>
              </w:rPr>
              <w:t>-64 922 935</w:t>
            </w:r>
          </w:p>
        </w:tc>
      </w:tr>
    </w:tbl>
    <w:p>
      <w:pPr>
        <w:spacing w:before="240" w:line="240" w:lineRule="auto"/>
        <w:jc w:val="both"/>
        <w:rPr>
          <w:noProof/>
        </w:rPr>
      </w:pPr>
      <w:r>
        <w:rPr>
          <w:noProof/>
        </w:rPr>
        <w:t>En conséquence, il est proposé de fixer à 11 319,3 millions d’EUR le niveau des crédits d’engagement, sans laisser de marge sous le plafond des dépenses de la rubrique 4 et en utilisant la marge globale pour les engagements à hauteur de 1 051,3 millions d’EUR.</w:t>
      </w:r>
    </w:p>
    <w:p>
      <w:pPr>
        <w:pStyle w:val="ManualHeading3"/>
        <w:rPr>
          <w:noProof/>
        </w:rPr>
      </w:pPr>
      <w:bookmarkStart w:id="48" w:name="_Ref340815968"/>
      <w:bookmarkStart w:id="49" w:name="_Toc530674108"/>
      <w:bookmarkStart w:id="50" w:name="_Toc531266758"/>
      <w:r>
        <w:t>3.2.6.</w:t>
      </w:r>
      <w:r>
        <w:tab/>
      </w:r>
      <w:r>
        <w:rPr>
          <w:noProof/>
        </w:rPr>
        <w:t>Rubrique 5 — Administration</w:t>
      </w:r>
      <w:bookmarkEnd w:id="48"/>
      <w:bookmarkEnd w:id="49"/>
      <w:bookmarkEnd w:id="50"/>
    </w:p>
    <w:p>
      <w:pPr>
        <w:spacing w:before="120"/>
        <w:jc w:val="both"/>
        <w:rPr>
          <w:noProof/>
        </w:rPr>
      </w:pPr>
      <w:r>
        <w:rPr>
          <w:noProof/>
        </w:rPr>
        <w:t>Pour la rubrique 5, il est proposé de fixer le nombre d'emplois dans les tableaux des effectifs des institutions et les crédits au niveau du projet de budget initial, tel que modifié par la lettre rectificative nº 1/2019, sauf en ce qui concerne les aspects suivants:</w:t>
      </w:r>
    </w:p>
    <w:p>
      <w:pPr>
        <w:pStyle w:val="ListParagraph"/>
        <w:numPr>
          <w:ilvl w:val="0"/>
          <w:numId w:val="38"/>
        </w:numPr>
        <w:spacing w:before="120" w:after="120"/>
        <w:jc w:val="both"/>
        <w:rPr>
          <w:noProof/>
          <w:sz w:val="23"/>
          <w:szCs w:val="23"/>
        </w:rPr>
      </w:pPr>
      <w:r>
        <w:rPr>
          <w:noProof/>
          <w:sz w:val="23"/>
        </w:rPr>
        <w:t>pour la section «Parlement», la lecture par ce dernier du projet de budget initial est approuvée compte tenu des ajustements figurant dans la lettre rectificative nº 1/2019 en ce qui concerne l’Autorité pour les partis politiques européens et les fondations politiques européennes;</w:t>
      </w:r>
    </w:p>
    <w:p>
      <w:pPr>
        <w:pStyle w:val="ListParagraph"/>
        <w:numPr>
          <w:ilvl w:val="0"/>
          <w:numId w:val="38"/>
        </w:numPr>
        <w:spacing w:before="120" w:after="120"/>
        <w:jc w:val="both"/>
        <w:rPr>
          <w:noProof/>
          <w:sz w:val="23"/>
          <w:szCs w:val="23"/>
        </w:rPr>
      </w:pPr>
      <w:r>
        <w:rPr>
          <w:noProof/>
          <w:sz w:val="23"/>
        </w:rPr>
        <w:t>pour la section «Conseil», la lecture par ce dernier du projet de budget initial est approuvée;</w:t>
      </w:r>
    </w:p>
    <w:p>
      <w:pPr>
        <w:pStyle w:val="ListParagraph"/>
        <w:numPr>
          <w:ilvl w:val="0"/>
          <w:numId w:val="38"/>
        </w:numPr>
        <w:spacing w:before="120" w:after="120"/>
        <w:jc w:val="both"/>
        <w:rPr>
          <w:noProof/>
          <w:sz w:val="23"/>
          <w:szCs w:val="23"/>
        </w:rPr>
      </w:pPr>
      <w:r>
        <w:rPr>
          <w:noProof/>
          <w:sz w:val="23"/>
        </w:rPr>
        <w:t>pour la section «Contrôleur européen de la protection des données», la lecture du Conseil du projet de budget initial est approuvée.</w:t>
      </w:r>
    </w:p>
    <w:p>
      <w:pPr>
        <w:spacing w:before="120" w:after="120"/>
        <w:jc w:val="both"/>
        <w:rPr>
          <w:noProof/>
        </w:rPr>
      </w:pPr>
      <w:r>
        <w:rPr>
          <w:noProof/>
        </w:rPr>
        <w:t>Par ailleurs, les modifications suivantes sont proposées au sujet du nombre d'emplois des tableaux des effectifs et des crédits inscrits dans le projet de budget initial, tel que modifié par la lettre rectificative nº 1/2019, pour les institutions suivantes:</w:t>
      </w:r>
    </w:p>
    <w:p>
      <w:pPr>
        <w:pStyle w:val="ListParagraph"/>
        <w:numPr>
          <w:ilvl w:val="0"/>
          <w:numId w:val="38"/>
        </w:numPr>
        <w:spacing w:before="120" w:after="120"/>
        <w:jc w:val="both"/>
        <w:rPr>
          <w:noProof/>
          <w:sz w:val="23"/>
          <w:szCs w:val="23"/>
        </w:rPr>
      </w:pPr>
      <w:r>
        <w:rPr>
          <w:noProof/>
          <w:sz w:val="23"/>
        </w:rPr>
        <w:t>pour la section «Cour de justice de l’Union européenne», il est proposé d’allouer 5 emplois supplémentaires</w:t>
      </w:r>
      <w:r>
        <w:rPr>
          <w:rStyle w:val="FootnoteReference"/>
          <w:noProof/>
          <w:sz w:val="23"/>
        </w:rPr>
        <w:footnoteReference w:id="16"/>
      </w:r>
      <w:r>
        <w:rPr>
          <w:noProof/>
          <w:sz w:val="23"/>
        </w:rPr>
        <w:t xml:space="preserve"> et d’augmenter de 415 016 EUR le niveau des crédits d’engagement et de paiement (246 875 EUR sur la ligne 1 2 0 0 </w:t>
      </w:r>
      <w:r>
        <w:rPr>
          <w:i/>
          <w:noProof/>
          <w:sz w:val="23"/>
        </w:rPr>
        <w:t>Rémunérations et indemnités</w:t>
      </w:r>
      <w:r>
        <w:rPr>
          <w:noProof/>
          <w:sz w:val="23"/>
        </w:rPr>
        <w:t xml:space="preserve"> et 168 141 EUR sur la ligne 2 1 0 0 </w:t>
      </w:r>
      <w:r>
        <w:rPr>
          <w:i/>
          <w:noProof/>
          <w:sz w:val="23"/>
        </w:rPr>
        <w:t>Achat, travaux, entretien et maintenance des équipements et des logiciels</w:t>
      </w:r>
      <w:r>
        <w:rPr>
          <w:noProof/>
          <w:sz w:val="23"/>
        </w:rPr>
        <w:t>);</w:t>
      </w:r>
    </w:p>
    <w:p>
      <w:pPr>
        <w:pStyle w:val="ListParagraph"/>
        <w:numPr>
          <w:ilvl w:val="0"/>
          <w:numId w:val="38"/>
        </w:numPr>
        <w:spacing w:before="120" w:after="120"/>
        <w:jc w:val="both"/>
        <w:rPr>
          <w:noProof/>
          <w:sz w:val="23"/>
          <w:szCs w:val="23"/>
        </w:rPr>
      </w:pPr>
      <w:r>
        <w:rPr>
          <w:noProof/>
          <w:sz w:val="23"/>
        </w:rPr>
        <w:t xml:space="preserve">pour la section «Service européen pour l’action extérieure», il est proposé de réduire le niveau des crédits d’engagement et de paiement de 3 050 000 EUR, ce qui constitue le résultat d’une augmentation proposée de 1 200 000 EUR sur la ligne 2 2 1 4 </w:t>
      </w:r>
      <w:r>
        <w:rPr>
          <w:i/>
          <w:noProof/>
          <w:sz w:val="23"/>
        </w:rPr>
        <w:t>Capacité de communication stratégique</w:t>
      </w:r>
      <w:r>
        <w:rPr>
          <w:noProof/>
          <w:sz w:val="23"/>
        </w:rPr>
        <w:t xml:space="preserve"> conjuguée à des coupes, à hauteur de - 4 250 000 EUR, proposées sur les lignes suivantes: 1 1 0 0 </w:t>
      </w:r>
      <w:r>
        <w:rPr>
          <w:i/>
          <w:noProof/>
          <w:sz w:val="23"/>
        </w:rPr>
        <w:t>Traitements de base</w:t>
      </w:r>
      <w:r>
        <w:rPr>
          <w:noProof/>
          <w:sz w:val="23"/>
        </w:rPr>
        <w:t xml:space="preserve"> (- 3 280 000 EUR), 1 1 0 1 </w:t>
      </w:r>
      <w:r>
        <w:rPr>
          <w:i/>
          <w:noProof/>
          <w:sz w:val="23"/>
        </w:rPr>
        <w:t>Droits statutaires liés à la fonction</w:t>
      </w:r>
      <w:r>
        <w:rPr>
          <w:noProof/>
          <w:sz w:val="23"/>
        </w:rPr>
        <w:t xml:space="preserve"> (- 10 000 EUR), 1 1 0 2 </w:t>
      </w:r>
      <w:r>
        <w:rPr>
          <w:i/>
          <w:noProof/>
          <w:sz w:val="23"/>
        </w:rPr>
        <w:t>Droits statutaires liés à la situation personnelle du membre du personnel</w:t>
      </w:r>
      <w:r>
        <w:rPr>
          <w:noProof/>
          <w:sz w:val="23"/>
        </w:rPr>
        <w:t xml:space="preserve"> (- 840 000 EUR) et 1 1 0 3 </w:t>
      </w:r>
      <w:r>
        <w:rPr>
          <w:i/>
          <w:noProof/>
          <w:sz w:val="23"/>
        </w:rPr>
        <w:t>Couverture sociale</w:t>
      </w:r>
      <w:r>
        <w:rPr>
          <w:noProof/>
          <w:sz w:val="23"/>
        </w:rPr>
        <w:t xml:space="preserve"> (- 120 000 EUR).</w:t>
      </w:r>
    </w:p>
    <w:p>
      <w:pPr>
        <w:spacing w:before="120" w:after="120"/>
        <w:jc w:val="both"/>
        <w:rPr>
          <w:noProof/>
        </w:rPr>
      </w:pPr>
      <w:r>
        <w:rPr>
          <w:noProof/>
        </w:rPr>
        <w:t>Il est proposé d’intégrer l’incidence, dans le budget 2019, de l’actualisation automatique des rémunérations applicable à compter du 1</w:t>
      </w:r>
      <w:r>
        <w:rPr>
          <w:noProof/>
          <w:vertAlign w:val="superscript"/>
        </w:rPr>
        <w:t>er</w:t>
      </w:r>
      <w:r>
        <w:rPr>
          <w:noProof/>
        </w:rPr>
        <w:t xml:space="preserve"> juillet 2018 (1,7 % au lieu de 2,0 %) dans toutes les sections du projet de budget, comme suit:</w:t>
      </w:r>
    </w:p>
    <w:tbl>
      <w:tblPr>
        <w:tblW w:w="5152" w:type="dxa"/>
        <w:jc w:val="center"/>
        <w:tblCellMar>
          <w:left w:w="0" w:type="dxa"/>
          <w:right w:w="0" w:type="dxa"/>
        </w:tblCellMar>
        <w:tblLook w:val="04A0" w:firstRow="1" w:lastRow="0" w:firstColumn="1" w:lastColumn="0" w:noHBand="0" w:noVBand="1"/>
      </w:tblPr>
      <w:tblGrid>
        <w:gridCol w:w="3910"/>
        <w:gridCol w:w="1258"/>
      </w:tblGrid>
      <w:tr>
        <w:trPr>
          <w:trHeight w:val="255"/>
          <w:jc w:val="center"/>
        </w:trPr>
        <w:tc>
          <w:tcPr>
            <w:tcW w:w="3910" w:type="dxa"/>
            <w:tcBorders>
              <w:top w:val="nil"/>
              <w:left w:val="nil"/>
              <w:bottom w:val="nil"/>
              <w:right w:val="nil"/>
            </w:tcBorders>
            <w:shd w:val="clear" w:color="auto" w:fill="auto"/>
            <w:noWrap/>
            <w:vAlign w:val="center"/>
            <w:hideMark/>
          </w:tcPr>
          <w:p>
            <w:pPr>
              <w:spacing w:after="0"/>
              <w:jc w:val="right"/>
              <w:rPr>
                <w:b/>
                <w:bCs/>
                <w:noProof/>
                <w:sz w:val="20"/>
                <w:szCs w:val="20"/>
              </w:rPr>
            </w:pPr>
          </w:p>
        </w:tc>
        <w:tc>
          <w:tcPr>
            <w:tcW w:w="1242" w:type="dxa"/>
            <w:tcBorders>
              <w:top w:val="nil"/>
              <w:left w:val="nil"/>
              <w:bottom w:val="nil"/>
              <w:right w:val="nil"/>
            </w:tcBorders>
            <w:shd w:val="clear" w:color="auto" w:fill="auto"/>
            <w:noWrap/>
            <w:vAlign w:val="center"/>
            <w:hideMark/>
          </w:tcPr>
          <w:p>
            <w:pPr>
              <w:spacing w:after="0"/>
              <w:jc w:val="right"/>
              <w:rPr>
                <w:i/>
                <w:iCs/>
                <w:noProof/>
                <w:sz w:val="20"/>
                <w:szCs w:val="20"/>
              </w:rPr>
            </w:pPr>
            <w:r>
              <w:rPr>
                <w:i/>
                <w:noProof/>
                <w:sz w:val="20"/>
              </w:rPr>
              <w:t>en EUR</w:t>
            </w:r>
          </w:p>
        </w:tc>
      </w:tr>
      <w:tr>
        <w:trPr>
          <w:trHeight w:val="255"/>
          <w:jc w:val="center"/>
        </w:trPr>
        <w:tc>
          <w:tcPr>
            <w:tcW w:w="3910" w:type="dxa"/>
            <w:tcBorders>
              <w:top w:val="single" w:sz="4" w:space="0" w:color="auto"/>
              <w:left w:val="single" w:sz="4" w:space="0" w:color="auto"/>
              <w:bottom w:val="nil"/>
              <w:right w:val="single" w:sz="4" w:space="0" w:color="auto"/>
            </w:tcBorders>
            <w:shd w:val="clear" w:color="auto" w:fill="auto"/>
            <w:noWrap/>
            <w:vAlign w:val="center"/>
            <w:hideMark/>
          </w:tcPr>
          <w:p>
            <w:pPr>
              <w:spacing w:after="0"/>
              <w:ind w:left="142"/>
              <w:rPr>
                <w:noProof/>
                <w:sz w:val="20"/>
                <w:szCs w:val="20"/>
              </w:rPr>
            </w:pPr>
            <w:r>
              <w:rPr>
                <w:noProof/>
                <w:sz w:val="20"/>
              </w:rPr>
              <w:t>Parlement européen</w:t>
            </w:r>
          </w:p>
        </w:tc>
        <w:tc>
          <w:tcPr>
            <w:tcW w:w="1242" w:type="dxa"/>
            <w:tcBorders>
              <w:top w:val="single" w:sz="4" w:space="0" w:color="auto"/>
              <w:left w:val="single" w:sz="4" w:space="0" w:color="auto"/>
              <w:bottom w:val="nil"/>
              <w:right w:val="single" w:sz="4" w:space="0" w:color="auto"/>
            </w:tcBorders>
            <w:shd w:val="clear" w:color="auto" w:fill="auto"/>
            <w:noWrap/>
            <w:vAlign w:val="center"/>
            <w:hideMark/>
          </w:tcPr>
          <w:p>
            <w:pPr>
              <w:spacing w:after="0"/>
              <w:jc w:val="right"/>
              <w:rPr>
                <w:noProof/>
                <w:sz w:val="20"/>
                <w:szCs w:val="20"/>
              </w:rPr>
            </w:pPr>
            <w:r>
              <w:rPr>
                <w:noProof/>
                <w:sz w:val="20"/>
              </w:rPr>
              <w:t>-2 851 238</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rPr>
            </w:pPr>
            <w:r>
              <w:rPr>
                <w:noProof/>
                <w:sz w:val="20"/>
              </w:rPr>
              <w:t>Conseil européen et Conseil</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rPr>
            </w:pPr>
            <w:r>
              <w:rPr>
                <w:noProof/>
                <w:sz w:val="20"/>
              </w:rPr>
              <w:t>-965 489</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rPr>
            </w:pPr>
            <w:r>
              <w:rPr>
                <w:noProof/>
                <w:sz w:val="20"/>
              </w:rPr>
              <w:t>Commission européenne (y compris pensions)</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rPr>
            </w:pPr>
            <w:r>
              <w:rPr>
                <w:noProof/>
                <w:sz w:val="20"/>
              </w:rPr>
              <w:t>-13 781 615</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rPr>
            </w:pPr>
            <w:r>
              <w:rPr>
                <w:noProof/>
                <w:sz w:val="20"/>
              </w:rPr>
              <w:t>Cour de justice de l’Union européenne</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rPr>
            </w:pPr>
            <w:r>
              <w:rPr>
                <w:noProof/>
                <w:sz w:val="20"/>
              </w:rPr>
              <w:t>-891 000</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rPr>
            </w:pPr>
            <w:r>
              <w:rPr>
                <w:noProof/>
                <w:sz w:val="20"/>
              </w:rPr>
              <w:t>Cour des comptes européenne</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rPr>
            </w:pPr>
            <w:r>
              <w:rPr>
                <w:noProof/>
                <w:sz w:val="20"/>
              </w:rPr>
              <w:t>-359 000</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rPr>
            </w:pPr>
            <w:r>
              <w:rPr>
                <w:noProof/>
                <w:sz w:val="20"/>
              </w:rPr>
              <w:t>Comité économique et social européen</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rPr>
            </w:pPr>
            <w:r>
              <w:rPr>
                <w:noProof/>
                <w:sz w:val="20"/>
              </w:rPr>
              <w:t>-220 825</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rPr>
            </w:pPr>
            <w:r>
              <w:rPr>
                <w:noProof/>
                <w:sz w:val="20"/>
              </w:rPr>
              <w:t>Comité européen des régions</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rPr>
            </w:pPr>
            <w:r>
              <w:rPr>
                <w:noProof/>
                <w:sz w:val="20"/>
              </w:rPr>
              <w:t>-160 594</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rPr>
            </w:pPr>
            <w:r>
              <w:rPr>
                <w:noProof/>
                <w:sz w:val="20"/>
              </w:rPr>
              <w:t>Médiateur européen</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rPr>
            </w:pPr>
            <w:r>
              <w:rPr>
                <w:noProof/>
                <w:sz w:val="20"/>
              </w:rPr>
              <w:t>-26 880</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rPr>
            </w:pPr>
            <w:r>
              <w:rPr>
                <w:noProof/>
                <w:sz w:val="20"/>
              </w:rPr>
              <w:t>Contrôleur européen de la protection des données</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rPr>
            </w:pPr>
            <w:r>
              <w:rPr>
                <w:noProof/>
                <w:sz w:val="20"/>
              </w:rPr>
              <w:t>-14 568</w:t>
            </w:r>
          </w:p>
        </w:tc>
      </w:tr>
      <w:tr>
        <w:trPr>
          <w:trHeight w:val="255"/>
          <w:jc w:val="center"/>
        </w:trPr>
        <w:tc>
          <w:tcPr>
            <w:tcW w:w="3910" w:type="dxa"/>
            <w:tcBorders>
              <w:top w:val="nil"/>
              <w:left w:val="single" w:sz="4" w:space="0" w:color="auto"/>
              <w:bottom w:val="single" w:sz="4" w:space="0" w:color="auto"/>
              <w:right w:val="single" w:sz="4" w:space="0" w:color="auto"/>
            </w:tcBorders>
            <w:shd w:val="clear" w:color="auto" w:fill="auto"/>
            <w:noWrap/>
            <w:vAlign w:val="center"/>
            <w:hideMark/>
          </w:tcPr>
          <w:p>
            <w:pPr>
              <w:spacing w:after="0"/>
              <w:ind w:left="142"/>
              <w:rPr>
                <w:noProof/>
                <w:sz w:val="20"/>
                <w:szCs w:val="20"/>
              </w:rPr>
            </w:pPr>
            <w:r>
              <w:rPr>
                <w:noProof/>
                <w:sz w:val="20"/>
              </w:rPr>
              <w:t>Service européen pour l’action extérieure</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right"/>
              <w:rPr>
                <w:noProof/>
                <w:sz w:val="20"/>
                <w:szCs w:val="20"/>
              </w:rPr>
            </w:pPr>
            <w:r>
              <w:rPr>
                <w:noProof/>
                <w:sz w:val="20"/>
              </w:rPr>
              <w:t>-911 839</w:t>
            </w:r>
          </w:p>
        </w:tc>
      </w:tr>
      <w:tr>
        <w:trPr>
          <w:trHeight w:val="255"/>
          <w:jc w:val="center"/>
        </w:trPr>
        <w:tc>
          <w:tcPr>
            <w:tcW w:w="3910" w:type="dxa"/>
            <w:tcBorders>
              <w:top w:val="nil"/>
              <w:left w:val="single" w:sz="4" w:space="0" w:color="auto"/>
              <w:bottom w:val="single" w:sz="4" w:space="0" w:color="auto"/>
              <w:right w:val="single" w:sz="4" w:space="0" w:color="auto"/>
            </w:tcBorders>
            <w:shd w:val="clear" w:color="DCE6F1" w:fill="DCE6F1"/>
            <w:vAlign w:val="center"/>
            <w:hideMark/>
          </w:tcPr>
          <w:p>
            <w:pPr>
              <w:spacing w:after="0"/>
              <w:jc w:val="center"/>
              <w:rPr>
                <w:b/>
                <w:bCs/>
                <w:noProof/>
                <w:color w:val="000000"/>
                <w:sz w:val="20"/>
                <w:szCs w:val="20"/>
              </w:rPr>
            </w:pPr>
            <w:r>
              <w:rPr>
                <w:b/>
                <w:noProof/>
                <w:color w:val="000000"/>
                <w:sz w:val="20"/>
              </w:rPr>
              <w:t>Total</w:t>
            </w:r>
          </w:p>
        </w:tc>
        <w:tc>
          <w:tcPr>
            <w:tcW w:w="1242" w:type="dxa"/>
            <w:tcBorders>
              <w:top w:val="nil"/>
              <w:left w:val="nil"/>
              <w:bottom w:val="single" w:sz="4" w:space="0" w:color="auto"/>
              <w:right w:val="single" w:sz="4" w:space="0" w:color="auto"/>
            </w:tcBorders>
            <w:shd w:val="clear" w:color="DCE6F1" w:fill="DCE6F1"/>
            <w:vAlign w:val="center"/>
            <w:hideMark/>
          </w:tcPr>
          <w:p>
            <w:pPr>
              <w:spacing w:after="0"/>
              <w:jc w:val="right"/>
              <w:rPr>
                <w:b/>
                <w:bCs/>
                <w:noProof/>
                <w:color w:val="000000"/>
                <w:sz w:val="20"/>
                <w:szCs w:val="20"/>
              </w:rPr>
            </w:pPr>
            <w:r>
              <w:rPr>
                <w:b/>
                <w:noProof/>
                <w:color w:val="000000"/>
                <w:sz w:val="20"/>
              </w:rPr>
              <w:t>-20 183 048</w:t>
            </w:r>
          </w:p>
        </w:tc>
      </w:tr>
    </w:tbl>
    <w:p>
      <w:pPr>
        <w:spacing w:after="0" w:line="240" w:lineRule="auto"/>
        <w:rPr>
          <w:noProof/>
        </w:rPr>
      </w:pPr>
    </w:p>
    <w:p>
      <w:pPr>
        <w:spacing w:before="120" w:after="120"/>
        <w:jc w:val="both"/>
        <w:rPr>
          <w:noProof/>
        </w:rPr>
      </w:pPr>
      <w:r>
        <w:rPr>
          <w:noProof/>
        </w:rPr>
        <w:t>Enfin, des coupes supplémentaires, à hauteur de 0,8 million d’EUR, ont été recensées et proposées pour l’ensemble des institutions, à l’exception du Parlement européen, en ce qui concerne les dépenses relatives aux immeubles, à savoir:</w:t>
      </w:r>
    </w:p>
    <w:tbl>
      <w:tblPr>
        <w:tblW w:w="5103" w:type="dxa"/>
        <w:jc w:val="center"/>
        <w:tblLook w:val="04A0" w:firstRow="1" w:lastRow="0" w:firstColumn="1" w:lastColumn="0" w:noHBand="0" w:noVBand="1"/>
      </w:tblPr>
      <w:tblGrid>
        <w:gridCol w:w="3933"/>
        <w:gridCol w:w="1170"/>
      </w:tblGrid>
      <w:tr>
        <w:trPr>
          <w:trHeight w:val="255"/>
          <w:jc w:val="center"/>
        </w:trPr>
        <w:tc>
          <w:tcPr>
            <w:tcW w:w="3933" w:type="dxa"/>
            <w:tcBorders>
              <w:top w:val="nil"/>
              <w:left w:val="nil"/>
              <w:bottom w:val="nil"/>
              <w:right w:val="nil"/>
            </w:tcBorders>
            <w:shd w:val="clear" w:color="auto" w:fill="auto"/>
            <w:noWrap/>
            <w:vAlign w:val="center"/>
            <w:hideMark/>
          </w:tcPr>
          <w:p>
            <w:pPr>
              <w:spacing w:after="0"/>
              <w:jc w:val="right"/>
              <w:rPr>
                <w:b/>
                <w:bCs/>
                <w:noProof/>
                <w:sz w:val="20"/>
                <w:szCs w:val="20"/>
              </w:rPr>
            </w:pPr>
          </w:p>
        </w:tc>
        <w:tc>
          <w:tcPr>
            <w:tcW w:w="1170" w:type="dxa"/>
            <w:tcBorders>
              <w:top w:val="nil"/>
              <w:left w:val="nil"/>
              <w:bottom w:val="nil"/>
              <w:right w:val="nil"/>
            </w:tcBorders>
            <w:shd w:val="clear" w:color="auto" w:fill="auto"/>
            <w:noWrap/>
            <w:vAlign w:val="center"/>
            <w:hideMark/>
          </w:tcPr>
          <w:p>
            <w:pPr>
              <w:spacing w:after="0"/>
              <w:jc w:val="right"/>
              <w:rPr>
                <w:i/>
                <w:iCs/>
                <w:noProof/>
                <w:sz w:val="20"/>
                <w:szCs w:val="20"/>
              </w:rPr>
            </w:pPr>
            <w:r>
              <w:rPr>
                <w:i/>
                <w:noProof/>
                <w:sz w:val="20"/>
              </w:rPr>
              <w:t>en EUR</w:t>
            </w:r>
          </w:p>
        </w:tc>
      </w:tr>
      <w:tr>
        <w:trPr>
          <w:trHeight w:val="255"/>
          <w:jc w:val="center"/>
        </w:trPr>
        <w:tc>
          <w:tcPr>
            <w:tcW w:w="3933" w:type="dxa"/>
            <w:tcBorders>
              <w:top w:val="single" w:sz="4" w:space="0" w:color="auto"/>
              <w:left w:val="single" w:sz="4" w:space="0" w:color="auto"/>
              <w:bottom w:val="nil"/>
              <w:right w:val="nil"/>
            </w:tcBorders>
            <w:shd w:val="clear" w:color="auto" w:fill="auto"/>
            <w:noWrap/>
            <w:vAlign w:val="center"/>
            <w:hideMark/>
          </w:tcPr>
          <w:p>
            <w:pPr>
              <w:spacing w:after="0"/>
              <w:rPr>
                <w:noProof/>
                <w:sz w:val="20"/>
                <w:szCs w:val="20"/>
              </w:rPr>
            </w:pPr>
            <w:r>
              <w:rPr>
                <w:noProof/>
                <w:sz w:val="20"/>
              </w:rPr>
              <w:t>Conseil européen et Conseil</w:t>
            </w:r>
          </w:p>
        </w:tc>
        <w:tc>
          <w:tcPr>
            <w:tcW w:w="1170" w:type="dxa"/>
            <w:tcBorders>
              <w:top w:val="single" w:sz="4" w:space="0" w:color="auto"/>
              <w:left w:val="single" w:sz="4" w:space="0" w:color="auto"/>
              <w:bottom w:val="nil"/>
              <w:right w:val="single" w:sz="4" w:space="0" w:color="auto"/>
            </w:tcBorders>
            <w:shd w:val="clear" w:color="auto" w:fill="auto"/>
            <w:noWrap/>
            <w:vAlign w:val="center"/>
            <w:hideMark/>
          </w:tcPr>
          <w:p>
            <w:pPr>
              <w:spacing w:after="0"/>
              <w:jc w:val="right"/>
              <w:rPr>
                <w:noProof/>
                <w:sz w:val="20"/>
                <w:szCs w:val="20"/>
              </w:rPr>
            </w:pPr>
            <w:r>
              <w:rPr>
                <w:noProof/>
                <w:sz w:val="20"/>
              </w:rPr>
              <w:t>-20 052</w:t>
            </w:r>
          </w:p>
        </w:tc>
      </w:tr>
      <w:tr>
        <w:trPr>
          <w:trHeight w:val="255"/>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rPr>
            </w:pPr>
            <w:r>
              <w:rPr>
                <w:noProof/>
                <w:sz w:val="20"/>
              </w:rPr>
              <w:t>Commission européenne</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rPr>
            </w:pPr>
            <w:r>
              <w:rPr>
                <w:noProof/>
                <w:sz w:val="20"/>
              </w:rPr>
              <w:t>-557 239</w:t>
            </w:r>
          </w:p>
        </w:tc>
      </w:tr>
      <w:tr>
        <w:trPr>
          <w:trHeight w:val="255"/>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rPr>
            </w:pPr>
            <w:r>
              <w:rPr>
                <w:noProof/>
                <w:sz w:val="20"/>
              </w:rPr>
              <w:t>Cour de justice de l’Union européenne</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rPr>
            </w:pPr>
            <w:r>
              <w:rPr>
                <w:noProof/>
                <w:sz w:val="20"/>
              </w:rPr>
              <w:t>-77 689</w:t>
            </w:r>
          </w:p>
        </w:tc>
      </w:tr>
      <w:tr>
        <w:trPr>
          <w:trHeight w:val="224"/>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rPr>
            </w:pPr>
            <w:r>
              <w:rPr>
                <w:noProof/>
                <w:sz w:val="20"/>
              </w:rPr>
              <w:t>Cour des comptes européenne</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rPr>
            </w:pPr>
            <w:r>
              <w:rPr>
                <w:noProof/>
                <w:sz w:val="20"/>
              </w:rPr>
              <w:t>-482</w:t>
            </w:r>
          </w:p>
        </w:tc>
      </w:tr>
      <w:tr>
        <w:trPr>
          <w:trHeight w:val="255"/>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rPr>
            </w:pPr>
            <w:r>
              <w:rPr>
                <w:noProof/>
                <w:sz w:val="20"/>
              </w:rPr>
              <w:t>Comité économique et social européen</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rPr>
            </w:pPr>
            <w:r>
              <w:rPr>
                <w:noProof/>
                <w:sz w:val="20"/>
              </w:rPr>
              <w:t>-27 215</w:t>
            </w:r>
          </w:p>
        </w:tc>
      </w:tr>
      <w:tr>
        <w:trPr>
          <w:trHeight w:val="255"/>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rPr>
            </w:pPr>
            <w:r>
              <w:rPr>
                <w:noProof/>
                <w:sz w:val="20"/>
              </w:rPr>
              <w:t>Comité européen des régions</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rPr>
            </w:pPr>
            <w:r>
              <w:rPr>
                <w:noProof/>
                <w:sz w:val="20"/>
              </w:rPr>
              <w:t>-20 008</w:t>
            </w:r>
          </w:p>
        </w:tc>
      </w:tr>
      <w:tr>
        <w:trPr>
          <w:trHeight w:val="270"/>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rPr>
            </w:pPr>
            <w:r>
              <w:rPr>
                <w:noProof/>
                <w:sz w:val="20"/>
              </w:rPr>
              <w:t>Médiateur européen</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rPr>
            </w:pPr>
            <w:r>
              <w:rPr>
                <w:noProof/>
                <w:sz w:val="20"/>
              </w:rPr>
              <w:t>-2 287</w:t>
            </w:r>
          </w:p>
        </w:tc>
      </w:tr>
      <w:tr>
        <w:trPr>
          <w:trHeight w:val="270"/>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rPr>
            </w:pPr>
            <w:r>
              <w:rPr>
                <w:noProof/>
                <w:sz w:val="20"/>
              </w:rPr>
              <w:t>Contrôleur européen de la protection des données</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rPr>
            </w:pPr>
            <w:r>
              <w:rPr>
                <w:noProof/>
                <w:sz w:val="20"/>
              </w:rPr>
              <w:t>-4 026</w:t>
            </w:r>
          </w:p>
        </w:tc>
      </w:tr>
      <w:tr>
        <w:trPr>
          <w:trHeight w:val="270"/>
          <w:jc w:val="center"/>
        </w:trPr>
        <w:tc>
          <w:tcPr>
            <w:tcW w:w="3933" w:type="dxa"/>
            <w:tcBorders>
              <w:top w:val="nil"/>
              <w:left w:val="single" w:sz="4" w:space="0" w:color="auto"/>
              <w:bottom w:val="single" w:sz="4" w:space="0" w:color="auto"/>
              <w:right w:val="nil"/>
            </w:tcBorders>
            <w:shd w:val="clear" w:color="auto" w:fill="auto"/>
            <w:noWrap/>
            <w:vAlign w:val="center"/>
            <w:hideMark/>
          </w:tcPr>
          <w:p>
            <w:pPr>
              <w:spacing w:after="0"/>
              <w:rPr>
                <w:noProof/>
                <w:sz w:val="20"/>
                <w:szCs w:val="20"/>
              </w:rPr>
            </w:pPr>
            <w:r>
              <w:rPr>
                <w:noProof/>
                <w:sz w:val="20"/>
              </w:rPr>
              <w:t>Service européen pour l’action extérieure</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right"/>
              <w:rPr>
                <w:noProof/>
                <w:sz w:val="20"/>
                <w:szCs w:val="20"/>
              </w:rPr>
            </w:pPr>
            <w:r>
              <w:rPr>
                <w:noProof/>
                <w:sz w:val="20"/>
              </w:rPr>
              <w:t>-41 002</w:t>
            </w:r>
          </w:p>
        </w:tc>
      </w:tr>
      <w:tr>
        <w:trPr>
          <w:trHeight w:val="270"/>
          <w:jc w:val="center"/>
        </w:trPr>
        <w:tc>
          <w:tcPr>
            <w:tcW w:w="3933" w:type="dxa"/>
            <w:tcBorders>
              <w:top w:val="nil"/>
              <w:left w:val="single" w:sz="4" w:space="0" w:color="auto"/>
              <w:bottom w:val="single" w:sz="4" w:space="0" w:color="auto"/>
              <w:right w:val="single" w:sz="4" w:space="0" w:color="auto"/>
            </w:tcBorders>
            <w:shd w:val="clear" w:color="DCE6F1" w:fill="DCE6F1"/>
            <w:vAlign w:val="center"/>
            <w:hideMark/>
          </w:tcPr>
          <w:p>
            <w:pPr>
              <w:spacing w:after="0"/>
              <w:jc w:val="center"/>
              <w:rPr>
                <w:b/>
                <w:bCs/>
                <w:noProof/>
                <w:color w:val="000000"/>
                <w:sz w:val="20"/>
                <w:szCs w:val="20"/>
              </w:rPr>
            </w:pPr>
            <w:r>
              <w:rPr>
                <w:b/>
                <w:noProof/>
                <w:color w:val="000000"/>
                <w:sz w:val="20"/>
              </w:rPr>
              <w:t>Total</w:t>
            </w:r>
          </w:p>
        </w:tc>
        <w:tc>
          <w:tcPr>
            <w:tcW w:w="1170" w:type="dxa"/>
            <w:tcBorders>
              <w:top w:val="nil"/>
              <w:left w:val="nil"/>
              <w:bottom w:val="single" w:sz="4" w:space="0" w:color="auto"/>
              <w:right w:val="single" w:sz="4" w:space="0" w:color="auto"/>
            </w:tcBorders>
            <w:shd w:val="clear" w:color="DCE6F1" w:fill="DCE6F1"/>
            <w:vAlign w:val="center"/>
            <w:hideMark/>
          </w:tcPr>
          <w:p>
            <w:pPr>
              <w:spacing w:after="0"/>
              <w:jc w:val="right"/>
              <w:rPr>
                <w:b/>
                <w:bCs/>
                <w:noProof/>
                <w:color w:val="000000"/>
                <w:sz w:val="20"/>
                <w:szCs w:val="20"/>
              </w:rPr>
            </w:pPr>
            <w:r>
              <w:rPr>
                <w:b/>
                <w:noProof/>
                <w:color w:val="000000"/>
                <w:sz w:val="20"/>
              </w:rPr>
              <w:t>-750 000</w:t>
            </w:r>
          </w:p>
        </w:tc>
      </w:tr>
    </w:tbl>
    <w:p>
      <w:pPr>
        <w:spacing w:before="240" w:line="240" w:lineRule="auto"/>
        <w:jc w:val="both"/>
        <w:rPr>
          <w:noProof/>
        </w:rPr>
      </w:pPr>
      <w:r>
        <w:rPr>
          <w:noProof/>
        </w:rPr>
        <w:t>Par conséquent, et après prise en compte des projets pilotes et actions préparatoires (4,1 millions d’EUR) proposés dans la section 3.1.3 ci-dessus, il est proposé de fixer à 9 943,0 millions d’EUR le niveau des crédits d’engagement, ce qui laisse une marge de 589,1 millions d’EUR sous le plafond des dépenses de la rubrique 5, après utilisation de 253,9 millions d’EUR issus de la marge pour compenser la mobilisation de la marge pour imprévus en 2017.</w:t>
      </w:r>
    </w:p>
    <w:p>
      <w:pPr>
        <w:pStyle w:val="ManualHeading3"/>
        <w:rPr>
          <w:noProof/>
        </w:rPr>
      </w:pPr>
      <w:bookmarkStart w:id="51" w:name="_Toc530674109"/>
      <w:bookmarkStart w:id="52" w:name="_Toc531266759"/>
      <w:r>
        <w:t>3.2.7.</w:t>
      </w:r>
      <w:r>
        <w:tab/>
      </w:r>
      <w:r>
        <w:rPr>
          <w:noProof/>
        </w:rPr>
        <w:t>Instruments spéciaux: FEM, réserve d’aide d’urgence et FSUE</w:t>
      </w:r>
      <w:bookmarkEnd w:id="51"/>
      <w:bookmarkEnd w:id="52"/>
    </w:p>
    <w:p>
      <w:pPr>
        <w:spacing w:before="120" w:after="120"/>
        <w:jc w:val="both"/>
        <w:rPr>
          <w:noProof/>
        </w:rPr>
      </w:pPr>
      <w:r>
        <w:rPr>
          <w:noProof/>
        </w:rPr>
        <w:t>Il est proposé de fixer les crédits d'engagement pour le Fonds européen d’ajustement à la mondialisation (FEM), la réserve d’aide d’urgence et le Fonds de solidarité de l’Union européenne (FSUE) au niveau du projet de budget initial, tel que modifié par la lettre rectificative nº 1/2019.</w:t>
      </w:r>
    </w:p>
    <w:p>
      <w:pPr>
        <w:pStyle w:val="ManualHeading2"/>
        <w:rPr>
          <w:noProof/>
        </w:rPr>
      </w:pPr>
      <w:bookmarkStart w:id="53" w:name="_Toc530586728"/>
      <w:bookmarkStart w:id="54" w:name="_Toc278112520"/>
      <w:bookmarkStart w:id="55" w:name="_Toc530674110"/>
      <w:bookmarkStart w:id="56" w:name="_Toc531266760"/>
      <w:bookmarkEnd w:id="53"/>
      <w:r>
        <w:t>3.3.</w:t>
      </w:r>
      <w:r>
        <w:tab/>
      </w:r>
      <w:r>
        <w:rPr>
          <w:noProof/>
        </w:rPr>
        <w:t>Approche globale en matière de crédits de paiement</w:t>
      </w:r>
      <w:bookmarkEnd w:id="54"/>
      <w:bookmarkEnd w:id="55"/>
      <w:bookmarkEnd w:id="56"/>
    </w:p>
    <w:p>
      <w:pPr>
        <w:spacing w:before="120" w:after="120"/>
        <w:jc w:val="both"/>
        <w:rPr>
          <w:noProof/>
        </w:rPr>
      </w:pPr>
      <w:r>
        <w:rPr>
          <w:noProof/>
        </w:rPr>
        <w:t>Il est proposé de fixer le montant global des crédits de paiements au niveau du projet de budget initial, tel que modifié par la lettre rectificative nº 1/2019, avec les changements suivants:</w:t>
      </w:r>
    </w:p>
    <w:p>
      <w:pPr>
        <w:numPr>
          <w:ilvl w:val="0"/>
          <w:numId w:val="44"/>
        </w:numPr>
        <w:spacing w:before="120" w:after="120" w:line="240" w:lineRule="auto"/>
        <w:jc w:val="both"/>
        <w:rPr>
          <w:noProof/>
        </w:rPr>
      </w:pPr>
      <w:r>
        <w:rPr>
          <w:noProof/>
        </w:rPr>
        <w:t>Tout d’abord, il est tenu compte du niveau proposé des crédits d’engagement pour les dépenses non dissociées, pour lesquelles le niveau proposé des crédits de paiement est égal à celui des crédits d’engagement. Cela inclut la réduction supplémentaire des dépenses agricoles de 253,0 millions d’EUR. Cette approche est appliquée, par analogie, à la contribution de l’UE aux organismes décentralisés et au Fonds de garantie relatif aux actions extérieures. L’effet combiné est une réduction proposée de 375,0 millions d’EUR.</w:t>
      </w:r>
    </w:p>
    <w:p>
      <w:pPr>
        <w:numPr>
          <w:ilvl w:val="0"/>
          <w:numId w:val="44"/>
        </w:numPr>
        <w:spacing w:before="120" w:after="0" w:line="240" w:lineRule="auto"/>
        <w:jc w:val="both"/>
        <w:rPr>
          <w:noProof/>
        </w:rPr>
      </w:pPr>
      <w:r>
        <w:rPr>
          <w:noProof/>
        </w:rPr>
        <w:t xml:space="preserve">Il est proposé que les crédits de paiement pour tous les </w:t>
      </w:r>
      <w:r>
        <w:rPr>
          <w:i/>
          <w:noProof/>
        </w:rPr>
        <w:t>nouveaux</w:t>
      </w:r>
      <w:r>
        <w:rPr>
          <w:noProof/>
        </w:rPr>
        <w:t xml:space="preserve"> projets pilotes et toutes les </w:t>
      </w:r>
      <w:r>
        <w:rPr>
          <w:i/>
          <w:noProof/>
        </w:rPr>
        <w:t>nouvelles</w:t>
      </w:r>
      <w:r>
        <w:rPr>
          <w:noProof/>
        </w:rPr>
        <w:t xml:space="preserve"> actions préparatoires figurant dans le deuxième projet de budget s’établissent à 50 % des crédits d’engagement correspondants ou au niveau proposé par le Parlement européen dans sa lecture du projet de budget initial, si ce niveau est inférieur. Dans le cas d'une prolongation de projets pilotes et d'actions préparatoires </w:t>
      </w:r>
      <w:r>
        <w:rPr>
          <w:i/>
          <w:noProof/>
        </w:rPr>
        <w:t>existants</w:t>
      </w:r>
      <w:r>
        <w:rPr>
          <w:noProof/>
        </w:rPr>
        <w:t>, il est proposé que le niveau des crédits de paiement soit celui défini dans le projet de budget initial, majoré de 50 % des nouveaux crédits d’engagement correspondants proposés, ou celui proposé par le Parlement européen dans sa lecture du projet de budget initial, si ce niveau est inférieur. L’effet combiné est une hausse proposée de 57,5 millions d’EUR.</w:t>
      </w:r>
      <w:r>
        <w:rPr>
          <w:noProof/>
        </w:rPr>
        <w:br w:type="page"/>
      </w:r>
    </w:p>
    <w:p>
      <w:pPr>
        <w:numPr>
          <w:ilvl w:val="0"/>
          <w:numId w:val="44"/>
        </w:numPr>
        <w:spacing w:before="120" w:after="120" w:line="240" w:lineRule="auto"/>
        <w:jc w:val="both"/>
        <w:rPr>
          <w:noProof/>
        </w:rPr>
      </w:pPr>
      <w:r>
        <w:rPr>
          <w:noProof/>
        </w:rPr>
        <w:t>Les modifications sont proposées sur les lignes suivantes à la suite de l’évolution des crédits d’engagement pour les dépenses dissociées:</w:t>
      </w:r>
      <w:bookmarkStart w:id="57" w:name="_Toc278112536"/>
    </w:p>
    <w:tbl>
      <w:tblPr>
        <w:tblW w:w="10536" w:type="dxa"/>
        <w:tblInd w:w="108" w:type="dxa"/>
        <w:tblLook w:val="04A0" w:firstRow="1" w:lastRow="0" w:firstColumn="1" w:lastColumn="0" w:noHBand="0" w:noVBand="1"/>
      </w:tblPr>
      <w:tblGrid>
        <w:gridCol w:w="1240"/>
        <w:gridCol w:w="4940"/>
        <w:gridCol w:w="1480"/>
        <w:gridCol w:w="1480"/>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rPr>
            </w:pPr>
            <w:r>
              <w:rPr>
                <w:i/>
                <w:noProof/>
                <w:sz w:val="20"/>
              </w:rPr>
              <w:t>En EUR</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rPr>
            </w:pPr>
            <w:r>
              <w:rPr>
                <w:b/>
                <w:noProof/>
                <w:color w:val="000000"/>
                <w:sz w:val="16"/>
              </w:rPr>
              <w:t>Ligne budgétaire / Programme</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Intitulé</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rPr>
            </w:pPr>
            <w:r>
              <w:rPr>
                <w:b/>
                <w:noProof/>
                <w:sz w:val="20"/>
              </w:rPr>
              <w:t>Renforcement des crédits d'engagement</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PB 2019 (y compris LR 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Deuxième projet de budget 2019</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rPr>
            </w:pPr>
            <w:r>
              <w:rPr>
                <w:b/>
                <w:noProof/>
                <w:color w:val="000000"/>
                <w:sz w:val="20"/>
              </w:rPr>
              <w:t>Différence</w:t>
            </w:r>
          </w:p>
        </w:tc>
      </w:tr>
      <w:tr>
        <w:trPr>
          <w:trHeight w:val="54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1.1.12</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Réacteur thermonucléaire expérimental international (ITER)</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-3 500 000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32 05 01 02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Construction, fonctionnement et exploitation des installations ITER — Entreprise commune ITER — Fusion for Energy (F4E)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366 696 185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363 196 185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-3 500 000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1.1.13</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Programme européen d'observation de la Terre (Copernicus)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-12 500 000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02 06 01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Fournir des services opérationnels basés sur les observations spatiales et les données in situ (programme Copernicus)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140 000 000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139 000 000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02 06 02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Mettre en place une capacité autonome de l’Union en matière d’observation de la Terre (Copernicus)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472 000 000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460 500 000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-11 500 000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1.1.31</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Horizon 2020</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30 000 000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08 02 08</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Instrument destiné aux PME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482 502 033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512 502 033</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30 000 000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1.1.5</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Éducation, formation et sport (Erasmus+)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170 000 000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15 02 01 01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Promouvoir l’excellence et la coopération dans le domaine de l’éducation et de la formation en Europe ainsi que son adéquation par rapport au marché du travail</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2 096 100 000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2 261 000 000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164 900 000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15 02 01 02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Promouvoir l’excellence et la coopération auprès de la jeunesse européenne ainsi que la participation des jeunes à la vie démocratique en Europe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170 850 000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175 950 000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5 100 000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3.0.8</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Denrées alimentaires et aliments pour animaux</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-6 500 000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17 04 01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Veiller à l'amélioration du statut sanitaire des animaux et à un niveau élevé de protection des animaux dans l'Union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134 040 000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127 540 000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-6 500 000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4.0.1</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Instrument d’aide de préadhésion (IAP II)</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-90 000 000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05 05 04 02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Turquie - Soutien au développement économique, social et territorial et à l’alignement progressif correspondant sur l’acquis de l’Union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50 000 000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35 000 000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22 02 03 01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Turquie - Soutenir les réformes politiques et l’alignement progressif connexe sur l’acquis de l’Union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150 719 568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105 719 568</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-45 000 000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22 02 03 02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Turquie - Soutien au développement économique, social et territorial et à l’alignement progressif correspondant sur l’acquis de l’Union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708 080 653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678 080 653</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-30 000 000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4.0.10</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Assistance macrofinancière (AMF)</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-15 000 000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01 03 02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Aide macrofinancière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42 000 000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27 000 000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rPr>
            </w:pPr>
            <w:r>
              <w:rPr>
                <w:b/>
                <w:noProof/>
                <w:sz w:val="20"/>
              </w:rPr>
              <w:t>Total</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r>
              <w:rPr>
                <w:b/>
                <w:noProof/>
                <w:sz w:val="20"/>
              </w:rPr>
              <w:t>72 500 000</w:t>
            </w:r>
          </w:p>
        </w:tc>
      </w:tr>
    </w:tbl>
    <w:p>
      <w:pPr>
        <w:numPr>
          <w:ilvl w:val="0"/>
          <w:numId w:val="44"/>
        </w:numPr>
        <w:spacing w:before="120" w:after="120" w:line="240" w:lineRule="auto"/>
        <w:jc w:val="both"/>
        <w:rPr>
          <w:noProof/>
        </w:rPr>
      </w:pPr>
      <w:r>
        <w:rPr>
          <w:noProof/>
        </w:rPr>
        <w:t>Une diminution supplémentaire des crédits de paiement est proposée sur la ligne 01 04 05, où le provisionnement du fonds de garantie de l’EFSI serait réduit du montant versé anticipativement dans le cadre du virement (DEC) nº 22/2018 de l’autorité budgétaire, comme suit:</w:t>
      </w:r>
    </w:p>
    <w:tbl>
      <w:tblPr>
        <w:tblW w:w="10239" w:type="dxa"/>
        <w:jc w:val="center"/>
        <w:tblLook w:val="04A0" w:firstRow="1" w:lastRow="0" w:firstColumn="1" w:lastColumn="0" w:noHBand="0" w:noVBand="1"/>
      </w:tblPr>
      <w:tblGrid>
        <w:gridCol w:w="1240"/>
        <w:gridCol w:w="4643"/>
        <w:gridCol w:w="1480"/>
        <w:gridCol w:w="1480"/>
        <w:gridCol w:w="1396"/>
      </w:tblGrid>
      <w:tr>
        <w:trPr>
          <w:trHeight w:val="255"/>
          <w:tblHeader/>
          <w:jc w:val="center"/>
        </w:trPr>
        <w:tc>
          <w:tcPr>
            <w:tcW w:w="1240" w:type="dxa"/>
            <w:tcBorders>
              <w:top w:val="nil"/>
              <w:left w:val="nil"/>
              <w:bottom w:val="nil"/>
              <w:right w:val="nil"/>
            </w:tcBorders>
            <w:shd w:val="clear" w:color="auto" w:fill="auto"/>
            <w:noWrap/>
            <w:vAlign w:val="center"/>
            <w:hideMark/>
          </w:tcPr>
          <w:p>
            <w:pPr>
              <w:spacing w:after="0"/>
              <w:rPr>
                <w:noProof/>
                <w:sz w:val="20"/>
                <w:szCs w:val="20"/>
              </w:rPr>
            </w:pPr>
          </w:p>
        </w:tc>
        <w:tc>
          <w:tcPr>
            <w:tcW w:w="4643" w:type="dxa"/>
            <w:tcBorders>
              <w:top w:val="nil"/>
              <w:left w:val="nil"/>
              <w:bottom w:val="nil"/>
              <w:right w:val="nil"/>
            </w:tcBorders>
            <w:shd w:val="clear" w:color="auto" w:fill="auto"/>
            <w:vAlign w:val="center"/>
            <w:hideMark/>
          </w:tcPr>
          <w:p>
            <w:pPr>
              <w:spacing w:after="0"/>
              <w:rPr>
                <w:noProof/>
                <w:sz w:val="20"/>
                <w:szCs w:val="20"/>
              </w:rPr>
            </w:pPr>
          </w:p>
        </w:tc>
        <w:tc>
          <w:tcPr>
            <w:tcW w:w="1480" w:type="dxa"/>
            <w:tcBorders>
              <w:top w:val="nil"/>
              <w:left w:val="nil"/>
              <w:bottom w:val="nil"/>
              <w:right w:val="nil"/>
            </w:tcBorders>
            <w:shd w:val="clear" w:color="auto" w:fill="auto"/>
            <w:noWrap/>
            <w:vAlign w:val="center"/>
            <w:hideMark/>
          </w:tcPr>
          <w:p>
            <w:pPr>
              <w:spacing w:after="0"/>
              <w:rPr>
                <w:noProof/>
                <w:sz w:val="20"/>
                <w:szCs w:val="20"/>
              </w:rPr>
            </w:pPr>
          </w:p>
        </w:tc>
        <w:tc>
          <w:tcPr>
            <w:tcW w:w="1480" w:type="dxa"/>
            <w:tcBorders>
              <w:top w:val="nil"/>
              <w:left w:val="nil"/>
              <w:bottom w:val="nil"/>
              <w:right w:val="nil"/>
            </w:tcBorders>
            <w:shd w:val="clear" w:color="auto" w:fill="auto"/>
            <w:noWrap/>
            <w:vAlign w:val="center"/>
            <w:hideMark/>
          </w:tcPr>
          <w:p>
            <w:pPr>
              <w:spacing w:after="0"/>
              <w:rPr>
                <w:noProof/>
                <w:sz w:val="20"/>
                <w:szCs w:val="20"/>
              </w:rPr>
            </w:pPr>
          </w:p>
        </w:tc>
        <w:tc>
          <w:tcPr>
            <w:tcW w:w="1396" w:type="dxa"/>
            <w:tcBorders>
              <w:top w:val="nil"/>
              <w:left w:val="nil"/>
              <w:bottom w:val="nil"/>
              <w:right w:val="nil"/>
            </w:tcBorders>
            <w:shd w:val="clear" w:color="auto" w:fill="auto"/>
            <w:noWrap/>
            <w:vAlign w:val="center"/>
            <w:hideMark/>
          </w:tcPr>
          <w:p>
            <w:pPr>
              <w:spacing w:after="0"/>
              <w:jc w:val="right"/>
              <w:rPr>
                <w:i/>
                <w:iCs/>
                <w:noProof/>
                <w:sz w:val="20"/>
                <w:szCs w:val="20"/>
              </w:rPr>
            </w:pPr>
            <w:r>
              <w:rPr>
                <w:i/>
                <w:noProof/>
                <w:sz w:val="20"/>
              </w:rPr>
              <w:t>En EUR</w:t>
            </w:r>
          </w:p>
        </w:tc>
      </w:tr>
      <w:tr>
        <w:trPr>
          <w:trHeight w:val="510"/>
          <w:tblHeader/>
          <w:jc w:val="center"/>
        </w:trPr>
        <w:tc>
          <w:tcPr>
            <w:tcW w:w="12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jc w:val="center"/>
              <w:rPr>
                <w:b/>
                <w:bCs/>
                <w:noProof/>
                <w:color w:val="000000"/>
                <w:sz w:val="16"/>
                <w:szCs w:val="16"/>
              </w:rPr>
            </w:pPr>
            <w:r>
              <w:rPr>
                <w:b/>
                <w:noProof/>
                <w:color w:val="000000"/>
                <w:sz w:val="16"/>
              </w:rPr>
              <w:t>Ligne budgétaire / Programme</w:t>
            </w:r>
          </w:p>
        </w:tc>
        <w:tc>
          <w:tcPr>
            <w:tcW w:w="4643" w:type="dxa"/>
            <w:tcBorders>
              <w:top w:val="single" w:sz="4" w:space="0" w:color="auto"/>
              <w:left w:val="nil"/>
              <w:bottom w:val="single" w:sz="4" w:space="0" w:color="auto"/>
              <w:right w:val="single" w:sz="4" w:space="0" w:color="auto"/>
            </w:tcBorders>
            <w:shd w:val="clear" w:color="DCE6F1" w:fill="DCE6F1"/>
            <w:vAlign w:val="center"/>
            <w:hideMark/>
          </w:tcPr>
          <w:p>
            <w:pPr>
              <w:spacing w:after="0"/>
              <w:jc w:val="center"/>
              <w:rPr>
                <w:b/>
                <w:bCs/>
                <w:noProof/>
                <w:color w:val="000000"/>
                <w:sz w:val="20"/>
                <w:szCs w:val="20"/>
              </w:rPr>
            </w:pPr>
            <w:r>
              <w:rPr>
                <w:b/>
                <w:noProof/>
                <w:color w:val="000000"/>
                <w:sz w:val="20"/>
              </w:rPr>
              <w:t>Intitulé</w:t>
            </w:r>
          </w:p>
        </w:tc>
        <w:tc>
          <w:tcPr>
            <w:tcW w:w="1480" w:type="dxa"/>
            <w:tcBorders>
              <w:top w:val="single" w:sz="4" w:space="0" w:color="auto"/>
              <w:left w:val="nil"/>
              <w:bottom w:val="single" w:sz="4" w:space="0" w:color="auto"/>
              <w:right w:val="single" w:sz="4" w:space="0" w:color="auto"/>
            </w:tcBorders>
            <w:shd w:val="clear" w:color="DCE6F1" w:fill="DCE6F1"/>
            <w:vAlign w:val="center"/>
            <w:hideMark/>
          </w:tcPr>
          <w:p>
            <w:pPr>
              <w:spacing w:after="0"/>
              <w:jc w:val="center"/>
              <w:rPr>
                <w:b/>
                <w:bCs/>
                <w:noProof/>
                <w:color w:val="000000"/>
                <w:sz w:val="20"/>
                <w:szCs w:val="20"/>
              </w:rPr>
            </w:pPr>
            <w:r>
              <w:rPr>
                <w:b/>
                <w:noProof/>
                <w:color w:val="000000"/>
                <w:sz w:val="20"/>
              </w:rPr>
              <w:t>PB 2019 (y compris LR 1)</w:t>
            </w:r>
          </w:p>
        </w:tc>
        <w:tc>
          <w:tcPr>
            <w:tcW w:w="1480" w:type="dxa"/>
            <w:tcBorders>
              <w:top w:val="single" w:sz="4" w:space="0" w:color="auto"/>
              <w:left w:val="nil"/>
              <w:bottom w:val="single" w:sz="4" w:space="0" w:color="auto"/>
              <w:right w:val="single" w:sz="4" w:space="0" w:color="auto"/>
            </w:tcBorders>
            <w:shd w:val="clear" w:color="DCE6F1" w:fill="DCE6F1"/>
            <w:noWrap/>
            <w:vAlign w:val="center"/>
            <w:hideMark/>
          </w:tcPr>
          <w:p>
            <w:pPr>
              <w:spacing w:after="0"/>
              <w:jc w:val="center"/>
              <w:rPr>
                <w:b/>
                <w:bCs/>
                <w:noProof/>
                <w:color w:val="000000"/>
                <w:sz w:val="20"/>
                <w:szCs w:val="20"/>
              </w:rPr>
            </w:pPr>
            <w:r>
              <w:rPr>
                <w:b/>
                <w:noProof/>
                <w:color w:val="000000"/>
                <w:sz w:val="20"/>
              </w:rPr>
              <w:t>Budget 2019</w:t>
            </w:r>
          </w:p>
        </w:tc>
        <w:tc>
          <w:tcPr>
            <w:tcW w:w="1396" w:type="dxa"/>
            <w:tcBorders>
              <w:top w:val="single" w:sz="4" w:space="0" w:color="auto"/>
              <w:left w:val="nil"/>
              <w:bottom w:val="single" w:sz="4" w:space="0" w:color="auto"/>
              <w:right w:val="single" w:sz="4" w:space="0" w:color="auto"/>
            </w:tcBorders>
            <w:shd w:val="clear" w:color="DCE6F1" w:fill="DCE6F1"/>
            <w:noWrap/>
            <w:vAlign w:val="center"/>
            <w:hideMark/>
          </w:tcPr>
          <w:p>
            <w:pPr>
              <w:spacing w:after="0"/>
              <w:jc w:val="center"/>
              <w:rPr>
                <w:b/>
                <w:bCs/>
                <w:noProof/>
                <w:color w:val="000000"/>
                <w:sz w:val="20"/>
                <w:szCs w:val="20"/>
              </w:rPr>
            </w:pPr>
            <w:r>
              <w:rPr>
                <w:b/>
                <w:noProof/>
                <w:color w:val="000000"/>
                <w:sz w:val="20"/>
              </w:rPr>
              <w:t>Différence</w:t>
            </w:r>
          </w:p>
        </w:tc>
      </w:tr>
      <w:tr>
        <w:trPr>
          <w:trHeight w:val="409"/>
          <w:jc w:val="center"/>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rPr>
                <w:b/>
                <w:bCs/>
                <w:i/>
                <w:iCs/>
                <w:noProof/>
                <w:sz w:val="20"/>
                <w:szCs w:val="20"/>
              </w:rPr>
            </w:pPr>
            <w:r>
              <w:rPr>
                <w:b/>
                <w:i/>
                <w:noProof/>
                <w:sz w:val="20"/>
              </w:rPr>
              <w:t>1.1.10</w:t>
            </w:r>
          </w:p>
        </w:tc>
        <w:tc>
          <w:tcPr>
            <w:tcW w:w="4643" w:type="dxa"/>
            <w:tcBorders>
              <w:top w:val="single" w:sz="4" w:space="0" w:color="auto"/>
              <w:left w:val="nil"/>
              <w:bottom w:val="single" w:sz="4" w:space="0" w:color="auto"/>
              <w:right w:val="nil"/>
            </w:tcBorders>
            <w:shd w:val="clear" w:color="000000" w:fill="F2F2F2"/>
            <w:vAlign w:val="center"/>
            <w:hideMark/>
          </w:tcPr>
          <w:p>
            <w:pPr>
              <w:spacing w:after="0"/>
              <w:rPr>
                <w:b/>
                <w:bCs/>
                <w:i/>
                <w:iCs/>
                <w:noProof/>
                <w:sz w:val="20"/>
                <w:szCs w:val="20"/>
              </w:rPr>
            </w:pPr>
            <w:r>
              <w:rPr>
                <w:b/>
                <w:i/>
                <w:noProof/>
                <w:sz w:val="20"/>
              </w:rPr>
              <w:t>Fonds européen pour les investissements stratégiques (EFSI)</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jc w:val="right"/>
              <w:rPr>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jc w:val="right"/>
              <w:rPr>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jc w:val="right"/>
              <w:rPr>
                <w:b/>
                <w:bCs/>
                <w:i/>
                <w:iCs/>
                <w:noProof/>
                <w:sz w:val="20"/>
                <w:szCs w:val="20"/>
              </w:rPr>
            </w:pPr>
            <w:r>
              <w:rPr>
                <w:b/>
                <w:i/>
                <w:noProof/>
                <w:sz w:val="20"/>
              </w:rPr>
              <w:t>-150 000 000</w:t>
            </w:r>
          </w:p>
        </w:tc>
      </w:tr>
      <w:tr>
        <w:trPr>
          <w:trHeight w:val="255"/>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noProof/>
                <w:sz w:val="20"/>
                <w:szCs w:val="20"/>
              </w:rPr>
            </w:pPr>
            <w:r>
              <w:rPr>
                <w:noProof/>
                <w:sz w:val="20"/>
              </w:rPr>
              <w:t>01 04 05</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rPr>
                <w:noProof/>
                <w:sz w:val="20"/>
                <w:szCs w:val="20"/>
              </w:rPr>
            </w:pPr>
            <w:r>
              <w:rPr>
                <w:noProof/>
                <w:sz w:val="20"/>
              </w:rPr>
              <w:t>Provisionnement du fonds de garantie de l’EFSI</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right"/>
              <w:rPr>
                <w:noProof/>
                <w:sz w:val="20"/>
                <w:szCs w:val="20"/>
              </w:rPr>
            </w:pPr>
            <w:r>
              <w:rPr>
                <w:noProof/>
                <w:sz w:val="20"/>
              </w:rPr>
              <w:t>1 150 000 000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right"/>
              <w:rPr>
                <w:noProof/>
                <w:sz w:val="20"/>
                <w:szCs w:val="20"/>
              </w:rPr>
            </w:pPr>
            <w:r>
              <w:rPr>
                <w:noProof/>
                <w:sz w:val="20"/>
              </w:rPr>
              <w:t>1 000 000 000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right"/>
              <w:rPr>
                <w:noProof/>
                <w:sz w:val="20"/>
                <w:szCs w:val="20"/>
              </w:rPr>
            </w:pPr>
            <w:r>
              <w:rPr>
                <w:noProof/>
                <w:sz w:val="20"/>
              </w:rPr>
              <w:t>-150 000 000</w:t>
            </w:r>
          </w:p>
        </w:tc>
      </w:tr>
      <w:tr>
        <w:trPr>
          <w:trHeight w:val="255"/>
          <w:jc w:val="center"/>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rPr>
                <w:b/>
                <w:bCs/>
                <w:noProof/>
                <w:sz w:val="20"/>
                <w:szCs w:val="20"/>
              </w:rPr>
            </w:pPr>
          </w:p>
        </w:tc>
        <w:tc>
          <w:tcPr>
            <w:tcW w:w="4643"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rPr>
                <w:b/>
                <w:bCs/>
                <w:noProof/>
                <w:sz w:val="20"/>
                <w:szCs w:val="20"/>
              </w:rPr>
            </w:pPr>
            <w:r>
              <w:rPr>
                <w:b/>
                <w:noProof/>
                <w:sz w:val="20"/>
              </w:rPr>
              <w:t>Total</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jc w:val="right"/>
              <w:rPr>
                <w:b/>
                <w:bCs/>
                <w:noProof/>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jc w:val="right"/>
              <w:rPr>
                <w:b/>
                <w:bCs/>
                <w:noProof/>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jc w:val="right"/>
              <w:rPr>
                <w:b/>
                <w:bCs/>
                <w:noProof/>
                <w:sz w:val="20"/>
                <w:szCs w:val="20"/>
              </w:rPr>
            </w:pPr>
            <w:r>
              <w:rPr>
                <w:b/>
                <w:noProof/>
                <w:sz w:val="20"/>
              </w:rPr>
              <w:t>-150 000 000</w:t>
            </w:r>
          </w:p>
        </w:tc>
      </w:tr>
    </w:tbl>
    <w:p>
      <w:pPr>
        <w:pStyle w:val="ManualHeading2"/>
        <w:rPr>
          <w:noProof/>
        </w:rPr>
      </w:pPr>
      <w:bookmarkStart w:id="58" w:name="_Toc530674111"/>
      <w:bookmarkStart w:id="59" w:name="_Toc531266761"/>
      <w:r>
        <w:t>3.4.</w:t>
      </w:r>
      <w:r>
        <w:tab/>
      </w:r>
      <w:r>
        <w:rPr>
          <w:noProof/>
        </w:rPr>
        <w:t>Réserves</w:t>
      </w:r>
      <w:bookmarkEnd w:id="58"/>
      <w:bookmarkEnd w:id="59"/>
    </w:p>
    <w:p>
      <w:pPr>
        <w:spacing w:before="120" w:after="120"/>
        <w:jc w:val="both"/>
        <w:rPr>
          <w:noProof/>
        </w:rPr>
      </w:pPr>
      <w:r>
        <w:rPr>
          <w:noProof/>
        </w:rPr>
        <w:t>Il est proposé de fixer les réserves conformément à la lecture du Conseil du projet de budget initial, en tenant compte des changements proposés dans la lettre rectificative nº 1/2019, avec les modifications suivantes:</w:t>
      </w:r>
    </w:p>
    <w:p>
      <w:pPr>
        <w:pStyle w:val="ListParagraph"/>
        <w:numPr>
          <w:ilvl w:val="0"/>
          <w:numId w:val="41"/>
        </w:numPr>
        <w:spacing w:before="120" w:after="120"/>
        <w:jc w:val="both"/>
        <w:rPr>
          <w:noProof/>
          <w:sz w:val="23"/>
          <w:szCs w:val="23"/>
        </w:rPr>
      </w:pPr>
      <w:r>
        <w:rPr>
          <w:noProof/>
          <w:sz w:val="23"/>
        </w:rPr>
        <w:t>Les modalités ci-dessous sont proposées pour la levée de la réserve sur la ligne 18 03 01 01:</w:t>
      </w:r>
    </w:p>
    <w:p>
      <w:pPr>
        <w:spacing w:before="120" w:after="120"/>
        <w:ind w:left="708"/>
        <w:jc w:val="both"/>
        <w:rPr>
          <w:i/>
          <w:noProof/>
          <w:szCs w:val="23"/>
        </w:rPr>
      </w:pPr>
      <w:r>
        <w:rPr>
          <w:i/>
          <w:noProof/>
        </w:rPr>
        <w:t>«Un montant de 460 millions d’EUR prévu dans la fiche financière législative de la proposition de la Commission de refonte du règlement Dublin III [COM(2016) 270 final du 4 mai 2016] est placé en réserve dans l’attente de l’adoption de cette proposition législative. Cette réserve peut être libérée au moyen d’un virement conformément à l’article 30, paragraphe 2, point a), du règlement financier à la suite de l’adoption de l'acte de base.</w:t>
      </w:r>
    </w:p>
    <w:p>
      <w:pPr>
        <w:spacing w:before="120" w:after="120"/>
        <w:ind w:left="708"/>
        <w:jc w:val="both"/>
        <w:rPr>
          <w:i/>
          <w:noProof/>
          <w:szCs w:val="23"/>
        </w:rPr>
      </w:pPr>
      <w:r>
        <w:rPr>
          <w:i/>
          <w:noProof/>
        </w:rPr>
        <w:t>Si l'acte n’a pas été adopté d’ici au 1</w:t>
      </w:r>
      <w:r>
        <w:rPr>
          <w:i/>
          <w:noProof/>
          <w:vertAlign w:val="superscript"/>
        </w:rPr>
        <w:t>er</w:t>
      </w:r>
      <w:r>
        <w:rPr>
          <w:i/>
          <w:noProof/>
        </w:rPr>
        <w:t> février 2019, la Commission peut présenter une ou plusieurs propositions de virements conformément à l’article 31 du règlement financier afin d’utiliser autrement ce montant au profit de la ligne budgétaire 18 03 01 01.»</w:t>
      </w:r>
    </w:p>
    <w:p>
      <w:pPr>
        <w:spacing w:before="120" w:after="120"/>
        <w:ind w:firstLine="708"/>
        <w:jc w:val="both"/>
        <w:rPr>
          <w:noProof/>
        </w:rPr>
      </w:pPr>
      <w:r>
        <w:rPr>
          <w:noProof/>
        </w:rPr>
        <w:t>Il est proposé de modifier en conséquence les commentaires budgétaires du poste 18 03 01 01.</w:t>
      </w:r>
    </w:p>
    <w:p>
      <w:pPr>
        <w:pStyle w:val="ListParagraph"/>
        <w:numPr>
          <w:ilvl w:val="0"/>
          <w:numId w:val="41"/>
        </w:numPr>
        <w:spacing w:before="120" w:after="120"/>
        <w:jc w:val="both"/>
        <w:rPr>
          <w:noProof/>
          <w:sz w:val="23"/>
          <w:szCs w:val="23"/>
        </w:rPr>
      </w:pPr>
      <w:r>
        <w:rPr>
          <w:noProof/>
          <w:sz w:val="23"/>
        </w:rPr>
        <w:t>Compte tenu de l’adoption, le 28 septembre 2018, de la base légale de l’entreprise commune européenne pour le calcul à haute performance</w:t>
      </w:r>
      <w:r>
        <w:rPr>
          <w:rStyle w:val="FootnoteReference"/>
          <w:noProof/>
          <w:sz w:val="23"/>
        </w:rPr>
        <w:footnoteReference w:id="17"/>
      </w:r>
      <w:r>
        <w:rPr>
          <w:noProof/>
          <w:sz w:val="23"/>
        </w:rPr>
        <w:t>, il est proposé que soient levées les réserves sur les lignes 09 03 05 31, 09 04 07 33 et 09 04 07 34.</w:t>
      </w:r>
    </w:p>
    <w:p>
      <w:pPr>
        <w:pStyle w:val="ManualHeading2"/>
        <w:rPr>
          <w:noProof/>
        </w:rPr>
      </w:pPr>
      <w:bookmarkStart w:id="60" w:name="_Toc530674112"/>
      <w:bookmarkStart w:id="61" w:name="_Toc531266762"/>
      <w:r>
        <w:t>3.5.</w:t>
      </w:r>
      <w:r>
        <w:tab/>
      </w:r>
      <w:r>
        <w:rPr>
          <w:noProof/>
        </w:rPr>
        <w:t>Changements dans la nomenclature et les commentaires budgétaires</w:t>
      </w:r>
      <w:bookmarkEnd w:id="60"/>
      <w:bookmarkEnd w:id="61"/>
    </w:p>
    <w:p>
      <w:pPr>
        <w:pStyle w:val="ManualHeading3"/>
        <w:rPr>
          <w:noProof/>
        </w:rPr>
      </w:pPr>
      <w:bookmarkStart w:id="62" w:name="_Toc530674113"/>
      <w:bookmarkStart w:id="63" w:name="_Toc531266763"/>
      <w:r>
        <w:t>3.5.1.</w:t>
      </w:r>
      <w:r>
        <w:tab/>
      </w:r>
      <w:r>
        <w:rPr>
          <w:noProof/>
        </w:rPr>
        <w:t>Commentaires budgétaires</w:t>
      </w:r>
      <w:bookmarkEnd w:id="62"/>
      <w:bookmarkEnd w:id="63"/>
    </w:p>
    <w:p>
      <w:pPr>
        <w:spacing w:before="120" w:after="120"/>
        <w:jc w:val="both"/>
        <w:rPr>
          <w:noProof/>
        </w:rPr>
      </w:pPr>
      <w:r>
        <w:rPr>
          <w:noProof/>
        </w:rPr>
        <w:t>Outre la modification, proposée à la section 3.2.1 ci-dessus, du libellé du commentaire de l’article 08 02 08, il est proposé d’intégrer dans le deuxième projet de budget les amendements introduits par le Parlement européen au libellé des commentaires budgétaires dans le cadre de sa lecture du projet de budget initial, à l’exception de ceux concernant les lignes budgétaires figurant dans le tableau ci-dessous. Il est entendu que les amendements introduits par le Parlement européen ne peuvent modifier ou étendre le champ d’application d’une base légale en vigueur ou affecter l’autonomie administrative des institutions, et que l’action peut être financée par les ressources disponibles.</w:t>
      </w:r>
    </w:p>
    <w:tbl>
      <w:tblPr>
        <w:tblW w:w="10160" w:type="dxa"/>
        <w:tblInd w:w="103" w:type="dxa"/>
        <w:tblLook w:val="04A0" w:firstRow="1" w:lastRow="0" w:firstColumn="1" w:lastColumn="0" w:noHBand="0" w:noVBand="1"/>
      </w:tblPr>
      <w:tblGrid>
        <w:gridCol w:w="1440"/>
        <w:gridCol w:w="8720"/>
      </w:tblGrid>
      <w:tr>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Ligne budgétaire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Intitulé</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02 02 77 40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Projet pilote — Fournir aux écoles non connectées un accès à l'internet à haut débit par satellite et à des contenus pédagogiques multimédias</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04 06 01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Favoriser la cohésion sociale et atténuer les formes les plus graves de pauvreté dans l’Union</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15 04 02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Sous-programme «Culture» — Soutenir les actions transfrontières et promouvoir la circulation transnationale et la mobilité</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18 02 01 02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Prévenir et combattre la criminalité organisée transfrontière et gérer plus efficacement les risques sécuritaires et les crises</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18 03 01 01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Renforcer et développer le régime d’asile européen commun et approfondir la solidarité et le partage des responsabilités entre les États membres</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18 03 01 02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Favoriser la migration légale vers l’Union et promouvoir l’intégration effective des ressortissants de pays tiers, et promouvoir des stratégies de retour équitables et efficaces</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18 04 01 01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L’Europe pour les citoyens — Conforter la mémoire et renforcer la capacité de participation civique au niveau de l’Union</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19 02 01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Réponse aux situations de crise et de crise émergente</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Coopération avec l’Amérique latine</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21 02 07 03</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Développement humain</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21 02 08 01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La société civile dans le développement</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33 02 01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Garantir la protection des droits et donner des moyens d’action aux citoyens</w:t>
            </w:r>
          </w:p>
        </w:tc>
      </w:tr>
    </w:tbl>
    <w:p>
      <w:pPr>
        <w:pStyle w:val="ManualHeading3"/>
        <w:rPr>
          <w:noProof/>
        </w:rPr>
      </w:pPr>
      <w:bookmarkStart w:id="64" w:name="_Toc530674114"/>
      <w:bookmarkStart w:id="65" w:name="_Toc531266764"/>
      <w:r>
        <w:t>3.5.2.</w:t>
      </w:r>
      <w:r>
        <w:tab/>
      </w:r>
      <w:r>
        <w:rPr>
          <w:noProof/>
        </w:rPr>
        <w:t>Nomenclature</w:t>
      </w:r>
      <w:bookmarkEnd w:id="64"/>
      <w:bookmarkEnd w:id="65"/>
    </w:p>
    <w:p>
      <w:pPr>
        <w:jc w:val="both"/>
        <w:rPr>
          <w:noProof/>
        </w:rPr>
      </w:pPr>
      <w:r>
        <w:rPr>
          <w:noProof/>
        </w:rPr>
        <w:t xml:space="preserve">La nomenclature budgétaire du projet de budget initial, tel que modifié par la lettre rectificative nº 1/2019, est proposée dans le deuxième projet de budget, moyennant l’inclusion des </w:t>
      </w:r>
      <w:r>
        <w:rPr>
          <w:i/>
          <w:noProof/>
        </w:rPr>
        <w:t>nouveaux</w:t>
      </w:r>
      <w:r>
        <w:rPr>
          <w:noProof/>
        </w:rPr>
        <w:t xml:space="preserve"> projets pilotes et </w:t>
      </w:r>
      <w:r>
        <w:rPr>
          <w:i/>
          <w:noProof/>
        </w:rPr>
        <w:t>nouvelles</w:t>
      </w:r>
      <w:r>
        <w:rPr>
          <w:noProof/>
        </w:rPr>
        <w:t xml:space="preserve"> actions préparatoires, avec les changements suivants:</w:t>
      </w:r>
    </w:p>
    <w:tbl>
      <w:tblPr>
        <w:tblW w:w="10160" w:type="dxa"/>
        <w:tblInd w:w="103" w:type="dxa"/>
        <w:tblLook w:val="04A0" w:firstRow="1" w:lastRow="0" w:firstColumn="1" w:lastColumn="0" w:noHBand="0" w:noVBand="1"/>
      </w:tblPr>
      <w:tblGrid>
        <w:gridCol w:w="1440"/>
        <w:gridCol w:w="8720"/>
      </w:tblGrid>
      <w:tr>
        <w:trPr>
          <w:trHeight w:val="255"/>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Ligne budgétaire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Intitulé</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02 04 77 07</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Action préparatoire — Préparation du nouveau programme EU GOVSATCOM</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05 08 77 18</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Projet pilote — Mise en place d'un programme opérationnel structurant les filières agro-alimentaires pour assurer la transmission des entreprises familiales agricoles et la pérennisation de l'agriculture locale</w:t>
            </w:r>
          </w:p>
        </w:tc>
      </w:tr>
    </w:tbl>
    <w:p>
      <w:pPr>
        <w:pStyle w:val="ManualHeading1"/>
        <w:rPr>
          <w:noProof/>
        </w:rPr>
      </w:pPr>
      <w:bookmarkStart w:id="66" w:name="_Toc530586747"/>
      <w:bookmarkStart w:id="67" w:name="_Toc530674115"/>
      <w:bookmarkStart w:id="68" w:name="_Toc531266765"/>
      <w:bookmarkEnd w:id="66"/>
      <w:r>
        <w:t>4.</w:t>
      </w:r>
      <w:r>
        <w:tab/>
      </w:r>
      <w:r>
        <w:rPr>
          <w:noProof/>
        </w:rPr>
        <w:t>Observations finales</w:t>
      </w:r>
      <w:bookmarkEnd w:id="57"/>
      <w:bookmarkEnd w:id="67"/>
      <w:bookmarkEnd w:id="68"/>
    </w:p>
    <w:p>
      <w:pPr>
        <w:spacing w:line="240" w:lineRule="auto"/>
        <w:jc w:val="both"/>
        <w:rPr>
          <w:noProof/>
        </w:rPr>
      </w:pPr>
      <w:r>
        <w:rPr>
          <w:noProof/>
        </w:rPr>
        <w:t>En proposant un deuxième projet de budget pour 2019, qui s'appuie sur les avancées enregistrées au sein du comité de conciliation, la Commission s'efforce de créer les conditions favorables à une adoption rapide du budget 2019 dans l'intervalle de temps restreint qui subsiste avant la fin de l'année 2018.</w:t>
      </w:r>
    </w:p>
    <w:p>
      <w:pPr>
        <w:spacing w:line="240" w:lineRule="auto"/>
        <w:jc w:val="both"/>
        <w:rPr>
          <w:noProof/>
        </w:rPr>
      </w:pPr>
      <w:r>
        <w:rPr>
          <w:noProof/>
        </w:rPr>
        <w:t>L'adoption et l'entrée en vigueur en temps utile du budget 2019 garantiront la bonne mise en œuvre des politiques et des programmes de l'Union européenne. La Commission mettra tout en œuvre pour atteindre cet objectif.</w:t>
      </w:r>
    </w:p>
    <w:p>
      <w:pPr>
        <w:rPr>
          <w:noProof/>
        </w:rPr>
        <w:sectPr>
          <w:headerReference w:type="even" r:id="rId29"/>
          <w:headerReference w:type="default" r:id="rId30"/>
          <w:footerReference w:type="even" r:id="rId31"/>
          <w:footerReference w:type="default" r:id="rId32"/>
          <w:headerReference w:type="first" r:id="rId33"/>
          <w:footerReference w:type="first" r:id="rId34"/>
          <w:pgSz w:w="11907" w:h="16839"/>
          <w:pgMar w:top="567" w:right="850" w:bottom="567" w:left="709" w:header="709" w:footer="709" w:gutter="0"/>
          <w:cols w:space="720"/>
          <w:docGrid w:linePitch="360"/>
        </w:sectPr>
      </w:pPr>
    </w:p>
    <w:p>
      <w:pPr>
        <w:pStyle w:val="ManualHeading1"/>
        <w:rPr>
          <w:noProof/>
        </w:rPr>
      </w:pPr>
      <w:bookmarkStart w:id="69" w:name="_Toc530674116"/>
      <w:bookmarkStart w:id="70" w:name="_Toc531266766"/>
      <w:r>
        <w:t>5.</w:t>
      </w:r>
      <w:r>
        <w:tab/>
      </w:r>
      <w:r>
        <w:rPr>
          <w:noProof/>
        </w:rPr>
        <w:t>Deuxième projet de budget 2019 par rubrique du cadre financier et par grand programme</w:t>
      </w:r>
      <w:bookmarkEnd w:id="69"/>
      <w:bookmarkEnd w:id="70"/>
    </w:p>
    <w:tbl>
      <w:tblPr>
        <w:tblW w:w="10649" w:type="dxa"/>
        <w:tblInd w:w="108" w:type="dxa"/>
        <w:tblLook w:val="04A0" w:firstRow="1" w:lastRow="0" w:firstColumn="1" w:lastColumn="0" w:noHBand="0" w:noVBand="1"/>
      </w:tblPr>
      <w:tblGrid>
        <w:gridCol w:w="366"/>
        <w:gridCol w:w="2806"/>
        <w:gridCol w:w="1016"/>
        <w:gridCol w:w="1016"/>
        <w:gridCol w:w="1016"/>
        <w:gridCol w:w="1016"/>
        <w:gridCol w:w="939"/>
        <w:gridCol w:w="923"/>
        <w:gridCol w:w="776"/>
        <w:gridCol w:w="776"/>
      </w:tblGrid>
      <w:tr>
        <w:trPr>
          <w:trHeight w:val="255"/>
          <w:tblHeader/>
        </w:trPr>
        <w:tc>
          <w:tcPr>
            <w:tcW w:w="9097" w:type="dxa"/>
            <w:gridSpan w:val="8"/>
            <w:tcBorders>
              <w:top w:val="nil"/>
              <w:left w:val="nil"/>
              <w:bottom w:val="single" w:sz="4" w:space="0" w:color="auto"/>
              <w:right w:val="nil"/>
            </w:tcBorders>
            <w:shd w:val="clear" w:color="auto" w:fill="auto"/>
            <w:noWrap/>
            <w:vAlign w:val="bottom"/>
            <w:hideMark/>
          </w:tcPr>
          <w:p>
            <w:pPr>
              <w:spacing w:after="0" w:line="240" w:lineRule="auto"/>
              <w:jc w:val="right"/>
              <w:rPr>
                <w:rFonts w:eastAsia="Times New Roman"/>
                <w:i/>
                <w:iCs/>
                <w:noProof/>
                <w:color w:val="000000"/>
                <w:sz w:val="20"/>
                <w:szCs w:val="20"/>
              </w:rPr>
            </w:pPr>
            <w:r>
              <w:rPr>
                <w:i/>
                <w:noProof/>
                <w:color w:val="000000"/>
                <w:sz w:val="20"/>
              </w:rPr>
              <w:t>[Crédits d’engagement (CE) et crédits de paiement (CP) en Mio EUR, arrondis aux prix courants]</w:t>
            </w:r>
          </w:p>
        </w:tc>
        <w:tc>
          <w:tcPr>
            <w:tcW w:w="776" w:type="dxa"/>
            <w:tcBorders>
              <w:top w:val="nil"/>
              <w:left w:val="nil"/>
              <w:bottom w:val="nil"/>
              <w:right w:val="nil"/>
            </w:tcBorders>
            <w:shd w:val="clear" w:color="auto" w:fill="auto"/>
            <w:noWrap/>
            <w:vAlign w:val="bottom"/>
            <w:hideMark/>
          </w:tcPr>
          <w:p>
            <w:pPr>
              <w:spacing w:after="0" w:line="240" w:lineRule="auto"/>
              <w:jc w:val="right"/>
              <w:rPr>
                <w:rFonts w:eastAsia="Times New Roman"/>
                <w:i/>
                <w:iCs/>
                <w:noProof/>
                <w:color w:val="000000"/>
                <w:sz w:val="20"/>
                <w:szCs w:val="20"/>
              </w:rPr>
            </w:pPr>
          </w:p>
        </w:tc>
        <w:tc>
          <w:tcPr>
            <w:tcW w:w="776" w:type="dxa"/>
            <w:tcBorders>
              <w:top w:val="nil"/>
              <w:left w:val="nil"/>
              <w:bottom w:val="nil"/>
              <w:right w:val="nil"/>
            </w:tcBorders>
            <w:shd w:val="clear" w:color="auto" w:fill="auto"/>
            <w:noWrap/>
            <w:vAlign w:val="bottom"/>
            <w:hideMark/>
          </w:tcPr>
          <w:p>
            <w:pPr>
              <w:spacing w:after="0" w:line="240" w:lineRule="auto"/>
              <w:jc w:val="right"/>
              <w:rPr>
                <w:rFonts w:eastAsia="Times New Roman"/>
                <w:i/>
                <w:iCs/>
                <w:noProof/>
                <w:color w:val="000000"/>
                <w:sz w:val="20"/>
                <w:szCs w:val="20"/>
              </w:rPr>
            </w:pPr>
          </w:p>
        </w:tc>
      </w:tr>
      <w:tr>
        <w:trPr>
          <w:trHeight w:val="255"/>
          <w:tblHeader/>
        </w:trPr>
        <w:tc>
          <w:tcPr>
            <w:tcW w:w="3115"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5"/>
                <w:szCs w:val="15"/>
              </w:rPr>
            </w:pPr>
            <w:r>
              <w:rPr>
                <w:b/>
                <w:noProof/>
                <w:sz w:val="15"/>
              </w:rPr>
              <w:t>Rubrique</w:t>
            </w:r>
          </w:p>
        </w:tc>
        <w:tc>
          <w:tcPr>
            <w:tcW w:w="2032"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Budget</w:t>
            </w:r>
          </w:p>
        </w:tc>
        <w:tc>
          <w:tcPr>
            <w:tcW w:w="2032"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Deuxième projet de budget</w:t>
            </w:r>
          </w:p>
        </w:tc>
        <w:tc>
          <w:tcPr>
            <w:tcW w:w="1918"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Différence</w:t>
            </w:r>
          </w:p>
        </w:tc>
        <w:tc>
          <w:tcPr>
            <w:tcW w:w="1552"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Différence</w:t>
            </w:r>
          </w:p>
        </w:tc>
      </w:tr>
      <w:tr>
        <w:trPr>
          <w:trHeight w:val="255"/>
          <w:tblHeader/>
        </w:trPr>
        <w:tc>
          <w:tcPr>
            <w:tcW w:w="3115"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eastAsia="Times New Roman"/>
                <w:b/>
                <w:bCs/>
                <w:noProof/>
                <w:sz w:val="15"/>
                <w:szCs w:val="15"/>
              </w:rPr>
            </w:pPr>
          </w:p>
        </w:tc>
        <w:tc>
          <w:tcPr>
            <w:tcW w:w="2032"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 xml:space="preserve">2018 </w:t>
            </w:r>
            <w:r>
              <w:rPr>
                <w:noProof/>
                <w:sz w:val="16"/>
                <w:vertAlign w:val="superscript"/>
              </w:rPr>
              <w:t>(1)</w:t>
            </w:r>
          </w:p>
        </w:tc>
        <w:tc>
          <w:tcPr>
            <w:tcW w:w="2032"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2019</w:t>
            </w:r>
          </w:p>
        </w:tc>
        <w:tc>
          <w:tcPr>
            <w:tcW w:w="1918"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2019 / 2018</w:t>
            </w:r>
          </w:p>
        </w:tc>
        <w:tc>
          <w:tcPr>
            <w:tcW w:w="1552"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2019 / 2018</w:t>
            </w:r>
          </w:p>
        </w:tc>
      </w:tr>
      <w:tr>
        <w:trPr>
          <w:trHeight w:val="345"/>
          <w:tblHeader/>
        </w:trPr>
        <w:tc>
          <w:tcPr>
            <w:tcW w:w="3115"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eastAsia="Times New Roman"/>
                <w:b/>
                <w:bCs/>
                <w:noProof/>
                <w:sz w:val="15"/>
                <w:szCs w:val="15"/>
              </w:rPr>
            </w:pPr>
          </w:p>
        </w:tc>
        <w:tc>
          <w:tcPr>
            <w:tcW w:w="2032"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(1)</w:t>
            </w:r>
          </w:p>
        </w:tc>
        <w:tc>
          <w:tcPr>
            <w:tcW w:w="2032"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w:t>
            </w:r>
          </w:p>
        </w:tc>
        <w:tc>
          <w:tcPr>
            <w:tcW w:w="1918"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 – 1)</w:t>
            </w:r>
          </w:p>
        </w:tc>
        <w:tc>
          <w:tcPr>
            <w:tcW w:w="1552"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 / 1)</w:t>
            </w:r>
          </w:p>
        </w:tc>
      </w:tr>
      <w:tr>
        <w:trPr>
          <w:trHeight w:val="255"/>
          <w:tblHeader/>
        </w:trPr>
        <w:tc>
          <w:tcPr>
            <w:tcW w:w="3115"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eastAsia="Times New Roman"/>
                <w:b/>
                <w:bCs/>
                <w:noProof/>
                <w:sz w:val="15"/>
                <w:szCs w:val="15"/>
              </w:rPr>
            </w:pP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CE</w:t>
            </w: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CP</w:t>
            </w: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CE</w:t>
            </w: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CP</w:t>
            </w:r>
          </w:p>
        </w:tc>
        <w:tc>
          <w:tcPr>
            <w:tcW w:w="959"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CE</w:t>
            </w:r>
          </w:p>
        </w:tc>
        <w:tc>
          <w:tcPr>
            <w:tcW w:w="959"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CP</w:t>
            </w:r>
          </w:p>
        </w:tc>
        <w:tc>
          <w:tcPr>
            <w:tcW w:w="77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CE</w:t>
            </w:r>
          </w:p>
        </w:tc>
        <w:tc>
          <w:tcPr>
            <w:tcW w:w="77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CP</w:t>
            </w:r>
          </w:p>
        </w:tc>
      </w:tr>
      <w:tr>
        <w:trPr>
          <w:trHeight w:val="255"/>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rPr>
            </w:pPr>
            <w:r>
              <w:rPr>
                <w:b/>
                <w:noProof/>
                <w:sz w:val="15"/>
              </w:rPr>
              <w:t>1. Croissance intelligente et inclusive</w:t>
            </w:r>
          </w:p>
        </w:tc>
        <w:tc>
          <w:tcPr>
            <w:tcW w:w="1016"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77 531,8</w:t>
            </w:r>
          </w:p>
        </w:tc>
        <w:tc>
          <w:tcPr>
            <w:tcW w:w="1016" w:type="dxa"/>
            <w:tcBorders>
              <w:top w:val="single" w:sz="4" w:space="0" w:color="auto"/>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66 622,6</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80 337,4</w:t>
            </w:r>
          </w:p>
        </w:tc>
        <w:tc>
          <w:tcPr>
            <w:tcW w:w="101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67 556,9</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2 805,7</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934,4</w:t>
            </w:r>
          </w:p>
        </w:tc>
        <w:tc>
          <w:tcPr>
            <w:tcW w:w="776"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3,6%</w:t>
            </w:r>
          </w:p>
        </w:tc>
        <w:tc>
          <w:tcPr>
            <w:tcW w:w="776" w:type="dxa"/>
            <w:tcBorders>
              <w:top w:val="single" w:sz="4" w:space="0" w:color="auto"/>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1,4%</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dont part relevant de la marge globale pour les engagements</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1 111,8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413,4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Plafond</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76 420,0</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single" w:sz="4" w:space="0" w:color="auto"/>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79 924,0</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single" w:sz="4" w:space="0" w:color="auto"/>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Marge</w:t>
            </w:r>
          </w:p>
        </w:tc>
        <w:tc>
          <w:tcPr>
            <w:tcW w:w="101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dotted" w:sz="4" w:space="0" w:color="000000"/>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dotted" w:sz="4" w:space="0" w:color="000000"/>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rPr>
                <w:rFonts w:eastAsia="Times New Roman"/>
                <w:noProof/>
                <w:sz w:val="15"/>
                <w:szCs w:val="15"/>
              </w:rPr>
            </w:pPr>
            <w:r>
              <w:rPr>
                <w:noProof/>
                <w:sz w:val="15"/>
              </w:rPr>
              <w:t>1a</w:t>
            </w:r>
          </w:p>
        </w:tc>
        <w:tc>
          <w:tcPr>
            <w:tcW w:w="280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Compétitivité pour la croissance et l’emploi</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21 999,6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20 095,3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23 145,4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20 521,5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1 145,9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426,3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2,1%</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dont part relevant de la marge globale pour les engagements</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760,6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63,4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Plafond</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21 239,0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23 082,0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Marge</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Grands projets d’infrastructures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1 814,4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1 826,2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1 959,4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2 142,0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145,0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315,8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17,3%</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Systèmes européens de navigation par satellite (EGNOS et Galileo)</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807,9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718,0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690,7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923,0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-117,1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205,0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-14,5%</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28,6%</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Réacteur thermonucléaire expérimental international (ITER)</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376,4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500,6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407,2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616,6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30,9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116,0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23,2%</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Programme européen d'observation de la Terre (Copernicus)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630,2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607,6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861,5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602,4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231,3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36,7%</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-0,9%</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Sûreté nucléaire et déclassement</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141,1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152,4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143,9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158,1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3,8%</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Fonds européen pour les investissements stratégiques (EFSI)</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2 038,3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1 828,0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186,9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1 022,3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-1 851,4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-805,7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-90,8%</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-44,1%</w:t>
            </w:r>
          </w:p>
        </w:tc>
      </w:tr>
      <w:tr>
        <w:trPr>
          <w:trHeight w:val="255"/>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Cadre stratégique commun (CSC) pour la recherche et l'innovation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11 568,1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11 216,9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12 535,1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11 341,8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967,0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124,9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Horizon 2020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11 212,4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10 901,5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12 161,5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10 971,8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949,1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70,3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8,5%</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0,6%</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Programme Euratom de recherche et de formation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355,7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315,5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373,6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370,0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17,9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54,5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17,3%</w:t>
            </w:r>
          </w:p>
        </w:tc>
      </w:tr>
      <w:tr>
        <w:trPr>
          <w:trHeight w:val="450"/>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Compétitivité des entreprises et des petites et moyennes entreprises (COSME)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354,1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253,5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367,2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251,8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-0,6%</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Éducation, formation et sport (Erasmus+)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2 314,5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2 145,6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2 726,4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2 563,1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411,9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417,5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17,8%</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19,5%</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Emploi et innovation sociale (EaSI)</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131,7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118,5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136,1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118,4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3,3%</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-0,1%</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Douane, Fiscalis et lutte contre la fraude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135,0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124,8</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135,2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134,2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7,6%</w:t>
            </w:r>
          </w:p>
        </w:tc>
      </w:tr>
      <w:tr>
        <w:trPr>
          <w:trHeight w:val="255"/>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Mécanisme pour l’interconnexion en Europe (MIE)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2 748,4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1 523,0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3 764,0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1 701,2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1 015,6</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178,3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11,7%</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Énergie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680,5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217,7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948,7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326,8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268,2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109,1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39,4%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50,1%</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Transports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1 897,6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1 163,3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2 640,2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1 222,8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742,5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59,5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39,1%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5,1%</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Technologies de l’information et des communications (TIC)</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170,3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142,0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175,1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151,6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9,6</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2,8%</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6,8%</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Projets énergétiques en vue d’aider à la relance économique (plan de relance)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210,0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61,0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-149,0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xml:space="preserve">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-71,0%</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Corps européen de solidarité (CES)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42,8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33,2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143,3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119,6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100,5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86,3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235,0%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259,8%</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Programme européen de développement industriel dans le domaine de la défense (EDIDP)</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245,0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147,0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245,0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147,0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xml:space="preserve">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 xml:space="preserve">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Autres actions et programmes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176,4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152,6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194,4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164,7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17,9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12,2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10,2%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8,0%</w:t>
            </w:r>
          </w:p>
        </w:tc>
      </w:tr>
      <w:tr>
        <w:trPr>
          <w:trHeight w:val="450"/>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Actions financées dans le cadre des prérogatives de la Commission et des compétences spécifiques conférées à la Commission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128,9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116,9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128,4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115,0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Projets pilotes et actions préparatoires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91,7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77,6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97,3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99,6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5,6</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22,0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28,3%</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Organismes décentralisés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314,1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316,2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382,9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381,7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68,8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65,5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21,9%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20,7%</w:t>
            </w:r>
          </w:p>
        </w:tc>
      </w:tr>
      <w:tr>
        <w:trPr>
          <w:trHeight w:val="315"/>
        </w:trPr>
        <w:tc>
          <w:tcPr>
            <w:tcW w:w="309" w:type="dxa"/>
            <w:tcBorders>
              <w:top w:val="single" w:sz="4" w:space="0" w:color="auto"/>
              <w:left w:val="single" w:sz="4" w:space="0" w:color="auto"/>
              <w:bottom w:val="dotted" w:sz="4" w:space="0" w:color="000000"/>
              <w:right w:val="nil"/>
            </w:tcBorders>
            <w:shd w:val="clear" w:color="auto" w:fill="auto"/>
            <w:vAlign w:val="center"/>
            <w:hideMark/>
          </w:tcPr>
          <w:p>
            <w:pPr>
              <w:spacing w:after="0" w:line="240" w:lineRule="auto"/>
              <w:rPr>
                <w:rFonts w:eastAsia="Times New Roman"/>
                <w:noProof/>
                <w:sz w:val="15"/>
                <w:szCs w:val="15"/>
              </w:rPr>
            </w:pPr>
            <w:r>
              <w:rPr>
                <w:noProof/>
                <w:sz w:val="15"/>
              </w:rPr>
              <w:t>1b</w:t>
            </w:r>
          </w:p>
        </w:tc>
        <w:tc>
          <w:tcPr>
            <w:tcW w:w="280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Cohésion économique, sociale et territoriale</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55 532,2</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46 527,3</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57 192,0</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47 035,4</w:t>
            </w:r>
          </w:p>
        </w:tc>
        <w:tc>
          <w:tcPr>
            <w:tcW w:w="959"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1 659,8</w:t>
            </w:r>
          </w:p>
        </w:tc>
        <w:tc>
          <w:tcPr>
            <w:tcW w:w="959"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508,1</w:t>
            </w:r>
          </w:p>
        </w:tc>
        <w:tc>
          <w:tcPr>
            <w:tcW w:w="77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3,0%</w:t>
            </w:r>
          </w:p>
        </w:tc>
        <w:tc>
          <w:tcPr>
            <w:tcW w:w="77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dont part relevant de la marge globale pour les engagements</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351,2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350,0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Plafond</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55 181,0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56 842,0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Marge</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Investissement pour la croissance et l'emploi</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50 798,0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43 447,4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52 357,5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43 736,6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1 559,5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289,2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0,7%</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Convergence régionale (régions moins développées)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27 012,3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23 387,6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27 875,2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24 042,3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863,0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654,7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2,8%</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Régions en transition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5 738,6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4 040,5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5 848,7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4 370,1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110,1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329,6</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8,2%</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Compétitivité (régions plus développées)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8 426,8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7 394,1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8 648,9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7 441,5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222,1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47,4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2,6%</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0,6%</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Régions ultrapériphériques et à faible densité de population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226,5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169,0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231,0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176,4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4,4%</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Fonds de cohésion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9 393,8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8 456,3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9 753,6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7 706,3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359,8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-750,0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3,8%</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-8,9%</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Mécanisme pour l'interconnexion en Europe (MIE) — Contribution du Fonds de cohésion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1 655,1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625,8</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1 700,4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851,6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45,3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225,8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2,7%</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36,1%</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Coopération territoriale européenne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1 934,3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1 234,7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1 973,0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1 190,6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38,7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-44,1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-3,6%</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Initiative pour l'emploi des jeunes (enveloppe spécifique complémentaire)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350,0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600,0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350,0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631,5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31,5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5,3%</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Assistance technique et actions innovantes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230,3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199,6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239,7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212,7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6,6%</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Fonds européen d’aide aux plus démunis (FEAD)</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556,9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401,4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567,8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401,2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10,9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0,0%</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Projets pilotes et actions préparatoires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18,5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-52,3%</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-39,5%</w:t>
            </w:r>
          </w:p>
        </w:tc>
      </w:tr>
      <w:tr>
        <w:trPr>
          <w:trHeight w:val="255"/>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rPr>
            </w:pPr>
            <w:r>
              <w:rPr>
                <w:b/>
                <w:noProof/>
                <w:sz w:val="15"/>
              </w:rPr>
              <w:t>2. Croissance durable: ressources naturelles</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rPr>
            </w:pPr>
            <w:r>
              <w:rPr>
                <w:b/>
                <w:noProof/>
                <w:sz w:val="16"/>
              </w:rPr>
              <w:t>59 238,6</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rPr>
            </w:pPr>
            <w:r>
              <w:rPr>
                <w:b/>
                <w:noProof/>
                <w:sz w:val="16"/>
              </w:rPr>
              <w:t>56 041,0</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rPr>
            </w:pPr>
            <w:r>
              <w:rPr>
                <w:b/>
                <w:noProof/>
                <w:sz w:val="16"/>
              </w:rPr>
              <w:t>59 642,1</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rPr>
            </w:pPr>
            <w:r>
              <w:rPr>
                <w:b/>
                <w:noProof/>
                <w:sz w:val="16"/>
              </w:rPr>
              <w:t>57 399,9</w:t>
            </w:r>
          </w:p>
        </w:tc>
        <w:tc>
          <w:tcPr>
            <w:tcW w:w="959"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rPr>
            </w:pPr>
            <w:r>
              <w:rPr>
                <w:b/>
                <w:noProof/>
                <w:sz w:val="16"/>
              </w:rPr>
              <w:t>403,5</w:t>
            </w:r>
          </w:p>
        </w:tc>
        <w:tc>
          <w:tcPr>
            <w:tcW w:w="959"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rPr>
            </w:pPr>
            <w:r>
              <w:rPr>
                <w:b/>
                <w:noProof/>
                <w:sz w:val="16"/>
              </w:rPr>
              <w:t>1 358,9</w:t>
            </w:r>
          </w:p>
        </w:tc>
        <w:tc>
          <w:tcPr>
            <w:tcW w:w="77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rPr>
            </w:pPr>
            <w:r>
              <w:rPr>
                <w:b/>
                <w:noProof/>
                <w:sz w:val="16"/>
              </w:rPr>
              <w:t>0,7%</w:t>
            </w:r>
          </w:p>
        </w:tc>
        <w:tc>
          <w:tcPr>
            <w:tcW w:w="77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rPr>
            </w:pPr>
            <w:r>
              <w:rPr>
                <w:b/>
                <w:noProof/>
                <w:sz w:val="16"/>
              </w:rPr>
              <w:t>2,4%</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Plafond</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60 267,0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60 344,0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Marge</w:t>
            </w:r>
          </w:p>
        </w:tc>
        <w:tc>
          <w:tcPr>
            <w:tcW w:w="1016" w:type="dxa"/>
            <w:tcBorders>
              <w:top w:val="nil"/>
              <w:left w:val="nil"/>
              <w:bottom w:val="nil"/>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rPr>
            </w:pPr>
            <w:r>
              <w:rPr>
                <w:b/>
                <w:i/>
                <w:noProof/>
                <w:sz w:val="16"/>
              </w:rPr>
              <w:t>1 028,4</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nil"/>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rPr>
            </w:pPr>
            <w:r>
              <w:rPr>
                <w:b/>
                <w:i/>
                <w:noProof/>
                <w:sz w:val="16"/>
              </w:rPr>
              <w:t>701,9</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r>
      <w:tr>
        <w:trPr>
          <w:trHeight w:val="435"/>
        </w:trPr>
        <w:tc>
          <w:tcPr>
            <w:tcW w:w="309" w:type="dxa"/>
            <w:tcBorders>
              <w:top w:val="single" w:sz="4" w:space="0" w:color="auto"/>
              <w:left w:val="single" w:sz="4" w:space="0" w:color="auto"/>
              <w:bottom w:val="dotted" w:sz="4" w:space="0" w:color="000000"/>
              <w:right w:val="nil"/>
            </w:tcBorders>
            <w:shd w:val="clear" w:color="auto" w:fill="auto"/>
            <w:vAlign w:val="center"/>
            <w:hideMark/>
          </w:tcPr>
          <w:p>
            <w:pPr>
              <w:spacing w:after="0" w:line="240" w:lineRule="auto"/>
              <w:rPr>
                <w:rFonts w:eastAsia="Times New Roman"/>
                <w:b/>
                <w:bCs/>
                <w:noProof/>
                <w:sz w:val="15"/>
                <w:szCs w:val="15"/>
              </w:rPr>
            </w:pPr>
            <w:r>
              <w:rPr>
                <w:b/>
                <w:noProof/>
                <w:sz w:val="15"/>
              </w:rPr>
              <w:t> </w:t>
            </w:r>
          </w:p>
        </w:tc>
        <w:tc>
          <w:tcPr>
            <w:tcW w:w="280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rPr>
            </w:pPr>
            <w:r>
              <w:rPr>
                <w:b/>
                <w:noProof/>
                <w:sz w:val="15"/>
              </w:rPr>
              <w:t>dont: Fonds européen agricole de garantie (FEAGA) — Dépenses relatives au marché et paiements directs</w:t>
            </w:r>
          </w:p>
        </w:tc>
        <w:tc>
          <w:tcPr>
            <w:tcW w:w="101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rPr>
            </w:pPr>
            <w:r>
              <w:rPr>
                <w:b/>
                <w:noProof/>
                <w:sz w:val="16"/>
              </w:rPr>
              <w:t>43 233,1</w:t>
            </w:r>
          </w:p>
        </w:tc>
        <w:tc>
          <w:tcPr>
            <w:tcW w:w="101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rPr>
            </w:pPr>
            <w:r>
              <w:rPr>
                <w:b/>
                <w:noProof/>
                <w:sz w:val="16"/>
              </w:rPr>
              <w:t>43 187,3</w:t>
            </w:r>
          </w:p>
        </w:tc>
        <w:tc>
          <w:tcPr>
            <w:tcW w:w="101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rPr>
            </w:pPr>
            <w:r>
              <w:rPr>
                <w:b/>
                <w:noProof/>
                <w:sz w:val="16"/>
              </w:rPr>
              <w:t>43 191,9</w:t>
            </w:r>
          </w:p>
        </w:tc>
        <w:tc>
          <w:tcPr>
            <w:tcW w:w="101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rPr>
            </w:pPr>
            <w:r>
              <w:rPr>
                <w:b/>
                <w:noProof/>
                <w:sz w:val="16"/>
              </w:rPr>
              <w:t>43 116,4</w:t>
            </w:r>
          </w:p>
        </w:tc>
        <w:tc>
          <w:tcPr>
            <w:tcW w:w="959"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rPr>
            </w:pPr>
            <w:r>
              <w:rPr>
                <w:b/>
                <w:noProof/>
                <w:sz w:val="16"/>
              </w:rPr>
              <w:t>-41,2</w:t>
            </w:r>
          </w:p>
        </w:tc>
        <w:tc>
          <w:tcPr>
            <w:tcW w:w="959"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rPr>
            </w:pPr>
            <w:r>
              <w:rPr>
                <w:b/>
                <w:noProof/>
                <w:sz w:val="16"/>
              </w:rPr>
              <w:t>-70,9</w:t>
            </w:r>
          </w:p>
        </w:tc>
        <w:tc>
          <w:tcPr>
            <w:tcW w:w="77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rPr>
            </w:pPr>
            <w:r>
              <w:rPr>
                <w:b/>
                <w:noProof/>
                <w:sz w:val="16"/>
              </w:rPr>
              <w:t>-0,1%</w:t>
            </w:r>
          </w:p>
        </w:tc>
        <w:tc>
          <w:tcPr>
            <w:tcW w:w="77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rPr>
            </w:pPr>
            <w:r>
              <w:rPr>
                <w:b/>
                <w:noProof/>
                <w:sz w:val="16"/>
              </w:rPr>
              <w:t>-0,2%</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Sous-plafond</w:t>
            </w:r>
          </w:p>
        </w:tc>
        <w:tc>
          <w:tcPr>
            <w:tcW w:w="1016" w:type="dxa"/>
            <w:tcBorders>
              <w:top w:val="nil"/>
              <w:left w:val="nil"/>
              <w:bottom w:val="single" w:sz="4" w:space="0" w:color="auto"/>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44 163,0</w:t>
            </w:r>
          </w:p>
        </w:tc>
        <w:tc>
          <w:tcPr>
            <w:tcW w:w="10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single" w:sz="4" w:space="0" w:color="auto"/>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43 881,0</w:t>
            </w:r>
          </w:p>
        </w:tc>
        <w:tc>
          <w:tcPr>
            <w:tcW w:w="10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single" w:sz="4" w:space="0" w:color="auto"/>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single"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single" w:sz="4" w:space="0" w:color="auto"/>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single"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w:t>
            </w:r>
          </w:p>
        </w:tc>
      </w:tr>
      <w:tr>
        <w:trPr>
          <w:trHeight w:val="450"/>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Fonds européen agricole de garantie (FEAGA) — Dépenses relatives au marché et paiements directs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43 233,1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43 187,3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43 191,9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43 116,4</w:t>
            </w:r>
          </w:p>
        </w:tc>
        <w:tc>
          <w:tcPr>
            <w:tcW w:w="959"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-41,2</w:t>
            </w:r>
          </w:p>
        </w:tc>
        <w:tc>
          <w:tcPr>
            <w:tcW w:w="959"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-70,9</w:t>
            </w:r>
          </w:p>
        </w:tc>
        <w:tc>
          <w:tcPr>
            <w:tcW w:w="77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-0,1%</w:t>
            </w:r>
          </w:p>
        </w:tc>
        <w:tc>
          <w:tcPr>
            <w:tcW w:w="77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-0,2%</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Fonds européen agricole pour le développement rural (Feader)</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14 380,3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11 852,2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14 727,3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13 148,2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346,9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1 296,0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10,9%</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Fonds européen pour les affaires maritimes et la pêche (FEAMP)</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1 027,9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602,8</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1 090,0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712,8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62,1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109,9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18,2%</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Environnement et action pour le climat (LIFE)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522,8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316,1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558,1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341,6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35,3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6,7%</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8,1%</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Projets pilotes et actions préparatoires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15,6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-13,5%</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10,7%</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Organismes décentralisés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58,8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58,8</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61,3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61,3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4,3%</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4,3%</w:t>
            </w:r>
          </w:p>
        </w:tc>
      </w:tr>
      <w:tr>
        <w:trPr>
          <w:trHeight w:val="255"/>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rPr>
            </w:pPr>
            <w:r>
              <w:rPr>
                <w:b/>
                <w:noProof/>
                <w:sz w:val="15"/>
              </w:rPr>
              <w:t>3. Sécurité et citoyenneté</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3 493,2</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2 980,7</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3 786,6</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3 527,4</w:t>
            </w:r>
          </w:p>
        </w:tc>
        <w:tc>
          <w:tcPr>
            <w:tcW w:w="959"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293,4</w:t>
            </w:r>
          </w:p>
        </w:tc>
        <w:tc>
          <w:tcPr>
            <w:tcW w:w="959"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546,7</w:t>
            </w:r>
          </w:p>
        </w:tc>
        <w:tc>
          <w:tcPr>
            <w:tcW w:w="77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8,4%</w:t>
            </w:r>
          </w:p>
        </w:tc>
        <w:tc>
          <w:tcPr>
            <w:tcW w:w="77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18,3%</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dont part relevant de l’instrument de flexibilité</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837,2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985,6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Plafond</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2 656,0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2 801,0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Marge</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Fonds «Asile, migration et intégration»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719,2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594,4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1 120,8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952,6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401,7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358,2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55,9%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60,3%</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Fonds pour la sécurité intérieure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720,0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481,2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533,5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663,7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-186,5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182,5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-25,9%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37,9%</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Systèmes informatiques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26,3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-26,2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-99,6%</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-100,0%</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Justice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47,1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35,9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44,6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38,1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6,3%</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Droits, égalité et citoyenneté</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63,4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46,6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65,7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58,0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24,4%</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Mécanisme de protection civile de l’Union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33,2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34,3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149,6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81,7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116,3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47,4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349,8%</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138,3%</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L’Europe pour les citoyens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27,6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28,6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28,7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29,2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0,6</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2,1%</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Denrées alimentaires et aliments pour animaux</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280,2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248,4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289,7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239,3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-3,7%</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Santé</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66,4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55,9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68,3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61,3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9,6%</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Consommateurs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23,1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29,3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23,6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4,6%</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2,2%</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Europe créative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230,4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180,7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244,8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194,8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6,3%</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7,8%</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Instrument d'aide d'urgence au sein de l'Union (IAU)</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220,6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69,5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-199,8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-151,0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-99,9%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-68,5%</w:t>
            </w:r>
          </w:p>
        </w:tc>
      </w:tr>
      <w:tr>
        <w:trPr>
          <w:trHeight w:val="420"/>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Actions financées dans le cadre des prérogatives de la Commission et des compétences spécifiques conférées à la Commission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98,8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91,7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105,8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99,9</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8,9%</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dont «Actions de communication»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73,4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72,3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77,1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74,0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2,3%</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Projets pilotes et actions préparatoires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12,7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15,1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18,3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Organismes décentralisés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940,1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908,3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1 090,4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997,6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150,3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89,3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16,0%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9,8%</w:t>
            </w:r>
          </w:p>
        </w:tc>
      </w:tr>
      <w:tr>
        <w:trPr>
          <w:trHeight w:val="255"/>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rPr>
            </w:pPr>
            <w:r>
              <w:rPr>
                <w:b/>
                <w:noProof/>
                <w:sz w:val="15"/>
              </w:rPr>
              <w:t>4. L’Europe dans le monde</w:t>
            </w:r>
          </w:p>
        </w:tc>
        <w:tc>
          <w:tcPr>
            <w:tcW w:w="101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10 068,8</w:t>
            </w:r>
          </w:p>
        </w:tc>
        <w:tc>
          <w:tcPr>
            <w:tcW w:w="101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8 906,1</w:t>
            </w:r>
          </w:p>
        </w:tc>
        <w:tc>
          <w:tcPr>
            <w:tcW w:w="101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11 319,3</w:t>
            </w:r>
          </w:p>
        </w:tc>
        <w:tc>
          <w:tcPr>
            <w:tcW w:w="101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9 358,3</w:t>
            </w:r>
          </w:p>
        </w:tc>
        <w:tc>
          <w:tcPr>
            <w:tcW w:w="959"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1 250,4</w:t>
            </w:r>
          </w:p>
        </w:tc>
        <w:tc>
          <w:tcPr>
            <w:tcW w:w="959"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452,2</w:t>
            </w:r>
          </w:p>
        </w:tc>
        <w:tc>
          <w:tcPr>
            <w:tcW w:w="77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12,4%</w:t>
            </w:r>
          </w:p>
        </w:tc>
        <w:tc>
          <w:tcPr>
            <w:tcW w:w="77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5,1%</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dont part relevant de la marge globale pour les engagements</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243,8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1 051,3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Plafond</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9 825,0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10 268,0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Marge</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Instrument d’aide de préadhésion (IAP II)</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2 078,8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1 451,6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2 423,4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1 707,5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344,6</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255,9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16,6%</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17,6%</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Instrument européen de voisinage (IEV)</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2 436,6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2 278,0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2 677,3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2 060,3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240,6</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-217,7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-9,6%</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Instrument de financement de la coopération au développement (ICD)</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2 976,0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2 734,5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3 189,9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2 796,3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213,9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61,8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2,3%</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Instrument de partenariat pour la coopération avec les pays tiers (IP)</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140,2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100,7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154,0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99,6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Instrument européen pour la démocratie et les droits de l’homme (IEDDH)</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192,8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169,3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196,7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159,3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-5,9%</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Instrument contribuant à la stabilité et à la paix (IcSP)</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325,3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376,7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321,3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1,8%</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-1,2%</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Aide humanitaire (HUMA)</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1 085,4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1 095,0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1 651,8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1 603,0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566,4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508,1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52,2%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46,4%</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Politique étrangère et de sécurité commune (PESC)</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328,0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292,0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334,9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305,5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4,6%</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Instrument relatif à la coopération en matière de sûreté nucléaire (ICSN)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33,0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45,5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33,6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41,5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-8,8%</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Assistance macrofinancière (AMF)</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42,1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42,1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27,0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27,0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-15,1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-35,8%</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-35,8%</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Fonds de garantie relatif aux actions extérieures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137,8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137,8</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-137,8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-137,8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-100,0%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-100,0%</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Mécanisme de protection civile de l’Union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16,1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46,1%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33,6%</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Initiative «Volontaires de l’aide de l’UE» (VAUE)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-4,9%</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Fonds européen pour le développement durable (FEDD)</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25,0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25,0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Autres actions et programmes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83,5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74,9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83,6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73,0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-2,6%</w:t>
            </w:r>
          </w:p>
        </w:tc>
      </w:tr>
      <w:tr>
        <w:trPr>
          <w:trHeight w:val="40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Actions financées dans le cadre des prérogatives de la Commission et des compétences spécifiques conférées à la Commission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74,4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67,6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75,5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73,7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1,5%</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9,1%</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Projets pilotes et actions préparatoires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-2,6</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-28,9%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-43,7%</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Organismes décentralisés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2,2%</w:t>
            </w:r>
          </w:p>
        </w:tc>
      </w:tr>
      <w:tr>
        <w:trPr>
          <w:trHeight w:val="255"/>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rPr>
            </w:pPr>
            <w:r>
              <w:rPr>
                <w:b/>
                <w:noProof/>
                <w:sz w:val="15"/>
              </w:rPr>
              <w:t>5. Administration</w:t>
            </w:r>
          </w:p>
        </w:tc>
        <w:tc>
          <w:tcPr>
            <w:tcW w:w="101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9 665,5</w:t>
            </w:r>
          </w:p>
        </w:tc>
        <w:tc>
          <w:tcPr>
            <w:tcW w:w="101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9 666,3</w:t>
            </w:r>
          </w:p>
        </w:tc>
        <w:tc>
          <w:tcPr>
            <w:tcW w:w="101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9 943,0</w:t>
            </w:r>
          </w:p>
        </w:tc>
        <w:tc>
          <w:tcPr>
            <w:tcW w:w="101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9 944,9</w:t>
            </w:r>
          </w:p>
        </w:tc>
        <w:tc>
          <w:tcPr>
            <w:tcW w:w="959"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277,5</w:t>
            </w:r>
          </w:p>
        </w:tc>
        <w:tc>
          <w:tcPr>
            <w:tcW w:w="959"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278,6</w:t>
            </w:r>
          </w:p>
        </w:tc>
        <w:tc>
          <w:tcPr>
            <w:tcW w:w="77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2,9%</w:t>
            </w:r>
          </w:p>
        </w:tc>
        <w:tc>
          <w:tcPr>
            <w:tcW w:w="77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2,9%</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Plafond</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10 346,0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10 786,0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dont part compensée sur la marge pour imprévus</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-318,0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-253,9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Marge</w:t>
            </w:r>
          </w:p>
        </w:tc>
        <w:tc>
          <w:tcPr>
            <w:tcW w:w="1016" w:type="dxa"/>
            <w:tcBorders>
              <w:top w:val="nil"/>
              <w:left w:val="nil"/>
              <w:bottom w:val="nil"/>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rPr>
            </w:pPr>
            <w:r>
              <w:rPr>
                <w:b/>
                <w:i/>
                <w:noProof/>
                <w:sz w:val="16"/>
              </w:rPr>
              <w:t>362,5</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nil"/>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rPr>
            </w:pPr>
            <w:r>
              <w:rPr>
                <w:b/>
                <w:i/>
                <w:noProof/>
                <w:sz w:val="16"/>
              </w:rPr>
              <w:t>589,1</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single" w:sz="4" w:space="0" w:color="auto"/>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dont: dépenses administratives des institutions</w:t>
            </w:r>
          </w:p>
        </w:tc>
        <w:tc>
          <w:tcPr>
            <w:tcW w:w="101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7 579,9</w:t>
            </w:r>
          </w:p>
        </w:tc>
        <w:tc>
          <w:tcPr>
            <w:tcW w:w="101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7 580,7</w:t>
            </w:r>
          </w:p>
        </w:tc>
        <w:tc>
          <w:tcPr>
            <w:tcW w:w="101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7 747,3</w:t>
            </w:r>
          </w:p>
        </w:tc>
        <w:tc>
          <w:tcPr>
            <w:tcW w:w="101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7 749,2</w:t>
            </w:r>
          </w:p>
        </w:tc>
        <w:tc>
          <w:tcPr>
            <w:tcW w:w="959"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167,4</w:t>
            </w:r>
          </w:p>
        </w:tc>
        <w:tc>
          <w:tcPr>
            <w:tcW w:w="959"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168,5</w:t>
            </w:r>
          </w:p>
        </w:tc>
        <w:tc>
          <w:tcPr>
            <w:tcW w:w="77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2,2%</w:t>
            </w:r>
          </w:p>
        </w:tc>
        <w:tc>
          <w:tcPr>
            <w:tcW w:w="77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2,2%</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Sous-plafond</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8 360,0</w:t>
            </w:r>
          </w:p>
        </w:tc>
        <w:tc>
          <w:tcPr>
            <w:tcW w:w="101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8 700,0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dont part compensée sur la marge pour imprévus</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-318,0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-253,9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Marge</w:t>
            </w:r>
          </w:p>
        </w:tc>
        <w:tc>
          <w:tcPr>
            <w:tcW w:w="1016" w:type="dxa"/>
            <w:tcBorders>
              <w:top w:val="nil"/>
              <w:left w:val="nil"/>
              <w:bottom w:val="single" w:sz="4" w:space="0" w:color="auto"/>
              <w:right w:val="single" w:sz="4" w:space="0" w:color="000000"/>
            </w:tcBorders>
            <w:shd w:val="clear" w:color="000000" w:fill="FFFFFF"/>
            <w:vAlign w:val="center"/>
            <w:hideMark/>
          </w:tcPr>
          <w:p>
            <w:pPr>
              <w:spacing w:after="0" w:line="240" w:lineRule="auto"/>
              <w:jc w:val="right"/>
              <w:rPr>
                <w:rFonts w:eastAsia="Times New Roman"/>
                <w:i/>
                <w:iCs/>
                <w:noProof/>
                <w:sz w:val="16"/>
                <w:szCs w:val="16"/>
              </w:rPr>
            </w:pPr>
            <w:r>
              <w:rPr>
                <w:i/>
                <w:noProof/>
                <w:sz w:val="16"/>
              </w:rPr>
              <w:t>462,1</w:t>
            </w:r>
          </w:p>
        </w:tc>
        <w:tc>
          <w:tcPr>
            <w:tcW w:w="10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single" w:sz="4" w:space="0" w:color="auto"/>
              <w:right w:val="single" w:sz="4" w:space="0" w:color="000000"/>
            </w:tcBorders>
            <w:shd w:val="clear" w:color="000000" w:fill="FFFFFF"/>
            <w:vAlign w:val="center"/>
            <w:hideMark/>
          </w:tcPr>
          <w:p>
            <w:pPr>
              <w:spacing w:after="0" w:line="240" w:lineRule="auto"/>
              <w:jc w:val="right"/>
              <w:rPr>
                <w:rFonts w:eastAsia="Times New Roman"/>
                <w:i/>
                <w:iCs/>
                <w:noProof/>
                <w:sz w:val="16"/>
                <w:szCs w:val="16"/>
              </w:rPr>
            </w:pPr>
            <w:r>
              <w:rPr>
                <w:i/>
                <w:noProof/>
                <w:sz w:val="16"/>
              </w:rPr>
              <w:t>698,8</w:t>
            </w:r>
          </w:p>
        </w:tc>
        <w:tc>
          <w:tcPr>
            <w:tcW w:w="10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nil"/>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Pensions et écoles européennes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2 085,6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2 085,6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2 195,7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2 195,7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110,1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110,1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5,3%</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5,3%</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Pensions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1 892,8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1 892,8</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2 003,6</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2 003,6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110,8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110,8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5,9%</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Écoles européennes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192,8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192,8</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192,1</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192,1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-0,4%</w:t>
            </w:r>
          </w:p>
        </w:tc>
      </w:tr>
      <w:tr>
        <w:trPr>
          <w:trHeight w:val="255"/>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Dépenses administratives des institutions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7 579,9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7 580,7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7 747,3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7 749,2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167,4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168,5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2,2%</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Parlement européen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1 950,2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1 950,2</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1 996,4</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1 996,4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46,1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46,1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2,4%</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Conseil européen et Conseil</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572,9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572,9</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581,9</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581,9</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1,6%</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Commission européenne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3 565,5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3 566,3</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3 632,7</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3 634,7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67,2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68,4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Cour de justice de l’Union européenne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410,0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410,0</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429,4</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429,4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4,7%</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4,7%</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Cour des comptes européenne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146,0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146,0</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146,9</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146,9</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0,6%</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0,6%</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Comité économique et social européen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135,6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135,6</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138,5</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138,5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2,1%</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Comité européen des régions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96,1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96,1</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98,8</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98,8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2,8%</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2,8%</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Médiateur européen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10,6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10,6</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11,3</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6,1%</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Contrôleur européen de la protection des données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16,6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15,2%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15,2%</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Service européen pour l’action extérieure</w:t>
            </w:r>
          </w:p>
        </w:tc>
        <w:tc>
          <w:tcPr>
            <w:tcW w:w="101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678,5</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678,5</w:t>
            </w:r>
          </w:p>
        </w:tc>
        <w:tc>
          <w:tcPr>
            <w:tcW w:w="101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694,8</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694,8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16,3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2,4%</w:t>
            </w:r>
          </w:p>
        </w:tc>
      </w:tr>
      <w:tr>
        <w:trPr>
          <w:trHeight w:val="270"/>
        </w:trPr>
        <w:tc>
          <w:tcPr>
            <w:tcW w:w="3115" w:type="dxa"/>
            <w:gridSpan w:val="2"/>
            <w:tcBorders>
              <w:top w:val="single" w:sz="4" w:space="0" w:color="auto"/>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noProof/>
                <w:sz w:val="15"/>
                <w:szCs w:val="15"/>
              </w:rPr>
            </w:pPr>
            <w:r>
              <w:rPr>
                <w:b/>
                <w:noProof/>
                <w:sz w:val="15"/>
              </w:rPr>
              <w:t>Crédits pour les rubriques</w:t>
            </w:r>
          </w:p>
        </w:tc>
        <w:tc>
          <w:tcPr>
            <w:tcW w:w="1016" w:type="dxa"/>
            <w:tcBorders>
              <w:top w:val="single" w:sz="4" w:space="0" w:color="auto"/>
              <w:left w:val="nil"/>
              <w:bottom w:val="dotted" w:sz="4" w:space="0" w:color="000000"/>
              <w:right w:val="single" w:sz="4" w:space="0" w:color="000000"/>
            </w:tcBorders>
            <w:shd w:val="clear" w:color="000000" w:fill="D9D9D9"/>
            <w:hideMark/>
          </w:tcPr>
          <w:p>
            <w:pPr>
              <w:spacing w:after="0" w:line="240" w:lineRule="auto"/>
              <w:jc w:val="right"/>
              <w:rPr>
                <w:rFonts w:eastAsia="Times New Roman"/>
                <w:b/>
                <w:bCs/>
                <w:noProof/>
                <w:sz w:val="16"/>
                <w:szCs w:val="16"/>
              </w:rPr>
            </w:pPr>
            <w:r>
              <w:rPr>
                <w:b/>
                <w:noProof/>
                <w:sz w:val="16"/>
              </w:rPr>
              <w:t>159 998,0</w:t>
            </w:r>
          </w:p>
        </w:tc>
        <w:tc>
          <w:tcPr>
            <w:tcW w:w="1016" w:type="dxa"/>
            <w:tcBorders>
              <w:top w:val="single" w:sz="4" w:space="0" w:color="auto"/>
              <w:left w:val="nil"/>
              <w:bottom w:val="dotted" w:sz="4" w:space="0" w:color="000000"/>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144 216,7</w:t>
            </w:r>
          </w:p>
        </w:tc>
        <w:tc>
          <w:tcPr>
            <w:tcW w:w="1016" w:type="dxa"/>
            <w:tcBorders>
              <w:top w:val="single" w:sz="4" w:space="0" w:color="auto"/>
              <w:left w:val="nil"/>
              <w:bottom w:val="dotted" w:sz="4" w:space="0" w:color="000000"/>
              <w:right w:val="single" w:sz="4" w:space="0" w:color="000000"/>
            </w:tcBorders>
            <w:shd w:val="clear" w:color="000000" w:fill="D9D9D9"/>
            <w:hideMark/>
          </w:tcPr>
          <w:p>
            <w:pPr>
              <w:spacing w:after="0" w:line="240" w:lineRule="auto"/>
              <w:jc w:val="right"/>
              <w:rPr>
                <w:rFonts w:eastAsia="Times New Roman"/>
                <w:b/>
                <w:bCs/>
                <w:noProof/>
                <w:sz w:val="16"/>
                <w:szCs w:val="16"/>
              </w:rPr>
            </w:pPr>
            <w:r>
              <w:rPr>
                <w:b/>
                <w:noProof/>
                <w:sz w:val="16"/>
              </w:rPr>
              <w:t>165 028,4</w:t>
            </w:r>
          </w:p>
        </w:tc>
        <w:tc>
          <w:tcPr>
            <w:tcW w:w="1016" w:type="dxa"/>
            <w:tcBorders>
              <w:top w:val="single" w:sz="4" w:space="0" w:color="auto"/>
              <w:left w:val="nil"/>
              <w:bottom w:val="dotted" w:sz="4" w:space="0" w:color="000000"/>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147 787,4</w:t>
            </w:r>
          </w:p>
        </w:tc>
        <w:tc>
          <w:tcPr>
            <w:tcW w:w="959" w:type="dxa"/>
            <w:tcBorders>
              <w:top w:val="single" w:sz="4" w:space="0" w:color="auto"/>
              <w:left w:val="nil"/>
              <w:bottom w:val="dotted" w:sz="4" w:space="0" w:color="000000"/>
              <w:right w:val="single" w:sz="4" w:space="0" w:color="000000"/>
            </w:tcBorders>
            <w:shd w:val="clear" w:color="000000" w:fill="D9D9D9"/>
            <w:hideMark/>
          </w:tcPr>
          <w:p>
            <w:pPr>
              <w:spacing w:after="0" w:line="240" w:lineRule="auto"/>
              <w:jc w:val="right"/>
              <w:rPr>
                <w:rFonts w:eastAsia="Times New Roman"/>
                <w:b/>
                <w:bCs/>
                <w:noProof/>
                <w:sz w:val="16"/>
                <w:szCs w:val="16"/>
              </w:rPr>
            </w:pPr>
            <w:r>
              <w:rPr>
                <w:b/>
                <w:noProof/>
                <w:sz w:val="16"/>
              </w:rPr>
              <w:t>5 030,4</w:t>
            </w:r>
          </w:p>
        </w:tc>
        <w:tc>
          <w:tcPr>
            <w:tcW w:w="959" w:type="dxa"/>
            <w:tcBorders>
              <w:top w:val="single" w:sz="4" w:space="0" w:color="auto"/>
              <w:left w:val="nil"/>
              <w:bottom w:val="dotted" w:sz="4" w:space="0" w:color="000000"/>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3 570,8</w:t>
            </w:r>
          </w:p>
        </w:tc>
        <w:tc>
          <w:tcPr>
            <w:tcW w:w="776" w:type="dxa"/>
            <w:tcBorders>
              <w:top w:val="single" w:sz="4" w:space="0" w:color="auto"/>
              <w:left w:val="nil"/>
              <w:bottom w:val="dotted" w:sz="4" w:space="0" w:color="000000"/>
              <w:right w:val="single" w:sz="4" w:space="0" w:color="000000"/>
            </w:tcBorders>
            <w:shd w:val="clear" w:color="000000" w:fill="D9D9D9"/>
            <w:hideMark/>
          </w:tcPr>
          <w:p>
            <w:pPr>
              <w:spacing w:after="0" w:line="240" w:lineRule="auto"/>
              <w:jc w:val="right"/>
              <w:rPr>
                <w:rFonts w:eastAsia="Times New Roman"/>
                <w:b/>
                <w:bCs/>
                <w:noProof/>
                <w:sz w:val="16"/>
                <w:szCs w:val="16"/>
              </w:rPr>
            </w:pPr>
            <w:r>
              <w:rPr>
                <w:b/>
                <w:noProof/>
                <w:sz w:val="16"/>
              </w:rPr>
              <w:t>3,1%</w:t>
            </w:r>
          </w:p>
        </w:tc>
        <w:tc>
          <w:tcPr>
            <w:tcW w:w="776" w:type="dxa"/>
            <w:tcBorders>
              <w:top w:val="single" w:sz="4" w:space="0" w:color="auto"/>
              <w:left w:val="nil"/>
              <w:bottom w:val="dotted" w:sz="4" w:space="0" w:color="000000"/>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2,5%</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rPr>
            </w:pPr>
            <w:r>
              <w:rPr>
                <w:b/>
                <w:i/>
                <w:noProof/>
                <w:sz w:val="15"/>
              </w:rPr>
              <w:t>dont part relevant de l’instrument de flexibilité</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837,2</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678,3</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985,6</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909,8</w:t>
            </w:r>
          </w:p>
        </w:tc>
        <w:tc>
          <w:tcPr>
            <w:tcW w:w="959" w:type="dxa"/>
            <w:tcBorders>
              <w:top w:val="nil"/>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rPr>
            </w:pPr>
            <w:r>
              <w:rPr>
                <w:b/>
                <w:i/>
                <w:noProof/>
                <w:sz w:val="15"/>
              </w:rPr>
              <w:t>dont part relevant de la marge globale pour les engagements</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1 355,6</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1 464,7</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rPr>
            </w:pPr>
            <w:r>
              <w:rPr>
                <w:b/>
                <w:i/>
                <w:noProof/>
                <w:sz w:val="15"/>
              </w:rPr>
              <w:t>Plafond</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159 514,0</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154 565,0</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164 123,0</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166 709,0</w:t>
            </w:r>
          </w:p>
        </w:tc>
        <w:tc>
          <w:tcPr>
            <w:tcW w:w="959"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rPr>
            </w:pPr>
            <w:r>
              <w:rPr>
                <w:b/>
                <w:i/>
                <w:noProof/>
                <w:sz w:val="15"/>
              </w:rPr>
              <w:t>dont part compensée sur la marge pour imprévus</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-318,0</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-253,9</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rPr>
            </w:pPr>
            <w:r>
              <w:rPr>
                <w:b/>
                <w:i/>
                <w:noProof/>
                <w:sz w:val="15"/>
              </w:rPr>
              <w:t>Marge</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1 390,9</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11 026,7</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1 291,1</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19 831,4</w:t>
            </w:r>
          </w:p>
        </w:tc>
        <w:tc>
          <w:tcPr>
            <w:tcW w:w="959"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5"/>
                <w:szCs w:val="15"/>
              </w:rPr>
            </w:pPr>
            <w:r>
              <w:rPr>
                <w:b/>
                <w:noProof/>
                <w:sz w:val="15"/>
              </w:rPr>
              <w:t>Crédits en % du RNB (2)</w:t>
            </w:r>
          </w:p>
        </w:tc>
        <w:tc>
          <w:tcPr>
            <w:tcW w:w="1016" w:type="dxa"/>
            <w:tcBorders>
              <w:top w:val="nil"/>
              <w:left w:val="nil"/>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6"/>
                <w:szCs w:val="16"/>
              </w:rPr>
            </w:pPr>
            <w:r>
              <w:rPr>
                <w:b/>
                <w:noProof/>
                <w:sz w:val="16"/>
              </w:rPr>
              <w:t>1,02%</w:t>
            </w: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eastAsia="Times New Roman"/>
                <w:b/>
                <w:bCs/>
                <w:noProof/>
                <w:sz w:val="16"/>
                <w:szCs w:val="16"/>
              </w:rPr>
            </w:pPr>
            <w:r>
              <w:rPr>
                <w:b/>
                <w:noProof/>
                <w:sz w:val="16"/>
              </w:rPr>
              <w:t>0,92%</w:t>
            </w:r>
          </w:p>
        </w:tc>
        <w:tc>
          <w:tcPr>
            <w:tcW w:w="1016" w:type="dxa"/>
            <w:tcBorders>
              <w:top w:val="nil"/>
              <w:left w:val="nil"/>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6"/>
                <w:szCs w:val="16"/>
              </w:rPr>
            </w:pPr>
            <w:r>
              <w:rPr>
                <w:b/>
                <w:noProof/>
                <w:sz w:val="16"/>
              </w:rPr>
              <w:t>1,00%</w:t>
            </w: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eastAsia="Times New Roman"/>
                <w:b/>
                <w:bCs/>
                <w:noProof/>
                <w:sz w:val="16"/>
                <w:szCs w:val="16"/>
              </w:rPr>
            </w:pPr>
            <w:r>
              <w:rPr>
                <w:b/>
                <w:noProof/>
                <w:sz w:val="16"/>
              </w:rPr>
              <w:t>0,90%</w:t>
            </w:r>
          </w:p>
        </w:tc>
        <w:tc>
          <w:tcPr>
            <w:tcW w:w="959" w:type="dxa"/>
            <w:tcBorders>
              <w:top w:val="dotted" w:sz="4" w:space="0" w:color="000000"/>
              <w:left w:val="nil"/>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6"/>
                <w:szCs w:val="16"/>
              </w:rPr>
            </w:pPr>
            <w:r>
              <w:rPr>
                <w:b/>
                <w:noProof/>
                <w:sz w:val="16"/>
              </w:rPr>
              <w:t> </w:t>
            </w:r>
          </w:p>
        </w:tc>
        <w:tc>
          <w:tcPr>
            <w:tcW w:w="959" w:type="dxa"/>
            <w:tcBorders>
              <w:top w:val="dotted" w:sz="4" w:space="0" w:color="000000"/>
              <w:left w:val="nil"/>
              <w:bottom w:val="single" w:sz="4" w:space="0" w:color="auto"/>
              <w:right w:val="single" w:sz="4" w:space="0" w:color="auto"/>
            </w:tcBorders>
            <w:shd w:val="clear" w:color="000000" w:fill="D9D9D9"/>
            <w:vAlign w:val="center"/>
            <w:hideMark/>
          </w:tcPr>
          <w:p>
            <w:pPr>
              <w:spacing w:after="0" w:line="240" w:lineRule="auto"/>
              <w:jc w:val="right"/>
              <w:rPr>
                <w:rFonts w:eastAsia="Times New Roman"/>
                <w:b/>
                <w:bCs/>
                <w:noProof/>
                <w:sz w:val="16"/>
                <w:szCs w:val="16"/>
              </w:rPr>
            </w:pPr>
            <w:r>
              <w:rPr>
                <w:b/>
                <w:noProof/>
                <w:sz w:val="16"/>
              </w:rPr>
              <w:t> </w:t>
            </w:r>
          </w:p>
        </w:tc>
        <w:tc>
          <w:tcPr>
            <w:tcW w:w="776" w:type="dxa"/>
            <w:tcBorders>
              <w:top w:val="dotted" w:sz="4" w:space="0" w:color="000000"/>
              <w:left w:val="nil"/>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6"/>
                <w:szCs w:val="16"/>
              </w:rPr>
            </w:pPr>
            <w:r>
              <w:rPr>
                <w:b/>
                <w:noProof/>
                <w:sz w:val="16"/>
              </w:rPr>
              <w:t> </w:t>
            </w:r>
          </w:p>
        </w:tc>
        <w:tc>
          <w:tcPr>
            <w:tcW w:w="776" w:type="dxa"/>
            <w:tcBorders>
              <w:top w:val="dotted" w:sz="4" w:space="0" w:color="000000"/>
              <w:left w:val="nil"/>
              <w:bottom w:val="single" w:sz="4" w:space="0" w:color="auto"/>
              <w:right w:val="single" w:sz="4" w:space="0" w:color="auto"/>
            </w:tcBorders>
            <w:shd w:val="clear" w:color="000000" w:fill="D9D9D9"/>
            <w:vAlign w:val="center"/>
            <w:hideMark/>
          </w:tcPr>
          <w:p>
            <w:pPr>
              <w:spacing w:after="0" w:line="240" w:lineRule="auto"/>
              <w:jc w:val="right"/>
              <w:rPr>
                <w:rFonts w:eastAsia="Times New Roman"/>
                <w:b/>
                <w:bCs/>
                <w:noProof/>
                <w:sz w:val="16"/>
                <w:szCs w:val="16"/>
              </w:rPr>
            </w:pPr>
            <w:r>
              <w:rPr>
                <w:b/>
                <w:noProof/>
                <w:sz w:val="16"/>
              </w:rPr>
              <w:t> </w:t>
            </w:r>
          </w:p>
        </w:tc>
      </w:tr>
      <w:tr>
        <w:trPr>
          <w:trHeight w:val="270"/>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rPr>
            </w:pPr>
            <w:r>
              <w:rPr>
                <w:b/>
                <w:noProof/>
                <w:sz w:val="15"/>
              </w:rPr>
              <w:t>Autres instruments spéciaux (3)</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698,5</w:t>
            </w:r>
          </w:p>
        </w:tc>
        <w:tc>
          <w:tcPr>
            <w:tcW w:w="101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551,2</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577,2</w:t>
            </w:r>
          </w:p>
        </w:tc>
        <w:tc>
          <w:tcPr>
            <w:tcW w:w="101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411,5</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-121,3</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-139,7</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-17,4%</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-25,3%</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dotted" w:sz="4" w:space="0" w:color="auto"/>
              <w:left w:val="nil"/>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Réserve d’aide d’urgence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344,6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344,6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351,5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351,5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6,9</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dotted" w:sz="4" w:space="0" w:color="auto"/>
              <w:left w:val="nil"/>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Fonds européen d'ajustement à la mondialisation (FEM)</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172,3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175,7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-15,0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-60,0%</w:t>
            </w:r>
          </w:p>
        </w:tc>
      </w:tr>
      <w:tr>
        <w:trPr>
          <w:trHeight w:val="270"/>
        </w:trPr>
        <w:tc>
          <w:tcPr>
            <w:tcW w:w="309" w:type="dxa"/>
            <w:tcBorders>
              <w:top w:val="nil"/>
              <w:left w:val="single" w:sz="4" w:space="0" w:color="auto"/>
              <w:bottom w:val="single" w:sz="4" w:space="0" w:color="auto"/>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dotted" w:sz="4" w:space="0" w:color="auto"/>
              <w:left w:val="nil"/>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Fonds de solidarité de l’UE (FSUE)</w:t>
            </w:r>
          </w:p>
        </w:tc>
        <w:tc>
          <w:tcPr>
            <w:tcW w:w="101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181,6</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181,6</w:t>
            </w:r>
          </w:p>
        </w:tc>
        <w:tc>
          <w:tcPr>
            <w:tcW w:w="101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50,0</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50,0</w:t>
            </w:r>
          </w:p>
        </w:tc>
        <w:tc>
          <w:tcPr>
            <w:tcW w:w="959"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-131,6</w:t>
            </w:r>
          </w:p>
        </w:tc>
        <w:tc>
          <w:tcPr>
            <w:tcW w:w="959"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-131,6</w:t>
            </w:r>
          </w:p>
        </w:tc>
        <w:tc>
          <w:tcPr>
            <w:tcW w:w="77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-72,5%</w:t>
            </w:r>
          </w:p>
        </w:tc>
        <w:tc>
          <w:tcPr>
            <w:tcW w:w="77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-72,5%</w:t>
            </w:r>
          </w:p>
        </w:tc>
      </w:tr>
      <w:tr>
        <w:trPr>
          <w:trHeight w:val="285"/>
        </w:trPr>
        <w:tc>
          <w:tcPr>
            <w:tcW w:w="3115" w:type="dxa"/>
            <w:gridSpan w:val="2"/>
            <w:tcBorders>
              <w:top w:val="single" w:sz="4" w:space="0" w:color="auto"/>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noProof/>
                <w:sz w:val="15"/>
                <w:szCs w:val="15"/>
              </w:rPr>
            </w:pPr>
            <w:r>
              <w:rPr>
                <w:b/>
                <w:noProof/>
                <w:sz w:val="15"/>
              </w:rPr>
              <w:t>Total des crédits</w:t>
            </w:r>
          </w:p>
        </w:tc>
        <w:tc>
          <w:tcPr>
            <w:tcW w:w="1016" w:type="dxa"/>
            <w:tcBorders>
              <w:top w:val="single" w:sz="4" w:space="0" w:color="auto"/>
              <w:left w:val="nil"/>
              <w:bottom w:val="nil"/>
              <w:right w:val="single" w:sz="4" w:space="0" w:color="000000"/>
            </w:tcBorders>
            <w:shd w:val="clear" w:color="000000" w:fill="D9D9D9"/>
            <w:hideMark/>
          </w:tcPr>
          <w:p>
            <w:pPr>
              <w:spacing w:after="0" w:line="240" w:lineRule="auto"/>
              <w:jc w:val="right"/>
              <w:rPr>
                <w:rFonts w:eastAsia="Times New Roman"/>
                <w:b/>
                <w:bCs/>
                <w:noProof/>
                <w:sz w:val="16"/>
                <w:szCs w:val="16"/>
              </w:rPr>
            </w:pPr>
            <w:r>
              <w:rPr>
                <w:b/>
                <w:noProof/>
                <w:sz w:val="16"/>
              </w:rPr>
              <w:t>160 696,5</w:t>
            </w:r>
          </w:p>
        </w:tc>
        <w:tc>
          <w:tcPr>
            <w:tcW w:w="1016" w:type="dxa"/>
            <w:tcBorders>
              <w:top w:val="single" w:sz="4" w:space="0" w:color="auto"/>
              <w:left w:val="nil"/>
              <w:bottom w:val="nil"/>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144 767,9</w:t>
            </w:r>
          </w:p>
        </w:tc>
        <w:tc>
          <w:tcPr>
            <w:tcW w:w="1016" w:type="dxa"/>
            <w:tcBorders>
              <w:top w:val="single" w:sz="4" w:space="0" w:color="auto"/>
              <w:left w:val="nil"/>
              <w:bottom w:val="nil"/>
              <w:right w:val="single" w:sz="4" w:space="0" w:color="000000"/>
            </w:tcBorders>
            <w:shd w:val="clear" w:color="000000" w:fill="D9D9D9"/>
            <w:hideMark/>
          </w:tcPr>
          <w:p>
            <w:pPr>
              <w:spacing w:after="0" w:line="240" w:lineRule="auto"/>
              <w:jc w:val="right"/>
              <w:rPr>
                <w:rFonts w:eastAsia="Times New Roman"/>
                <w:b/>
                <w:bCs/>
                <w:noProof/>
                <w:sz w:val="16"/>
                <w:szCs w:val="16"/>
              </w:rPr>
            </w:pPr>
            <w:r>
              <w:rPr>
                <w:b/>
                <w:noProof/>
                <w:sz w:val="16"/>
              </w:rPr>
              <w:t>165 605,6</w:t>
            </w:r>
          </w:p>
        </w:tc>
        <w:tc>
          <w:tcPr>
            <w:tcW w:w="1016" w:type="dxa"/>
            <w:tcBorders>
              <w:top w:val="single" w:sz="4" w:space="0" w:color="auto"/>
              <w:left w:val="nil"/>
              <w:bottom w:val="nil"/>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148 198,9</w:t>
            </w:r>
          </w:p>
        </w:tc>
        <w:tc>
          <w:tcPr>
            <w:tcW w:w="959" w:type="dxa"/>
            <w:tcBorders>
              <w:top w:val="single" w:sz="4" w:space="0" w:color="auto"/>
              <w:left w:val="nil"/>
              <w:bottom w:val="nil"/>
              <w:right w:val="single" w:sz="4" w:space="0" w:color="000000"/>
            </w:tcBorders>
            <w:shd w:val="clear" w:color="000000" w:fill="D9D9D9"/>
            <w:hideMark/>
          </w:tcPr>
          <w:p>
            <w:pPr>
              <w:spacing w:after="0" w:line="240" w:lineRule="auto"/>
              <w:jc w:val="right"/>
              <w:rPr>
                <w:rFonts w:eastAsia="Times New Roman"/>
                <w:b/>
                <w:bCs/>
                <w:noProof/>
                <w:sz w:val="16"/>
                <w:szCs w:val="16"/>
              </w:rPr>
            </w:pPr>
            <w:r>
              <w:rPr>
                <w:b/>
                <w:noProof/>
                <w:sz w:val="16"/>
              </w:rPr>
              <w:t>4 909,2</w:t>
            </w:r>
          </w:p>
        </w:tc>
        <w:tc>
          <w:tcPr>
            <w:tcW w:w="959" w:type="dxa"/>
            <w:tcBorders>
              <w:top w:val="single" w:sz="4" w:space="0" w:color="auto"/>
              <w:left w:val="nil"/>
              <w:bottom w:val="nil"/>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3 431,0</w:t>
            </w:r>
          </w:p>
        </w:tc>
        <w:tc>
          <w:tcPr>
            <w:tcW w:w="776" w:type="dxa"/>
            <w:tcBorders>
              <w:top w:val="single" w:sz="4" w:space="0" w:color="auto"/>
              <w:left w:val="nil"/>
              <w:bottom w:val="nil"/>
              <w:right w:val="single" w:sz="4" w:space="0" w:color="000000"/>
            </w:tcBorders>
            <w:shd w:val="clear" w:color="000000" w:fill="D9D9D9"/>
            <w:hideMark/>
          </w:tcPr>
          <w:p>
            <w:pPr>
              <w:spacing w:after="0" w:line="240" w:lineRule="auto"/>
              <w:jc w:val="right"/>
              <w:rPr>
                <w:rFonts w:eastAsia="Times New Roman"/>
                <w:b/>
                <w:bCs/>
                <w:noProof/>
                <w:sz w:val="16"/>
                <w:szCs w:val="16"/>
              </w:rPr>
            </w:pPr>
            <w:r>
              <w:rPr>
                <w:b/>
                <w:noProof/>
                <w:sz w:val="16"/>
              </w:rPr>
              <w:t>3,1%</w:t>
            </w:r>
          </w:p>
        </w:tc>
        <w:tc>
          <w:tcPr>
            <w:tcW w:w="776" w:type="dxa"/>
            <w:tcBorders>
              <w:top w:val="single" w:sz="4" w:space="0" w:color="auto"/>
              <w:left w:val="nil"/>
              <w:bottom w:val="nil"/>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2,4%</w:t>
            </w:r>
          </w:p>
        </w:tc>
      </w:tr>
      <w:tr>
        <w:trPr>
          <w:trHeight w:val="270"/>
        </w:trPr>
        <w:tc>
          <w:tcPr>
            <w:tcW w:w="3115" w:type="dxa"/>
            <w:gridSpan w:val="2"/>
            <w:tcBorders>
              <w:top w:val="dotted" w:sz="4" w:space="0" w:color="000000"/>
              <w:left w:val="single" w:sz="4" w:space="0" w:color="auto"/>
              <w:bottom w:val="nil"/>
              <w:right w:val="single" w:sz="4" w:space="0" w:color="000000"/>
            </w:tcBorders>
            <w:shd w:val="clear" w:color="000000" w:fill="D9D9D9"/>
            <w:vAlign w:val="center"/>
            <w:hideMark/>
          </w:tcPr>
          <w:p>
            <w:pPr>
              <w:spacing w:after="0" w:line="240" w:lineRule="auto"/>
              <w:jc w:val="right"/>
              <w:rPr>
                <w:rFonts w:eastAsia="Times New Roman"/>
                <w:b/>
                <w:bCs/>
                <w:noProof/>
                <w:sz w:val="15"/>
                <w:szCs w:val="15"/>
              </w:rPr>
            </w:pPr>
            <w:r>
              <w:rPr>
                <w:b/>
                <w:noProof/>
                <w:sz w:val="15"/>
              </w:rPr>
              <w:t>Crédits en % du RNB (2)</w:t>
            </w:r>
          </w:p>
        </w:tc>
        <w:tc>
          <w:tcPr>
            <w:tcW w:w="101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noProof/>
                <w:sz w:val="16"/>
                <w:szCs w:val="16"/>
              </w:rPr>
            </w:pPr>
            <w:r>
              <w:rPr>
                <w:b/>
                <w:noProof/>
                <w:sz w:val="16"/>
              </w:rPr>
              <w:t>1,02%</w:t>
            </w:r>
          </w:p>
        </w:tc>
        <w:tc>
          <w:tcPr>
            <w:tcW w:w="101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noProof/>
                <w:sz w:val="16"/>
                <w:szCs w:val="16"/>
              </w:rPr>
            </w:pPr>
            <w:r>
              <w:rPr>
                <w:b/>
                <w:noProof/>
                <w:sz w:val="16"/>
              </w:rPr>
              <w:t>0,92%</w:t>
            </w:r>
          </w:p>
        </w:tc>
        <w:tc>
          <w:tcPr>
            <w:tcW w:w="101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noProof/>
                <w:sz w:val="16"/>
                <w:szCs w:val="16"/>
              </w:rPr>
            </w:pPr>
            <w:r>
              <w:rPr>
                <w:b/>
                <w:noProof/>
                <w:sz w:val="16"/>
              </w:rPr>
              <w:t>1,00%</w:t>
            </w:r>
          </w:p>
        </w:tc>
        <w:tc>
          <w:tcPr>
            <w:tcW w:w="101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noProof/>
                <w:sz w:val="16"/>
                <w:szCs w:val="16"/>
              </w:rPr>
            </w:pPr>
            <w:r>
              <w:rPr>
                <w:b/>
                <w:noProof/>
                <w:sz w:val="16"/>
              </w:rPr>
              <w:t>0,90%</w:t>
            </w:r>
          </w:p>
        </w:tc>
        <w:tc>
          <w:tcPr>
            <w:tcW w:w="959"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noProof/>
                <w:sz w:val="16"/>
                <w:szCs w:val="16"/>
              </w:rPr>
            </w:pPr>
            <w:r>
              <w:rPr>
                <w:b/>
                <w:noProof/>
                <w:sz w:val="16"/>
              </w:rPr>
              <w:t> </w:t>
            </w:r>
          </w:p>
        </w:tc>
        <w:tc>
          <w:tcPr>
            <w:tcW w:w="959"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noProof/>
                <w:sz w:val="16"/>
                <w:szCs w:val="16"/>
              </w:rPr>
            </w:pPr>
            <w:r>
              <w:rPr>
                <w:b/>
                <w:noProof/>
                <w:sz w:val="16"/>
              </w:rPr>
              <w:t> </w:t>
            </w:r>
          </w:p>
        </w:tc>
        <w:tc>
          <w:tcPr>
            <w:tcW w:w="77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noProof/>
                <w:sz w:val="16"/>
                <w:szCs w:val="16"/>
              </w:rPr>
            </w:pPr>
            <w:r>
              <w:rPr>
                <w:b/>
                <w:noProof/>
                <w:sz w:val="16"/>
              </w:rPr>
              <w:t> </w:t>
            </w:r>
          </w:p>
        </w:tc>
        <w:tc>
          <w:tcPr>
            <w:tcW w:w="77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noProof/>
                <w:sz w:val="16"/>
                <w:szCs w:val="16"/>
              </w:rPr>
            </w:pPr>
            <w:r>
              <w:rPr>
                <w:b/>
                <w:noProof/>
                <w:sz w:val="16"/>
              </w:rPr>
              <w:t> </w:t>
            </w:r>
          </w:p>
        </w:tc>
      </w:tr>
      <w:tr>
        <w:trPr>
          <w:trHeight w:val="255"/>
        </w:trPr>
        <w:tc>
          <w:tcPr>
            <w:tcW w:w="10649" w:type="dxa"/>
            <w:gridSpan w:val="10"/>
            <w:tcBorders>
              <w:top w:val="single" w:sz="4" w:space="0" w:color="auto"/>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6"/>
                <w:szCs w:val="16"/>
              </w:rPr>
            </w:pPr>
            <w:r>
              <w:rPr>
                <w:noProof/>
                <w:sz w:val="16"/>
              </w:rPr>
              <w:t>(1) Le budget 2018 inclut les budgets rectificatifs nº 1 à nº 5 et le projet de budget rectificatif nº 6.</w:t>
            </w:r>
          </w:p>
        </w:tc>
      </w:tr>
      <w:tr>
        <w:trPr>
          <w:trHeight w:val="255"/>
        </w:trPr>
        <w:tc>
          <w:tcPr>
            <w:tcW w:w="10649" w:type="dxa"/>
            <w:gridSpan w:val="10"/>
            <w:tcBorders>
              <w:top w:val="nil"/>
              <w:left w:val="single" w:sz="4" w:space="0" w:color="auto"/>
              <w:bottom w:val="single" w:sz="4" w:space="0" w:color="auto"/>
              <w:right w:val="single" w:sz="4" w:space="0" w:color="000000"/>
            </w:tcBorders>
            <w:shd w:val="clear" w:color="auto" w:fill="auto"/>
            <w:vAlign w:val="center"/>
            <w:hideMark/>
          </w:tcPr>
          <w:p>
            <w:pPr>
              <w:spacing w:after="0" w:line="240" w:lineRule="auto"/>
              <w:rPr>
                <w:rFonts w:eastAsia="Times New Roman"/>
                <w:noProof/>
                <w:sz w:val="16"/>
                <w:szCs w:val="16"/>
              </w:rPr>
            </w:pPr>
            <w:r>
              <w:rPr>
                <w:noProof/>
                <w:sz w:val="16"/>
              </w:rPr>
              <w:t>(2) Le deuxième projet de budget 2019 repose sur les prévisions du RNB telles qu’elles figurent dans l’ajustement technique du CFP adopté le 23 mai 2018 [COM(2018) 282].</w:t>
            </w:r>
          </w:p>
        </w:tc>
      </w:tr>
    </w:tbl>
    <w:p>
      <w:pPr>
        <w:rPr>
          <w:noProof/>
        </w:rPr>
      </w:pPr>
    </w:p>
    <w:sectPr>
      <w:headerReference w:type="even" r:id="rId35"/>
      <w:headerReference w:type="default" r:id="rId36"/>
      <w:footerReference w:type="even" r:id="rId37"/>
      <w:footerReference w:type="default" r:id="rId38"/>
      <w:headerReference w:type="first" r:id="rId39"/>
      <w:footerReference w:type="first" r:id="rId40"/>
      <w:pgSz w:w="11907" w:h="16839"/>
      <w:pgMar w:top="567" w:right="850" w:bottom="567" w:left="709" w:header="56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OFMKN P+ Adv T T 5843c 571">
    <w:altName w:val="Adv TT 584 3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tabs>
        <w:tab w:val="clear" w:pos="15137"/>
        <w:tab w:val="left" w:pos="4815"/>
        <w:tab w:val="left" w:pos="5565"/>
        <w:tab w:val="right" w:pos="15735"/>
      </w:tabs>
      <w:ind w:left="0"/>
      <w:rPr>
        <w:rFonts w:ascii="Arial" w:hAnsi="Arial" w:cs="Arial"/>
        <w:b/>
        <w:sz w:val="48"/>
      </w:rPr>
    </w:pPr>
    <w:r>
      <w:tab/>
    </w:r>
    <w:r>
      <w:fldChar w:fldCharType="begin"/>
    </w:r>
    <w:r>
      <w:instrText xml:space="preserve"> PAGE  \* MERGEFORMAT </w:instrText>
    </w:r>
    <w:r>
      <w:fldChar w:fldCharType="separate"/>
    </w:r>
    <w:r>
      <w:rPr>
        <w:noProof/>
      </w:rPr>
      <w:t>18</w:t>
    </w:r>
    <w:r>
      <w:fldChar w:fldCharType="end"/>
    </w:r>
    <w:r>
      <w:tab/>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tabs>
        <w:tab w:val="clear" w:pos="15137"/>
        <w:tab w:val="left" w:pos="4815"/>
        <w:tab w:val="left" w:pos="5565"/>
        <w:tab w:val="right" w:pos="15735"/>
      </w:tabs>
      <w:ind w:left="0"/>
      <w:rPr>
        <w:rFonts w:ascii="Arial" w:hAnsi="Arial" w:cs="Arial"/>
        <w:b/>
        <w:sz w:val="48"/>
      </w:rPr>
    </w:pPr>
    <w:r>
      <w:tab/>
    </w:r>
    <w:r>
      <w:fldChar w:fldCharType="begin"/>
    </w:r>
    <w:r>
      <w:instrText xml:space="preserve"> PAGE  \* MERGEFORMAT </w:instrText>
    </w:r>
    <w:r>
      <w:fldChar w:fldCharType="separate"/>
    </w:r>
    <w:r>
      <w:rPr>
        <w:noProof/>
      </w:rPr>
      <w:t>22</w:t>
    </w:r>
    <w:r>
      <w:fldChar w:fldCharType="end"/>
    </w:r>
    <w:r>
      <w:tab/>
    </w:r>
    <w:r>
      <w:tab/>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4533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1"/>
        <w:tab w:val="right" w:pos="9639"/>
        <w:tab w:val="left" w:pos="10065"/>
      </w:tabs>
      <w:ind w:left="0"/>
      <w:rPr>
        <w:rFonts w:ascii="Arial" w:hAnsi="Arial" w:cs="Arial"/>
        <w:b/>
        <w:sz w:val="48"/>
      </w:rPr>
    </w:pPr>
    <w:r>
      <w:tab/>
    </w:r>
    <w:r>
      <w:fldChar w:fldCharType="begin"/>
    </w:r>
    <w:r>
      <w:instrText xml:space="preserve"> PAGE  \* MERGEFORMAT </w:instrText>
    </w:r>
    <w:r>
      <w:fldChar w:fldCharType="separate"/>
    </w:r>
    <w:r>
      <w:rPr>
        <w:noProof/>
      </w:rPr>
      <w:t>3</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nb-NO"/>
        </w:rPr>
      </w:pPr>
      <w:r>
        <w:rPr>
          <w:rStyle w:val="FootnoteReference"/>
        </w:rPr>
        <w:footnoteRef/>
      </w:r>
      <w:r>
        <w:rPr>
          <w:sz w:val="19"/>
          <w:lang w:val="nb-NO"/>
        </w:rPr>
        <w:t xml:space="preserve"> </w:t>
      </w:r>
      <w:r>
        <w:rPr>
          <w:lang w:val="nb-NO"/>
        </w:rPr>
        <w:tab/>
        <w:t>JO L 347 du 20.12.2013.</w:t>
      </w:r>
    </w:p>
  </w:footnote>
  <w:footnote w:id="2">
    <w:p>
      <w:pPr>
        <w:pStyle w:val="FootnoteText"/>
        <w:rPr>
          <w:lang w:val="nb-NO"/>
        </w:rPr>
      </w:pPr>
      <w:r>
        <w:rPr>
          <w:rStyle w:val="FootnoteReference"/>
        </w:rPr>
        <w:footnoteRef/>
      </w:r>
      <w:r>
        <w:rPr>
          <w:lang w:val="nb-NO"/>
        </w:rPr>
        <w:t xml:space="preserve"> </w:t>
      </w:r>
      <w:r>
        <w:rPr>
          <w:lang w:val="nb-NO"/>
        </w:rPr>
        <w:tab/>
        <w:t>JO C 373 du 20.12.2013.</w:t>
      </w:r>
    </w:p>
  </w:footnote>
  <w:footnote w:id="3">
    <w:p>
      <w:pPr>
        <w:pStyle w:val="FootnoteText"/>
        <w:rPr>
          <w:lang w:val="nb-NO"/>
        </w:rPr>
      </w:pPr>
      <w:r>
        <w:rPr>
          <w:rStyle w:val="FootnoteReference"/>
        </w:rPr>
        <w:footnoteRef/>
      </w:r>
      <w:r>
        <w:rPr>
          <w:lang w:val="nb-NO"/>
        </w:rPr>
        <w:t xml:space="preserve"> </w:t>
      </w:r>
      <w:r>
        <w:rPr>
          <w:lang w:val="nb-NO"/>
        </w:rPr>
        <w:tab/>
        <w:t>JO L 160 du 7.6.2014.</w:t>
      </w:r>
    </w:p>
  </w:footnote>
  <w:footnote w:id="4">
    <w:p>
      <w:pPr>
        <w:pStyle w:val="FootnoteText"/>
        <w:ind w:left="709" w:hanging="709"/>
        <w:rPr>
          <w:lang w:val="nb-NO"/>
        </w:rPr>
      </w:pPr>
      <w:r>
        <w:rPr>
          <w:rStyle w:val="FootnoteReference"/>
        </w:rPr>
        <w:footnoteRef/>
      </w:r>
      <w:r>
        <w:rPr>
          <w:sz w:val="19"/>
          <w:lang w:val="nb-NO"/>
        </w:rPr>
        <w:t xml:space="preserve"> </w:t>
      </w:r>
      <w:r>
        <w:rPr>
          <w:lang w:val="nb-NO"/>
        </w:rPr>
        <w:tab/>
        <w:t>JO L 193 du 30.7.2018.</w:t>
      </w:r>
    </w:p>
  </w:footnote>
  <w:footnote w:id="5">
    <w:p>
      <w:pPr>
        <w:pStyle w:val="FootnoteText"/>
        <w:ind w:left="709" w:hanging="709"/>
        <w:rPr>
          <w:lang w:val="nb-NO"/>
        </w:rPr>
      </w:pPr>
      <w:r>
        <w:rPr>
          <w:rStyle w:val="FootnoteReference"/>
        </w:rPr>
        <w:footnoteRef/>
      </w:r>
      <w:r>
        <w:rPr>
          <w:lang w:val="nb-NO"/>
        </w:rPr>
        <w:t xml:space="preserve"> </w:t>
      </w:r>
      <w:r>
        <w:rPr>
          <w:lang w:val="nb-NO"/>
        </w:rPr>
        <w:tab/>
        <w:t>COM(2018) 600.</w:t>
      </w:r>
    </w:p>
  </w:footnote>
  <w:footnote w:id="6">
    <w:p>
      <w:pPr>
        <w:pStyle w:val="FootnoteText"/>
        <w:rPr>
          <w:lang w:val="nb-NO"/>
        </w:rPr>
      </w:pPr>
      <w:r>
        <w:rPr>
          <w:rStyle w:val="FootnoteReference"/>
        </w:rPr>
        <w:footnoteRef/>
      </w:r>
      <w:r>
        <w:rPr>
          <w:lang w:val="nb-NO"/>
        </w:rPr>
        <w:t xml:space="preserve"> </w:t>
      </w:r>
      <w:r>
        <w:rPr>
          <w:lang w:val="nb-NO"/>
        </w:rPr>
        <w:tab/>
        <w:t>11737-C8-0410/2018.</w:t>
      </w:r>
    </w:p>
  </w:footnote>
  <w:footnote w:id="7">
    <w:p>
      <w:pPr>
        <w:pStyle w:val="FootnoteText"/>
        <w:ind w:left="709" w:hanging="709"/>
        <w:rPr>
          <w:lang w:val="nb-NO"/>
        </w:rPr>
      </w:pPr>
      <w:r>
        <w:rPr>
          <w:rStyle w:val="FootnoteReference"/>
        </w:rPr>
        <w:footnoteRef/>
      </w:r>
      <w:r>
        <w:rPr>
          <w:lang w:val="nb-NO"/>
        </w:rPr>
        <w:t xml:space="preserve"> </w:t>
      </w:r>
      <w:r>
        <w:rPr>
          <w:lang w:val="nb-NO"/>
        </w:rPr>
        <w:tab/>
        <w:t>COM(2018) 709.</w:t>
      </w:r>
    </w:p>
  </w:footnote>
  <w:footnote w:id="8">
    <w:p>
      <w:pPr>
        <w:pStyle w:val="FootnoteText"/>
        <w:rPr>
          <w:lang w:val="nb-NO"/>
        </w:rPr>
      </w:pPr>
      <w:r>
        <w:rPr>
          <w:rStyle w:val="FootnoteReference"/>
        </w:rPr>
        <w:footnoteRef/>
      </w:r>
      <w:r>
        <w:rPr>
          <w:lang w:val="nb-NO"/>
        </w:rPr>
        <w:t xml:space="preserve"> </w:t>
      </w:r>
      <w:r>
        <w:rPr>
          <w:lang w:val="nb-NO"/>
        </w:rPr>
        <w:tab/>
        <w:t>P8_TA(2018)404.</w:t>
      </w:r>
    </w:p>
  </w:footnote>
  <w:footnote w:id="9">
    <w:p>
      <w:pPr>
        <w:pStyle w:val="FootnoteText"/>
        <w:ind w:left="709" w:hanging="709"/>
      </w:pPr>
      <w:r>
        <w:rPr>
          <w:rStyle w:val="FootnoteReference"/>
        </w:rPr>
        <w:footnoteRef/>
      </w:r>
      <w:r>
        <w:t xml:space="preserve"> </w:t>
      </w:r>
      <w:r>
        <w:tab/>
        <w:t>COM(2018) 600.</w:t>
      </w:r>
    </w:p>
  </w:footnote>
  <w:footnote w:id="10">
    <w:p>
      <w:pPr>
        <w:pStyle w:val="FootnoteText"/>
      </w:pPr>
      <w:r>
        <w:rPr>
          <w:rStyle w:val="FootnoteReference"/>
        </w:rPr>
        <w:footnoteRef/>
      </w:r>
      <w:r>
        <w:t xml:space="preserve"> </w:t>
      </w:r>
      <w:r>
        <w:tab/>
        <w:t>COM(2018) 704 du 12.10.2018.</w:t>
      </w:r>
    </w:p>
  </w:footnote>
  <w:footnote w:id="11">
    <w:p>
      <w:pPr>
        <w:pStyle w:val="FootnoteText"/>
      </w:pPr>
      <w:r>
        <w:rPr>
          <w:rStyle w:val="FootnoteReference"/>
        </w:rPr>
        <w:footnoteRef/>
      </w:r>
      <w:r>
        <w:t xml:space="preserve"> </w:t>
      </w:r>
      <w:r>
        <w:tab/>
        <w:t>Ce projet de budget rectificatif nº 6/2018 faisait lui aussi partie du «paquet» discuté au sein du comité de conciliation, mais son adoption était prévue pour novembre, afin de permettre la prise en compte des ajustements nécessaires aux ressources propres, notamment en ce qui concerne les soldes TVA et RNB, qui ont une incidence sur les montants à mettre à disposition le premier jour ouvrable de décembre 2018.</w:t>
      </w:r>
    </w:p>
  </w:footnote>
  <w:footnote w:id="12">
    <w:p>
      <w:pPr>
        <w:pStyle w:val="FootnoteText"/>
        <w:ind w:left="709" w:hanging="709"/>
      </w:pPr>
      <w:r>
        <w:rPr>
          <w:rStyle w:val="FootnoteReference"/>
        </w:rPr>
        <w:footnoteRef/>
      </w:r>
      <w:r>
        <w:t xml:space="preserve"> </w:t>
      </w:r>
      <w:r>
        <w:tab/>
        <w:t>COM(2018) 709 du 16.10.2018.</w:t>
      </w:r>
    </w:p>
  </w:footnote>
  <w:footnote w:id="13">
    <w:p>
      <w:pPr>
        <w:pStyle w:val="FootnoteText"/>
      </w:pPr>
      <w:r>
        <w:rPr>
          <w:rStyle w:val="FootnoteReference"/>
        </w:rPr>
        <w:footnoteRef/>
      </w:r>
      <w:r>
        <w:t xml:space="preserve"> </w:t>
      </w:r>
      <w:r>
        <w:tab/>
        <w:t>Les chiffres sont fondés sur l'ajustement technique du cadre financier pour 2019 à l'évolution du RNB, adopté par la Commission le 23 mai 2018 [COM(2018) 282].</w:t>
      </w:r>
    </w:p>
  </w:footnote>
  <w:footnote w:id="14">
    <w:p>
      <w:pPr>
        <w:pStyle w:val="FootnoteText"/>
      </w:pPr>
      <w:r>
        <w:rPr>
          <w:rStyle w:val="FootnoteReference"/>
        </w:rPr>
        <w:footnoteRef/>
      </w:r>
      <w:r>
        <w:t xml:space="preserve"> </w:t>
      </w:r>
      <w:r>
        <w:tab/>
        <w:t>Règlement (UE, Euratom) 2018/1046 du Parlement européen et du Conseil du 18 juillet 2018 relatif aux règles financières applicables au budget général de l’Union (JO L 193 du 30.7.2018, p. 1).</w:t>
      </w:r>
    </w:p>
  </w:footnote>
  <w:footnote w:id="15">
    <w:p>
      <w:pPr>
        <w:pStyle w:val="FootnoteText"/>
      </w:pPr>
      <w:r>
        <w:rPr>
          <w:rStyle w:val="FootnoteReference"/>
        </w:rPr>
        <w:footnoteRef/>
      </w:r>
      <w:r>
        <w:t xml:space="preserve"> </w:t>
      </w:r>
      <w:r>
        <w:tab/>
      </w:r>
      <w:r>
        <w:rPr>
          <w:sz w:val="22"/>
        </w:rPr>
        <w:t>En juin 2018, le Conseil européen a invité la Commission à lancer une nouvelle initiative pilote sur l’innovation radicale pendant la durée d’Horizon 2020 restant à courir. Les conclusions du Conseil sont libellées comme suit:</w:t>
      </w:r>
      <w:r>
        <w:rPr>
          <w:i/>
          <w:sz w:val="22"/>
        </w:rPr>
        <w:t xml:space="preserve"> «Nous avons besoin d'un écosystème de l'innovation qui soit plus solide et inclusif, afin de favoriser l'innovation radicale et créatrice de nouveaux marchés, et d'apporter un soutien global aux entreprises, y compris les PME, présentant un potentiel en matière d'innovation de rupture pour qu'elles réussissent leur entrée sur les marchés mondiaux.»</w:t>
      </w:r>
    </w:p>
  </w:footnote>
  <w:footnote w:id="16">
    <w:p>
      <w:pPr>
        <w:pStyle w:val="FootnoteText"/>
        <w:rPr>
          <w:b/>
        </w:rPr>
      </w:pPr>
      <w:r>
        <w:rPr>
          <w:rStyle w:val="FootnoteReference"/>
        </w:rPr>
        <w:footnoteRef/>
      </w:r>
      <w:r>
        <w:rPr>
          <w:b/>
        </w:rPr>
        <w:t xml:space="preserve"> </w:t>
      </w:r>
      <w:r>
        <w:tab/>
        <w:t>1 emploi AD pour la protection des données et 4 emplois AD pour l’informatique.</w:t>
      </w:r>
    </w:p>
  </w:footnote>
  <w:footnote w:id="17">
    <w:p>
      <w:pPr>
        <w:pStyle w:val="CM1"/>
        <w:spacing w:before="200" w:after="200"/>
        <w:ind w:left="709" w:hanging="709"/>
        <w:jc w:val="both"/>
      </w:pPr>
      <w:r>
        <w:rPr>
          <w:rStyle w:val="FootnoteReference"/>
        </w:rPr>
        <w:footnoteRef/>
      </w:r>
      <w:r>
        <w:t xml:space="preserve"> </w:t>
      </w:r>
      <w:r>
        <w:tab/>
      </w:r>
      <w:r>
        <w:rPr>
          <w:rFonts w:ascii="OFMKN P+ Adv T T 5843c 571" w:hAnsi="OFMKN P+ Adv T T 5843c 571"/>
          <w:color w:val="000000"/>
          <w:sz w:val="19"/>
        </w:rPr>
        <w:t>Proposition de règlement du Conseil, présentée par la Commission le 11 janvier 2018, établissant l’entreprise commune européenne pour le calcul à haute performance [COM(2018)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6FA"/>
    <w:multiLevelType w:val="singleLevel"/>
    <w:tmpl w:val="27AE9642"/>
    <w:name w:val="List Bullet 3__1"/>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
    <w:nsid w:val="0E241B5C"/>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D3869"/>
    <w:multiLevelType w:val="hybridMultilevel"/>
    <w:tmpl w:val="98903D42"/>
    <w:lvl w:ilvl="0" w:tplc="BD18C84A">
      <w:start w:val="1"/>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42455F2"/>
    <w:multiLevelType w:val="multilevel"/>
    <w:tmpl w:val="DEF0557E"/>
    <w:name w:val="List Number"/>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7D21377"/>
    <w:multiLevelType w:val="hybridMultilevel"/>
    <w:tmpl w:val="7A045A96"/>
    <w:lvl w:ilvl="0" w:tplc="BD18C84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4255EB"/>
    <w:multiLevelType w:val="singleLevel"/>
    <w:tmpl w:val="7CF2F350"/>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6">
    <w:nsid w:val="23C31A5C"/>
    <w:multiLevelType w:val="multilevel"/>
    <w:tmpl w:val="F6ACDD2A"/>
    <w:name w:val="List Number 2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85625AC"/>
    <w:multiLevelType w:val="hybridMultilevel"/>
    <w:tmpl w:val="EB0A5F80"/>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2BF6337D"/>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261514"/>
    <w:multiLevelType w:val="hybridMultilevel"/>
    <w:tmpl w:val="83B400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27A2B15"/>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2">
    <w:nsid w:val="330B576B"/>
    <w:multiLevelType w:val="hybridMultilevel"/>
    <w:tmpl w:val="F8BE5B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9041328"/>
    <w:multiLevelType w:val="hybridMultilevel"/>
    <w:tmpl w:val="2CF4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5128B6"/>
    <w:multiLevelType w:val="singleLevel"/>
    <w:tmpl w:val="4F70CA0A"/>
    <w:name w:val="List Number 2"/>
    <w:lvl w:ilvl="0">
      <w:start w:val="1"/>
      <w:numFmt w:val="bullet"/>
      <w:lvlRestart w:val="0"/>
      <w:pStyle w:val="Tiret2"/>
      <w:lvlText w:val="–"/>
      <w:lvlJc w:val="left"/>
      <w:pPr>
        <w:tabs>
          <w:tab w:val="num" w:pos="1984"/>
        </w:tabs>
        <w:ind w:left="1984" w:hanging="567"/>
      </w:pPr>
    </w:lvl>
  </w:abstractNum>
  <w:abstractNum w:abstractNumId="15">
    <w:nsid w:val="3BA736C9"/>
    <w:multiLevelType w:val="singleLevel"/>
    <w:tmpl w:val="F00A6C0C"/>
    <w:lvl w:ilvl="0">
      <w:start w:val="1"/>
      <w:numFmt w:val="bullet"/>
      <w:lvlRestart w:val="0"/>
      <w:pStyle w:val="TOC8"/>
      <w:lvlText w:val="–"/>
      <w:lvlJc w:val="left"/>
      <w:pPr>
        <w:tabs>
          <w:tab w:val="num" w:pos="850"/>
        </w:tabs>
        <w:ind w:left="850" w:hanging="850"/>
      </w:pPr>
    </w:lvl>
  </w:abstractNum>
  <w:abstractNum w:abstractNumId="16">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7">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18">
    <w:nsid w:val="4C1B7A6F"/>
    <w:multiLevelType w:val="singleLevel"/>
    <w:tmpl w:val="0A7CB49A"/>
    <w:name w:val="Default"/>
    <w:lvl w:ilvl="0">
      <w:start w:val="1"/>
      <w:numFmt w:val="bullet"/>
      <w:lvlRestart w:val="0"/>
      <w:pStyle w:val="Tiret4"/>
      <w:lvlText w:val="–"/>
      <w:lvlJc w:val="left"/>
      <w:pPr>
        <w:tabs>
          <w:tab w:val="num" w:pos="3118"/>
        </w:tabs>
        <w:ind w:left="3118" w:hanging="567"/>
      </w:pPr>
    </w:lvl>
  </w:abstractNum>
  <w:abstractNum w:abstractNumId="19">
    <w:nsid w:val="4EAE2E48"/>
    <w:multiLevelType w:val="singleLevel"/>
    <w:tmpl w:val="E16ED7A4"/>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0">
    <w:nsid w:val="515028A9"/>
    <w:multiLevelType w:val="hybridMultilevel"/>
    <w:tmpl w:val="112A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C7760D"/>
    <w:multiLevelType w:val="singleLevel"/>
    <w:tmpl w:val="BB505DFC"/>
    <w:name w:val="Considérant__1"/>
    <w:lvl w:ilvl="0">
      <w:start w:val="1"/>
      <w:numFmt w:val="decimal"/>
      <w:lvlRestart w:val="0"/>
      <w:pStyle w:val="Considrant"/>
      <w:lvlText w:val="(%1)"/>
      <w:lvlJc w:val="left"/>
      <w:pPr>
        <w:tabs>
          <w:tab w:val="num" w:pos="709"/>
        </w:tabs>
        <w:ind w:left="709" w:hanging="709"/>
      </w:pPr>
    </w:lvl>
  </w:abstractNum>
  <w:abstractNum w:abstractNumId="22">
    <w:nsid w:val="537C030B"/>
    <w:multiLevelType w:val="hybridMultilevel"/>
    <w:tmpl w:val="F042C49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53F47367"/>
    <w:multiLevelType w:val="singleLevel"/>
    <w:tmpl w:val="B4E8C9F0"/>
    <w:name w:val="Tiret 0"/>
    <w:lvl w:ilvl="0">
      <w:start w:val="1"/>
      <w:numFmt w:val="bullet"/>
      <w:lvlRestart w:val="0"/>
      <w:pStyle w:val="Tiret1"/>
      <w:lvlText w:val="–"/>
      <w:lvlJc w:val="left"/>
      <w:pPr>
        <w:tabs>
          <w:tab w:val="num" w:pos="1417"/>
        </w:tabs>
        <w:ind w:left="1417" w:hanging="567"/>
      </w:pPr>
    </w:lvl>
  </w:abstractNum>
  <w:abstractNum w:abstractNumId="24">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5">
    <w:nsid w:val="62A8042C"/>
    <w:multiLevelType w:val="singleLevel"/>
    <w:tmpl w:val="CCF20C06"/>
    <w:name w:val="Tiret 3"/>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6">
    <w:nsid w:val="6A6901C1"/>
    <w:multiLevelType w:val="singleLevel"/>
    <w:tmpl w:val="208841AE"/>
    <w:name w:val="Tir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7">
    <w:nsid w:val="6BB41AAC"/>
    <w:multiLevelType w:val="multilevel"/>
    <w:tmpl w:val="DDD265F8"/>
    <w:name w:val="List Number 3__1"/>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BF90535"/>
    <w:multiLevelType w:val="hybridMultilevel"/>
    <w:tmpl w:val="5A14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6E6A1B"/>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399799D"/>
    <w:multiLevelType w:val="multilevel"/>
    <w:tmpl w:val="279E5568"/>
    <w:name w:val="List Number 4__1"/>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2">
    <w:nsid w:val="78C56337"/>
    <w:multiLevelType w:val="multilevel"/>
    <w:tmpl w:val="D57A2C42"/>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C966381"/>
    <w:multiLevelType w:val="multilevel"/>
    <w:tmpl w:val="DCC8806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1"/>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CDA1BA5"/>
    <w:multiLevelType w:val="hybridMultilevel"/>
    <w:tmpl w:val="8A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034250"/>
    <w:multiLevelType w:val="singleLevel"/>
    <w:tmpl w:val="74B6C352"/>
    <w:name w:val="List Bull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7">
    <w:nsid w:val="7D8820A0"/>
    <w:multiLevelType w:val="singleLevel"/>
    <w:tmpl w:val="54F6C7B4"/>
    <w:name w:val="Heading__1"/>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11"/>
  </w:num>
  <w:num w:numId="2">
    <w:abstractNumId w:val="23"/>
  </w:num>
  <w:num w:numId="3">
    <w:abstractNumId w:val="14"/>
  </w:num>
  <w:num w:numId="4">
    <w:abstractNumId w:val="17"/>
  </w:num>
  <w:num w:numId="5">
    <w:abstractNumId w:val="18"/>
  </w:num>
  <w:num w:numId="6">
    <w:abstractNumId w:val="34"/>
  </w:num>
  <w:num w:numId="7">
    <w:abstractNumId w:val="26"/>
  </w:num>
  <w:num w:numId="8">
    <w:abstractNumId w:val="16"/>
  </w:num>
  <w:num w:numId="9">
    <w:abstractNumId w:val="25"/>
  </w:num>
  <w:num w:numId="10">
    <w:abstractNumId w:val="24"/>
  </w:num>
  <w:num w:numId="11">
    <w:abstractNumId w:val="31"/>
  </w:num>
  <w:num w:numId="12">
    <w:abstractNumId w:val="37"/>
  </w:num>
  <w:num w:numId="13">
    <w:abstractNumId w:val="33"/>
  </w:num>
  <w:num w:numId="14">
    <w:abstractNumId w:val="32"/>
  </w:num>
  <w:num w:numId="15">
    <w:abstractNumId w:val="21"/>
  </w:num>
  <w:num w:numId="16">
    <w:abstractNumId w:val="30"/>
  </w:num>
  <w:num w:numId="17">
    <w:abstractNumId w:val="27"/>
  </w:num>
  <w:num w:numId="18">
    <w:abstractNumId w:val="6"/>
  </w:num>
  <w:num w:numId="19">
    <w:abstractNumId w:val="3"/>
  </w:num>
  <w:num w:numId="20">
    <w:abstractNumId w:val="5"/>
  </w:num>
  <w:num w:numId="21">
    <w:abstractNumId w:val="0"/>
  </w:num>
  <w:num w:numId="22">
    <w:abstractNumId w:val="36"/>
  </w:num>
  <w:num w:numId="23">
    <w:abstractNumId w:val="19"/>
  </w:num>
  <w:num w:numId="24">
    <w:abstractNumId w:val="15"/>
  </w:num>
  <w:num w:numId="25">
    <w:abstractNumId w:val="10"/>
  </w:num>
  <w:num w:numId="26">
    <w:abstractNumId w:val="29"/>
  </w:num>
  <w:num w:numId="27">
    <w:abstractNumId w:val="7"/>
  </w:num>
  <w:num w:numId="28">
    <w:abstractNumId w:val="4"/>
  </w:num>
  <w:num w:numId="29">
    <w:abstractNumId w:val="20"/>
  </w:num>
  <w:num w:numId="30">
    <w:abstractNumId w:val="12"/>
  </w:num>
  <w:num w:numId="31">
    <w:abstractNumId w:val="2"/>
  </w:num>
  <w:num w:numId="32">
    <w:abstractNumId w:val="32"/>
  </w:num>
  <w:num w:numId="33">
    <w:abstractNumId w:val="32"/>
  </w:num>
  <w:num w:numId="34">
    <w:abstractNumId w:val="32"/>
  </w:num>
  <w:num w:numId="35">
    <w:abstractNumId w:val="32"/>
  </w:num>
  <w:num w:numId="36">
    <w:abstractNumId w:val="32"/>
  </w:num>
  <w:num w:numId="37">
    <w:abstractNumId w:val="35"/>
  </w:num>
  <w:num w:numId="38">
    <w:abstractNumId w:val="22"/>
  </w:num>
  <w:num w:numId="39">
    <w:abstractNumId w:val="9"/>
  </w:num>
  <w:num w:numId="40">
    <w:abstractNumId w:val="28"/>
  </w:num>
  <w:num w:numId="41">
    <w:abstractNumId w:val="13"/>
  </w:num>
  <w:num w:numId="42">
    <w:abstractNumId w:val="32"/>
  </w:num>
  <w:num w:numId="43">
    <w:abstractNumId w:val="32"/>
  </w:num>
  <w:num w:numId="44">
    <w:abstractNumId w:val="8"/>
  </w:num>
  <w:num w:numId="45">
    <w:abstractNumId w:val="32"/>
  </w:num>
  <w:num w:numId="46">
    <w:abstractNumId w:val="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5AF9B30A-23D1-4881-A5A3-0C274D6A7BE7"/>
    <w:docVar w:name="LW_COVERPAGE_TYPE" w:val="1"/>
    <w:docVar w:name="LW_CROSSREFERENCE" w:val="&lt;UNUSED&gt;"/>
    <w:docVar w:name="LW_DATE.ADOPT.CP_ISODATE" w:val="&lt;EMPTY&gt;"/>
    <w:docVar w:name="LW_DocType" w:val="NORMAL"/>
    <w:docVar w:name="LW_EMISSION" w:val="30.11.2018"/>
    <w:docVar w:name="LW_EMISSION_ISODATE" w:val="2018-11-30"/>
    <w:docVar w:name="LW_EMISSION_LOCATION" w:val="BRX"/>
    <w:docVar w:name="LW_EMISSION_PREFIX" w:val="Bruxelles, le "/>
    <w:docVar w:name="LW_EMISSION_SUFFIX" w:val=" "/>
    <w:docVar w:name="LW_ID_DOCTYPE_NONLW" w:val="CP-035"/>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9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INTRODUCTION GÉNÉRALE"/>
    <w:docVar w:name="LW_TYPE.DOC.CP" w:val="Deuxième PROJET de budget général_x000b_de l'Union européenne_x000b_pour l'exercice 2019"/>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35" w:qFormat="1"/>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imes New Roman" w:hAnsi="Times New Roman"/>
      <w:sz w:val="23"/>
      <w:szCs w:val="22"/>
    </w:rPr>
  </w:style>
  <w:style w:type="paragraph" w:styleId="Heading1">
    <w:name w:val="heading 1"/>
    <w:basedOn w:val="Normal"/>
    <w:next w:val="Text1"/>
    <w:link w:val="Heading1Char"/>
    <w:autoRedefine/>
    <w:uiPriority w:val="99"/>
    <w:qFormat/>
    <w:pPr>
      <w:keepNext/>
      <w:numPr>
        <w:numId w:val="14"/>
      </w:numPr>
      <w:spacing w:before="360" w:after="240" w:line="240" w:lineRule="auto"/>
      <w:jc w:val="both"/>
      <w:outlineLvl w:val="0"/>
    </w:pPr>
    <w:rPr>
      <w:rFonts w:eastAsia="Times New Roman"/>
      <w:b/>
      <w:bCs/>
      <w:smallCaps/>
      <w:sz w:val="24"/>
      <w:szCs w:val="32"/>
    </w:rPr>
  </w:style>
  <w:style w:type="paragraph" w:styleId="Heading2">
    <w:name w:val="heading 2"/>
    <w:basedOn w:val="Normal"/>
    <w:next w:val="Text2"/>
    <w:link w:val="Heading2Char"/>
    <w:autoRedefine/>
    <w:uiPriority w:val="99"/>
    <w:qFormat/>
    <w:pPr>
      <w:keepNext/>
      <w:keepLines/>
      <w:numPr>
        <w:ilvl w:val="1"/>
        <w:numId w:val="14"/>
      </w:numPr>
      <w:spacing w:before="240" w:after="120" w:line="240" w:lineRule="auto"/>
      <w:jc w:val="both"/>
      <w:outlineLvl w:val="1"/>
    </w:pPr>
    <w:rPr>
      <w:rFonts w:eastAsia="Times New Roman"/>
      <w:b/>
      <w:bCs/>
      <w:iCs/>
      <w:sz w:val="24"/>
      <w:szCs w:val="28"/>
    </w:rPr>
  </w:style>
  <w:style w:type="paragraph" w:styleId="Heading3">
    <w:name w:val="heading 3"/>
    <w:basedOn w:val="Normal"/>
    <w:next w:val="Text3"/>
    <w:link w:val="Heading3Char"/>
    <w:uiPriority w:val="99"/>
    <w:qFormat/>
    <w:pPr>
      <w:keepNext/>
      <w:numPr>
        <w:ilvl w:val="2"/>
        <w:numId w:val="14"/>
      </w:numPr>
      <w:spacing w:before="120" w:after="120" w:line="240" w:lineRule="auto"/>
      <w:jc w:val="both"/>
      <w:outlineLvl w:val="2"/>
    </w:pPr>
    <w:rPr>
      <w:rFonts w:eastAsia="Times New Roman"/>
      <w:bCs/>
      <w:i/>
      <w:sz w:val="24"/>
      <w:szCs w:val="26"/>
    </w:rPr>
  </w:style>
  <w:style w:type="paragraph" w:styleId="Heading4">
    <w:name w:val="heading 4"/>
    <w:basedOn w:val="Normal"/>
    <w:next w:val="Text4"/>
    <w:link w:val="Heading4Char"/>
    <w:uiPriority w:val="99"/>
    <w:qFormat/>
    <w:pPr>
      <w:keepNext/>
      <w:numPr>
        <w:ilvl w:val="3"/>
        <w:numId w:val="14"/>
      </w:numPr>
      <w:spacing w:before="120" w:after="120" w:line="240" w:lineRule="auto"/>
      <w:jc w:val="both"/>
      <w:outlineLvl w:val="3"/>
    </w:pPr>
    <w:rPr>
      <w:rFonts w:eastAsia="Times New Roman"/>
      <w:bCs/>
      <w:sz w:val="24"/>
      <w:szCs w:val="28"/>
    </w:rPr>
  </w:style>
  <w:style w:type="paragraph" w:styleId="Heading5">
    <w:name w:val="heading 5"/>
    <w:basedOn w:val="Normal"/>
    <w:next w:val="Normal"/>
    <w:link w:val="Heading5Char"/>
    <w:uiPriority w:val="99"/>
    <w:qFormat/>
    <w:pPr>
      <w:keepNext/>
      <w:tabs>
        <w:tab w:val="num" w:pos="1700"/>
      </w:tabs>
      <w:spacing w:before="120" w:after="120" w:line="240" w:lineRule="auto"/>
      <w:ind w:left="1700" w:hanging="1700"/>
      <w:jc w:val="both"/>
      <w:outlineLvl w:val="4"/>
    </w:pPr>
    <w:rPr>
      <w:rFonts w:eastAsia="Times New Roman"/>
      <w:sz w:val="24"/>
      <w:szCs w:val="24"/>
    </w:rPr>
  </w:style>
  <w:style w:type="paragraph" w:styleId="Heading6">
    <w:name w:val="heading 6"/>
    <w:basedOn w:val="Normal"/>
    <w:next w:val="Normal"/>
    <w:link w:val="Heading6Char"/>
    <w:uiPriority w:val="99"/>
    <w:qFormat/>
    <w:pPr>
      <w:keepNext/>
      <w:tabs>
        <w:tab w:val="num" w:pos="1700"/>
      </w:tabs>
      <w:spacing w:before="120" w:after="120" w:line="240" w:lineRule="auto"/>
      <w:ind w:left="1700" w:hanging="1700"/>
      <w:jc w:val="both"/>
      <w:outlineLvl w:val="5"/>
    </w:pPr>
    <w:rPr>
      <w:rFonts w:eastAsia="Times New Roman"/>
      <w:sz w:val="24"/>
      <w:szCs w:val="24"/>
    </w:rPr>
  </w:style>
  <w:style w:type="paragraph" w:styleId="Heading7">
    <w:name w:val="heading 7"/>
    <w:basedOn w:val="Normal"/>
    <w:next w:val="Normal"/>
    <w:link w:val="Heading7Char"/>
    <w:uiPriority w:val="99"/>
    <w:qFormat/>
    <w:pPr>
      <w:keepNext/>
      <w:tabs>
        <w:tab w:val="num" w:pos="1700"/>
      </w:tabs>
      <w:spacing w:before="120" w:after="120" w:line="240" w:lineRule="auto"/>
      <w:ind w:left="1700" w:hanging="1700"/>
      <w:jc w:val="both"/>
      <w:outlineLvl w:val="6"/>
    </w:pPr>
    <w:rPr>
      <w:rFonts w:eastAsia="Times New Roman"/>
      <w:sz w:val="24"/>
      <w:szCs w:val="24"/>
    </w:rPr>
  </w:style>
  <w:style w:type="paragraph" w:styleId="Heading8">
    <w:name w:val="heading 8"/>
    <w:basedOn w:val="Normal"/>
    <w:next w:val="Normal"/>
    <w:link w:val="Heading8Char"/>
    <w:uiPriority w:val="99"/>
    <w:qFormat/>
    <w:pPr>
      <w:keepNext/>
      <w:tabs>
        <w:tab w:val="num" w:pos="1700"/>
      </w:tabs>
      <w:spacing w:before="120" w:after="120" w:line="240" w:lineRule="auto"/>
      <w:ind w:left="1700" w:hanging="1700"/>
      <w:jc w:val="both"/>
      <w:outlineLvl w:val="7"/>
    </w:pPr>
    <w:rPr>
      <w:rFonts w:eastAsia="Times New Roman"/>
      <w:sz w:val="24"/>
      <w:szCs w:val="24"/>
    </w:rPr>
  </w:style>
  <w:style w:type="paragraph" w:styleId="Heading9">
    <w:name w:val="heading 9"/>
    <w:basedOn w:val="Normal"/>
    <w:next w:val="Normal"/>
    <w:link w:val="Heading9Char"/>
    <w:uiPriority w:val="99"/>
    <w:qFormat/>
    <w:pPr>
      <w:keepNext/>
      <w:tabs>
        <w:tab w:val="num" w:pos="1700"/>
      </w:tabs>
      <w:spacing w:before="120" w:after="120" w:line="240" w:lineRule="auto"/>
      <w:ind w:left="1700" w:hanging="1700"/>
      <w:jc w:val="both"/>
      <w:outlineLvl w:val="8"/>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pPr>
      <w:spacing w:before="120" w:after="120" w:line="240" w:lineRule="auto"/>
      <w:ind w:left="850"/>
      <w:jc w:val="both"/>
    </w:pPr>
    <w:rPr>
      <w:rFonts w:eastAsia="Times New Roman"/>
      <w:sz w:val="24"/>
      <w:szCs w:val="24"/>
    </w:rPr>
  </w:style>
  <w:style w:type="character" w:customStyle="1" w:styleId="Heading1Char">
    <w:name w:val="Heading 1 Char"/>
    <w:link w:val="Heading1"/>
    <w:uiPriority w:val="99"/>
    <w:rPr>
      <w:rFonts w:ascii="Times New Roman" w:eastAsia="Times New Roman" w:hAnsi="Times New Roman"/>
      <w:b/>
      <w:bCs/>
      <w:smallCaps/>
      <w:sz w:val="24"/>
      <w:szCs w:val="32"/>
      <w:lang w:eastAsia="fr-FR"/>
    </w:rPr>
  </w:style>
  <w:style w:type="paragraph" w:customStyle="1" w:styleId="Text2">
    <w:name w:val="Text 2"/>
    <w:basedOn w:val="Normal"/>
    <w:pPr>
      <w:spacing w:before="120" w:after="120" w:line="240" w:lineRule="auto"/>
      <w:ind w:left="850"/>
      <w:jc w:val="both"/>
    </w:pPr>
    <w:rPr>
      <w:rFonts w:eastAsia="Times New Roman"/>
      <w:sz w:val="24"/>
      <w:szCs w:val="24"/>
    </w:rPr>
  </w:style>
  <w:style w:type="character" w:customStyle="1" w:styleId="Heading2Char">
    <w:name w:val="Heading 2 Char"/>
    <w:link w:val="Heading2"/>
    <w:uiPriority w:val="99"/>
    <w:rPr>
      <w:rFonts w:ascii="Times New Roman" w:eastAsia="Times New Roman" w:hAnsi="Times New Roman"/>
      <w:b/>
      <w:bCs/>
      <w:iCs/>
      <w:sz w:val="24"/>
      <w:szCs w:val="28"/>
      <w:lang w:eastAsia="fr-FR"/>
    </w:rPr>
  </w:style>
  <w:style w:type="paragraph" w:customStyle="1" w:styleId="Text3">
    <w:name w:val="Text 3"/>
    <w:basedOn w:val="Normal"/>
    <w:pPr>
      <w:spacing w:before="120" w:after="120" w:line="240" w:lineRule="auto"/>
      <w:ind w:left="850"/>
      <w:jc w:val="both"/>
    </w:pPr>
    <w:rPr>
      <w:rFonts w:eastAsia="Times New Roman"/>
      <w:sz w:val="24"/>
      <w:szCs w:val="24"/>
    </w:rPr>
  </w:style>
  <w:style w:type="character" w:customStyle="1" w:styleId="Heading3Char">
    <w:name w:val="Heading 3 Char"/>
    <w:link w:val="Heading3"/>
    <w:uiPriority w:val="99"/>
    <w:rPr>
      <w:rFonts w:ascii="Times New Roman" w:eastAsia="Times New Roman" w:hAnsi="Times New Roman"/>
      <w:bCs/>
      <w:i/>
      <w:sz w:val="24"/>
      <w:szCs w:val="26"/>
      <w:lang w:eastAsia="fr-FR"/>
    </w:rPr>
  </w:style>
  <w:style w:type="paragraph" w:customStyle="1" w:styleId="Text4">
    <w:name w:val="Text 4"/>
    <w:basedOn w:val="Normal"/>
    <w:pPr>
      <w:spacing w:before="120" w:after="120" w:line="240" w:lineRule="auto"/>
      <w:ind w:left="850"/>
      <w:jc w:val="both"/>
    </w:pPr>
    <w:rPr>
      <w:rFonts w:eastAsia="Times New Roman"/>
      <w:sz w:val="24"/>
      <w:szCs w:val="24"/>
    </w:rPr>
  </w:style>
  <w:style w:type="character" w:customStyle="1" w:styleId="Heading4Char">
    <w:name w:val="Heading 4 Char"/>
    <w:link w:val="Heading4"/>
    <w:uiPriority w:val="99"/>
    <w:rPr>
      <w:rFonts w:ascii="Times New Roman" w:eastAsia="Times New Roman" w:hAnsi="Times New Roman"/>
      <w:bCs/>
      <w:sz w:val="24"/>
      <w:szCs w:val="28"/>
      <w:lang w:eastAsia="fr-FR"/>
    </w:rPr>
  </w:style>
  <w:style w:type="character" w:customStyle="1" w:styleId="Heading5Char">
    <w:name w:val="Heading 5 Char"/>
    <w:link w:val="Heading5"/>
    <w:uiPriority w:val="99"/>
    <w:rPr>
      <w:rFonts w:ascii="Times New Roman" w:eastAsia="Times New Roman" w:hAnsi="Times New Roman" w:cs="Times New Roman"/>
      <w:sz w:val="24"/>
      <w:szCs w:val="24"/>
      <w:lang w:val="fr-FR" w:eastAsia="fr-FR"/>
    </w:rPr>
  </w:style>
  <w:style w:type="character" w:customStyle="1" w:styleId="Heading6Char">
    <w:name w:val="Heading 6 Char"/>
    <w:link w:val="Heading6"/>
    <w:uiPriority w:val="99"/>
    <w:rPr>
      <w:rFonts w:ascii="Times New Roman" w:eastAsia="Times New Roman" w:hAnsi="Times New Roman" w:cs="Times New Roman"/>
      <w:sz w:val="24"/>
      <w:szCs w:val="24"/>
      <w:lang w:val="fr-FR" w:eastAsia="fr-FR"/>
    </w:rPr>
  </w:style>
  <w:style w:type="character" w:customStyle="1" w:styleId="Heading7Char">
    <w:name w:val="Heading 7 Char"/>
    <w:link w:val="Heading7"/>
    <w:uiPriority w:val="99"/>
    <w:rPr>
      <w:rFonts w:ascii="Times New Roman" w:eastAsia="Times New Roman" w:hAnsi="Times New Roman" w:cs="Times New Roman"/>
      <w:sz w:val="24"/>
      <w:szCs w:val="24"/>
      <w:lang w:val="fr-FR" w:eastAsia="fr-FR"/>
    </w:rPr>
  </w:style>
  <w:style w:type="character" w:customStyle="1" w:styleId="Heading8Char">
    <w:name w:val="Heading 8 Char"/>
    <w:link w:val="Heading8"/>
    <w:uiPriority w:val="99"/>
    <w:rPr>
      <w:rFonts w:ascii="Times New Roman" w:eastAsia="Times New Roman" w:hAnsi="Times New Roman" w:cs="Times New Roman"/>
      <w:sz w:val="24"/>
      <w:szCs w:val="24"/>
      <w:lang w:val="fr-FR" w:eastAsia="fr-FR"/>
    </w:rPr>
  </w:style>
  <w:style w:type="character" w:customStyle="1" w:styleId="Heading9Char">
    <w:name w:val="Heading 9 Char"/>
    <w:link w:val="Heading9"/>
    <w:uiPriority w:val="99"/>
    <w:rPr>
      <w:rFonts w:ascii="Times New Roman" w:eastAsia="Times New Roman" w:hAnsi="Times New Roman" w:cs="Times New Roman"/>
      <w:sz w:val="24"/>
      <w:szCs w:val="24"/>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eastAsia="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heme="minorHAnsi"/>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eastAsiaTheme="minorHAnsi"/>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
    <w:basedOn w:val="Normal"/>
    <w:link w:val="FootnoteTextChar"/>
    <w:uiPriority w:val="99"/>
    <w:qFormat/>
    <w:pPr>
      <w:spacing w:after="0" w:line="240" w:lineRule="auto"/>
      <w:ind w:left="720" w:hanging="720"/>
      <w:jc w:val="both"/>
    </w:pPr>
    <w:rPr>
      <w:rFonts w:eastAsia="Times New Roman"/>
      <w:sz w:val="20"/>
      <w:szCs w:val="20"/>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
    <w:link w:val="FootnoteText"/>
    <w:uiPriority w:val="99"/>
    <w:rPr>
      <w:rFonts w:ascii="Times New Roman" w:eastAsia="Times New Roman" w:hAnsi="Times New Roman" w:cs="Times New Roman"/>
      <w:sz w:val="20"/>
      <w:szCs w:val="20"/>
      <w:lang w:val="fr-FR" w:eastAsia="fr-FR"/>
    </w:rPr>
  </w:style>
  <w:style w:type="paragraph" w:styleId="ListBullet">
    <w:name w:val="List Bullet"/>
    <w:basedOn w:val="Normal"/>
    <w:pPr>
      <w:numPr>
        <w:numId w:val="23"/>
      </w:numPr>
      <w:spacing w:before="120" w:after="120" w:line="240" w:lineRule="auto"/>
      <w:jc w:val="both"/>
    </w:pPr>
    <w:rPr>
      <w:rFonts w:eastAsia="Times New Roman"/>
      <w:sz w:val="24"/>
      <w:szCs w:val="24"/>
    </w:rPr>
  </w:style>
  <w:style w:type="paragraph" w:styleId="ListBullet2">
    <w:name w:val="List Bullet 2"/>
    <w:basedOn w:val="Normal"/>
    <w:pPr>
      <w:numPr>
        <w:numId w:val="22"/>
      </w:numPr>
      <w:spacing w:before="120" w:after="120" w:line="240" w:lineRule="auto"/>
      <w:jc w:val="both"/>
    </w:pPr>
    <w:rPr>
      <w:rFonts w:eastAsia="Times New Roman"/>
      <w:sz w:val="24"/>
      <w:szCs w:val="24"/>
    </w:rPr>
  </w:style>
  <w:style w:type="paragraph" w:styleId="ListBullet3">
    <w:name w:val="List Bullet 3"/>
    <w:basedOn w:val="Normal"/>
    <w:pPr>
      <w:numPr>
        <w:numId w:val="21"/>
      </w:numPr>
      <w:spacing w:before="120" w:after="120" w:line="240" w:lineRule="auto"/>
      <w:jc w:val="both"/>
    </w:pPr>
    <w:rPr>
      <w:rFonts w:eastAsia="Times New Roman"/>
      <w:sz w:val="24"/>
      <w:szCs w:val="24"/>
    </w:rPr>
  </w:style>
  <w:style w:type="paragraph" w:styleId="ListBullet4">
    <w:name w:val="List Bullet 4"/>
    <w:basedOn w:val="Normal"/>
    <w:pPr>
      <w:numPr>
        <w:numId w:val="20"/>
      </w:numPr>
      <w:spacing w:before="120" w:after="120" w:line="240" w:lineRule="auto"/>
      <w:jc w:val="both"/>
    </w:pPr>
    <w:rPr>
      <w:rFonts w:eastAsia="Times New Roman"/>
      <w:sz w:val="24"/>
      <w:szCs w:val="24"/>
    </w:rPr>
  </w:style>
  <w:style w:type="paragraph" w:styleId="ListNumber">
    <w:name w:val="List Number"/>
    <w:basedOn w:val="Normal"/>
    <w:pPr>
      <w:numPr>
        <w:numId w:val="19"/>
      </w:numPr>
      <w:spacing w:before="120" w:after="120" w:line="240" w:lineRule="auto"/>
      <w:jc w:val="both"/>
    </w:pPr>
    <w:rPr>
      <w:rFonts w:eastAsia="Times New Roman"/>
      <w:sz w:val="24"/>
      <w:szCs w:val="24"/>
    </w:rPr>
  </w:style>
  <w:style w:type="paragraph" w:styleId="ListNumber2">
    <w:name w:val="List Number 2"/>
    <w:basedOn w:val="Normal"/>
    <w:pPr>
      <w:numPr>
        <w:numId w:val="18"/>
      </w:numPr>
      <w:spacing w:before="120" w:after="120" w:line="240" w:lineRule="auto"/>
      <w:jc w:val="both"/>
    </w:pPr>
    <w:rPr>
      <w:rFonts w:eastAsia="Times New Roman"/>
      <w:sz w:val="24"/>
      <w:szCs w:val="24"/>
    </w:rPr>
  </w:style>
  <w:style w:type="paragraph" w:styleId="ListNumber3">
    <w:name w:val="List Number 3"/>
    <w:basedOn w:val="Normal"/>
    <w:pPr>
      <w:numPr>
        <w:numId w:val="17"/>
      </w:numPr>
      <w:spacing w:before="120" w:after="120" w:line="240" w:lineRule="auto"/>
      <w:jc w:val="both"/>
    </w:pPr>
    <w:rPr>
      <w:rFonts w:eastAsia="Times New Roman"/>
      <w:sz w:val="24"/>
      <w:szCs w:val="24"/>
    </w:rPr>
  </w:style>
  <w:style w:type="paragraph" w:styleId="ListNumber4">
    <w:name w:val="List Number 4"/>
    <w:basedOn w:val="Normal"/>
    <w:pPr>
      <w:numPr>
        <w:numId w:val="16"/>
      </w:numPr>
      <w:spacing w:before="120" w:after="120" w:line="240" w:lineRule="auto"/>
      <w:jc w:val="both"/>
    </w:pPr>
    <w:rPr>
      <w:rFonts w:eastAsia="Times New Roman"/>
      <w:sz w:val="24"/>
      <w:szCs w:val="24"/>
    </w:rPr>
  </w:style>
  <w:style w:type="paragraph" w:styleId="TOC1">
    <w:name w:val="toc 1"/>
    <w:basedOn w:val="Normal"/>
    <w:next w:val="Normal"/>
    <w:uiPriority w:val="39"/>
    <w:pPr>
      <w:spacing w:before="120" w:after="120" w:line="240" w:lineRule="auto"/>
    </w:pPr>
    <w:rPr>
      <w:rFonts w:ascii="Calibri" w:eastAsia="Times New Roman" w:hAnsi="Calibri" w:cs="Calibri"/>
      <w:b/>
      <w:bCs/>
      <w:caps/>
      <w:sz w:val="20"/>
      <w:szCs w:val="20"/>
    </w:rPr>
  </w:style>
  <w:style w:type="paragraph" w:styleId="TOC2">
    <w:name w:val="toc 2"/>
    <w:basedOn w:val="Normal"/>
    <w:next w:val="Normal"/>
    <w:uiPriority w:val="39"/>
    <w:pPr>
      <w:spacing w:after="0" w:line="240" w:lineRule="auto"/>
      <w:ind w:left="240"/>
    </w:pPr>
    <w:rPr>
      <w:rFonts w:ascii="Calibri" w:eastAsia="Times New Roman" w:hAnsi="Calibri" w:cs="Calibri"/>
      <w:smallCaps/>
      <w:sz w:val="20"/>
      <w:szCs w:val="20"/>
    </w:rPr>
  </w:style>
  <w:style w:type="paragraph" w:styleId="TOC3">
    <w:name w:val="toc 3"/>
    <w:basedOn w:val="Normal"/>
    <w:next w:val="Normal"/>
    <w:uiPriority w:val="39"/>
    <w:pPr>
      <w:spacing w:after="0" w:line="240" w:lineRule="auto"/>
      <w:ind w:left="480"/>
    </w:pPr>
    <w:rPr>
      <w:rFonts w:ascii="Calibri" w:eastAsia="Times New Roman" w:hAnsi="Calibri" w:cs="Calibri"/>
      <w:i/>
      <w:iCs/>
      <w:sz w:val="20"/>
      <w:szCs w:val="20"/>
    </w:rPr>
  </w:style>
  <w:style w:type="paragraph" w:styleId="TOC4">
    <w:name w:val="toc 4"/>
    <w:basedOn w:val="Normal"/>
    <w:next w:val="Normal"/>
    <w:uiPriority w:val="99"/>
    <w:semiHidden/>
    <w:pPr>
      <w:spacing w:after="0" w:line="240" w:lineRule="auto"/>
      <w:ind w:left="720"/>
    </w:pPr>
    <w:rPr>
      <w:rFonts w:ascii="Calibri" w:eastAsia="Times New Roman" w:hAnsi="Calibri" w:cs="Calibri"/>
      <w:sz w:val="18"/>
      <w:szCs w:val="18"/>
    </w:rPr>
  </w:style>
  <w:style w:type="paragraph" w:styleId="TOC5">
    <w:name w:val="toc 5"/>
    <w:basedOn w:val="Normal"/>
    <w:next w:val="Normal"/>
    <w:semiHidden/>
    <w:pPr>
      <w:spacing w:after="0" w:line="240" w:lineRule="auto"/>
      <w:ind w:left="960"/>
    </w:pPr>
    <w:rPr>
      <w:rFonts w:ascii="Calibri" w:eastAsia="Times New Roman" w:hAnsi="Calibri" w:cs="Calibri"/>
      <w:sz w:val="18"/>
      <w:szCs w:val="18"/>
    </w:rPr>
  </w:style>
  <w:style w:type="paragraph" w:styleId="TOC6">
    <w:name w:val="toc 6"/>
    <w:basedOn w:val="Normal"/>
    <w:next w:val="Normal"/>
    <w:semiHidden/>
    <w:pPr>
      <w:spacing w:after="0" w:line="240" w:lineRule="auto"/>
      <w:ind w:left="1200"/>
    </w:pPr>
    <w:rPr>
      <w:rFonts w:ascii="Calibri" w:eastAsia="Times New Roman" w:hAnsi="Calibri" w:cs="Calibri"/>
      <w:sz w:val="18"/>
      <w:szCs w:val="18"/>
    </w:rPr>
  </w:style>
  <w:style w:type="paragraph" w:styleId="TOC7">
    <w:name w:val="toc 7"/>
    <w:basedOn w:val="Normal"/>
    <w:next w:val="Normal"/>
    <w:semiHidden/>
    <w:pPr>
      <w:spacing w:after="0" w:line="240" w:lineRule="auto"/>
      <w:ind w:left="1440"/>
    </w:pPr>
    <w:rPr>
      <w:rFonts w:ascii="Calibri" w:eastAsia="Times New Roman" w:hAnsi="Calibri" w:cs="Calibri"/>
      <w:sz w:val="18"/>
      <w:szCs w:val="18"/>
    </w:rPr>
  </w:style>
  <w:style w:type="paragraph" w:styleId="TOC8">
    <w:name w:val="toc 8"/>
    <w:basedOn w:val="Normal"/>
    <w:next w:val="Normal"/>
    <w:semiHidden/>
    <w:pPr>
      <w:numPr>
        <w:numId w:val="24"/>
      </w:numPr>
      <w:tabs>
        <w:tab w:val="clear" w:pos="850"/>
      </w:tabs>
      <w:spacing w:after="0" w:line="240" w:lineRule="auto"/>
      <w:ind w:left="1680" w:firstLine="0"/>
    </w:pPr>
    <w:rPr>
      <w:rFonts w:ascii="Calibri" w:eastAsia="Times New Roman" w:hAnsi="Calibri" w:cs="Calibri"/>
      <w:sz w:val="18"/>
      <w:szCs w:val="18"/>
    </w:rPr>
  </w:style>
  <w:style w:type="paragraph" w:styleId="TOC9">
    <w:name w:val="toc 9"/>
    <w:basedOn w:val="Normal"/>
    <w:next w:val="Normal"/>
    <w:semiHidden/>
    <w:pPr>
      <w:spacing w:after="0" w:line="240" w:lineRule="auto"/>
      <w:ind w:left="1920"/>
    </w:pPr>
    <w:rPr>
      <w:rFonts w:ascii="Calibri" w:eastAsia="Times New Roman" w:hAnsi="Calibri" w:cs="Calibri"/>
      <w:sz w:val="18"/>
      <w:szCs w:val="18"/>
    </w:rPr>
  </w:style>
  <w:style w:type="paragraph" w:customStyle="1" w:styleId="HeaderLandscape">
    <w:name w:val="HeaderLandscape"/>
    <w:basedOn w:val="Normal"/>
    <w:pPr>
      <w:tabs>
        <w:tab w:val="center" w:pos="7285"/>
        <w:tab w:val="right" w:pos="14003"/>
      </w:tabs>
      <w:spacing w:after="120" w:line="240" w:lineRule="auto"/>
      <w:jc w:val="both"/>
    </w:pPr>
    <w:rPr>
      <w:rFonts w:eastAsiaTheme="minorHAnsi"/>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sz w:val="24"/>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qFormat/>
    <w:rPr>
      <w:rFonts w:cs="Times New Roman"/>
      <w:vertAlign w:val="superscript"/>
    </w:rPr>
  </w:style>
  <w:style w:type="paragraph" w:customStyle="1" w:styleId="NormalCentered">
    <w:name w:val="Normal Centered"/>
    <w:basedOn w:val="Normal"/>
    <w:uiPriority w:val="99"/>
    <w:pPr>
      <w:spacing w:before="120" w:after="120" w:line="240" w:lineRule="auto"/>
      <w:jc w:val="center"/>
    </w:pPr>
    <w:rPr>
      <w:rFonts w:eastAsia="Times New Roman"/>
      <w:sz w:val="24"/>
      <w:szCs w:val="24"/>
    </w:rPr>
  </w:style>
  <w:style w:type="paragraph" w:customStyle="1" w:styleId="NormalLeft">
    <w:name w:val="Normal Left"/>
    <w:basedOn w:val="Normal"/>
    <w:uiPriority w:val="99"/>
    <w:pPr>
      <w:spacing w:before="120" w:after="120" w:line="240" w:lineRule="auto"/>
    </w:pPr>
    <w:rPr>
      <w:rFonts w:eastAsia="Times New Roman"/>
      <w:sz w:val="24"/>
      <w:szCs w:val="24"/>
    </w:rPr>
  </w:style>
  <w:style w:type="paragraph" w:customStyle="1" w:styleId="NormalRight">
    <w:name w:val="Normal Right"/>
    <w:basedOn w:val="Normal"/>
    <w:uiPriority w:val="99"/>
    <w:pPr>
      <w:spacing w:before="120" w:after="120" w:line="240" w:lineRule="auto"/>
      <w:jc w:val="right"/>
    </w:pPr>
    <w:rPr>
      <w:rFonts w:eastAsia="Times New Roman"/>
      <w:sz w:val="24"/>
      <w:szCs w:val="24"/>
    </w:rPr>
  </w:style>
  <w:style w:type="paragraph" w:customStyle="1" w:styleId="QuotedText">
    <w:name w:val="Quoted Text"/>
    <w:basedOn w:val="Normal"/>
    <w:pPr>
      <w:spacing w:before="120" w:after="120" w:line="240" w:lineRule="auto"/>
      <w:ind w:left="1417"/>
      <w:jc w:val="both"/>
    </w:pPr>
    <w:rPr>
      <w:rFonts w:eastAsia="Times New Roman"/>
      <w:sz w:val="24"/>
      <w:szCs w:val="24"/>
    </w:rPr>
  </w:style>
  <w:style w:type="paragraph" w:customStyle="1" w:styleId="Point0">
    <w:name w:val="Point 0"/>
    <w:basedOn w:val="Normal"/>
    <w:uiPriority w:val="99"/>
    <w:pPr>
      <w:spacing w:before="120" w:after="120" w:line="240" w:lineRule="auto"/>
      <w:ind w:left="850" w:hanging="850"/>
      <w:jc w:val="both"/>
    </w:pPr>
    <w:rPr>
      <w:rFonts w:eastAsia="Times New Roman"/>
      <w:sz w:val="24"/>
      <w:szCs w:val="24"/>
    </w:rPr>
  </w:style>
  <w:style w:type="paragraph" w:customStyle="1" w:styleId="Point1">
    <w:name w:val="Point 1"/>
    <w:basedOn w:val="Normal"/>
    <w:uiPriority w:val="99"/>
    <w:pPr>
      <w:spacing w:before="120" w:after="120" w:line="240" w:lineRule="auto"/>
      <w:ind w:left="1417" w:hanging="567"/>
      <w:jc w:val="both"/>
    </w:pPr>
    <w:rPr>
      <w:rFonts w:eastAsia="Times New Roman"/>
      <w:sz w:val="24"/>
      <w:szCs w:val="24"/>
    </w:rPr>
  </w:style>
  <w:style w:type="paragraph" w:customStyle="1" w:styleId="Point2">
    <w:name w:val="Point 2"/>
    <w:basedOn w:val="Normal"/>
    <w:uiPriority w:val="99"/>
    <w:pPr>
      <w:spacing w:before="120" w:after="120" w:line="240" w:lineRule="auto"/>
      <w:ind w:left="1984" w:hanging="567"/>
      <w:jc w:val="both"/>
    </w:pPr>
    <w:rPr>
      <w:rFonts w:eastAsia="Times New Roman"/>
      <w:sz w:val="24"/>
      <w:szCs w:val="24"/>
    </w:rPr>
  </w:style>
  <w:style w:type="paragraph" w:customStyle="1" w:styleId="Point3">
    <w:name w:val="Point 3"/>
    <w:basedOn w:val="Normal"/>
    <w:uiPriority w:val="99"/>
    <w:pPr>
      <w:spacing w:before="120" w:after="120" w:line="240" w:lineRule="auto"/>
      <w:ind w:left="2551" w:hanging="567"/>
      <w:jc w:val="both"/>
    </w:pPr>
    <w:rPr>
      <w:rFonts w:eastAsia="Times New Roman"/>
      <w:sz w:val="24"/>
      <w:szCs w:val="24"/>
    </w:rPr>
  </w:style>
  <w:style w:type="paragraph" w:customStyle="1" w:styleId="Point4">
    <w:name w:val="Point 4"/>
    <w:basedOn w:val="Normal"/>
    <w:uiPriority w:val="99"/>
    <w:pPr>
      <w:spacing w:before="120" w:after="120" w:line="240" w:lineRule="auto"/>
      <w:ind w:left="3118" w:hanging="567"/>
      <w:jc w:val="both"/>
    </w:pPr>
    <w:rPr>
      <w:rFonts w:eastAsia="Times New Roman"/>
      <w:sz w:val="24"/>
      <w:szCs w:val="24"/>
    </w:rPr>
  </w:style>
  <w:style w:type="paragraph" w:customStyle="1" w:styleId="Tiret0">
    <w:name w:val="Tiret 0"/>
    <w:basedOn w:val="Point0"/>
    <w:pPr>
      <w:numPr>
        <w:numId w:val="1"/>
      </w:numPr>
    </w:pPr>
  </w:style>
  <w:style w:type="paragraph" w:customStyle="1" w:styleId="Tiret1">
    <w:name w:val="Tiret 1"/>
    <w:basedOn w:val="Point1"/>
    <w:uiPriority w:val="99"/>
    <w:pPr>
      <w:numPr>
        <w:numId w:val="2"/>
      </w:numPr>
    </w:pPr>
  </w:style>
  <w:style w:type="paragraph" w:customStyle="1" w:styleId="Tiret2">
    <w:name w:val="Tiret 2"/>
    <w:basedOn w:val="Point2"/>
    <w:uiPriority w:val="99"/>
    <w:pPr>
      <w:numPr>
        <w:numId w:val="3"/>
      </w:numPr>
    </w:pPr>
  </w:style>
  <w:style w:type="paragraph" w:customStyle="1" w:styleId="Tiret3">
    <w:name w:val="Tiret 3"/>
    <w:basedOn w:val="Point3"/>
    <w:uiPriority w:val="99"/>
    <w:pPr>
      <w:numPr>
        <w:numId w:val="4"/>
      </w:numPr>
    </w:pPr>
  </w:style>
  <w:style w:type="paragraph" w:customStyle="1" w:styleId="Tiret4">
    <w:name w:val="Tiret 4"/>
    <w:basedOn w:val="Point4"/>
    <w:uiPriority w:val="99"/>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sz w:val="24"/>
      <w:szCs w:val="24"/>
    </w:rPr>
  </w:style>
  <w:style w:type="paragraph" w:customStyle="1" w:styleId="NumPar1">
    <w:name w:val="NumPar 1"/>
    <w:basedOn w:val="Normal"/>
    <w:next w:val="Text1"/>
    <w:pPr>
      <w:numPr>
        <w:numId w:val="6"/>
      </w:numPr>
      <w:spacing w:before="120" w:after="120" w:line="240" w:lineRule="auto"/>
      <w:jc w:val="both"/>
    </w:pPr>
    <w:rPr>
      <w:rFonts w:eastAsia="Times New Roman"/>
      <w:sz w:val="24"/>
      <w:szCs w:val="24"/>
    </w:rPr>
  </w:style>
  <w:style w:type="paragraph" w:customStyle="1" w:styleId="NumPar2">
    <w:name w:val="NumPar 2"/>
    <w:basedOn w:val="Normal"/>
    <w:next w:val="Text2"/>
    <w:pPr>
      <w:tabs>
        <w:tab w:val="num" w:pos="850"/>
      </w:tabs>
      <w:spacing w:before="120" w:after="120" w:line="240" w:lineRule="auto"/>
      <w:ind w:left="850" w:hanging="850"/>
      <w:jc w:val="both"/>
    </w:pPr>
    <w:rPr>
      <w:rFonts w:eastAsia="Times New Roman"/>
      <w:sz w:val="24"/>
      <w:szCs w:val="24"/>
    </w:rPr>
  </w:style>
  <w:style w:type="paragraph" w:customStyle="1" w:styleId="NumPar3">
    <w:name w:val="NumPar 3"/>
    <w:basedOn w:val="Normal"/>
    <w:next w:val="Text3"/>
    <w:pPr>
      <w:tabs>
        <w:tab w:val="num" w:pos="850"/>
      </w:tabs>
      <w:spacing w:before="120" w:after="120" w:line="240" w:lineRule="auto"/>
      <w:ind w:left="850" w:hanging="850"/>
      <w:jc w:val="both"/>
    </w:pPr>
    <w:rPr>
      <w:rFonts w:eastAsia="Times New Roman"/>
      <w:sz w:val="24"/>
      <w:szCs w:val="24"/>
    </w:rPr>
  </w:style>
  <w:style w:type="paragraph" w:customStyle="1" w:styleId="NumPar4">
    <w:name w:val="NumPar 4"/>
    <w:basedOn w:val="Normal"/>
    <w:next w:val="Text4"/>
    <w:pPr>
      <w:tabs>
        <w:tab w:val="num" w:pos="850"/>
      </w:tabs>
      <w:spacing w:before="120" w:after="120" w:line="240" w:lineRule="auto"/>
      <w:ind w:left="850" w:hanging="850"/>
      <w:jc w:val="both"/>
    </w:pPr>
    <w:rPr>
      <w:rFonts w:eastAsia="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sz w:val="24"/>
      <w:szCs w:val="24"/>
    </w:rPr>
  </w:style>
  <w:style w:type="paragraph" w:customStyle="1" w:styleId="ManualNumPar2">
    <w:name w:val="Manual NumPar 2"/>
    <w:basedOn w:val="Normal"/>
    <w:next w:val="Text2"/>
    <w:pPr>
      <w:spacing w:before="120" w:after="120" w:line="240" w:lineRule="auto"/>
      <w:ind w:left="850" w:hanging="850"/>
      <w:jc w:val="both"/>
    </w:pPr>
    <w:rPr>
      <w:rFonts w:eastAsia="Times New Roman"/>
      <w:sz w:val="24"/>
      <w:szCs w:val="24"/>
    </w:rPr>
  </w:style>
  <w:style w:type="paragraph" w:customStyle="1" w:styleId="ManualNumPar3">
    <w:name w:val="Manual NumPar 3"/>
    <w:basedOn w:val="Normal"/>
    <w:next w:val="Text3"/>
    <w:pPr>
      <w:spacing w:before="120" w:after="120" w:line="240" w:lineRule="auto"/>
      <w:ind w:left="850" w:hanging="850"/>
      <w:jc w:val="both"/>
    </w:pPr>
    <w:rPr>
      <w:rFonts w:eastAsia="Times New Roman"/>
      <w:sz w:val="24"/>
      <w:szCs w:val="24"/>
    </w:rPr>
  </w:style>
  <w:style w:type="paragraph" w:customStyle="1" w:styleId="ManualNumPar4">
    <w:name w:val="Manual NumPar 4"/>
    <w:basedOn w:val="Normal"/>
    <w:next w:val="Text4"/>
    <w:pPr>
      <w:spacing w:before="120" w:after="120" w:line="240" w:lineRule="auto"/>
      <w:ind w:left="850" w:hanging="850"/>
      <w:jc w:val="both"/>
    </w:pPr>
    <w:rPr>
      <w:rFonts w:eastAsia="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b/>
      <w:smallCaps/>
      <w:sz w:val="24"/>
      <w:szCs w:val="24"/>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eastAsia="Times New Roman"/>
      <w:b/>
      <w:sz w:val="24"/>
      <w:szCs w:val="24"/>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eastAsia="Times New Roman"/>
      <w:i/>
      <w:sz w:val="24"/>
      <w:szCs w:val="24"/>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eastAsia="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eastAsia="Times New Roman"/>
      <w:b/>
      <w:smallCaps/>
      <w:sz w:val="28"/>
      <w:szCs w:val="24"/>
    </w:rPr>
  </w:style>
  <w:style w:type="paragraph" w:customStyle="1" w:styleId="ListBullet1">
    <w:name w:val="List Bullet 1"/>
    <w:basedOn w:val="Normal"/>
    <w:pPr>
      <w:numPr>
        <w:numId w:val="7"/>
      </w:numPr>
      <w:spacing w:before="120" w:after="120" w:line="240" w:lineRule="auto"/>
      <w:jc w:val="both"/>
    </w:pPr>
    <w:rPr>
      <w:rFonts w:eastAsia="Times New Roman"/>
      <w:sz w:val="24"/>
      <w:szCs w:val="24"/>
    </w:rPr>
  </w:style>
  <w:style w:type="paragraph" w:customStyle="1" w:styleId="ListDash">
    <w:name w:val="List Dash"/>
    <w:basedOn w:val="Normal"/>
    <w:pPr>
      <w:numPr>
        <w:numId w:val="8"/>
      </w:numPr>
      <w:spacing w:before="120" w:after="120" w:line="240" w:lineRule="auto"/>
      <w:jc w:val="both"/>
    </w:pPr>
    <w:rPr>
      <w:rFonts w:eastAsia="Times New Roman"/>
      <w:sz w:val="24"/>
      <w:szCs w:val="24"/>
    </w:rPr>
  </w:style>
  <w:style w:type="paragraph" w:customStyle="1" w:styleId="ListDash1">
    <w:name w:val="List Dash 1"/>
    <w:basedOn w:val="Normal"/>
    <w:pPr>
      <w:numPr>
        <w:numId w:val="9"/>
      </w:numPr>
      <w:spacing w:before="120" w:after="120" w:line="240" w:lineRule="auto"/>
      <w:jc w:val="both"/>
    </w:pPr>
    <w:rPr>
      <w:rFonts w:eastAsia="Times New Roman"/>
      <w:sz w:val="24"/>
      <w:szCs w:val="24"/>
    </w:rPr>
  </w:style>
  <w:style w:type="paragraph" w:customStyle="1" w:styleId="ListDash2">
    <w:name w:val="List Dash 2"/>
    <w:basedOn w:val="Normal"/>
    <w:pPr>
      <w:numPr>
        <w:numId w:val="10"/>
      </w:numPr>
      <w:spacing w:before="120" w:after="120" w:line="240" w:lineRule="auto"/>
      <w:jc w:val="both"/>
    </w:pPr>
    <w:rPr>
      <w:rFonts w:eastAsia="Times New Roman"/>
      <w:sz w:val="24"/>
      <w:szCs w:val="24"/>
    </w:rPr>
  </w:style>
  <w:style w:type="paragraph" w:customStyle="1" w:styleId="ListDash3">
    <w:name w:val="List Dash 3"/>
    <w:basedOn w:val="Normal"/>
    <w:pPr>
      <w:numPr>
        <w:numId w:val="11"/>
      </w:numPr>
      <w:spacing w:before="120" w:after="120" w:line="240" w:lineRule="auto"/>
      <w:jc w:val="both"/>
    </w:pPr>
    <w:rPr>
      <w:rFonts w:eastAsia="Times New Roman"/>
      <w:sz w:val="24"/>
      <w:szCs w:val="24"/>
    </w:rPr>
  </w:style>
  <w:style w:type="paragraph" w:customStyle="1" w:styleId="ListDash4">
    <w:name w:val="List Dash 4"/>
    <w:basedOn w:val="Normal"/>
    <w:pPr>
      <w:numPr>
        <w:numId w:val="12"/>
      </w:numPr>
      <w:spacing w:before="120" w:after="120" w:line="240" w:lineRule="auto"/>
      <w:jc w:val="both"/>
    </w:pPr>
    <w:rPr>
      <w:rFonts w:eastAsia="Times New Roman"/>
      <w:sz w:val="24"/>
      <w:szCs w:val="24"/>
    </w:rPr>
  </w:style>
  <w:style w:type="paragraph" w:customStyle="1" w:styleId="ListNumber1">
    <w:name w:val="List Number 1"/>
    <w:basedOn w:val="Text1"/>
    <w:pPr>
      <w:numPr>
        <w:numId w:val="13"/>
      </w:numPr>
    </w:pPr>
  </w:style>
  <w:style w:type="paragraph" w:customStyle="1" w:styleId="ListNumberLevel2">
    <w:name w:val="List Number (Level 2)"/>
    <w:basedOn w:val="Normal"/>
    <w:pPr>
      <w:numPr>
        <w:ilvl w:val="1"/>
        <w:numId w:val="19"/>
      </w:numPr>
      <w:spacing w:before="120" w:after="120" w:line="240" w:lineRule="auto"/>
      <w:jc w:val="both"/>
    </w:pPr>
    <w:rPr>
      <w:rFonts w:eastAsia="Times New Roman"/>
      <w:sz w:val="24"/>
      <w:szCs w:val="24"/>
    </w:rPr>
  </w:style>
  <w:style w:type="paragraph" w:customStyle="1" w:styleId="ListNumber1Level2">
    <w:name w:val="List Number 1 (Level 2)"/>
    <w:basedOn w:val="Text1"/>
    <w:pPr>
      <w:numPr>
        <w:ilvl w:val="1"/>
        <w:numId w:val="13"/>
      </w:numPr>
    </w:pPr>
  </w:style>
  <w:style w:type="paragraph" w:customStyle="1" w:styleId="ListNumber2Level2">
    <w:name w:val="List Number 2 (Level 2)"/>
    <w:basedOn w:val="Text2"/>
    <w:pPr>
      <w:numPr>
        <w:ilvl w:val="1"/>
        <w:numId w:val="18"/>
      </w:numPr>
    </w:pPr>
  </w:style>
  <w:style w:type="paragraph" w:customStyle="1" w:styleId="ListNumber3Level2">
    <w:name w:val="List Number 3 (Level 2)"/>
    <w:basedOn w:val="Text3"/>
    <w:pPr>
      <w:numPr>
        <w:ilvl w:val="1"/>
        <w:numId w:val="17"/>
      </w:numPr>
    </w:pPr>
  </w:style>
  <w:style w:type="paragraph" w:customStyle="1" w:styleId="ListNumber4Level2">
    <w:name w:val="List Number 4 (Level 2)"/>
    <w:basedOn w:val="Text4"/>
    <w:pPr>
      <w:numPr>
        <w:ilvl w:val="1"/>
        <w:numId w:val="16"/>
      </w:numPr>
    </w:pPr>
  </w:style>
  <w:style w:type="paragraph" w:customStyle="1" w:styleId="ListNumberLevel3">
    <w:name w:val="List Number (Level 3)"/>
    <w:basedOn w:val="Normal"/>
    <w:pPr>
      <w:numPr>
        <w:ilvl w:val="2"/>
        <w:numId w:val="19"/>
      </w:numPr>
      <w:spacing w:before="120" w:after="120" w:line="240" w:lineRule="auto"/>
      <w:jc w:val="both"/>
    </w:pPr>
    <w:rPr>
      <w:rFonts w:eastAsia="Times New Roman"/>
      <w:sz w:val="24"/>
      <w:szCs w:val="24"/>
    </w:rPr>
  </w:style>
  <w:style w:type="paragraph" w:customStyle="1" w:styleId="ListNumber1Level3">
    <w:name w:val="List Number 1 (Level 3)"/>
    <w:basedOn w:val="Text1"/>
    <w:pPr>
      <w:numPr>
        <w:ilvl w:val="2"/>
        <w:numId w:val="13"/>
      </w:numPr>
    </w:pPr>
  </w:style>
  <w:style w:type="paragraph" w:customStyle="1" w:styleId="ListNumber2Level3">
    <w:name w:val="List Number 2 (Level 3)"/>
    <w:basedOn w:val="Text2"/>
    <w:pPr>
      <w:numPr>
        <w:ilvl w:val="2"/>
        <w:numId w:val="18"/>
      </w:numPr>
    </w:pPr>
  </w:style>
  <w:style w:type="paragraph" w:customStyle="1" w:styleId="ListNumber3Level3">
    <w:name w:val="List Number 3 (Level 3)"/>
    <w:basedOn w:val="Text3"/>
    <w:pPr>
      <w:numPr>
        <w:ilvl w:val="2"/>
        <w:numId w:val="17"/>
      </w:numPr>
    </w:pPr>
  </w:style>
  <w:style w:type="paragraph" w:customStyle="1" w:styleId="ListNumber4Level3">
    <w:name w:val="List Number 4 (Level 3)"/>
    <w:basedOn w:val="Text4"/>
    <w:pPr>
      <w:numPr>
        <w:ilvl w:val="2"/>
        <w:numId w:val="16"/>
      </w:numPr>
    </w:pPr>
  </w:style>
  <w:style w:type="paragraph" w:customStyle="1" w:styleId="ListNumberLevel4">
    <w:name w:val="List Number (Level 4)"/>
    <w:basedOn w:val="Normal"/>
    <w:pPr>
      <w:numPr>
        <w:ilvl w:val="3"/>
        <w:numId w:val="19"/>
      </w:numPr>
      <w:spacing w:before="120" w:after="120" w:line="240" w:lineRule="auto"/>
      <w:jc w:val="both"/>
    </w:pPr>
    <w:rPr>
      <w:rFonts w:eastAsia="Times New Roman"/>
      <w:sz w:val="24"/>
      <w:szCs w:val="24"/>
    </w:rPr>
  </w:style>
  <w:style w:type="paragraph" w:customStyle="1" w:styleId="ListNumber1Level4">
    <w:name w:val="List Number 1 (Level 4)"/>
    <w:basedOn w:val="Text1"/>
    <w:pPr>
      <w:numPr>
        <w:ilvl w:val="3"/>
        <w:numId w:val="13"/>
      </w:numPr>
    </w:pPr>
  </w:style>
  <w:style w:type="paragraph" w:customStyle="1" w:styleId="ListNumber2Level4">
    <w:name w:val="List Number 2 (Level 4)"/>
    <w:basedOn w:val="Text2"/>
    <w:pPr>
      <w:numPr>
        <w:ilvl w:val="3"/>
        <w:numId w:val="18"/>
      </w:numPr>
    </w:pPr>
  </w:style>
  <w:style w:type="paragraph" w:customStyle="1" w:styleId="ListNumber3Level4">
    <w:name w:val="List Number 3 (Level 4)"/>
    <w:basedOn w:val="Text3"/>
    <w:pPr>
      <w:numPr>
        <w:ilvl w:val="3"/>
        <w:numId w:val="17"/>
      </w:numPr>
    </w:pPr>
  </w:style>
  <w:style w:type="paragraph" w:customStyle="1" w:styleId="ListNumber4Level4">
    <w:name w:val="List Number 4 (Level 4)"/>
    <w:basedOn w:val="Text4"/>
    <w:pPr>
      <w:numPr>
        <w:ilvl w:val="3"/>
        <w:numId w:val="16"/>
      </w:numPr>
    </w:pPr>
  </w:style>
  <w:style w:type="paragraph" w:customStyle="1" w:styleId="TableTitle">
    <w:name w:val="Table Title"/>
    <w:basedOn w:val="Normal"/>
    <w:next w:val="Normal"/>
    <w:uiPriority w:val="99"/>
    <w:pPr>
      <w:spacing w:before="120" w:after="120" w:line="240" w:lineRule="auto"/>
      <w:jc w:val="center"/>
    </w:pPr>
    <w:rPr>
      <w:rFonts w:eastAsia="Times New Roman"/>
      <w:b/>
      <w:sz w:val="24"/>
      <w:szCs w:val="24"/>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uiPriority w:val="99"/>
    <w:qFormat/>
    <w:pPr>
      <w:spacing w:before="120" w:after="240" w:line="240" w:lineRule="auto"/>
      <w:jc w:val="center"/>
    </w:pPr>
    <w:rPr>
      <w:rFonts w:eastAsia="Times New Roman"/>
      <w:b/>
      <w:sz w:val="28"/>
      <w:szCs w:val="24"/>
    </w:rPr>
  </w:style>
  <w:style w:type="paragraph" w:customStyle="1" w:styleId="Annexetitreacte">
    <w:name w:val="Annexe titre (acte)"/>
    <w:basedOn w:val="Normal"/>
    <w:next w:val="Normal"/>
    <w:pPr>
      <w:spacing w:before="120" w:after="120" w:line="240" w:lineRule="auto"/>
      <w:jc w:val="center"/>
    </w:pPr>
    <w:rPr>
      <w:rFonts w:eastAsia="Times New Roman"/>
      <w:b/>
      <w:sz w:val="24"/>
      <w:szCs w:val="24"/>
      <w:u w:val="single"/>
    </w:rPr>
  </w:style>
  <w:style w:type="paragraph" w:customStyle="1" w:styleId="Annexetitreexposglobal">
    <w:name w:val="Annexe titre (exposé global)"/>
    <w:basedOn w:val="Normal"/>
    <w:next w:val="Normal"/>
    <w:pPr>
      <w:spacing w:before="120" w:after="120" w:line="240" w:lineRule="auto"/>
      <w:jc w:val="center"/>
    </w:pPr>
    <w:rPr>
      <w:rFonts w:eastAsia="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eastAsia="Times New Roman"/>
      <w:b/>
      <w:sz w:val="24"/>
      <w:szCs w:val="24"/>
      <w:u w:val="single"/>
    </w:rPr>
  </w:style>
  <w:style w:type="paragraph" w:customStyle="1" w:styleId="Annexetitrefichefinacte">
    <w:name w:val="Annexe titre (fiche fin. acte)"/>
    <w:basedOn w:val="Normal"/>
    <w:next w:val="Normal"/>
    <w:pPr>
      <w:spacing w:before="120" w:after="120" w:line="240" w:lineRule="auto"/>
      <w:jc w:val="center"/>
    </w:pPr>
    <w:rPr>
      <w:rFonts w:eastAsia="Times New Roman"/>
      <w:b/>
      <w:sz w:val="24"/>
      <w:szCs w:val="24"/>
      <w:u w:val="single"/>
    </w:rPr>
  </w:style>
  <w:style w:type="paragraph" w:customStyle="1" w:styleId="Annexetitrefichefinglobale">
    <w:name w:val="Annexe titre (fiche fin. globale)"/>
    <w:basedOn w:val="Normal"/>
    <w:next w:val="Normal"/>
    <w:pPr>
      <w:spacing w:before="120" w:after="120" w:line="240" w:lineRule="auto"/>
      <w:jc w:val="center"/>
    </w:pPr>
    <w:rPr>
      <w:rFonts w:eastAsia="Times New Roman"/>
      <w:b/>
      <w:sz w:val="24"/>
      <w:szCs w:val="24"/>
      <w:u w:val="single"/>
    </w:rPr>
  </w:style>
  <w:style w:type="paragraph" w:customStyle="1" w:styleId="Annexetitreglobale">
    <w:name w:val="Annexe titre (globale)"/>
    <w:basedOn w:val="Normal"/>
    <w:next w:val="Normal"/>
    <w:uiPriority w:val="99"/>
    <w:pPr>
      <w:spacing w:before="120" w:after="120" w:line="240" w:lineRule="auto"/>
      <w:jc w:val="center"/>
    </w:pPr>
    <w:rPr>
      <w:rFonts w:eastAsia="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sz w:val="24"/>
      <w:szCs w:val="24"/>
    </w:rPr>
  </w:style>
  <w:style w:type="paragraph" w:customStyle="1" w:styleId="Fait">
    <w:name w:val="Fait à"/>
    <w:basedOn w:val="Normal"/>
    <w:next w:val="Institutionquisigne"/>
    <w:pPr>
      <w:keepNext/>
      <w:spacing w:before="120" w:after="0" w:line="240" w:lineRule="auto"/>
      <w:jc w:val="both"/>
    </w:pPr>
    <w:rPr>
      <w:rFonts w:eastAsia="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sz w:val="24"/>
      <w:szCs w:val="24"/>
    </w:rPr>
  </w:style>
  <w:style w:type="paragraph" w:customStyle="1" w:styleId="Confidentialit">
    <w:name w:val="Confidentialité"/>
    <w:basedOn w:val="Normal"/>
    <w:next w:val="Statut"/>
    <w:pPr>
      <w:spacing w:before="240" w:after="240" w:line="240" w:lineRule="auto"/>
      <w:ind w:left="5103"/>
      <w:jc w:val="both"/>
    </w:pPr>
    <w:rPr>
      <w:rFonts w:eastAsia="Times New Roman"/>
      <w:sz w:val="24"/>
      <w:szCs w:val="24"/>
      <w:u w:val="single"/>
    </w:rPr>
  </w:style>
  <w:style w:type="paragraph" w:customStyle="1" w:styleId="Statut">
    <w:name w:val="Statut"/>
    <w:basedOn w:val="Normal"/>
    <w:next w:val="Typedudocument"/>
    <w:pPr>
      <w:spacing w:before="360" w:after="0" w:line="240" w:lineRule="auto"/>
      <w:jc w:val="center"/>
    </w:pPr>
    <w:rPr>
      <w:rFonts w:eastAsia="Times New Roman"/>
      <w:sz w:val="24"/>
      <w:szCs w:val="24"/>
    </w:rPr>
  </w:style>
  <w:style w:type="paragraph" w:customStyle="1" w:styleId="Typedudocument">
    <w:name w:val="Type du document"/>
    <w:basedOn w:val="Normal"/>
    <w:next w:val="Datedadoption"/>
    <w:pPr>
      <w:spacing w:before="360" w:after="0" w:line="240" w:lineRule="auto"/>
      <w:jc w:val="center"/>
    </w:pPr>
    <w:rPr>
      <w:rFonts w:eastAsia="Times New Roman"/>
      <w:b/>
      <w:sz w:val="24"/>
      <w:szCs w:val="24"/>
    </w:rPr>
  </w:style>
  <w:style w:type="paragraph" w:customStyle="1" w:styleId="Datedadoption">
    <w:name w:val="Date d'adoption"/>
    <w:basedOn w:val="Normal"/>
    <w:next w:val="Titreobjet"/>
    <w:pPr>
      <w:spacing w:before="360" w:after="0" w:line="240" w:lineRule="auto"/>
      <w:jc w:val="center"/>
    </w:pPr>
    <w:rPr>
      <w:rFonts w:eastAsia="Times New Roman"/>
      <w:b/>
      <w:sz w:val="24"/>
      <w:szCs w:val="24"/>
    </w:rPr>
  </w:style>
  <w:style w:type="paragraph" w:customStyle="1" w:styleId="Titreobjet">
    <w:name w:val="Titre objet"/>
    <w:basedOn w:val="Normal"/>
    <w:next w:val="Normal"/>
    <w:pPr>
      <w:spacing w:before="360" w:after="360" w:line="240" w:lineRule="auto"/>
      <w:jc w:val="center"/>
    </w:pPr>
    <w:rPr>
      <w:rFonts w:eastAsiaTheme="minorHAnsi"/>
      <w:b/>
      <w:sz w:val="24"/>
    </w:rPr>
  </w:style>
  <w:style w:type="paragraph" w:customStyle="1" w:styleId="Sous-titreobjet">
    <w:name w:val="Sous-titre objet"/>
    <w:basedOn w:val="Normal"/>
    <w:uiPriority w:val="99"/>
    <w:pPr>
      <w:spacing w:after="0" w:line="240" w:lineRule="auto"/>
      <w:jc w:val="center"/>
    </w:pPr>
    <w:rPr>
      <w:rFonts w:eastAsia="Times New Roman"/>
      <w:b/>
      <w:sz w:val="24"/>
      <w:szCs w:val="24"/>
    </w:rPr>
  </w:style>
  <w:style w:type="paragraph" w:customStyle="1" w:styleId="Considrant">
    <w:name w:val="Considérant"/>
    <w:basedOn w:val="Normal"/>
    <w:pPr>
      <w:numPr>
        <w:numId w:val="15"/>
      </w:numPr>
      <w:spacing w:before="120" w:after="120" w:line="240" w:lineRule="auto"/>
      <w:jc w:val="both"/>
    </w:pPr>
    <w:rPr>
      <w:rFonts w:eastAsia="Times New Roman"/>
      <w:sz w:val="24"/>
      <w:szCs w:val="24"/>
    </w:rPr>
  </w:style>
  <w:style w:type="paragraph" w:customStyle="1" w:styleId="Corrigendum">
    <w:name w:val="Corrigendum"/>
    <w:basedOn w:val="Normal"/>
    <w:next w:val="Normal"/>
    <w:pPr>
      <w:spacing w:after="240" w:line="240" w:lineRule="auto"/>
    </w:pPr>
    <w:rPr>
      <w:rFonts w:eastAsia="Times New Roman"/>
      <w:sz w:val="24"/>
      <w:szCs w:val="24"/>
    </w:rPr>
  </w:style>
  <w:style w:type="paragraph" w:customStyle="1" w:styleId="Emission">
    <w:name w:val="Emission"/>
    <w:basedOn w:val="Normal"/>
    <w:next w:val="Rfrenceinstitutionelle"/>
    <w:pPr>
      <w:spacing w:after="0" w:line="240" w:lineRule="auto"/>
      <w:ind w:left="5103"/>
    </w:pPr>
    <w:rPr>
      <w:rFonts w:eastAsia="Times New Roman"/>
      <w:sz w:val="24"/>
      <w:szCs w:val="24"/>
    </w:rPr>
  </w:style>
  <w:style w:type="paragraph" w:customStyle="1" w:styleId="Rfrenceinstitutionelle">
    <w:name w:val="Référence institutionelle"/>
    <w:basedOn w:val="Normal"/>
    <w:next w:val="Statut"/>
    <w:pPr>
      <w:spacing w:after="240" w:line="240" w:lineRule="auto"/>
      <w:ind w:left="5103"/>
    </w:pPr>
    <w:rPr>
      <w:rFonts w:eastAsia="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b/>
      <w:sz w:val="24"/>
      <w:szCs w:val="24"/>
      <w:u w:val="single"/>
    </w:rPr>
  </w:style>
  <w:style w:type="paragraph" w:customStyle="1" w:styleId="Exposdesmotifstitreglobal">
    <w:name w:val="Exposé des motifs titre (global)"/>
    <w:basedOn w:val="Normal"/>
    <w:next w:val="Normal"/>
    <w:pPr>
      <w:spacing w:before="120" w:after="120" w:line="240" w:lineRule="auto"/>
      <w:jc w:val="center"/>
    </w:pPr>
    <w:rPr>
      <w:rFonts w:eastAsia="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eastAsia="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sz w:val="24"/>
      <w:szCs w:val="24"/>
    </w:rPr>
  </w:style>
  <w:style w:type="paragraph" w:customStyle="1" w:styleId="Langue">
    <w:name w:val="Langue"/>
    <w:basedOn w:val="Normal"/>
    <w:next w:val="Rfrenceinterne"/>
    <w:uiPriority w:val="99"/>
    <w:pPr>
      <w:spacing w:after="600" w:line="240" w:lineRule="auto"/>
      <w:jc w:val="center"/>
    </w:pPr>
    <w:rPr>
      <w:rFonts w:eastAsia="Times New Roman"/>
      <w:b/>
      <w:caps/>
      <w:sz w:val="24"/>
      <w:szCs w:val="24"/>
    </w:rPr>
  </w:style>
  <w:style w:type="paragraph" w:customStyle="1" w:styleId="Rfrenceinterne">
    <w:name w:val="Référence interne"/>
    <w:basedOn w:val="Normal"/>
    <w:next w:val="Nomdelinstitution"/>
    <w:pPr>
      <w:spacing w:after="600" w:line="240" w:lineRule="auto"/>
      <w:jc w:val="center"/>
    </w:pPr>
    <w:rPr>
      <w:rFonts w:eastAsia="Times New Roman"/>
      <w:b/>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Langueoriginale">
    <w:name w:val="Langue originale"/>
    <w:basedOn w:val="Normal"/>
    <w:next w:val="Phrasefinale"/>
    <w:pPr>
      <w:spacing w:before="360" w:after="120" w:line="240" w:lineRule="auto"/>
      <w:jc w:val="center"/>
    </w:pPr>
    <w:rPr>
      <w:rFonts w:eastAsia="Times New Roman"/>
      <w:caps/>
      <w:sz w:val="24"/>
      <w:szCs w:val="24"/>
    </w:rPr>
  </w:style>
  <w:style w:type="paragraph" w:customStyle="1" w:styleId="Phrasefinale">
    <w:name w:val="Phrase finale"/>
    <w:basedOn w:val="Normal"/>
    <w:next w:val="Normal"/>
    <w:pPr>
      <w:spacing w:before="360" w:after="0" w:line="240" w:lineRule="auto"/>
      <w:jc w:val="center"/>
    </w:pPr>
    <w:rPr>
      <w:rFonts w:eastAsia="Times New Roman"/>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sz w:val="24"/>
      <w:szCs w:val="24"/>
    </w:rPr>
  </w:style>
  <w:style w:type="paragraph" w:customStyle="1" w:styleId="Prliminairetitre">
    <w:name w:val="Préliminaire titre"/>
    <w:basedOn w:val="Normal"/>
    <w:next w:val="Normal"/>
    <w:pPr>
      <w:spacing w:before="360" w:after="360" w:line="240" w:lineRule="auto"/>
      <w:jc w:val="center"/>
    </w:pPr>
    <w:rPr>
      <w:rFonts w:eastAsia="Times New Roman"/>
      <w:b/>
      <w:sz w:val="24"/>
      <w:szCs w:val="24"/>
    </w:rPr>
  </w:style>
  <w:style w:type="paragraph" w:customStyle="1" w:styleId="Prliminairetype">
    <w:name w:val="Préliminaire type"/>
    <w:basedOn w:val="Normal"/>
    <w:next w:val="Normal"/>
    <w:pPr>
      <w:spacing w:before="360" w:after="0" w:line="240" w:lineRule="auto"/>
      <w:jc w:val="center"/>
    </w:pPr>
    <w:rPr>
      <w:rFonts w:eastAsia="Times New Roman"/>
      <w:b/>
      <w:sz w:val="24"/>
      <w:szCs w:val="24"/>
    </w:rPr>
  </w:style>
  <w:style w:type="paragraph" w:customStyle="1" w:styleId="Rfrenceinterinstitutionelle">
    <w:name w:val="Référence interinstitutionelle"/>
    <w:basedOn w:val="Normal"/>
    <w:next w:val="Statut"/>
    <w:pPr>
      <w:spacing w:after="0" w:line="240" w:lineRule="auto"/>
      <w:ind w:left="5103"/>
    </w:pPr>
    <w:rPr>
      <w:rFonts w:eastAsia="Times New Roman"/>
      <w:sz w:val="24"/>
      <w:szCs w:val="24"/>
    </w:rPr>
  </w:style>
  <w:style w:type="paragraph" w:customStyle="1" w:styleId="Rfrenceinterinstitutionelleprliminaire">
    <w:name w:val="Référence interinstitutionelle (préliminaire)"/>
    <w:basedOn w:val="Normal"/>
    <w:next w:val="Normal"/>
    <w:pPr>
      <w:spacing w:after="0" w:line="240" w:lineRule="auto"/>
      <w:ind w:left="5103"/>
    </w:pPr>
    <w:rPr>
      <w:rFonts w:eastAsia="Times New Roman"/>
      <w:sz w:val="24"/>
      <w:szCs w:val="24"/>
    </w:rPr>
  </w:style>
  <w:style w:type="paragraph" w:customStyle="1" w:styleId="Sous-titreobjetprliminaire">
    <w:name w:val="Sous-titre objet (préliminaire)"/>
    <w:basedOn w:val="Normal"/>
    <w:pPr>
      <w:spacing w:after="0" w:line="240" w:lineRule="auto"/>
      <w:jc w:val="center"/>
    </w:pPr>
    <w:rPr>
      <w:rFonts w:eastAsia="Times New Roman"/>
      <w:b/>
      <w:sz w:val="24"/>
      <w:szCs w:val="24"/>
    </w:rPr>
  </w:style>
  <w:style w:type="paragraph" w:customStyle="1" w:styleId="Statutprliminaire">
    <w:name w:val="Statut (préliminaire)"/>
    <w:basedOn w:val="Normal"/>
    <w:next w:val="Normal"/>
    <w:pPr>
      <w:spacing w:before="360" w:after="0" w:line="240" w:lineRule="auto"/>
      <w:jc w:val="center"/>
    </w:pPr>
    <w:rPr>
      <w:rFonts w:eastAsia="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eastAsia="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eastAsia="Times New Roman"/>
      <w:b/>
      <w:sz w:val="24"/>
      <w:szCs w:val="24"/>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before="120" w:after="120" w:line="360" w:lineRule="auto"/>
      <w:ind w:left="3402"/>
    </w:pPr>
    <w:rPr>
      <w:rFonts w:eastAsia="Times New Roman"/>
      <w:sz w:val="24"/>
      <w:szCs w:val="24"/>
    </w:rPr>
  </w:style>
  <w:style w:type="paragraph" w:customStyle="1" w:styleId="Fichefinancirestandardtitre">
    <w:name w:val="Fiche financière (standard) titre"/>
    <w:basedOn w:val="Normal"/>
    <w:next w:val="Normal"/>
    <w:pPr>
      <w:spacing w:before="120" w:after="120" w:line="240" w:lineRule="auto"/>
      <w:jc w:val="center"/>
    </w:pPr>
    <w:rPr>
      <w:rFonts w:eastAsia="Times New Roman"/>
      <w:b/>
      <w:sz w:val="24"/>
      <w:szCs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eastAsia="Times New Roman"/>
      <w:b/>
      <w:sz w:val="24"/>
      <w:szCs w:val="24"/>
      <w:u w:val="single"/>
    </w:rPr>
  </w:style>
  <w:style w:type="paragraph" w:customStyle="1" w:styleId="Fichefinanciretravailtitre">
    <w:name w:val="Fiche financière (travail) titre"/>
    <w:basedOn w:val="Normal"/>
    <w:next w:val="Normal"/>
    <w:pPr>
      <w:spacing w:before="120" w:after="120" w:line="240" w:lineRule="auto"/>
      <w:jc w:val="center"/>
    </w:pPr>
    <w:rPr>
      <w:rFonts w:eastAsia="Times New Roman"/>
      <w:b/>
      <w:sz w:val="24"/>
      <w:szCs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eastAsia="Times New Roman"/>
      <w:b/>
      <w:sz w:val="24"/>
      <w:szCs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eastAsia="Times New Roman"/>
      <w:b/>
      <w:sz w:val="24"/>
      <w:szCs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eastAsia="Times New Roman"/>
      <w:b/>
      <w:sz w:val="24"/>
      <w:szCs w:val="24"/>
      <w:u w:val="single"/>
    </w:rPr>
  </w:style>
  <w:style w:type="paragraph" w:customStyle="1" w:styleId="Objetexterne">
    <w:name w:val="Objet externe"/>
    <w:basedOn w:val="Normal"/>
    <w:next w:val="Normal"/>
    <w:pPr>
      <w:spacing w:before="120" w:after="120" w:line="240" w:lineRule="auto"/>
      <w:jc w:val="both"/>
    </w:pPr>
    <w:rPr>
      <w:rFonts w:eastAsia="Times New Roman"/>
      <w:i/>
      <w:caps/>
      <w:sz w:val="24"/>
      <w:szCs w:val="24"/>
    </w:rPr>
  </w:style>
  <w:style w:type="character" w:styleId="CommentReference">
    <w:name w:val="annotation reference"/>
    <w:semiHidden/>
    <w:rPr>
      <w:rFonts w:cs="Times New Roman"/>
      <w:sz w:val="16"/>
      <w:szCs w:val="16"/>
    </w:rPr>
  </w:style>
  <w:style w:type="table" w:styleId="TableGrid">
    <w:name w:val="Table Grid"/>
    <w:basedOn w:val="TableNormal"/>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pPr>
      <w:spacing w:before="120" w:after="120" w:line="240" w:lineRule="auto"/>
      <w:jc w:val="both"/>
    </w:pPr>
    <w:rPr>
      <w:rFonts w:eastAsia="Times New Roman"/>
      <w:sz w:val="20"/>
      <w:szCs w:val="20"/>
    </w:rPr>
  </w:style>
  <w:style w:type="character" w:customStyle="1" w:styleId="CommentTextChar">
    <w:name w:val="Comment Text Char"/>
    <w:link w:val="CommentText"/>
    <w:semiHidden/>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fr-FR" w:eastAsia="fr-FR"/>
    </w:rPr>
  </w:style>
  <w:style w:type="character" w:styleId="Hyperlink">
    <w:name w:val="Hyperlink"/>
    <w:uiPriority w:val="99"/>
    <w:rPr>
      <w:rFonts w:cs="Times New Roman"/>
      <w:color w:val="0000FF"/>
      <w:u w:val="single"/>
    </w:rPr>
  </w:style>
  <w:style w:type="paragraph" w:styleId="NormalWeb">
    <w:name w:val="Normal (Web)"/>
    <w:basedOn w:val="Normal"/>
    <w:pPr>
      <w:spacing w:before="100" w:beforeAutospacing="1" w:after="100" w:afterAutospacing="1" w:line="240" w:lineRule="auto"/>
    </w:pPr>
    <w:rPr>
      <w:rFonts w:eastAsia="Times New Roman"/>
      <w:sz w:val="24"/>
      <w:szCs w:val="24"/>
    </w:rPr>
  </w:style>
  <w:style w:type="character" w:customStyle="1" w:styleId="italic1">
    <w:name w:val="italic1"/>
    <w:rPr>
      <w:rFonts w:cs="Times New Roman"/>
      <w:i/>
      <w:iCs/>
    </w:rPr>
  </w:style>
  <w:style w:type="character" w:customStyle="1" w:styleId="default--char">
    <w:name w:val="default--char"/>
    <w:rPr>
      <w:rFonts w:cs="Times New Roman"/>
    </w:rPr>
  </w:style>
  <w:style w:type="paragraph" w:customStyle="1" w:styleId="xl26">
    <w:name w:val="xl26"/>
    <w:basedOn w:val="Normal"/>
    <w:pPr>
      <w:spacing w:before="100" w:beforeAutospacing="1" w:after="100" w:afterAutospacing="1" w:line="240" w:lineRule="auto"/>
      <w:textAlignment w:val="center"/>
    </w:pPr>
    <w:rPr>
      <w:rFonts w:eastAsia="Times New Roman"/>
      <w:sz w:val="24"/>
      <w:szCs w:val="24"/>
    </w:rPr>
  </w:style>
  <w:style w:type="character" w:styleId="FollowedHyperlink">
    <w:name w:val="FollowedHyperlink"/>
    <w:uiPriority w:val="99"/>
    <w:rPr>
      <w:rFonts w:cs="Times New Roman"/>
      <w:color w:val="800080"/>
      <w:u w:val="single"/>
    </w:rPr>
  </w:style>
  <w:style w:type="paragraph" w:customStyle="1" w:styleId="Revenue">
    <w:name w:val="Revenue"/>
    <w:basedOn w:val="Normal"/>
    <w:next w:val="Normal"/>
    <w:pPr>
      <w:keepNext/>
      <w:spacing w:before="480" w:after="120" w:line="240" w:lineRule="auto"/>
    </w:pPr>
    <w:rPr>
      <w:rFonts w:eastAsia="Times New Roman"/>
      <w:b/>
      <w:bCs/>
      <w:smallCaps/>
      <w:sz w:val="36"/>
      <w:szCs w:val="36"/>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ReusedInfo">
    <w:name w:val="ReusedInfo"/>
    <w:basedOn w:val="Normal"/>
    <w:next w:val="Normal"/>
    <w:uiPriority w:val="99"/>
    <w:pPr>
      <w:shd w:val="clear" w:color="auto" w:fill="C0C0C0"/>
      <w:spacing w:before="60" w:after="60" w:line="240" w:lineRule="auto"/>
    </w:pPr>
    <w:rPr>
      <w:rFonts w:eastAsia="Times New Roman"/>
      <w:sz w:val="20"/>
      <w:szCs w:val="20"/>
    </w:rPr>
  </w:style>
  <w:style w:type="paragraph" w:customStyle="1" w:styleId="literallayout">
    <w:name w:val="literallayout"/>
    <w:basedOn w:val="Normal"/>
    <w:next w:val="Normal"/>
    <w:uiPriority w:val="99"/>
    <w:pPr>
      <w:spacing w:after="0" w:line="240" w:lineRule="auto"/>
    </w:pPr>
    <w:rPr>
      <w:rFonts w:ascii="Courier New" w:eastAsia="Times New Roman" w:hAnsi="Courier New" w:cs="Courier New"/>
      <w:sz w:val="18"/>
      <w:szCs w:val="18"/>
    </w:rPr>
  </w:style>
  <w:style w:type="paragraph" w:customStyle="1" w:styleId="copytitle">
    <w:name w:val="copytitle"/>
    <w:basedOn w:val="Normal"/>
    <w:next w:val="Normal"/>
    <w:uiPriority w:val="99"/>
    <w:pPr>
      <w:spacing w:before="360" w:after="360" w:line="240" w:lineRule="auto"/>
      <w:jc w:val="center"/>
    </w:pPr>
    <w:rPr>
      <w:rFonts w:eastAsia="Times New Roman"/>
      <w:b/>
      <w:bCs/>
      <w:sz w:val="32"/>
      <w:szCs w:val="32"/>
    </w:rPr>
  </w:style>
  <w:style w:type="character" w:customStyle="1" w:styleId="literal">
    <w:name w:val="literal"/>
    <w:uiPriority w:val="99"/>
    <w:rPr>
      <w:rFonts w:ascii="Courier New" w:hAnsi="Courier New" w:cs="Courier New"/>
      <w:sz w:val="18"/>
      <w:szCs w:val="18"/>
    </w:rPr>
  </w:style>
  <w:style w:type="character" w:customStyle="1" w:styleId="tw4winExternal">
    <w:name w:val="tw4winExternal"/>
    <w:uiPriority w:val="99"/>
  </w:style>
  <w:style w:type="character" w:customStyle="1" w:styleId="Placeholder">
    <w:name w:val="Placeholder"/>
    <w:uiPriority w:val="99"/>
    <w:rPr>
      <w:color w:val="008000"/>
    </w:rPr>
  </w:style>
  <w:style w:type="paragraph" w:customStyle="1" w:styleId="font5">
    <w:name w:val="font5"/>
    <w:basedOn w:val="Normal"/>
    <w:pPr>
      <w:spacing w:before="100" w:beforeAutospacing="1" w:after="100" w:afterAutospacing="1" w:line="240" w:lineRule="auto"/>
    </w:pPr>
    <w:rPr>
      <w:rFonts w:eastAsia="Times New Roman"/>
      <w:sz w:val="16"/>
      <w:szCs w:val="16"/>
    </w:rPr>
  </w:style>
  <w:style w:type="paragraph" w:customStyle="1" w:styleId="xl260">
    <w:name w:val="xl260"/>
    <w:basedOn w:val="Normal"/>
    <w:pPr>
      <w:spacing w:before="100" w:beforeAutospacing="1" w:after="100" w:afterAutospacing="1" w:line="240" w:lineRule="auto"/>
    </w:pPr>
    <w:rPr>
      <w:rFonts w:eastAsia="Times New Roman"/>
      <w:color w:val="000000"/>
      <w:sz w:val="24"/>
      <w:szCs w:val="24"/>
    </w:rPr>
  </w:style>
  <w:style w:type="paragraph" w:customStyle="1" w:styleId="xl261">
    <w:name w:val="xl261"/>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263">
    <w:name w:val="xl263"/>
    <w:basedOn w:val="Normal"/>
    <w:pPr>
      <w:pBdr>
        <w:top w:val="dotted"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264">
    <w:name w:val="xl264"/>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rPr>
  </w:style>
  <w:style w:type="paragraph" w:customStyle="1" w:styleId="xl265">
    <w:name w:val="xl265"/>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266">
    <w:name w:val="xl266"/>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rPr>
  </w:style>
  <w:style w:type="paragraph" w:customStyle="1" w:styleId="xl267">
    <w:name w:val="xl267"/>
    <w:basedOn w:val="Normal"/>
    <w:pPr>
      <w:pBdr>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rPr>
  </w:style>
  <w:style w:type="paragraph" w:customStyle="1" w:styleId="xl268">
    <w:name w:val="xl268"/>
    <w:basedOn w:val="Normal"/>
    <w:pPr>
      <w:pBdr>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rPr>
  </w:style>
  <w:style w:type="paragraph" w:customStyle="1" w:styleId="xl269">
    <w:name w:val="xl269"/>
    <w:basedOn w:val="Normal"/>
    <w:pPr>
      <w:pBdr>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270">
    <w:name w:val="xl270"/>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rPr>
  </w:style>
  <w:style w:type="paragraph" w:customStyle="1" w:styleId="xl271">
    <w:name w:val="xl27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272">
    <w:name w:val="xl27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rPr>
  </w:style>
  <w:style w:type="paragraph" w:customStyle="1" w:styleId="xl273">
    <w:name w:val="xl273"/>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274">
    <w:name w:val="xl274"/>
    <w:basedOn w:val="Normal"/>
    <w:pPr>
      <w:pBdr>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275">
    <w:name w:val="xl27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276">
    <w:name w:val="xl27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277">
    <w:name w:val="xl27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rPr>
  </w:style>
  <w:style w:type="paragraph" w:customStyle="1" w:styleId="xl278">
    <w:name w:val="xl278"/>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279">
    <w:name w:val="xl279"/>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rPr>
  </w:style>
  <w:style w:type="paragraph" w:customStyle="1" w:styleId="xl280">
    <w:name w:val="xl280"/>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281">
    <w:name w:val="xl28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282">
    <w:name w:val="xl28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283">
    <w:name w:val="xl28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284">
    <w:name w:val="xl28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285">
    <w:name w:val="xl285"/>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rPr>
  </w:style>
  <w:style w:type="paragraph" w:customStyle="1" w:styleId="xl286">
    <w:name w:val="xl286"/>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rPr>
  </w:style>
  <w:style w:type="paragraph" w:customStyle="1" w:styleId="xl287">
    <w:name w:val="xl287"/>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rPr>
  </w:style>
  <w:style w:type="paragraph" w:customStyle="1" w:styleId="xl288">
    <w:name w:val="xl288"/>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289">
    <w:name w:val="xl289"/>
    <w:basedOn w:val="Normal"/>
    <w:pPr>
      <w:pBdr>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290">
    <w:name w:val="xl290"/>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291">
    <w:name w:val="xl291"/>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292">
    <w:name w:val="xl292"/>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rPr>
  </w:style>
  <w:style w:type="paragraph" w:customStyle="1" w:styleId="xl293">
    <w:name w:val="xl293"/>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294">
    <w:name w:val="xl29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i/>
      <w:iCs/>
      <w:sz w:val="16"/>
      <w:szCs w:val="16"/>
    </w:rPr>
  </w:style>
  <w:style w:type="paragraph" w:customStyle="1" w:styleId="xl295">
    <w:name w:val="xl295"/>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296">
    <w:name w:val="xl296"/>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297">
    <w:name w:val="xl297"/>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298">
    <w:name w:val="xl298"/>
    <w:basedOn w:val="Normal"/>
    <w:pPr>
      <w:pBdr>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299">
    <w:name w:val="xl299"/>
    <w:basedOn w:val="Normal"/>
    <w:pPr>
      <w:pBdr>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00">
    <w:name w:val="xl30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01">
    <w:name w:val="xl30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02">
    <w:name w:val="xl30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rPr>
  </w:style>
  <w:style w:type="paragraph" w:customStyle="1" w:styleId="xl303">
    <w:name w:val="xl303"/>
    <w:basedOn w:val="Normal"/>
    <w:pPr>
      <w:pBdr>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304">
    <w:name w:val="xl304"/>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05">
    <w:name w:val="xl305"/>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06">
    <w:name w:val="xl306"/>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rPr>
  </w:style>
  <w:style w:type="paragraph" w:customStyle="1" w:styleId="xl307">
    <w:name w:val="xl307"/>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08">
    <w:name w:val="xl308"/>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309">
    <w:name w:val="xl309"/>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10">
    <w:name w:val="xl310"/>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11">
    <w:name w:val="xl311"/>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12">
    <w:name w:val="xl312"/>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13">
    <w:name w:val="xl313"/>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14">
    <w:name w:val="xl314"/>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15">
    <w:name w:val="xl315"/>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16">
    <w:name w:val="xl316"/>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17">
    <w:name w:val="xl317"/>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18">
    <w:name w:val="xl318"/>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19">
    <w:name w:val="xl319"/>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20">
    <w:name w:val="xl32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21">
    <w:name w:val="xl32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rPr>
  </w:style>
  <w:style w:type="paragraph" w:customStyle="1" w:styleId="xl322">
    <w:name w:val="xl32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323">
    <w:name w:val="xl32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rPr>
  </w:style>
  <w:style w:type="paragraph" w:customStyle="1" w:styleId="xl324">
    <w:name w:val="xl32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i/>
      <w:iCs/>
      <w:sz w:val="16"/>
      <w:szCs w:val="16"/>
    </w:rPr>
  </w:style>
  <w:style w:type="paragraph" w:customStyle="1" w:styleId="xl325">
    <w:name w:val="xl32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26">
    <w:name w:val="xl32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27">
    <w:name w:val="xl32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328">
    <w:name w:val="xl328"/>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329">
    <w:name w:val="xl329"/>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330">
    <w:name w:val="xl330"/>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331">
    <w:name w:val="xl33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32">
    <w:name w:val="xl33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33">
    <w:name w:val="xl33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34">
    <w:name w:val="xl33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35">
    <w:name w:val="xl335"/>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36">
    <w:name w:val="xl336"/>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37">
    <w:name w:val="xl337"/>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rPr>
  </w:style>
  <w:style w:type="paragraph" w:customStyle="1" w:styleId="xl338">
    <w:name w:val="xl338"/>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rPr>
  </w:style>
  <w:style w:type="paragraph" w:customStyle="1" w:styleId="xl339">
    <w:name w:val="xl3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rPr>
  </w:style>
  <w:style w:type="paragraph" w:customStyle="1" w:styleId="xl340">
    <w:name w:val="xl3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i/>
      <w:iCs/>
      <w:sz w:val="16"/>
      <w:szCs w:val="16"/>
    </w:rPr>
  </w:style>
  <w:style w:type="paragraph" w:customStyle="1" w:styleId="xl341">
    <w:name w:val="xl341"/>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342">
    <w:name w:val="xl342"/>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343">
    <w:name w:val="xl34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rPr>
  </w:style>
  <w:style w:type="paragraph" w:customStyle="1" w:styleId="xl344">
    <w:name w:val="xl34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345">
    <w:name w:val="xl34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46">
    <w:name w:val="xl34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47">
    <w:name w:val="xl347"/>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48">
    <w:name w:val="xl348"/>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49">
    <w:name w:val="xl349"/>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50">
    <w:name w:val="xl350"/>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51">
    <w:name w:val="xl351"/>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352">
    <w:name w:val="xl35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i/>
      <w:iCs/>
      <w:sz w:val="16"/>
      <w:szCs w:val="16"/>
    </w:rPr>
  </w:style>
  <w:style w:type="paragraph" w:customStyle="1" w:styleId="xl353">
    <w:name w:val="xl35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354">
    <w:name w:val="xl35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355">
    <w:name w:val="xl35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356">
    <w:name w:val="xl35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357">
    <w:name w:val="xl357"/>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358">
    <w:name w:val="xl35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59">
    <w:name w:val="xl35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60">
    <w:name w:val="xl36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61">
    <w:name w:val="xl36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62">
    <w:name w:val="xl362"/>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363">
    <w:name w:val="xl363"/>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364">
    <w:name w:val="xl364"/>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365">
    <w:name w:val="xl365"/>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366">
    <w:name w:val="xl366"/>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367">
    <w:name w:val="xl367"/>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368">
    <w:name w:val="xl368"/>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369">
    <w:name w:val="xl369"/>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rPr>
  </w:style>
  <w:style w:type="paragraph" w:customStyle="1" w:styleId="xl370">
    <w:name w:val="xl37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71">
    <w:name w:val="xl371"/>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rPr>
  </w:style>
  <w:style w:type="paragraph" w:customStyle="1" w:styleId="xl372">
    <w:name w:val="xl37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373">
    <w:name w:val="xl373"/>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74">
    <w:name w:val="xl374"/>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75">
    <w:name w:val="xl375"/>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76">
    <w:name w:val="xl37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77">
    <w:name w:val="xl37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78">
    <w:name w:val="xl378"/>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79">
    <w:name w:val="xl379"/>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80">
    <w:name w:val="xl380"/>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81">
    <w:name w:val="xl381"/>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82">
    <w:name w:val="xl382"/>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83">
    <w:name w:val="xl383"/>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rPr>
  </w:style>
  <w:style w:type="paragraph" w:customStyle="1" w:styleId="xl384">
    <w:name w:val="xl384"/>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85">
    <w:name w:val="xl385"/>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86">
    <w:name w:val="xl38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87">
    <w:name w:val="xl387"/>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88">
    <w:name w:val="xl388"/>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89">
    <w:name w:val="xl389"/>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0">
    <w:name w:val="xl390"/>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1">
    <w:name w:val="xl39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2">
    <w:name w:val="xl39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3">
    <w:name w:val="xl393"/>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4">
    <w:name w:val="xl3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5">
    <w:name w:val="xl3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6">
    <w:name w:val="xl3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7">
    <w:name w:val="xl3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8">
    <w:name w:val="xl398"/>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sz w:val="16"/>
      <w:szCs w:val="16"/>
    </w:rPr>
  </w:style>
  <w:style w:type="paragraph" w:customStyle="1" w:styleId="xl399">
    <w:name w:val="xl399"/>
    <w:basedOn w:val="Normal"/>
    <w:pPr>
      <w:pBdr>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400">
    <w:name w:val="xl400"/>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401">
    <w:name w:val="xl401"/>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402">
    <w:name w:val="xl40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b/>
      <w:bCs/>
      <w:sz w:val="16"/>
      <w:szCs w:val="16"/>
    </w:rPr>
  </w:style>
  <w:style w:type="paragraph" w:customStyle="1" w:styleId="xl403">
    <w:name w:val="xl403"/>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04">
    <w:name w:val="xl404"/>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405">
    <w:name w:val="xl405"/>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06">
    <w:name w:val="xl406"/>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07">
    <w:name w:val="xl407"/>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08">
    <w:name w:val="xl408"/>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09">
    <w:name w:val="xl409"/>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10">
    <w:name w:val="xl410"/>
    <w:basedOn w:val="Normal"/>
    <w:pPr>
      <w:pBdr>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11">
    <w:name w:val="xl411"/>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12">
    <w:name w:val="xl412"/>
    <w:basedOn w:val="Normal"/>
    <w:pPr>
      <w:pBdr>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13">
    <w:name w:val="xl413"/>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14">
    <w:name w:val="xl41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15">
    <w:name w:val="xl41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16">
    <w:name w:val="xl41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17">
    <w:name w:val="xl41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18">
    <w:name w:val="xl418"/>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19">
    <w:name w:val="xl41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20">
    <w:name w:val="xl420"/>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421">
    <w:name w:val="xl421"/>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422">
    <w:name w:val="xl422"/>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423">
    <w:name w:val="xl423"/>
    <w:basedOn w:val="Normal"/>
    <w:pPr>
      <w:pBdr>
        <w:bottom w:val="dotted" w:sz="4" w:space="0" w:color="000000"/>
      </w:pBdr>
      <w:spacing w:before="100" w:beforeAutospacing="1" w:after="100" w:afterAutospacing="1" w:line="240" w:lineRule="auto"/>
      <w:textAlignment w:val="center"/>
    </w:pPr>
    <w:rPr>
      <w:rFonts w:eastAsia="Times New Roman"/>
      <w:sz w:val="16"/>
      <w:szCs w:val="16"/>
    </w:rPr>
  </w:style>
  <w:style w:type="paragraph" w:customStyle="1" w:styleId="xl424">
    <w:name w:val="xl424"/>
    <w:basedOn w:val="Normal"/>
    <w:pPr>
      <w:pBdr>
        <w:bottom w:val="dotted" w:sz="4" w:space="0" w:color="000000"/>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25">
    <w:name w:val="xl425"/>
    <w:basedOn w:val="Normal"/>
    <w:pPr>
      <w:pBdr>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26">
    <w:name w:val="xl426"/>
    <w:basedOn w:val="Normal"/>
    <w:pP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27">
    <w:name w:val="xl427"/>
    <w:basedOn w:val="Normal"/>
    <w:pPr>
      <w:pBdr>
        <w:top w:val="dotted" w:sz="4" w:space="0" w:color="000000"/>
        <w:lef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28">
    <w:name w:val="xl428"/>
    <w:basedOn w:val="Normal"/>
    <w:pPr>
      <w:pBdr>
        <w:top w:val="dotted" w:sz="4" w:space="0" w:color="000000"/>
      </w:pBdr>
      <w:spacing w:before="100" w:beforeAutospacing="1" w:after="100" w:afterAutospacing="1" w:line="240" w:lineRule="auto"/>
      <w:textAlignment w:val="center"/>
    </w:pPr>
    <w:rPr>
      <w:rFonts w:eastAsia="Times New Roman"/>
      <w:sz w:val="16"/>
      <w:szCs w:val="16"/>
    </w:rPr>
  </w:style>
  <w:style w:type="paragraph" w:customStyle="1" w:styleId="xl429">
    <w:name w:val="xl429"/>
    <w:basedOn w:val="Normal"/>
    <w:pPr>
      <w:pBdr>
        <w:top w:val="dotted" w:sz="4" w:space="0" w:color="000000"/>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30">
    <w:name w:val="xl430"/>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431">
    <w:name w:val="xl431"/>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432">
    <w:name w:val="xl432"/>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433">
    <w:name w:val="xl433"/>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b/>
      <w:bCs/>
      <w:sz w:val="16"/>
      <w:szCs w:val="16"/>
    </w:rPr>
  </w:style>
  <w:style w:type="paragraph" w:customStyle="1" w:styleId="xl434">
    <w:name w:val="xl434"/>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b/>
      <w:bCs/>
      <w:sz w:val="16"/>
      <w:szCs w:val="16"/>
    </w:rPr>
  </w:style>
  <w:style w:type="paragraph" w:customStyle="1" w:styleId="xl435">
    <w:name w:val="xl43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36">
    <w:name w:val="xl43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37">
    <w:name w:val="xl437"/>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sz w:val="16"/>
      <w:szCs w:val="16"/>
    </w:rPr>
  </w:style>
  <w:style w:type="paragraph" w:customStyle="1" w:styleId="xl438">
    <w:name w:val="xl438"/>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39">
    <w:name w:val="xl439"/>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eastAsia="Times New Roman"/>
      <w:sz w:val="16"/>
      <w:szCs w:val="16"/>
    </w:rPr>
  </w:style>
  <w:style w:type="paragraph" w:customStyle="1" w:styleId="xl440">
    <w:name w:val="xl440"/>
    <w:basedOn w:val="Normal"/>
    <w:pPr>
      <w:pBdr>
        <w:top w:val="dotted" w:sz="4" w:space="0" w:color="000000"/>
        <w:bottom w:val="dotted" w:sz="4" w:space="0" w:color="auto"/>
      </w:pBdr>
      <w:spacing w:before="100" w:beforeAutospacing="1" w:after="100" w:afterAutospacing="1" w:line="240" w:lineRule="auto"/>
      <w:textAlignment w:val="center"/>
    </w:pPr>
    <w:rPr>
      <w:rFonts w:eastAsia="Times New Roman"/>
      <w:sz w:val="16"/>
      <w:szCs w:val="16"/>
    </w:rPr>
  </w:style>
  <w:style w:type="paragraph" w:customStyle="1" w:styleId="xl441">
    <w:name w:val="xl441"/>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42">
    <w:name w:val="xl442"/>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43">
    <w:name w:val="xl443"/>
    <w:basedOn w:val="Normal"/>
    <w:pPr>
      <w:pBdr>
        <w:top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44">
    <w:name w:val="xl444"/>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45">
    <w:name w:val="xl445"/>
    <w:basedOn w:val="Normal"/>
    <w:pPr>
      <w:pBdr>
        <w:lef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46">
    <w:name w:val="xl446"/>
    <w:basedOn w:val="Normal"/>
    <w:pPr>
      <w:spacing w:before="100" w:beforeAutospacing="1" w:after="100" w:afterAutospacing="1" w:line="240" w:lineRule="auto"/>
      <w:textAlignment w:val="center"/>
    </w:pPr>
    <w:rPr>
      <w:rFonts w:eastAsia="Times New Roman"/>
      <w:sz w:val="16"/>
      <w:szCs w:val="16"/>
    </w:rPr>
  </w:style>
  <w:style w:type="paragraph" w:customStyle="1" w:styleId="xl447">
    <w:name w:val="xl447"/>
    <w:basedOn w:val="Normal"/>
    <w:pPr>
      <w:pBdr>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48">
    <w:name w:val="xl448"/>
    <w:basedOn w:val="Normal"/>
    <w:pPr>
      <w:pBdr>
        <w:left w:val="single" w:sz="4" w:space="0" w:color="auto"/>
        <w:bottom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49">
    <w:name w:val="xl449"/>
    <w:basedOn w:val="Normal"/>
    <w:pPr>
      <w:pBdr>
        <w:bottom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50">
    <w:name w:val="xl450"/>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51">
    <w:name w:val="xl451"/>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452">
    <w:name w:val="xl452"/>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453">
    <w:name w:val="xl453"/>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454">
    <w:name w:val="xl454"/>
    <w:basedOn w:val="Normal"/>
    <w:pPr>
      <w:pBdr>
        <w:top w:val="dotted" w:sz="4" w:space="0" w:color="auto"/>
        <w:bottom w:val="dotted" w:sz="4" w:space="0" w:color="auto"/>
      </w:pBdr>
      <w:spacing w:before="100" w:beforeAutospacing="1" w:after="100" w:afterAutospacing="1" w:line="240" w:lineRule="auto"/>
      <w:textAlignment w:val="center"/>
    </w:pPr>
    <w:rPr>
      <w:rFonts w:eastAsia="Times New Roman"/>
      <w:sz w:val="16"/>
      <w:szCs w:val="16"/>
    </w:rPr>
  </w:style>
  <w:style w:type="paragraph" w:customStyle="1" w:styleId="xl455">
    <w:name w:val="xl455"/>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56">
    <w:name w:val="xl456"/>
    <w:basedOn w:val="Normal"/>
    <w:pPr>
      <w:pBdr>
        <w:top w:val="dotted" w:sz="4" w:space="0" w:color="000000"/>
        <w:lef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57">
    <w:name w:val="xl457"/>
    <w:basedOn w:val="Normal"/>
    <w:pPr>
      <w:pBdr>
        <w:top w:val="dotted"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58">
    <w:name w:val="xl458"/>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59">
    <w:name w:val="xl459"/>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60">
    <w:name w:val="xl460"/>
    <w:basedOn w:val="Normal"/>
    <w:pPr>
      <w:pBdr>
        <w:top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61">
    <w:name w:val="xl461"/>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eastAsiaTheme="minorHAnsi"/>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styleId="ListParagraph">
    <w:name w:val="List Paragraph"/>
    <w:basedOn w:val="Normal"/>
    <w:uiPriority w:val="34"/>
    <w:qFormat/>
    <w:pPr>
      <w:spacing w:after="0" w:line="240" w:lineRule="auto"/>
    </w:pPr>
    <w:rPr>
      <w:rFonts w:eastAsia="Times New Roman"/>
      <w:sz w:val="24"/>
      <w:szCs w:val="24"/>
    </w:rPr>
  </w:style>
  <w:style w:type="paragraph" w:styleId="Revision">
    <w:name w:val="Revision"/>
    <w:hidden/>
    <w:uiPriority w:val="99"/>
    <w:semiHidden/>
    <w:rPr>
      <w:rFonts w:ascii="Times New Roman" w:hAnsi="Times New Roman"/>
      <w:sz w:val="23"/>
      <w:szCs w:val="22"/>
    </w:rPr>
  </w:style>
  <w:style w:type="paragraph" w:customStyle="1" w:styleId="xl462">
    <w:name w:val="xl46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463">
    <w:name w:val="xl46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rPr>
  </w:style>
  <w:style w:type="paragraph" w:customStyle="1" w:styleId="xl464">
    <w:name w:val="xl46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465">
    <w:name w:val="xl465"/>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466">
    <w:name w:val="xl466"/>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67">
    <w:name w:val="xl467"/>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68">
    <w:name w:val="xl46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69">
    <w:name w:val="xl46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70">
    <w:name w:val="xl470"/>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471">
    <w:name w:val="xl471"/>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472">
    <w:name w:val="xl472"/>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473">
    <w:name w:val="xl473"/>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474">
    <w:name w:val="xl474"/>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475">
    <w:name w:val="xl475"/>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476">
    <w:name w:val="xl476"/>
    <w:basedOn w:val="Normal"/>
    <w:pPr>
      <w:pBdr>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477">
    <w:name w:val="xl477"/>
    <w:basedOn w:val="Normal"/>
    <w:pPr>
      <w:pBdr>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478">
    <w:name w:val="xl478"/>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479">
    <w:name w:val="xl479"/>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480">
    <w:name w:val="xl480"/>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rPr>
  </w:style>
  <w:style w:type="paragraph" w:customStyle="1" w:styleId="xl481">
    <w:name w:val="xl481"/>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82">
    <w:name w:val="xl482"/>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83">
    <w:name w:val="xl483"/>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84">
    <w:name w:val="xl484"/>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85">
    <w:name w:val="xl485"/>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86">
    <w:name w:val="xl48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487">
    <w:name w:val="xl48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488">
    <w:name w:val="xl488"/>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489">
    <w:name w:val="xl489"/>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490">
    <w:name w:val="xl490"/>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491">
    <w:name w:val="xl491"/>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92">
    <w:name w:val="xl492"/>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93">
    <w:name w:val="xl493"/>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94">
    <w:name w:val="xl4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95">
    <w:name w:val="xl4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96">
    <w:name w:val="xl4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97">
    <w:name w:val="xl4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98">
    <w:name w:val="xl498"/>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499">
    <w:name w:val="xl499"/>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00">
    <w:name w:val="xl500"/>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01">
    <w:name w:val="xl501"/>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02">
    <w:name w:val="xl502"/>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03">
    <w:name w:val="xl503"/>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04">
    <w:name w:val="xl504"/>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05">
    <w:name w:val="xl50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rPr>
  </w:style>
  <w:style w:type="paragraph" w:customStyle="1" w:styleId="xl506">
    <w:name w:val="xl50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507">
    <w:name w:val="xl507"/>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508">
    <w:name w:val="xl508"/>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509">
    <w:name w:val="xl509"/>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510">
    <w:name w:val="xl51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511">
    <w:name w:val="xl511"/>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512">
    <w:name w:val="xl512"/>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513">
    <w:name w:val="xl513"/>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514">
    <w:name w:val="xl514"/>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515">
    <w:name w:val="xl515"/>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516">
    <w:name w:val="xl516"/>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517">
    <w:name w:val="xl517"/>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518">
    <w:name w:val="xl518"/>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19">
    <w:name w:val="xl519"/>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20">
    <w:name w:val="xl520"/>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21">
    <w:name w:val="xl52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22">
    <w:name w:val="xl52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23">
    <w:name w:val="xl523"/>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24">
    <w:name w:val="xl524"/>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25">
    <w:name w:val="xl525"/>
    <w:basedOn w:val="Normal"/>
    <w:pPr>
      <w:pBdr>
        <w:top w:val="dotted"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rPr>
  </w:style>
  <w:style w:type="paragraph" w:customStyle="1" w:styleId="xl526">
    <w:name w:val="xl526"/>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rPr>
  </w:style>
  <w:style w:type="paragraph" w:customStyle="1" w:styleId="xl527">
    <w:name w:val="xl527"/>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rPr>
  </w:style>
  <w:style w:type="paragraph" w:customStyle="1" w:styleId="xl528">
    <w:name w:val="xl528"/>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rPr>
  </w:style>
  <w:style w:type="paragraph" w:customStyle="1" w:styleId="xl529">
    <w:name w:val="xl529"/>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rPr>
  </w:style>
  <w:style w:type="paragraph" w:customStyle="1" w:styleId="xl530">
    <w:name w:val="xl530"/>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rPr>
  </w:style>
  <w:style w:type="paragraph" w:customStyle="1" w:styleId="xl531">
    <w:name w:val="xl53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rPr>
  </w:style>
  <w:style w:type="paragraph" w:customStyle="1" w:styleId="xl532">
    <w:name w:val="xl532"/>
    <w:basedOn w:val="Normal"/>
    <w:pPr>
      <w:pBdr>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rPr>
  </w:style>
  <w:style w:type="paragraph" w:customStyle="1" w:styleId="xl533">
    <w:name w:val="xl533"/>
    <w:basedOn w:val="Normal"/>
    <w:pPr>
      <w:pBdr>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534">
    <w:name w:val="xl534"/>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rPr>
  </w:style>
  <w:style w:type="paragraph" w:customStyle="1" w:styleId="xl535">
    <w:name w:val="xl535"/>
    <w:basedOn w:val="Normal"/>
    <w:pPr>
      <w:pBdr>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536">
    <w:name w:val="xl536"/>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rPr>
  </w:style>
  <w:style w:type="paragraph" w:customStyle="1" w:styleId="xl537">
    <w:name w:val="xl537"/>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eastAsia="Times New Roman"/>
      <w:i/>
      <w:iCs/>
      <w:sz w:val="16"/>
      <w:szCs w:val="16"/>
    </w:rPr>
  </w:style>
  <w:style w:type="paragraph" w:customStyle="1" w:styleId="xl538">
    <w:name w:val="xl538"/>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eastAsia="Times New Roman"/>
      <w:i/>
      <w:iCs/>
      <w:sz w:val="16"/>
      <w:szCs w:val="16"/>
    </w:rPr>
  </w:style>
  <w:style w:type="paragraph" w:customStyle="1" w:styleId="xl539">
    <w:name w:val="xl5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540">
    <w:name w:val="xl5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541">
    <w:name w:val="xl54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542">
    <w:name w:val="xl54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543">
    <w:name w:val="xl543"/>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544">
    <w:name w:val="xl544"/>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545">
    <w:name w:val="xl545"/>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546">
    <w:name w:val="xl546"/>
    <w:basedOn w:val="Normal"/>
    <w:pPr>
      <w:pBdr>
        <w:top w:val="dotted"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rPr>
  </w:style>
  <w:style w:type="paragraph" w:customStyle="1" w:styleId="xl547">
    <w:name w:val="xl547"/>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548">
    <w:name w:val="xl548"/>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549">
    <w:name w:val="xl549"/>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550">
    <w:name w:val="xl550"/>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551">
    <w:name w:val="xl551"/>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552">
    <w:name w:val="xl55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sz w:val="15"/>
      <w:szCs w:val="15"/>
    </w:rPr>
  </w:style>
  <w:style w:type="paragraph" w:customStyle="1" w:styleId="xl553">
    <w:name w:val="xl553"/>
    <w:basedOn w:val="Normal"/>
    <w:pPr>
      <w:pBdr>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5"/>
      <w:szCs w:val="15"/>
    </w:rPr>
  </w:style>
  <w:style w:type="paragraph" w:customStyle="1" w:styleId="xl554">
    <w:name w:val="xl554"/>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b/>
      <w:bCs/>
      <w:sz w:val="15"/>
      <w:szCs w:val="15"/>
    </w:rPr>
  </w:style>
  <w:style w:type="paragraph" w:customStyle="1" w:styleId="xl555">
    <w:name w:val="xl55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5"/>
      <w:szCs w:val="15"/>
    </w:rPr>
  </w:style>
  <w:style w:type="paragraph" w:customStyle="1" w:styleId="xl556">
    <w:name w:val="xl556"/>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i/>
      <w:iCs/>
      <w:sz w:val="15"/>
      <w:szCs w:val="15"/>
    </w:rPr>
  </w:style>
  <w:style w:type="paragraph" w:customStyle="1" w:styleId="xl557">
    <w:name w:val="xl557"/>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558">
    <w:name w:val="xl55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559">
    <w:name w:val="xl559"/>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560">
    <w:name w:val="xl560"/>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561">
    <w:name w:val="xl561"/>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562">
    <w:name w:val="xl562"/>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b/>
      <w:bCs/>
      <w:sz w:val="15"/>
      <w:szCs w:val="15"/>
    </w:rPr>
  </w:style>
  <w:style w:type="paragraph" w:customStyle="1" w:styleId="xl563">
    <w:name w:val="xl563"/>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b/>
      <w:bCs/>
      <w:sz w:val="15"/>
      <w:szCs w:val="15"/>
    </w:rPr>
  </w:style>
  <w:style w:type="paragraph" w:customStyle="1" w:styleId="xl564">
    <w:name w:val="xl564"/>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565">
    <w:name w:val="xl565"/>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566">
    <w:name w:val="xl566"/>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rPr>
  </w:style>
  <w:style w:type="paragraph" w:customStyle="1" w:styleId="xl567">
    <w:name w:val="xl567"/>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rPr>
  </w:style>
  <w:style w:type="paragraph" w:customStyle="1" w:styleId="xl568">
    <w:name w:val="xl56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rPr>
  </w:style>
  <w:style w:type="paragraph" w:customStyle="1" w:styleId="xl569">
    <w:name w:val="xl569"/>
    <w:basedOn w:val="Normal"/>
    <w:pPr>
      <w:pBdr>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rPr>
  </w:style>
  <w:style w:type="paragraph" w:customStyle="1" w:styleId="xl570">
    <w:name w:val="xl570"/>
    <w:basedOn w:val="Normal"/>
    <w:pPr>
      <w:shd w:val="clear" w:color="000000" w:fill="D9D9D9"/>
      <w:spacing w:before="100" w:beforeAutospacing="1" w:after="100" w:afterAutospacing="1" w:line="240" w:lineRule="auto"/>
      <w:jc w:val="center"/>
      <w:textAlignment w:val="center"/>
    </w:pPr>
    <w:rPr>
      <w:rFonts w:eastAsia="Times New Roman"/>
      <w:b/>
      <w:bCs/>
      <w:sz w:val="15"/>
      <w:szCs w:val="15"/>
    </w:rPr>
  </w:style>
  <w:style w:type="paragraph" w:customStyle="1" w:styleId="xl571">
    <w:name w:val="xl571"/>
    <w:basedOn w:val="Normal"/>
    <w:pPr>
      <w:pBdr>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rPr>
  </w:style>
  <w:style w:type="paragraph" w:customStyle="1" w:styleId="xl572">
    <w:name w:val="xl572"/>
    <w:basedOn w:val="Normal"/>
    <w:pPr>
      <w:pBdr>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573">
    <w:name w:val="xl573"/>
    <w:basedOn w:val="Normal"/>
    <w:pPr>
      <w:pBdr>
        <w:bottom w:val="dotted" w:sz="4" w:space="0" w:color="000000"/>
      </w:pBdr>
      <w:spacing w:before="100" w:beforeAutospacing="1" w:after="100" w:afterAutospacing="1" w:line="240" w:lineRule="auto"/>
      <w:textAlignment w:val="center"/>
    </w:pPr>
    <w:rPr>
      <w:rFonts w:eastAsia="Times New Roman"/>
      <w:sz w:val="15"/>
      <w:szCs w:val="15"/>
    </w:rPr>
  </w:style>
  <w:style w:type="paragraph" w:customStyle="1" w:styleId="xl574">
    <w:name w:val="xl574"/>
    <w:basedOn w:val="Normal"/>
    <w:pPr>
      <w:pBdr>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575">
    <w:name w:val="xl575"/>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i/>
      <w:iCs/>
      <w:sz w:val="15"/>
      <w:szCs w:val="15"/>
    </w:rPr>
  </w:style>
  <w:style w:type="paragraph" w:customStyle="1" w:styleId="xl576">
    <w:name w:val="xl576"/>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5"/>
      <w:szCs w:val="15"/>
    </w:rPr>
  </w:style>
  <w:style w:type="paragraph" w:customStyle="1" w:styleId="xl577">
    <w:name w:val="xl577"/>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eastAsia="Times New Roman"/>
      <w:sz w:val="15"/>
      <w:szCs w:val="15"/>
    </w:rPr>
  </w:style>
  <w:style w:type="paragraph" w:customStyle="1" w:styleId="xl578">
    <w:name w:val="xl578"/>
    <w:basedOn w:val="Normal"/>
    <w:pPr>
      <w:pBdr>
        <w:top w:val="dotted" w:sz="4" w:space="0" w:color="000000"/>
        <w:bottom w:val="dotted" w:sz="4" w:space="0" w:color="auto"/>
      </w:pBdr>
      <w:spacing w:before="100" w:beforeAutospacing="1" w:after="100" w:afterAutospacing="1" w:line="240" w:lineRule="auto"/>
      <w:textAlignment w:val="center"/>
    </w:pPr>
    <w:rPr>
      <w:rFonts w:eastAsia="Times New Roman"/>
      <w:sz w:val="15"/>
      <w:szCs w:val="15"/>
    </w:rPr>
  </w:style>
  <w:style w:type="paragraph" w:customStyle="1" w:styleId="xl579">
    <w:name w:val="xl579"/>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580">
    <w:name w:val="xl580"/>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sz w:val="15"/>
      <w:szCs w:val="15"/>
    </w:rPr>
  </w:style>
  <w:style w:type="paragraph" w:customStyle="1" w:styleId="xl581">
    <w:name w:val="xl581"/>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582">
    <w:name w:val="xl582"/>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i/>
      <w:iCs/>
      <w:sz w:val="15"/>
      <w:szCs w:val="15"/>
    </w:rPr>
  </w:style>
  <w:style w:type="paragraph" w:customStyle="1" w:styleId="xl583">
    <w:name w:val="xl583"/>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5"/>
      <w:szCs w:val="15"/>
    </w:rPr>
  </w:style>
  <w:style w:type="paragraph" w:customStyle="1" w:styleId="xl584">
    <w:name w:val="xl584"/>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85">
    <w:name w:val="xl585"/>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86">
    <w:name w:val="xl58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87">
    <w:name w:val="xl58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88">
    <w:name w:val="xl588"/>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89">
    <w:name w:val="xl58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90">
    <w:name w:val="xl590"/>
    <w:basedOn w:val="Normal"/>
    <w:pPr>
      <w:pBdr>
        <w:top w:val="dotted" w:sz="4" w:space="0" w:color="000000"/>
        <w:lef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591">
    <w:name w:val="xl591"/>
    <w:basedOn w:val="Normal"/>
    <w:pPr>
      <w:pBdr>
        <w:top w:val="dotted" w:sz="4" w:space="0" w:color="000000"/>
      </w:pBdr>
      <w:spacing w:before="100" w:beforeAutospacing="1" w:after="100" w:afterAutospacing="1" w:line="240" w:lineRule="auto"/>
      <w:textAlignment w:val="center"/>
    </w:pPr>
    <w:rPr>
      <w:rFonts w:eastAsia="Times New Roman"/>
      <w:sz w:val="15"/>
      <w:szCs w:val="15"/>
    </w:rPr>
  </w:style>
  <w:style w:type="paragraph" w:customStyle="1" w:styleId="xl592">
    <w:name w:val="xl592"/>
    <w:basedOn w:val="Normal"/>
    <w:pPr>
      <w:pBdr>
        <w:top w:val="dotted" w:sz="4" w:space="0" w:color="000000"/>
        <w:righ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593">
    <w:name w:val="xl593"/>
    <w:basedOn w:val="Normal"/>
    <w:pPr>
      <w:pBdr>
        <w:top w:val="dotted" w:sz="4" w:space="0" w:color="000000"/>
        <w:left w:val="single" w:sz="4" w:space="0" w:color="auto"/>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94">
    <w:name w:val="xl594"/>
    <w:basedOn w:val="Normal"/>
    <w:pPr>
      <w:pBdr>
        <w:top w:val="dotted" w:sz="4" w:space="0" w:color="000000"/>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95">
    <w:name w:val="xl595"/>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96">
    <w:name w:val="xl596"/>
    <w:basedOn w:val="Normal"/>
    <w:pPr>
      <w:pBdr>
        <w:bottom w:val="dotted" w:sz="4" w:space="0" w:color="000000"/>
      </w:pBdr>
      <w:spacing w:before="100" w:beforeAutospacing="1" w:after="100" w:afterAutospacing="1" w:line="240" w:lineRule="auto"/>
      <w:jc w:val="right"/>
      <w:textAlignment w:val="center"/>
    </w:pPr>
    <w:rPr>
      <w:rFonts w:eastAsia="Times New Roman"/>
      <w:i/>
      <w:iCs/>
      <w:sz w:val="15"/>
      <w:szCs w:val="15"/>
    </w:rPr>
  </w:style>
  <w:style w:type="paragraph" w:customStyle="1" w:styleId="xl597">
    <w:name w:val="xl597"/>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5"/>
      <w:szCs w:val="15"/>
    </w:rPr>
  </w:style>
  <w:style w:type="paragraph" w:customStyle="1" w:styleId="xl598">
    <w:name w:val="xl598"/>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599">
    <w:name w:val="xl599"/>
    <w:basedOn w:val="Normal"/>
    <w:pPr>
      <w:pBdr>
        <w:top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600">
    <w:name w:val="xl600"/>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601">
    <w:name w:val="xl601"/>
    <w:basedOn w:val="Normal"/>
    <w:pPr>
      <w:pBdr>
        <w:left w:val="single" w:sz="4" w:space="0" w:color="auto"/>
        <w:bottom w:val="dotted" w:sz="4" w:space="0" w:color="auto"/>
      </w:pBdr>
      <w:spacing w:before="100" w:beforeAutospacing="1" w:after="100" w:afterAutospacing="1" w:line="240" w:lineRule="auto"/>
      <w:textAlignment w:val="center"/>
    </w:pPr>
    <w:rPr>
      <w:rFonts w:eastAsia="Times New Roman"/>
      <w:sz w:val="15"/>
      <w:szCs w:val="15"/>
    </w:rPr>
  </w:style>
  <w:style w:type="paragraph" w:customStyle="1" w:styleId="xl602">
    <w:name w:val="xl602"/>
    <w:basedOn w:val="Normal"/>
    <w:pPr>
      <w:pBdr>
        <w:bottom w:val="dotted" w:sz="4" w:space="0" w:color="auto"/>
      </w:pBdr>
      <w:spacing w:before="100" w:beforeAutospacing="1" w:after="100" w:afterAutospacing="1" w:line="240" w:lineRule="auto"/>
      <w:textAlignment w:val="center"/>
    </w:pPr>
    <w:rPr>
      <w:rFonts w:eastAsia="Times New Roman"/>
      <w:sz w:val="15"/>
      <w:szCs w:val="15"/>
    </w:rPr>
  </w:style>
  <w:style w:type="paragraph" w:customStyle="1" w:styleId="xl603">
    <w:name w:val="xl603"/>
    <w:basedOn w:val="Normal"/>
    <w:pPr>
      <w:pBdr>
        <w:bottom w:val="dotted" w:sz="4" w:space="0" w:color="auto"/>
        <w:righ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604">
    <w:name w:val="xl60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5"/>
      <w:szCs w:val="15"/>
    </w:rPr>
  </w:style>
  <w:style w:type="paragraph" w:customStyle="1" w:styleId="xl605">
    <w:name w:val="xl60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5"/>
      <w:szCs w:val="15"/>
    </w:rPr>
  </w:style>
  <w:style w:type="paragraph" w:customStyle="1" w:styleId="xl606">
    <w:name w:val="xl60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5"/>
      <w:szCs w:val="15"/>
    </w:rPr>
  </w:style>
  <w:style w:type="paragraph" w:customStyle="1" w:styleId="xl607">
    <w:name w:val="xl607"/>
    <w:basedOn w:val="Normal"/>
    <w:pPr>
      <w:pBdr>
        <w:bottom w:val="single" w:sz="4" w:space="0" w:color="auto"/>
      </w:pBdr>
      <w:spacing w:before="100" w:beforeAutospacing="1" w:after="100" w:afterAutospacing="1" w:line="240" w:lineRule="auto"/>
      <w:jc w:val="right"/>
    </w:pPr>
    <w:rPr>
      <w:rFonts w:eastAsia="Times New Roman"/>
      <w:i/>
      <w:iCs/>
      <w:color w:val="000000"/>
      <w:sz w:val="24"/>
      <w:szCs w:val="24"/>
    </w:rPr>
  </w:style>
  <w:style w:type="paragraph" w:customStyle="1" w:styleId="xl608">
    <w:name w:val="xl608"/>
    <w:basedOn w:val="Normal"/>
    <w:pPr>
      <w:pBdr>
        <w:left w:val="single" w:sz="4" w:space="0" w:color="auto"/>
        <w:bottom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609">
    <w:name w:val="xl609"/>
    <w:basedOn w:val="Normal"/>
    <w:pPr>
      <w:pBdr>
        <w:bottom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610">
    <w:name w:val="xl610"/>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611">
    <w:name w:val="xl611"/>
    <w:basedOn w:val="Normal"/>
    <w:pPr>
      <w:pBdr>
        <w:top w:val="dotted" w:sz="4" w:space="0" w:color="000000"/>
        <w:left w:val="single" w:sz="4" w:space="0" w:color="auto"/>
        <w:bottom w:val="dotted" w:sz="4" w:space="0" w:color="000000"/>
      </w:pBdr>
      <w:spacing w:before="100" w:beforeAutospacing="1" w:after="100" w:afterAutospacing="1" w:line="240" w:lineRule="auto"/>
      <w:textAlignment w:val="center"/>
    </w:pPr>
    <w:rPr>
      <w:rFonts w:eastAsia="Times New Roman"/>
      <w:sz w:val="15"/>
      <w:szCs w:val="15"/>
    </w:rPr>
  </w:style>
  <w:style w:type="paragraph" w:customStyle="1" w:styleId="xl612">
    <w:name w:val="xl612"/>
    <w:basedOn w:val="Normal"/>
    <w:pPr>
      <w:pBdr>
        <w:top w:val="dotted" w:sz="4" w:space="0" w:color="000000"/>
        <w:bottom w:val="dotted" w:sz="4" w:space="0" w:color="000000"/>
      </w:pBdr>
      <w:spacing w:before="100" w:beforeAutospacing="1" w:after="100" w:afterAutospacing="1" w:line="240" w:lineRule="auto"/>
      <w:textAlignment w:val="center"/>
    </w:pPr>
    <w:rPr>
      <w:rFonts w:eastAsia="Times New Roman"/>
      <w:sz w:val="15"/>
      <w:szCs w:val="15"/>
    </w:rPr>
  </w:style>
  <w:style w:type="paragraph" w:customStyle="1" w:styleId="xl613">
    <w:name w:val="xl613"/>
    <w:basedOn w:val="Normal"/>
    <w:pPr>
      <w:pBdr>
        <w:top w:val="dotted" w:sz="4" w:space="0" w:color="000000"/>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614">
    <w:name w:val="xl614"/>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rPr>
  </w:style>
  <w:style w:type="paragraph" w:customStyle="1" w:styleId="xl615">
    <w:name w:val="xl615"/>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rPr>
  </w:style>
  <w:style w:type="paragraph" w:customStyle="1" w:styleId="xl616">
    <w:name w:val="xl61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rPr>
  </w:style>
  <w:style w:type="paragraph" w:customStyle="1" w:styleId="xl617">
    <w:name w:val="xl617"/>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618">
    <w:name w:val="xl618"/>
    <w:basedOn w:val="Normal"/>
    <w:pPr>
      <w:pBdr>
        <w:top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619">
    <w:name w:val="xl619"/>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620">
    <w:name w:val="xl620"/>
    <w:basedOn w:val="Normal"/>
    <w:pPr>
      <w:pBdr>
        <w:lef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621">
    <w:name w:val="xl621"/>
    <w:basedOn w:val="Normal"/>
    <w:pPr>
      <w:spacing w:before="100" w:beforeAutospacing="1" w:after="100" w:afterAutospacing="1" w:line="240" w:lineRule="auto"/>
      <w:textAlignment w:val="center"/>
    </w:pPr>
    <w:rPr>
      <w:rFonts w:eastAsia="Times New Roman"/>
      <w:sz w:val="16"/>
      <w:szCs w:val="16"/>
    </w:rPr>
  </w:style>
  <w:style w:type="paragraph" w:customStyle="1" w:styleId="xl622">
    <w:name w:val="xl622"/>
    <w:basedOn w:val="Normal"/>
    <w:pPr>
      <w:pBdr>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623">
    <w:name w:val="xl623"/>
    <w:basedOn w:val="Normal"/>
    <w:pPr>
      <w:pBdr>
        <w:top w:val="dotted" w:sz="4" w:space="0" w:color="auto"/>
        <w:bottom w:val="dotted" w:sz="4" w:space="0" w:color="auto"/>
      </w:pBdr>
      <w:spacing w:before="100" w:beforeAutospacing="1" w:after="100" w:afterAutospacing="1" w:line="240" w:lineRule="auto"/>
      <w:textAlignment w:val="center"/>
    </w:pPr>
    <w:rPr>
      <w:rFonts w:eastAsia="Times New Roman"/>
      <w:sz w:val="15"/>
      <w:szCs w:val="15"/>
    </w:rPr>
  </w:style>
  <w:style w:type="paragraph" w:customStyle="1" w:styleId="xl624">
    <w:name w:val="xl624"/>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625">
    <w:name w:val="xl625"/>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5"/>
      <w:szCs w:val="15"/>
    </w:rPr>
  </w:style>
  <w:style w:type="paragraph" w:customStyle="1" w:styleId="xl626">
    <w:name w:val="xl626"/>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5"/>
      <w:szCs w:val="15"/>
    </w:rPr>
  </w:style>
  <w:style w:type="paragraph" w:customStyle="1" w:styleId="xl627">
    <w:name w:val="xl627"/>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rPr>
  </w:style>
  <w:style w:type="character" w:styleId="SubtleReference">
    <w:name w:val="Subtle Reference"/>
    <w:basedOn w:val="DefaultParagraphFont"/>
    <w:uiPriority w:val="31"/>
    <w:qFormat/>
    <w:rPr>
      <w:smallCaps/>
      <w:color w:val="C0504D" w:themeColor="accent2"/>
      <w:u w:val="single"/>
    </w:rPr>
  </w:style>
  <w:style w:type="paragraph" w:customStyle="1" w:styleId="xl628">
    <w:name w:val="xl628"/>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35" w:qFormat="1"/>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imes New Roman" w:hAnsi="Times New Roman"/>
      <w:sz w:val="23"/>
      <w:szCs w:val="22"/>
    </w:rPr>
  </w:style>
  <w:style w:type="paragraph" w:styleId="Heading1">
    <w:name w:val="heading 1"/>
    <w:basedOn w:val="Normal"/>
    <w:next w:val="Text1"/>
    <w:link w:val="Heading1Char"/>
    <w:autoRedefine/>
    <w:uiPriority w:val="99"/>
    <w:qFormat/>
    <w:pPr>
      <w:keepNext/>
      <w:numPr>
        <w:numId w:val="14"/>
      </w:numPr>
      <w:spacing w:before="360" w:after="240" w:line="240" w:lineRule="auto"/>
      <w:jc w:val="both"/>
      <w:outlineLvl w:val="0"/>
    </w:pPr>
    <w:rPr>
      <w:rFonts w:eastAsia="Times New Roman"/>
      <w:b/>
      <w:bCs/>
      <w:smallCaps/>
      <w:sz w:val="24"/>
      <w:szCs w:val="32"/>
    </w:rPr>
  </w:style>
  <w:style w:type="paragraph" w:styleId="Heading2">
    <w:name w:val="heading 2"/>
    <w:basedOn w:val="Normal"/>
    <w:next w:val="Text2"/>
    <w:link w:val="Heading2Char"/>
    <w:autoRedefine/>
    <w:uiPriority w:val="99"/>
    <w:qFormat/>
    <w:pPr>
      <w:keepNext/>
      <w:keepLines/>
      <w:numPr>
        <w:ilvl w:val="1"/>
        <w:numId w:val="14"/>
      </w:numPr>
      <w:spacing w:before="240" w:after="120" w:line="240" w:lineRule="auto"/>
      <w:jc w:val="both"/>
      <w:outlineLvl w:val="1"/>
    </w:pPr>
    <w:rPr>
      <w:rFonts w:eastAsia="Times New Roman"/>
      <w:b/>
      <w:bCs/>
      <w:iCs/>
      <w:sz w:val="24"/>
      <w:szCs w:val="28"/>
    </w:rPr>
  </w:style>
  <w:style w:type="paragraph" w:styleId="Heading3">
    <w:name w:val="heading 3"/>
    <w:basedOn w:val="Normal"/>
    <w:next w:val="Text3"/>
    <w:link w:val="Heading3Char"/>
    <w:uiPriority w:val="99"/>
    <w:qFormat/>
    <w:pPr>
      <w:keepNext/>
      <w:numPr>
        <w:ilvl w:val="2"/>
        <w:numId w:val="14"/>
      </w:numPr>
      <w:spacing w:before="120" w:after="120" w:line="240" w:lineRule="auto"/>
      <w:jc w:val="both"/>
      <w:outlineLvl w:val="2"/>
    </w:pPr>
    <w:rPr>
      <w:rFonts w:eastAsia="Times New Roman"/>
      <w:bCs/>
      <w:i/>
      <w:sz w:val="24"/>
      <w:szCs w:val="26"/>
    </w:rPr>
  </w:style>
  <w:style w:type="paragraph" w:styleId="Heading4">
    <w:name w:val="heading 4"/>
    <w:basedOn w:val="Normal"/>
    <w:next w:val="Text4"/>
    <w:link w:val="Heading4Char"/>
    <w:uiPriority w:val="99"/>
    <w:qFormat/>
    <w:pPr>
      <w:keepNext/>
      <w:numPr>
        <w:ilvl w:val="3"/>
        <w:numId w:val="14"/>
      </w:numPr>
      <w:spacing w:before="120" w:after="120" w:line="240" w:lineRule="auto"/>
      <w:jc w:val="both"/>
      <w:outlineLvl w:val="3"/>
    </w:pPr>
    <w:rPr>
      <w:rFonts w:eastAsia="Times New Roman"/>
      <w:bCs/>
      <w:sz w:val="24"/>
      <w:szCs w:val="28"/>
    </w:rPr>
  </w:style>
  <w:style w:type="paragraph" w:styleId="Heading5">
    <w:name w:val="heading 5"/>
    <w:basedOn w:val="Normal"/>
    <w:next w:val="Normal"/>
    <w:link w:val="Heading5Char"/>
    <w:uiPriority w:val="99"/>
    <w:qFormat/>
    <w:pPr>
      <w:keepNext/>
      <w:tabs>
        <w:tab w:val="num" w:pos="1700"/>
      </w:tabs>
      <w:spacing w:before="120" w:after="120" w:line="240" w:lineRule="auto"/>
      <w:ind w:left="1700" w:hanging="1700"/>
      <w:jc w:val="both"/>
      <w:outlineLvl w:val="4"/>
    </w:pPr>
    <w:rPr>
      <w:rFonts w:eastAsia="Times New Roman"/>
      <w:sz w:val="24"/>
      <w:szCs w:val="24"/>
    </w:rPr>
  </w:style>
  <w:style w:type="paragraph" w:styleId="Heading6">
    <w:name w:val="heading 6"/>
    <w:basedOn w:val="Normal"/>
    <w:next w:val="Normal"/>
    <w:link w:val="Heading6Char"/>
    <w:uiPriority w:val="99"/>
    <w:qFormat/>
    <w:pPr>
      <w:keepNext/>
      <w:tabs>
        <w:tab w:val="num" w:pos="1700"/>
      </w:tabs>
      <w:spacing w:before="120" w:after="120" w:line="240" w:lineRule="auto"/>
      <w:ind w:left="1700" w:hanging="1700"/>
      <w:jc w:val="both"/>
      <w:outlineLvl w:val="5"/>
    </w:pPr>
    <w:rPr>
      <w:rFonts w:eastAsia="Times New Roman"/>
      <w:sz w:val="24"/>
      <w:szCs w:val="24"/>
    </w:rPr>
  </w:style>
  <w:style w:type="paragraph" w:styleId="Heading7">
    <w:name w:val="heading 7"/>
    <w:basedOn w:val="Normal"/>
    <w:next w:val="Normal"/>
    <w:link w:val="Heading7Char"/>
    <w:uiPriority w:val="99"/>
    <w:qFormat/>
    <w:pPr>
      <w:keepNext/>
      <w:tabs>
        <w:tab w:val="num" w:pos="1700"/>
      </w:tabs>
      <w:spacing w:before="120" w:after="120" w:line="240" w:lineRule="auto"/>
      <w:ind w:left="1700" w:hanging="1700"/>
      <w:jc w:val="both"/>
      <w:outlineLvl w:val="6"/>
    </w:pPr>
    <w:rPr>
      <w:rFonts w:eastAsia="Times New Roman"/>
      <w:sz w:val="24"/>
      <w:szCs w:val="24"/>
    </w:rPr>
  </w:style>
  <w:style w:type="paragraph" w:styleId="Heading8">
    <w:name w:val="heading 8"/>
    <w:basedOn w:val="Normal"/>
    <w:next w:val="Normal"/>
    <w:link w:val="Heading8Char"/>
    <w:uiPriority w:val="99"/>
    <w:qFormat/>
    <w:pPr>
      <w:keepNext/>
      <w:tabs>
        <w:tab w:val="num" w:pos="1700"/>
      </w:tabs>
      <w:spacing w:before="120" w:after="120" w:line="240" w:lineRule="auto"/>
      <w:ind w:left="1700" w:hanging="1700"/>
      <w:jc w:val="both"/>
      <w:outlineLvl w:val="7"/>
    </w:pPr>
    <w:rPr>
      <w:rFonts w:eastAsia="Times New Roman"/>
      <w:sz w:val="24"/>
      <w:szCs w:val="24"/>
    </w:rPr>
  </w:style>
  <w:style w:type="paragraph" w:styleId="Heading9">
    <w:name w:val="heading 9"/>
    <w:basedOn w:val="Normal"/>
    <w:next w:val="Normal"/>
    <w:link w:val="Heading9Char"/>
    <w:uiPriority w:val="99"/>
    <w:qFormat/>
    <w:pPr>
      <w:keepNext/>
      <w:tabs>
        <w:tab w:val="num" w:pos="1700"/>
      </w:tabs>
      <w:spacing w:before="120" w:after="120" w:line="240" w:lineRule="auto"/>
      <w:ind w:left="1700" w:hanging="1700"/>
      <w:jc w:val="both"/>
      <w:outlineLvl w:val="8"/>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pPr>
      <w:spacing w:before="120" w:after="120" w:line="240" w:lineRule="auto"/>
      <w:ind w:left="850"/>
      <w:jc w:val="both"/>
    </w:pPr>
    <w:rPr>
      <w:rFonts w:eastAsia="Times New Roman"/>
      <w:sz w:val="24"/>
      <w:szCs w:val="24"/>
    </w:rPr>
  </w:style>
  <w:style w:type="character" w:customStyle="1" w:styleId="Heading1Char">
    <w:name w:val="Heading 1 Char"/>
    <w:link w:val="Heading1"/>
    <w:uiPriority w:val="99"/>
    <w:rPr>
      <w:rFonts w:ascii="Times New Roman" w:eastAsia="Times New Roman" w:hAnsi="Times New Roman"/>
      <w:b/>
      <w:bCs/>
      <w:smallCaps/>
      <w:sz w:val="24"/>
      <w:szCs w:val="32"/>
      <w:lang w:eastAsia="fr-FR"/>
    </w:rPr>
  </w:style>
  <w:style w:type="paragraph" w:customStyle="1" w:styleId="Text2">
    <w:name w:val="Text 2"/>
    <w:basedOn w:val="Normal"/>
    <w:pPr>
      <w:spacing w:before="120" w:after="120" w:line="240" w:lineRule="auto"/>
      <w:ind w:left="850"/>
      <w:jc w:val="both"/>
    </w:pPr>
    <w:rPr>
      <w:rFonts w:eastAsia="Times New Roman"/>
      <w:sz w:val="24"/>
      <w:szCs w:val="24"/>
    </w:rPr>
  </w:style>
  <w:style w:type="character" w:customStyle="1" w:styleId="Heading2Char">
    <w:name w:val="Heading 2 Char"/>
    <w:link w:val="Heading2"/>
    <w:uiPriority w:val="99"/>
    <w:rPr>
      <w:rFonts w:ascii="Times New Roman" w:eastAsia="Times New Roman" w:hAnsi="Times New Roman"/>
      <w:b/>
      <w:bCs/>
      <w:iCs/>
      <w:sz w:val="24"/>
      <w:szCs w:val="28"/>
      <w:lang w:eastAsia="fr-FR"/>
    </w:rPr>
  </w:style>
  <w:style w:type="paragraph" w:customStyle="1" w:styleId="Text3">
    <w:name w:val="Text 3"/>
    <w:basedOn w:val="Normal"/>
    <w:pPr>
      <w:spacing w:before="120" w:after="120" w:line="240" w:lineRule="auto"/>
      <w:ind w:left="850"/>
      <w:jc w:val="both"/>
    </w:pPr>
    <w:rPr>
      <w:rFonts w:eastAsia="Times New Roman"/>
      <w:sz w:val="24"/>
      <w:szCs w:val="24"/>
    </w:rPr>
  </w:style>
  <w:style w:type="character" w:customStyle="1" w:styleId="Heading3Char">
    <w:name w:val="Heading 3 Char"/>
    <w:link w:val="Heading3"/>
    <w:uiPriority w:val="99"/>
    <w:rPr>
      <w:rFonts w:ascii="Times New Roman" w:eastAsia="Times New Roman" w:hAnsi="Times New Roman"/>
      <w:bCs/>
      <w:i/>
      <w:sz w:val="24"/>
      <w:szCs w:val="26"/>
      <w:lang w:eastAsia="fr-FR"/>
    </w:rPr>
  </w:style>
  <w:style w:type="paragraph" w:customStyle="1" w:styleId="Text4">
    <w:name w:val="Text 4"/>
    <w:basedOn w:val="Normal"/>
    <w:pPr>
      <w:spacing w:before="120" w:after="120" w:line="240" w:lineRule="auto"/>
      <w:ind w:left="850"/>
      <w:jc w:val="both"/>
    </w:pPr>
    <w:rPr>
      <w:rFonts w:eastAsia="Times New Roman"/>
      <w:sz w:val="24"/>
      <w:szCs w:val="24"/>
    </w:rPr>
  </w:style>
  <w:style w:type="character" w:customStyle="1" w:styleId="Heading4Char">
    <w:name w:val="Heading 4 Char"/>
    <w:link w:val="Heading4"/>
    <w:uiPriority w:val="99"/>
    <w:rPr>
      <w:rFonts w:ascii="Times New Roman" w:eastAsia="Times New Roman" w:hAnsi="Times New Roman"/>
      <w:bCs/>
      <w:sz w:val="24"/>
      <w:szCs w:val="28"/>
      <w:lang w:eastAsia="fr-FR"/>
    </w:rPr>
  </w:style>
  <w:style w:type="character" w:customStyle="1" w:styleId="Heading5Char">
    <w:name w:val="Heading 5 Char"/>
    <w:link w:val="Heading5"/>
    <w:uiPriority w:val="99"/>
    <w:rPr>
      <w:rFonts w:ascii="Times New Roman" w:eastAsia="Times New Roman" w:hAnsi="Times New Roman" w:cs="Times New Roman"/>
      <w:sz w:val="24"/>
      <w:szCs w:val="24"/>
      <w:lang w:val="fr-FR" w:eastAsia="fr-FR"/>
    </w:rPr>
  </w:style>
  <w:style w:type="character" w:customStyle="1" w:styleId="Heading6Char">
    <w:name w:val="Heading 6 Char"/>
    <w:link w:val="Heading6"/>
    <w:uiPriority w:val="99"/>
    <w:rPr>
      <w:rFonts w:ascii="Times New Roman" w:eastAsia="Times New Roman" w:hAnsi="Times New Roman" w:cs="Times New Roman"/>
      <w:sz w:val="24"/>
      <w:szCs w:val="24"/>
      <w:lang w:val="fr-FR" w:eastAsia="fr-FR"/>
    </w:rPr>
  </w:style>
  <w:style w:type="character" w:customStyle="1" w:styleId="Heading7Char">
    <w:name w:val="Heading 7 Char"/>
    <w:link w:val="Heading7"/>
    <w:uiPriority w:val="99"/>
    <w:rPr>
      <w:rFonts w:ascii="Times New Roman" w:eastAsia="Times New Roman" w:hAnsi="Times New Roman" w:cs="Times New Roman"/>
      <w:sz w:val="24"/>
      <w:szCs w:val="24"/>
      <w:lang w:val="fr-FR" w:eastAsia="fr-FR"/>
    </w:rPr>
  </w:style>
  <w:style w:type="character" w:customStyle="1" w:styleId="Heading8Char">
    <w:name w:val="Heading 8 Char"/>
    <w:link w:val="Heading8"/>
    <w:uiPriority w:val="99"/>
    <w:rPr>
      <w:rFonts w:ascii="Times New Roman" w:eastAsia="Times New Roman" w:hAnsi="Times New Roman" w:cs="Times New Roman"/>
      <w:sz w:val="24"/>
      <w:szCs w:val="24"/>
      <w:lang w:val="fr-FR" w:eastAsia="fr-FR"/>
    </w:rPr>
  </w:style>
  <w:style w:type="character" w:customStyle="1" w:styleId="Heading9Char">
    <w:name w:val="Heading 9 Char"/>
    <w:link w:val="Heading9"/>
    <w:uiPriority w:val="99"/>
    <w:rPr>
      <w:rFonts w:ascii="Times New Roman" w:eastAsia="Times New Roman" w:hAnsi="Times New Roman" w:cs="Times New Roman"/>
      <w:sz w:val="24"/>
      <w:szCs w:val="24"/>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eastAsia="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heme="minorHAnsi"/>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eastAsiaTheme="minorHAnsi"/>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
    <w:basedOn w:val="Normal"/>
    <w:link w:val="FootnoteTextChar"/>
    <w:uiPriority w:val="99"/>
    <w:qFormat/>
    <w:pPr>
      <w:spacing w:after="0" w:line="240" w:lineRule="auto"/>
      <w:ind w:left="720" w:hanging="720"/>
      <w:jc w:val="both"/>
    </w:pPr>
    <w:rPr>
      <w:rFonts w:eastAsia="Times New Roman"/>
      <w:sz w:val="20"/>
      <w:szCs w:val="20"/>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
    <w:link w:val="FootnoteText"/>
    <w:uiPriority w:val="99"/>
    <w:rPr>
      <w:rFonts w:ascii="Times New Roman" w:eastAsia="Times New Roman" w:hAnsi="Times New Roman" w:cs="Times New Roman"/>
      <w:sz w:val="20"/>
      <w:szCs w:val="20"/>
      <w:lang w:val="fr-FR" w:eastAsia="fr-FR"/>
    </w:rPr>
  </w:style>
  <w:style w:type="paragraph" w:styleId="ListBullet">
    <w:name w:val="List Bullet"/>
    <w:basedOn w:val="Normal"/>
    <w:pPr>
      <w:numPr>
        <w:numId w:val="23"/>
      </w:numPr>
      <w:spacing w:before="120" w:after="120" w:line="240" w:lineRule="auto"/>
      <w:jc w:val="both"/>
    </w:pPr>
    <w:rPr>
      <w:rFonts w:eastAsia="Times New Roman"/>
      <w:sz w:val="24"/>
      <w:szCs w:val="24"/>
    </w:rPr>
  </w:style>
  <w:style w:type="paragraph" w:styleId="ListBullet2">
    <w:name w:val="List Bullet 2"/>
    <w:basedOn w:val="Normal"/>
    <w:pPr>
      <w:numPr>
        <w:numId w:val="22"/>
      </w:numPr>
      <w:spacing w:before="120" w:after="120" w:line="240" w:lineRule="auto"/>
      <w:jc w:val="both"/>
    </w:pPr>
    <w:rPr>
      <w:rFonts w:eastAsia="Times New Roman"/>
      <w:sz w:val="24"/>
      <w:szCs w:val="24"/>
    </w:rPr>
  </w:style>
  <w:style w:type="paragraph" w:styleId="ListBullet3">
    <w:name w:val="List Bullet 3"/>
    <w:basedOn w:val="Normal"/>
    <w:pPr>
      <w:numPr>
        <w:numId w:val="21"/>
      </w:numPr>
      <w:spacing w:before="120" w:after="120" w:line="240" w:lineRule="auto"/>
      <w:jc w:val="both"/>
    </w:pPr>
    <w:rPr>
      <w:rFonts w:eastAsia="Times New Roman"/>
      <w:sz w:val="24"/>
      <w:szCs w:val="24"/>
    </w:rPr>
  </w:style>
  <w:style w:type="paragraph" w:styleId="ListBullet4">
    <w:name w:val="List Bullet 4"/>
    <w:basedOn w:val="Normal"/>
    <w:pPr>
      <w:numPr>
        <w:numId w:val="20"/>
      </w:numPr>
      <w:spacing w:before="120" w:after="120" w:line="240" w:lineRule="auto"/>
      <w:jc w:val="both"/>
    </w:pPr>
    <w:rPr>
      <w:rFonts w:eastAsia="Times New Roman"/>
      <w:sz w:val="24"/>
      <w:szCs w:val="24"/>
    </w:rPr>
  </w:style>
  <w:style w:type="paragraph" w:styleId="ListNumber">
    <w:name w:val="List Number"/>
    <w:basedOn w:val="Normal"/>
    <w:pPr>
      <w:numPr>
        <w:numId w:val="19"/>
      </w:numPr>
      <w:spacing w:before="120" w:after="120" w:line="240" w:lineRule="auto"/>
      <w:jc w:val="both"/>
    </w:pPr>
    <w:rPr>
      <w:rFonts w:eastAsia="Times New Roman"/>
      <w:sz w:val="24"/>
      <w:szCs w:val="24"/>
    </w:rPr>
  </w:style>
  <w:style w:type="paragraph" w:styleId="ListNumber2">
    <w:name w:val="List Number 2"/>
    <w:basedOn w:val="Normal"/>
    <w:pPr>
      <w:numPr>
        <w:numId w:val="18"/>
      </w:numPr>
      <w:spacing w:before="120" w:after="120" w:line="240" w:lineRule="auto"/>
      <w:jc w:val="both"/>
    </w:pPr>
    <w:rPr>
      <w:rFonts w:eastAsia="Times New Roman"/>
      <w:sz w:val="24"/>
      <w:szCs w:val="24"/>
    </w:rPr>
  </w:style>
  <w:style w:type="paragraph" w:styleId="ListNumber3">
    <w:name w:val="List Number 3"/>
    <w:basedOn w:val="Normal"/>
    <w:pPr>
      <w:numPr>
        <w:numId w:val="17"/>
      </w:numPr>
      <w:spacing w:before="120" w:after="120" w:line="240" w:lineRule="auto"/>
      <w:jc w:val="both"/>
    </w:pPr>
    <w:rPr>
      <w:rFonts w:eastAsia="Times New Roman"/>
      <w:sz w:val="24"/>
      <w:szCs w:val="24"/>
    </w:rPr>
  </w:style>
  <w:style w:type="paragraph" w:styleId="ListNumber4">
    <w:name w:val="List Number 4"/>
    <w:basedOn w:val="Normal"/>
    <w:pPr>
      <w:numPr>
        <w:numId w:val="16"/>
      </w:numPr>
      <w:spacing w:before="120" w:after="120" w:line="240" w:lineRule="auto"/>
      <w:jc w:val="both"/>
    </w:pPr>
    <w:rPr>
      <w:rFonts w:eastAsia="Times New Roman"/>
      <w:sz w:val="24"/>
      <w:szCs w:val="24"/>
    </w:rPr>
  </w:style>
  <w:style w:type="paragraph" w:styleId="TOC1">
    <w:name w:val="toc 1"/>
    <w:basedOn w:val="Normal"/>
    <w:next w:val="Normal"/>
    <w:uiPriority w:val="39"/>
    <w:pPr>
      <w:spacing w:before="120" w:after="120" w:line="240" w:lineRule="auto"/>
    </w:pPr>
    <w:rPr>
      <w:rFonts w:ascii="Calibri" w:eastAsia="Times New Roman" w:hAnsi="Calibri" w:cs="Calibri"/>
      <w:b/>
      <w:bCs/>
      <w:caps/>
      <w:sz w:val="20"/>
      <w:szCs w:val="20"/>
    </w:rPr>
  </w:style>
  <w:style w:type="paragraph" w:styleId="TOC2">
    <w:name w:val="toc 2"/>
    <w:basedOn w:val="Normal"/>
    <w:next w:val="Normal"/>
    <w:uiPriority w:val="39"/>
    <w:pPr>
      <w:spacing w:after="0" w:line="240" w:lineRule="auto"/>
      <w:ind w:left="240"/>
    </w:pPr>
    <w:rPr>
      <w:rFonts w:ascii="Calibri" w:eastAsia="Times New Roman" w:hAnsi="Calibri" w:cs="Calibri"/>
      <w:smallCaps/>
      <w:sz w:val="20"/>
      <w:szCs w:val="20"/>
    </w:rPr>
  </w:style>
  <w:style w:type="paragraph" w:styleId="TOC3">
    <w:name w:val="toc 3"/>
    <w:basedOn w:val="Normal"/>
    <w:next w:val="Normal"/>
    <w:uiPriority w:val="39"/>
    <w:pPr>
      <w:spacing w:after="0" w:line="240" w:lineRule="auto"/>
      <w:ind w:left="480"/>
    </w:pPr>
    <w:rPr>
      <w:rFonts w:ascii="Calibri" w:eastAsia="Times New Roman" w:hAnsi="Calibri" w:cs="Calibri"/>
      <w:i/>
      <w:iCs/>
      <w:sz w:val="20"/>
      <w:szCs w:val="20"/>
    </w:rPr>
  </w:style>
  <w:style w:type="paragraph" w:styleId="TOC4">
    <w:name w:val="toc 4"/>
    <w:basedOn w:val="Normal"/>
    <w:next w:val="Normal"/>
    <w:uiPriority w:val="99"/>
    <w:semiHidden/>
    <w:pPr>
      <w:spacing w:after="0" w:line="240" w:lineRule="auto"/>
      <w:ind w:left="720"/>
    </w:pPr>
    <w:rPr>
      <w:rFonts w:ascii="Calibri" w:eastAsia="Times New Roman" w:hAnsi="Calibri" w:cs="Calibri"/>
      <w:sz w:val="18"/>
      <w:szCs w:val="18"/>
    </w:rPr>
  </w:style>
  <w:style w:type="paragraph" w:styleId="TOC5">
    <w:name w:val="toc 5"/>
    <w:basedOn w:val="Normal"/>
    <w:next w:val="Normal"/>
    <w:semiHidden/>
    <w:pPr>
      <w:spacing w:after="0" w:line="240" w:lineRule="auto"/>
      <w:ind w:left="960"/>
    </w:pPr>
    <w:rPr>
      <w:rFonts w:ascii="Calibri" w:eastAsia="Times New Roman" w:hAnsi="Calibri" w:cs="Calibri"/>
      <w:sz w:val="18"/>
      <w:szCs w:val="18"/>
    </w:rPr>
  </w:style>
  <w:style w:type="paragraph" w:styleId="TOC6">
    <w:name w:val="toc 6"/>
    <w:basedOn w:val="Normal"/>
    <w:next w:val="Normal"/>
    <w:semiHidden/>
    <w:pPr>
      <w:spacing w:after="0" w:line="240" w:lineRule="auto"/>
      <w:ind w:left="1200"/>
    </w:pPr>
    <w:rPr>
      <w:rFonts w:ascii="Calibri" w:eastAsia="Times New Roman" w:hAnsi="Calibri" w:cs="Calibri"/>
      <w:sz w:val="18"/>
      <w:szCs w:val="18"/>
    </w:rPr>
  </w:style>
  <w:style w:type="paragraph" w:styleId="TOC7">
    <w:name w:val="toc 7"/>
    <w:basedOn w:val="Normal"/>
    <w:next w:val="Normal"/>
    <w:semiHidden/>
    <w:pPr>
      <w:spacing w:after="0" w:line="240" w:lineRule="auto"/>
      <w:ind w:left="1440"/>
    </w:pPr>
    <w:rPr>
      <w:rFonts w:ascii="Calibri" w:eastAsia="Times New Roman" w:hAnsi="Calibri" w:cs="Calibri"/>
      <w:sz w:val="18"/>
      <w:szCs w:val="18"/>
    </w:rPr>
  </w:style>
  <w:style w:type="paragraph" w:styleId="TOC8">
    <w:name w:val="toc 8"/>
    <w:basedOn w:val="Normal"/>
    <w:next w:val="Normal"/>
    <w:semiHidden/>
    <w:pPr>
      <w:numPr>
        <w:numId w:val="24"/>
      </w:numPr>
      <w:tabs>
        <w:tab w:val="clear" w:pos="850"/>
      </w:tabs>
      <w:spacing w:after="0" w:line="240" w:lineRule="auto"/>
      <w:ind w:left="1680" w:firstLine="0"/>
    </w:pPr>
    <w:rPr>
      <w:rFonts w:ascii="Calibri" w:eastAsia="Times New Roman" w:hAnsi="Calibri" w:cs="Calibri"/>
      <w:sz w:val="18"/>
      <w:szCs w:val="18"/>
    </w:rPr>
  </w:style>
  <w:style w:type="paragraph" w:styleId="TOC9">
    <w:name w:val="toc 9"/>
    <w:basedOn w:val="Normal"/>
    <w:next w:val="Normal"/>
    <w:semiHidden/>
    <w:pPr>
      <w:spacing w:after="0" w:line="240" w:lineRule="auto"/>
      <w:ind w:left="1920"/>
    </w:pPr>
    <w:rPr>
      <w:rFonts w:ascii="Calibri" w:eastAsia="Times New Roman" w:hAnsi="Calibri" w:cs="Calibri"/>
      <w:sz w:val="18"/>
      <w:szCs w:val="18"/>
    </w:rPr>
  </w:style>
  <w:style w:type="paragraph" w:customStyle="1" w:styleId="HeaderLandscape">
    <w:name w:val="HeaderLandscape"/>
    <w:basedOn w:val="Normal"/>
    <w:pPr>
      <w:tabs>
        <w:tab w:val="center" w:pos="7285"/>
        <w:tab w:val="right" w:pos="14003"/>
      </w:tabs>
      <w:spacing w:after="120" w:line="240" w:lineRule="auto"/>
      <w:jc w:val="both"/>
    </w:pPr>
    <w:rPr>
      <w:rFonts w:eastAsiaTheme="minorHAnsi"/>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sz w:val="24"/>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qFormat/>
    <w:rPr>
      <w:rFonts w:cs="Times New Roman"/>
      <w:vertAlign w:val="superscript"/>
    </w:rPr>
  </w:style>
  <w:style w:type="paragraph" w:customStyle="1" w:styleId="NormalCentered">
    <w:name w:val="Normal Centered"/>
    <w:basedOn w:val="Normal"/>
    <w:uiPriority w:val="99"/>
    <w:pPr>
      <w:spacing w:before="120" w:after="120" w:line="240" w:lineRule="auto"/>
      <w:jc w:val="center"/>
    </w:pPr>
    <w:rPr>
      <w:rFonts w:eastAsia="Times New Roman"/>
      <w:sz w:val="24"/>
      <w:szCs w:val="24"/>
    </w:rPr>
  </w:style>
  <w:style w:type="paragraph" w:customStyle="1" w:styleId="NormalLeft">
    <w:name w:val="Normal Left"/>
    <w:basedOn w:val="Normal"/>
    <w:uiPriority w:val="99"/>
    <w:pPr>
      <w:spacing w:before="120" w:after="120" w:line="240" w:lineRule="auto"/>
    </w:pPr>
    <w:rPr>
      <w:rFonts w:eastAsia="Times New Roman"/>
      <w:sz w:val="24"/>
      <w:szCs w:val="24"/>
    </w:rPr>
  </w:style>
  <w:style w:type="paragraph" w:customStyle="1" w:styleId="NormalRight">
    <w:name w:val="Normal Right"/>
    <w:basedOn w:val="Normal"/>
    <w:uiPriority w:val="99"/>
    <w:pPr>
      <w:spacing w:before="120" w:after="120" w:line="240" w:lineRule="auto"/>
      <w:jc w:val="right"/>
    </w:pPr>
    <w:rPr>
      <w:rFonts w:eastAsia="Times New Roman"/>
      <w:sz w:val="24"/>
      <w:szCs w:val="24"/>
    </w:rPr>
  </w:style>
  <w:style w:type="paragraph" w:customStyle="1" w:styleId="QuotedText">
    <w:name w:val="Quoted Text"/>
    <w:basedOn w:val="Normal"/>
    <w:pPr>
      <w:spacing w:before="120" w:after="120" w:line="240" w:lineRule="auto"/>
      <w:ind w:left="1417"/>
      <w:jc w:val="both"/>
    </w:pPr>
    <w:rPr>
      <w:rFonts w:eastAsia="Times New Roman"/>
      <w:sz w:val="24"/>
      <w:szCs w:val="24"/>
    </w:rPr>
  </w:style>
  <w:style w:type="paragraph" w:customStyle="1" w:styleId="Point0">
    <w:name w:val="Point 0"/>
    <w:basedOn w:val="Normal"/>
    <w:uiPriority w:val="99"/>
    <w:pPr>
      <w:spacing w:before="120" w:after="120" w:line="240" w:lineRule="auto"/>
      <w:ind w:left="850" w:hanging="850"/>
      <w:jc w:val="both"/>
    </w:pPr>
    <w:rPr>
      <w:rFonts w:eastAsia="Times New Roman"/>
      <w:sz w:val="24"/>
      <w:szCs w:val="24"/>
    </w:rPr>
  </w:style>
  <w:style w:type="paragraph" w:customStyle="1" w:styleId="Point1">
    <w:name w:val="Point 1"/>
    <w:basedOn w:val="Normal"/>
    <w:uiPriority w:val="99"/>
    <w:pPr>
      <w:spacing w:before="120" w:after="120" w:line="240" w:lineRule="auto"/>
      <w:ind w:left="1417" w:hanging="567"/>
      <w:jc w:val="both"/>
    </w:pPr>
    <w:rPr>
      <w:rFonts w:eastAsia="Times New Roman"/>
      <w:sz w:val="24"/>
      <w:szCs w:val="24"/>
    </w:rPr>
  </w:style>
  <w:style w:type="paragraph" w:customStyle="1" w:styleId="Point2">
    <w:name w:val="Point 2"/>
    <w:basedOn w:val="Normal"/>
    <w:uiPriority w:val="99"/>
    <w:pPr>
      <w:spacing w:before="120" w:after="120" w:line="240" w:lineRule="auto"/>
      <w:ind w:left="1984" w:hanging="567"/>
      <w:jc w:val="both"/>
    </w:pPr>
    <w:rPr>
      <w:rFonts w:eastAsia="Times New Roman"/>
      <w:sz w:val="24"/>
      <w:szCs w:val="24"/>
    </w:rPr>
  </w:style>
  <w:style w:type="paragraph" w:customStyle="1" w:styleId="Point3">
    <w:name w:val="Point 3"/>
    <w:basedOn w:val="Normal"/>
    <w:uiPriority w:val="99"/>
    <w:pPr>
      <w:spacing w:before="120" w:after="120" w:line="240" w:lineRule="auto"/>
      <w:ind w:left="2551" w:hanging="567"/>
      <w:jc w:val="both"/>
    </w:pPr>
    <w:rPr>
      <w:rFonts w:eastAsia="Times New Roman"/>
      <w:sz w:val="24"/>
      <w:szCs w:val="24"/>
    </w:rPr>
  </w:style>
  <w:style w:type="paragraph" w:customStyle="1" w:styleId="Point4">
    <w:name w:val="Point 4"/>
    <w:basedOn w:val="Normal"/>
    <w:uiPriority w:val="99"/>
    <w:pPr>
      <w:spacing w:before="120" w:after="120" w:line="240" w:lineRule="auto"/>
      <w:ind w:left="3118" w:hanging="567"/>
      <w:jc w:val="both"/>
    </w:pPr>
    <w:rPr>
      <w:rFonts w:eastAsia="Times New Roman"/>
      <w:sz w:val="24"/>
      <w:szCs w:val="24"/>
    </w:rPr>
  </w:style>
  <w:style w:type="paragraph" w:customStyle="1" w:styleId="Tiret0">
    <w:name w:val="Tiret 0"/>
    <w:basedOn w:val="Point0"/>
    <w:pPr>
      <w:numPr>
        <w:numId w:val="1"/>
      </w:numPr>
    </w:pPr>
  </w:style>
  <w:style w:type="paragraph" w:customStyle="1" w:styleId="Tiret1">
    <w:name w:val="Tiret 1"/>
    <w:basedOn w:val="Point1"/>
    <w:uiPriority w:val="99"/>
    <w:pPr>
      <w:numPr>
        <w:numId w:val="2"/>
      </w:numPr>
    </w:pPr>
  </w:style>
  <w:style w:type="paragraph" w:customStyle="1" w:styleId="Tiret2">
    <w:name w:val="Tiret 2"/>
    <w:basedOn w:val="Point2"/>
    <w:uiPriority w:val="99"/>
    <w:pPr>
      <w:numPr>
        <w:numId w:val="3"/>
      </w:numPr>
    </w:pPr>
  </w:style>
  <w:style w:type="paragraph" w:customStyle="1" w:styleId="Tiret3">
    <w:name w:val="Tiret 3"/>
    <w:basedOn w:val="Point3"/>
    <w:uiPriority w:val="99"/>
    <w:pPr>
      <w:numPr>
        <w:numId w:val="4"/>
      </w:numPr>
    </w:pPr>
  </w:style>
  <w:style w:type="paragraph" w:customStyle="1" w:styleId="Tiret4">
    <w:name w:val="Tiret 4"/>
    <w:basedOn w:val="Point4"/>
    <w:uiPriority w:val="99"/>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sz w:val="24"/>
      <w:szCs w:val="24"/>
    </w:rPr>
  </w:style>
  <w:style w:type="paragraph" w:customStyle="1" w:styleId="NumPar1">
    <w:name w:val="NumPar 1"/>
    <w:basedOn w:val="Normal"/>
    <w:next w:val="Text1"/>
    <w:pPr>
      <w:numPr>
        <w:numId w:val="6"/>
      </w:numPr>
      <w:spacing w:before="120" w:after="120" w:line="240" w:lineRule="auto"/>
      <w:jc w:val="both"/>
    </w:pPr>
    <w:rPr>
      <w:rFonts w:eastAsia="Times New Roman"/>
      <w:sz w:val="24"/>
      <w:szCs w:val="24"/>
    </w:rPr>
  </w:style>
  <w:style w:type="paragraph" w:customStyle="1" w:styleId="NumPar2">
    <w:name w:val="NumPar 2"/>
    <w:basedOn w:val="Normal"/>
    <w:next w:val="Text2"/>
    <w:pPr>
      <w:tabs>
        <w:tab w:val="num" w:pos="850"/>
      </w:tabs>
      <w:spacing w:before="120" w:after="120" w:line="240" w:lineRule="auto"/>
      <w:ind w:left="850" w:hanging="850"/>
      <w:jc w:val="both"/>
    </w:pPr>
    <w:rPr>
      <w:rFonts w:eastAsia="Times New Roman"/>
      <w:sz w:val="24"/>
      <w:szCs w:val="24"/>
    </w:rPr>
  </w:style>
  <w:style w:type="paragraph" w:customStyle="1" w:styleId="NumPar3">
    <w:name w:val="NumPar 3"/>
    <w:basedOn w:val="Normal"/>
    <w:next w:val="Text3"/>
    <w:pPr>
      <w:tabs>
        <w:tab w:val="num" w:pos="850"/>
      </w:tabs>
      <w:spacing w:before="120" w:after="120" w:line="240" w:lineRule="auto"/>
      <w:ind w:left="850" w:hanging="850"/>
      <w:jc w:val="both"/>
    </w:pPr>
    <w:rPr>
      <w:rFonts w:eastAsia="Times New Roman"/>
      <w:sz w:val="24"/>
      <w:szCs w:val="24"/>
    </w:rPr>
  </w:style>
  <w:style w:type="paragraph" w:customStyle="1" w:styleId="NumPar4">
    <w:name w:val="NumPar 4"/>
    <w:basedOn w:val="Normal"/>
    <w:next w:val="Text4"/>
    <w:pPr>
      <w:tabs>
        <w:tab w:val="num" w:pos="850"/>
      </w:tabs>
      <w:spacing w:before="120" w:after="120" w:line="240" w:lineRule="auto"/>
      <w:ind w:left="850" w:hanging="850"/>
      <w:jc w:val="both"/>
    </w:pPr>
    <w:rPr>
      <w:rFonts w:eastAsia="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sz w:val="24"/>
      <w:szCs w:val="24"/>
    </w:rPr>
  </w:style>
  <w:style w:type="paragraph" w:customStyle="1" w:styleId="ManualNumPar2">
    <w:name w:val="Manual NumPar 2"/>
    <w:basedOn w:val="Normal"/>
    <w:next w:val="Text2"/>
    <w:pPr>
      <w:spacing w:before="120" w:after="120" w:line="240" w:lineRule="auto"/>
      <w:ind w:left="850" w:hanging="850"/>
      <w:jc w:val="both"/>
    </w:pPr>
    <w:rPr>
      <w:rFonts w:eastAsia="Times New Roman"/>
      <w:sz w:val="24"/>
      <w:szCs w:val="24"/>
    </w:rPr>
  </w:style>
  <w:style w:type="paragraph" w:customStyle="1" w:styleId="ManualNumPar3">
    <w:name w:val="Manual NumPar 3"/>
    <w:basedOn w:val="Normal"/>
    <w:next w:val="Text3"/>
    <w:pPr>
      <w:spacing w:before="120" w:after="120" w:line="240" w:lineRule="auto"/>
      <w:ind w:left="850" w:hanging="850"/>
      <w:jc w:val="both"/>
    </w:pPr>
    <w:rPr>
      <w:rFonts w:eastAsia="Times New Roman"/>
      <w:sz w:val="24"/>
      <w:szCs w:val="24"/>
    </w:rPr>
  </w:style>
  <w:style w:type="paragraph" w:customStyle="1" w:styleId="ManualNumPar4">
    <w:name w:val="Manual NumPar 4"/>
    <w:basedOn w:val="Normal"/>
    <w:next w:val="Text4"/>
    <w:pPr>
      <w:spacing w:before="120" w:after="120" w:line="240" w:lineRule="auto"/>
      <w:ind w:left="850" w:hanging="850"/>
      <w:jc w:val="both"/>
    </w:pPr>
    <w:rPr>
      <w:rFonts w:eastAsia="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b/>
      <w:smallCaps/>
      <w:sz w:val="24"/>
      <w:szCs w:val="24"/>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eastAsia="Times New Roman"/>
      <w:b/>
      <w:sz w:val="24"/>
      <w:szCs w:val="24"/>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eastAsia="Times New Roman"/>
      <w:i/>
      <w:sz w:val="24"/>
      <w:szCs w:val="24"/>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eastAsia="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eastAsia="Times New Roman"/>
      <w:b/>
      <w:smallCaps/>
      <w:sz w:val="28"/>
      <w:szCs w:val="24"/>
    </w:rPr>
  </w:style>
  <w:style w:type="paragraph" w:customStyle="1" w:styleId="ListBullet1">
    <w:name w:val="List Bullet 1"/>
    <w:basedOn w:val="Normal"/>
    <w:pPr>
      <w:numPr>
        <w:numId w:val="7"/>
      </w:numPr>
      <w:spacing w:before="120" w:after="120" w:line="240" w:lineRule="auto"/>
      <w:jc w:val="both"/>
    </w:pPr>
    <w:rPr>
      <w:rFonts w:eastAsia="Times New Roman"/>
      <w:sz w:val="24"/>
      <w:szCs w:val="24"/>
    </w:rPr>
  </w:style>
  <w:style w:type="paragraph" w:customStyle="1" w:styleId="ListDash">
    <w:name w:val="List Dash"/>
    <w:basedOn w:val="Normal"/>
    <w:pPr>
      <w:numPr>
        <w:numId w:val="8"/>
      </w:numPr>
      <w:spacing w:before="120" w:after="120" w:line="240" w:lineRule="auto"/>
      <w:jc w:val="both"/>
    </w:pPr>
    <w:rPr>
      <w:rFonts w:eastAsia="Times New Roman"/>
      <w:sz w:val="24"/>
      <w:szCs w:val="24"/>
    </w:rPr>
  </w:style>
  <w:style w:type="paragraph" w:customStyle="1" w:styleId="ListDash1">
    <w:name w:val="List Dash 1"/>
    <w:basedOn w:val="Normal"/>
    <w:pPr>
      <w:numPr>
        <w:numId w:val="9"/>
      </w:numPr>
      <w:spacing w:before="120" w:after="120" w:line="240" w:lineRule="auto"/>
      <w:jc w:val="both"/>
    </w:pPr>
    <w:rPr>
      <w:rFonts w:eastAsia="Times New Roman"/>
      <w:sz w:val="24"/>
      <w:szCs w:val="24"/>
    </w:rPr>
  </w:style>
  <w:style w:type="paragraph" w:customStyle="1" w:styleId="ListDash2">
    <w:name w:val="List Dash 2"/>
    <w:basedOn w:val="Normal"/>
    <w:pPr>
      <w:numPr>
        <w:numId w:val="10"/>
      </w:numPr>
      <w:spacing w:before="120" w:after="120" w:line="240" w:lineRule="auto"/>
      <w:jc w:val="both"/>
    </w:pPr>
    <w:rPr>
      <w:rFonts w:eastAsia="Times New Roman"/>
      <w:sz w:val="24"/>
      <w:szCs w:val="24"/>
    </w:rPr>
  </w:style>
  <w:style w:type="paragraph" w:customStyle="1" w:styleId="ListDash3">
    <w:name w:val="List Dash 3"/>
    <w:basedOn w:val="Normal"/>
    <w:pPr>
      <w:numPr>
        <w:numId w:val="11"/>
      </w:numPr>
      <w:spacing w:before="120" w:after="120" w:line="240" w:lineRule="auto"/>
      <w:jc w:val="both"/>
    </w:pPr>
    <w:rPr>
      <w:rFonts w:eastAsia="Times New Roman"/>
      <w:sz w:val="24"/>
      <w:szCs w:val="24"/>
    </w:rPr>
  </w:style>
  <w:style w:type="paragraph" w:customStyle="1" w:styleId="ListDash4">
    <w:name w:val="List Dash 4"/>
    <w:basedOn w:val="Normal"/>
    <w:pPr>
      <w:numPr>
        <w:numId w:val="12"/>
      </w:numPr>
      <w:spacing w:before="120" w:after="120" w:line="240" w:lineRule="auto"/>
      <w:jc w:val="both"/>
    </w:pPr>
    <w:rPr>
      <w:rFonts w:eastAsia="Times New Roman"/>
      <w:sz w:val="24"/>
      <w:szCs w:val="24"/>
    </w:rPr>
  </w:style>
  <w:style w:type="paragraph" w:customStyle="1" w:styleId="ListNumber1">
    <w:name w:val="List Number 1"/>
    <w:basedOn w:val="Text1"/>
    <w:pPr>
      <w:numPr>
        <w:numId w:val="13"/>
      </w:numPr>
    </w:pPr>
  </w:style>
  <w:style w:type="paragraph" w:customStyle="1" w:styleId="ListNumberLevel2">
    <w:name w:val="List Number (Level 2)"/>
    <w:basedOn w:val="Normal"/>
    <w:pPr>
      <w:numPr>
        <w:ilvl w:val="1"/>
        <w:numId w:val="19"/>
      </w:numPr>
      <w:spacing w:before="120" w:after="120" w:line="240" w:lineRule="auto"/>
      <w:jc w:val="both"/>
    </w:pPr>
    <w:rPr>
      <w:rFonts w:eastAsia="Times New Roman"/>
      <w:sz w:val="24"/>
      <w:szCs w:val="24"/>
    </w:rPr>
  </w:style>
  <w:style w:type="paragraph" w:customStyle="1" w:styleId="ListNumber1Level2">
    <w:name w:val="List Number 1 (Level 2)"/>
    <w:basedOn w:val="Text1"/>
    <w:pPr>
      <w:numPr>
        <w:ilvl w:val="1"/>
        <w:numId w:val="13"/>
      </w:numPr>
    </w:pPr>
  </w:style>
  <w:style w:type="paragraph" w:customStyle="1" w:styleId="ListNumber2Level2">
    <w:name w:val="List Number 2 (Level 2)"/>
    <w:basedOn w:val="Text2"/>
    <w:pPr>
      <w:numPr>
        <w:ilvl w:val="1"/>
        <w:numId w:val="18"/>
      </w:numPr>
    </w:pPr>
  </w:style>
  <w:style w:type="paragraph" w:customStyle="1" w:styleId="ListNumber3Level2">
    <w:name w:val="List Number 3 (Level 2)"/>
    <w:basedOn w:val="Text3"/>
    <w:pPr>
      <w:numPr>
        <w:ilvl w:val="1"/>
        <w:numId w:val="17"/>
      </w:numPr>
    </w:pPr>
  </w:style>
  <w:style w:type="paragraph" w:customStyle="1" w:styleId="ListNumber4Level2">
    <w:name w:val="List Number 4 (Level 2)"/>
    <w:basedOn w:val="Text4"/>
    <w:pPr>
      <w:numPr>
        <w:ilvl w:val="1"/>
        <w:numId w:val="16"/>
      </w:numPr>
    </w:pPr>
  </w:style>
  <w:style w:type="paragraph" w:customStyle="1" w:styleId="ListNumberLevel3">
    <w:name w:val="List Number (Level 3)"/>
    <w:basedOn w:val="Normal"/>
    <w:pPr>
      <w:numPr>
        <w:ilvl w:val="2"/>
        <w:numId w:val="19"/>
      </w:numPr>
      <w:spacing w:before="120" w:after="120" w:line="240" w:lineRule="auto"/>
      <w:jc w:val="both"/>
    </w:pPr>
    <w:rPr>
      <w:rFonts w:eastAsia="Times New Roman"/>
      <w:sz w:val="24"/>
      <w:szCs w:val="24"/>
    </w:rPr>
  </w:style>
  <w:style w:type="paragraph" w:customStyle="1" w:styleId="ListNumber1Level3">
    <w:name w:val="List Number 1 (Level 3)"/>
    <w:basedOn w:val="Text1"/>
    <w:pPr>
      <w:numPr>
        <w:ilvl w:val="2"/>
        <w:numId w:val="13"/>
      </w:numPr>
    </w:pPr>
  </w:style>
  <w:style w:type="paragraph" w:customStyle="1" w:styleId="ListNumber2Level3">
    <w:name w:val="List Number 2 (Level 3)"/>
    <w:basedOn w:val="Text2"/>
    <w:pPr>
      <w:numPr>
        <w:ilvl w:val="2"/>
        <w:numId w:val="18"/>
      </w:numPr>
    </w:pPr>
  </w:style>
  <w:style w:type="paragraph" w:customStyle="1" w:styleId="ListNumber3Level3">
    <w:name w:val="List Number 3 (Level 3)"/>
    <w:basedOn w:val="Text3"/>
    <w:pPr>
      <w:numPr>
        <w:ilvl w:val="2"/>
        <w:numId w:val="17"/>
      </w:numPr>
    </w:pPr>
  </w:style>
  <w:style w:type="paragraph" w:customStyle="1" w:styleId="ListNumber4Level3">
    <w:name w:val="List Number 4 (Level 3)"/>
    <w:basedOn w:val="Text4"/>
    <w:pPr>
      <w:numPr>
        <w:ilvl w:val="2"/>
        <w:numId w:val="16"/>
      </w:numPr>
    </w:pPr>
  </w:style>
  <w:style w:type="paragraph" w:customStyle="1" w:styleId="ListNumberLevel4">
    <w:name w:val="List Number (Level 4)"/>
    <w:basedOn w:val="Normal"/>
    <w:pPr>
      <w:numPr>
        <w:ilvl w:val="3"/>
        <w:numId w:val="19"/>
      </w:numPr>
      <w:spacing w:before="120" w:after="120" w:line="240" w:lineRule="auto"/>
      <w:jc w:val="both"/>
    </w:pPr>
    <w:rPr>
      <w:rFonts w:eastAsia="Times New Roman"/>
      <w:sz w:val="24"/>
      <w:szCs w:val="24"/>
    </w:rPr>
  </w:style>
  <w:style w:type="paragraph" w:customStyle="1" w:styleId="ListNumber1Level4">
    <w:name w:val="List Number 1 (Level 4)"/>
    <w:basedOn w:val="Text1"/>
    <w:pPr>
      <w:numPr>
        <w:ilvl w:val="3"/>
        <w:numId w:val="13"/>
      </w:numPr>
    </w:pPr>
  </w:style>
  <w:style w:type="paragraph" w:customStyle="1" w:styleId="ListNumber2Level4">
    <w:name w:val="List Number 2 (Level 4)"/>
    <w:basedOn w:val="Text2"/>
    <w:pPr>
      <w:numPr>
        <w:ilvl w:val="3"/>
        <w:numId w:val="18"/>
      </w:numPr>
    </w:pPr>
  </w:style>
  <w:style w:type="paragraph" w:customStyle="1" w:styleId="ListNumber3Level4">
    <w:name w:val="List Number 3 (Level 4)"/>
    <w:basedOn w:val="Text3"/>
    <w:pPr>
      <w:numPr>
        <w:ilvl w:val="3"/>
        <w:numId w:val="17"/>
      </w:numPr>
    </w:pPr>
  </w:style>
  <w:style w:type="paragraph" w:customStyle="1" w:styleId="ListNumber4Level4">
    <w:name w:val="List Number 4 (Level 4)"/>
    <w:basedOn w:val="Text4"/>
    <w:pPr>
      <w:numPr>
        <w:ilvl w:val="3"/>
        <w:numId w:val="16"/>
      </w:numPr>
    </w:pPr>
  </w:style>
  <w:style w:type="paragraph" w:customStyle="1" w:styleId="TableTitle">
    <w:name w:val="Table Title"/>
    <w:basedOn w:val="Normal"/>
    <w:next w:val="Normal"/>
    <w:uiPriority w:val="99"/>
    <w:pPr>
      <w:spacing w:before="120" w:after="120" w:line="240" w:lineRule="auto"/>
      <w:jc w:val="center"/>
    </w:pPr>
    <w:rPr>
      <w:rFonts w:eastAsia="Times New Roman"/>
      <w:b/>
      <w:sz w:val="24"/>
      <w:szCs w:val="24"/>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uiPriority w:val="99"/>
    <w:qFormat/>
    <w:pPr>
      <w:spacing w:before="120" w:after="240" w:line="240" w:lineRule="auto"/>
      <w:jc w:val="center"/>
    </w:pPr>
    <w:rPr>
      <w:rFonts w:eastAsia="Times New Roman"/>
      <w:b/>
      <w:sz w:val="28"/>
      <w:szCs w:val="24"/>
    </w:rPr>
  </w:style>
  <w:style w:type="paragraph" w:customStyle="1" w:styleId="Annexetitreacte">
    <w:name w:val="Annexe titre (acte)"/>
    <w:basedOn w:val="Normal"/>
    <w:next w:val="Normal"/>
    <w:pPr>
      <w:spacing w:before="120" w:after="120" w:line="240" w:lineRule="auto"/>
      <w:jc w:val="center"/>
    </w:pPr>
    <w:rPr>
      <w:rFonts w:eastAsia="Times New Roman"/>
      <w:b/>
      <w:sz w:val="24"/>
      <w:szCs w:val="24"/>
      <w:u w:val="single"/>
    </w:rPr>
  </w:style>
  <w:style w:type="paragraph" w:customStyle="1" w:styleId="Annexetitreexposglobal">
    <w:name w:val="Annexe titre (exposé global)"/>
    <w:basedOn w:val="Normal"/>
    <w:next w:val="Normal"/>
    <w:pPr>
      <w:spacing w:before="120" w:after="120" w:line="240" w:lineRule="auto"/>
      <w:jc w:val="center"/>
    </w:pPr>
    <w:rPr>
      <w:rFonts w:eastAsia="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eastAsia="Times New Roman"/>
      <w:b/>
      <w:sz w:val="24"/>
      <w:szCs w:val="24"/>
      <w:u w:val="single"/>
    </w:rPr>
  </w:style>
  <w:style w:type="paragraph" w:customStyle="1" w:styleId="Annexetitrefichefinacte">
    <w:name w:val="Annexe titre (fiche fin. acte)"/>
    <w:basedOn w:val="Normal"/>
    <w:next w:val="Normal"/>
    <w:pPr>
      <w:spacing w:before="120" w:after="120" w:line="240" w:lineRule="auto"/>
      <w:jc w:val="center"/>
    </w:pPr>
    <w:rPr>
      <w:rFonts w:eastAsia="Times New Roman"/>
      <w:b/>
      <w:sz w:val="24"/>
      <w:szCs w:val="24"/>
      <w:u w:val="single"/>
    </w:rPr>
  </w:style>
  <w:style w:type="paragraph" w:customStyle="1" w:styleId="Annexetitrefichefinglobale">
    <w:name w:val="Annexe titre (fiche fin. globale)"/>
    <w:basedOn w:val="Normal"/>
    <w:next w:val="Normal"/>
    <w:pPr>
      <w:spacing w:before="120" w:after="120" w:line="240" w:lineRule="auto"/>
      <w:jc w:val="center"/>
    </w:pPr>
    <w:rPr>
      <w:rFonts w:eastAsia="Times New Roman"/>
      <w:b/>
      <w:sz w:val="24"/>
      <w:szCs w:val="24"/>
      <w:u w:val="single"/>
    </w:rPr>
  </w:style>
  <w:style w:type="paragraph" w:customStyle="1" w:styleId="Annexetitreglobale">
    <w:name w:val="Annexe titre (globale)"/>
    <w:basedOn w:val="Normal"/>
    <w:next w:val="Normal"/>
    <w:uiPriority w:val="99"/>
    <w:pPr>
      <w:spacing w:before="120" w:after="120" w:line="240" w:lineRule="auto"/>
      <w:jc w:val="center"/>
    </w:pPr>
    <w:rPr>
      <w:rFonts w:eastAsia="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sz w:val="24"/>
      <w:szCs w:val="24"/>
    </w:rPr>
  </w:style>
  <w:style w:type="paragraph" w:customStyle="1" w:styleId="Fait">
    <w:name w:val="Fait à"/>
    <w:basedOn w:val="Normal"/>
    <w:next w:val="Institutionquisigne"/>
    <w:pPr>
      <w:keepNext/>
      <w:spacing w:before="120" w:after="0" w:line="240" w:lineRule="auto"/>
      <w:jc w:val="both"/>
    </w:pPr>
    <w:rPr>
      <w:rFonts w:eastAsia="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sz w:val="24"/>
      <w:szCs w:val="24"/>
    </w:rPr>
  </w:style>
  <w:style w:type="paragraph" w:customStyle="1" w:styleId="Confidentialit">
    <w:name w:val="Confidentialité"/>
    <w:basedOn w:val="Normal"/>
    <w:next w:val="Statut"/>
    <w:pPr>
      <w:spacing w:before="240" w:after="240" w:line="240" w:lineRule="auto"/>
      <w:ind w:left="5103"/>
      <w:jc w:val="both"/>
    </w:pPr>
    <w:rPr>
      <w:rFonts w:eastAsia="Times New Roman"/>
      <w:sz w:val="24"/>
      <w:szCs w:val="24"/>
      <w:u w:val="single"/>
    </w:rPr>
  </w:style>
  <w:style w:type="paragraph" w:customStyle="1" w:styleId="Statut">
    <w:name w:val="Statut"/>
    <w:basedOn w:val="Normal"/>
    <w:next w:val="Typedudocument"/>
    <w:pPr>
      <w:spacing w:before="360" w:after="0" w:line="240" w:lineRule="auto"/>
      <w:jc w:val="center"/>
    </w:pPr>
    <w:rPr>
      <w:rFonts w:eastAsia="Times New Roman"/>
      <w:sz w:val="24"/>
      <w:szCs w:val="24"/>
    </w:rPr>
  </w:style>
  <w:style w:type="paragraph" w:customStyle="1" w:styleId="Typedudocument">
    <w:name w:val="Type du document"/>
    <w:basedOn w:val="Normal"/>
    <w:next w:val="Datedadoption"/>
    <w:pPr>
      <w:spacing w:before="360" w:after="0" w:line="240" w:lineRule="auto"/>
      <w:jc w:val="center"/>
    </w:pPr>
    <w:rPr>
      <w:rFonts w:eastAsia="Times New Roman"/>
      <w:b/>
      <w:sz w:val="24"/>
      <w:szCs w:val="24"/>
    </w:rPr>
  </w:style>
  <w:style w:type="paragraph" w:customStyle="1" w:styleId="Datedadoption">
    <w:name w:val="Date d'adoption"/>
    <w:basedOn w:val="Normal"/>
    <w:next w:val="Titreobjet"/>
    <w:pPr>
      <w:spacing w:before="360" w:after="0" w:line="240" w:lineRule="auto"/>
      <w:jc w:val="center"/>
    </w:pPr>
    <w:rPr>
      <w:rFonts w:eastAsia="Times New Roman"/>
      <w:b/>
      <w:sz w:val="24"/>
      <w:szCs w:val="24"/>
    </w:rPr>
  </w:style>
  <w:style w:type="paragraph" w:customStyle="1" w:styleId="Titreobjet">
    <w:name w:val="Titre objet"/>
    <w:basedOn w:val="Normal"/>
    <w:next w:val="Normal"/>
    <w:pPr>
      <w:spacing w:before="360" w:after="360" w:line="240" w:lineRule="auto"/>
      <w:jc w:val="center"/>
    </w:pPr>
    <w:rPr>
      <w:rFonts w:eastAsiaTheme="minorHAnsi"/>
      <w:b/>
      <w:sz w:val="24"/>
    </w:rPr>
  </w:style>
  <w:style w:type="paragraph" w:customStyle="1" w:styleId="Sous-titreobjet">
    <w:name w:val="Sous-titre objet"/>
    <w:basedOn w:val="Normal"/>
    <w:uiPriority w:val="99"/>
    <w:pPr>
      <w:spacing w:after="0" w:line="240" w:lineRule="auto"/>
      <w:jc w:val="center"/>
    </w:pPr>
    <w:rPr>
      <w:rFonts w:eastAsia="Times New Roman"/>
      <w:b/>
      <w:sz w:val="24"/>
      <w:szCs w:val="24"/>
    </w:rPr>
  </w:style>
  <w:style w:type="paragraph" w:customStyle="1" w:styleId="Considrant">
    <w:name w:val="Considérant"/>
    <w:basedOn w:val="Normal"/>
    <w:pPr>
      <w:numPr>
        <w:numId w:val="15"/>
      </w:numPr>
      <w:spacing w:before="120" w:after="120" w:line="240" w:lineRule="auto"/>
      <w:jc w:val="both"/>
    </w:pPr>
    <w:rPr>
      <w:rFonts w:eastAsia="Times New Roman"/>
      <w:sz w:val="24"/>
      <w:szCs w:val="24"/>
    </w:rPr>
  </w:style>
  <w:style w:type="paragraph" w:customStyle="1" w:styleId="Corrigendum">
    <w:name w:val="Corrigendum"/>
    <w:basedOn w:val="Normal"/>
    <w:next w:val="Normal"/>
    <w:pPr>
      <w:spacing w:after="240" w:line="240" w:lineRule="auto"/>
    </w:pPr>
    <w:rPr>
      <w:rFonts w:eastAsia="Times New Roman"/>
      <w:sz w:val="24"/>
      <w:szCs w:val="24"/>
    </w:rPr>
  </w:style>
  <w:style w:type="paragraph" w:customStyle="1" w:styleId="Emission">
    <w:name w:val="Emission"/>
    <w:basedOn w:val="Normal"/>
    <w:next w:val="Rfrenceinstitutionelle"/>
    <w:pPr>
      <w:spacing w:after="0" w:line="240" w:lineRule="auto"/>
      <w:ind w:left="5103"/>
    </w:pPr>
    <w:rPr>
      <w:rFonts w:eastAsia="Times New Roman"/>
      <w:sz w:val="24"/>
      <w:szCs w:val="24"/>
    </w:rPr>
  </w:style>
  <w:style w:type="paragraph" w:customStyle="1" w:styleId="Rfrenceinstitutionelle">
    <w:name w:val="Référence institutionelle"/>
    <w:basedOn w:val="Normal"/>
    <w:next w:val="Statut"/>
    <w:pPr>
      <w:spacing w:after="240" w:line="240" w:lineRule="auto"/>
      <w:ind w:left="5103"/>
    </w:pPr>
    <w:rPr>
      <w:rFonts w:eastAsia="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b/>
      <w:sz w:val="24"/>
      <w:szCs w:val="24"/>
      <w:u w:val="single"/>
    </w:rPr>
  </w:style>
  <w:style w:type="paragraph" w:customStyle="1" w:styleId="Exposdesmotifstitreglobal">
    <w:name w:val="Exposé des motifs titre (global)"/>
    <w:basedOn w:val="Normal"/>
    <w:next w:val="Normal"/>
    <w:pPr>
      <w:spacing w:before="120" w:after="120" w:line="240" w:lineRule="auto"/>
      <w:jc w:val="center"/>
    </w:pPr>
    <w:rPr>
      <w:rFonts w:eastAsia="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eastAsia="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sz w:val="24"/>
      <w:szCs w:val="24"/>
    </w:rPr>
  </w:style>
  <w:style w:type="paragraph" w:customStyle="1" w:styleId="Langue">
    <w:name w:val="Langue"/>
    <w:basedOn w:val="Normal"/>
    <w:next w:val="Rfrenceinterne"/>
    <w:uiPriority w:val="99"/>
    <w:pPr>
      <w:spacing w:after="600" w:line="240" w:lineRule="auto"/>
      <w:jc w:val="center"/>
    </w:pPr>
    <w:rPr>
      <w:rFonts w:eastAsia="Times New Roman"/>
      <w:b/>
      <w:caps/>
      <w:sz w:val="24"/>
      <w:szCs w:val="24"/>
    </w:rPr>
  </w:style>
  <w:style w:type="paragraph" w:customStyle="1" w:styleId="Rfrenceinterne">
    <w:name w:val="Référence interne"/>
    <w:basedOn w:val="Normal"/>
    <w:next w:val="Nomdelinstitution"/>
    <w:pPr>
      <w:spacing w:after="600" w:line="240" w:lineRule="auto"/>
      <w:jc w:val="center"/>
    </w:pPr>
    <w:rPr>
      <w:rFonts w:eastAsia="Times New Roman"/>
      <w:b/>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Langueoriginale">
    <w:name w:val="Langue originale"/>
    <w:basedOn w:val="Normal"/>
    <w:next w:val="Phrasefinale"/>
    <w:pPr>
      <w:spacing w:before="360" w:after="120" w:line="240" w:lineRule="auto"/>
      <w:jc w:val="center"/>
    </w:pPr>
    <w:rPr>
      <w:rFonts w:eastAsia="Times New Roman"/>
      <w:caps/>
      <w:sz w:val="24"/>
      <w:szCs w:val="24"/>
    </w:rPr>
  </w:style>
  <w:style w:type="paragraph" w:customStyle="1" w:styleId="Phrasefinale">
    <w:name w:val="Phrase finale"/>
    <w:basedOn w:val="Normal"/>
    <w:next w:val="Normal"/>
    <w:pPr>
      <w:spacing w:before="360" w:after="0" w:line="240" w:lineRule="auto"/>
      <w:jc w:val="center"/>
    </w:pPr>
    <w:rPr>
      <w:rFonts w:eastAsia="Times New Roman"/>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sz w:val="24"/>
      <w:szCs w:val="24"/>
    </w:rPr>
  </w:style>
  <w:style w:type="paragraph" w:customStyle="1" w:styleId="Prliminairetitre">
    <w:name w:val="Préliminaire titre"/>
    <w:basedOn w:val="Normal"/>
    <w:next w:val="Normal"/>
    <w:pPr>
      <w:spacing w:before="360" w:after="360" w:line="240" w:lineRule="auto"/>
      <w:jc w:val="center"/>
    </w:pPr>
    <w:rPr>
      <w:rFonts w:eastAsia="Times New Roman"/>
      <w:b/>
      <w:sz w:val="24"/>
      <w:szCs w:val="24"/>
    </w:rPr>
  </w:style>
  <w:style w:type="paragraph" w:customStyle="1" w:styleId="Prliminairetype">
    <w:name w:val="Préliminaire type"/>
    <w:basedOn w:val="Normal"/>
    <w:next w:val="Normal"/>
    <w:pPr>
      <w:spacing w:before="360" w:after="0" w:line="240" w:lineRule="auto"/>
      <w:jc w:val="center"/>
    </w:pPr>
    <w:rPr>
      <w:rFonts w:eastAsia="Times New Roman"/>
      <w:b/>
      <w:sz w:val="24"/>
      <w:szCs w:val="24"/>
    </w:rPr>
  </w:style>
  <w:style w:type="paragraph" w:customStyle="1" w:styleId="Rfrenceinterinstitutionelle">
    <w:name w:val="Référence interinstitutionelle"/>
    <w:basedOn w:val="Normal"/>
    <w:next w:val="Statut"/>
    <w:pPr>
      <w:spacing w:after="0" w:line="240" w:lineRule="auto"/>
      <w:ind w:left="5103"/>
    </w:pPr>
    <w:rPr>
      <w:rFonts w:eastAsia="Times New Roman"/>
      <w:sz w:val="24"/>
      <w:szCs w:val="24"/>
    </w:rPr>
  </w:style>
  <w:style w:type="paragraph" w:customStyle="1" w:styleId="Rfrenceinterinstitutionelleprliminaire">
    <w:name w:val="Référence interinstitutionelle (préliminaire)"/>
    <w:basedOn w:val="Normal"/>
    <w:next w:val="Normal"/>
    <w:pPr>
      <w:spacing w:after="0" w:line="240" w:lineRule="auto"/>
      <w:ind w:left="5103"/>
    </w:pPr>
    <w:rPr>
      <w:rFonts w:eastAsia="Times New Roman"/>
      <w:sz w:val="24"/>
      <w:szCs w:val="24"/>
    </w:rPr>
  </w:style>
  <w:style w:type="paragraph" w:customStyle="1" w:styleId="Sous-titreobjetprliminaire">
    <w:name w:val="Sous-titre objet (préliminaire)"/>
    <w:basedOn w:val="Normal"/>
    <w:pPr>
      <w:spacing w:after="0" w:line="240" w:lineRule="auto"/>
      <w:jc w:val="center"/>
    </w:pPr>
    <w:rPr>
      <w:rFonts w:eastAsia="Times New Roman"/>
      <w:b/>
      <w:sz w:val="24"/>
      <w:szCs w:val="24"/>
    </w:rPr>
  </w:style>
  <w:style w:type="paragraph" w:customStyle="1" w:styleId="Statutprliminaire">
    <w:name w:val="Statut (préliminaire)"/>
    <w:basedOn w:val="Normal"/>
    <w:next w:val="Normal"/>
    <w:pPr>
      <w:spacing w:before="360" w:after="0" w:line="240" w:lineRule="auto"/>
      <w:jc w:val="center"/>
    </w:pPr>
    <w:rPr>
      <w:rFonts w:eastAsia="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eastAsia="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eastAsia="Times New Roman"/>
      <w:b/>
      <w:sz w:val="24"/>
      <w:szCs w:val="24"/>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before="120" w:after="120" w:line="360" w:lineRule="auto"/>
      <w:ind w:left="3402"/>
    </w:pPr>
    <w:rPr>
      <w:rFonts w:eastAsia="Times New Roman"/>
      <w:sz w:val="24"/>
      <w:szCs w:val="24"/>
    </w:rPr>
  </w:style>
  <w:style w:type="paragraph" w:customStyle="1" w:styleId="Fichefinancirestandardtitre">
    <w:name w:val="Fiche financière (standard) titre"/>
    <w:basedOn w:val="Normal"/>
    <w:next w:val="Normal"/>
    <w:pPr>
      <w:spacing w:before="120" w:after="120" w:line="240" w:lineRule="auto"/>
      <w:jc w:val="center"/>
    </w:pPr>
    <w:rPr>
      <w:rFonts w:eastAsia="Times New Roman"/>
      <w:b/>
      <w:sz w:val="24"/>
      <w:szCs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eastAsia="Times New Roman"/>
      <w:b/>
      <w:sz w:val="24"/>
      <w:szCs w:val="24"/>
      <w:u w:val="single"/>
    </w:rPr>
  </w:style>
  <w:style w:type="paragraph" w:customStyle="1" w:styleId="Fichefinanciretravailtitre">
    <w:name w:val="Fiche financière (travail) titre"/>
    <w:basedOn w:val="Normal"/>
    <w:next w:val="Normal"/>
    <w:pPr>
      <w:spacing w:before="120" w:after="120" w:line="240" w:lineRule="auto"/>
      <w:jc w:val="center"/>
    </w:pPr>
    <w:rPr>
      <w:rFonts w:eastAsia="Times New Roman"/>
      <w:b/>
      <w:sz w:val="24"/>
      <w:szCs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eastAsia="Times New Roman"/>
      <w:b/>
      <w:sz w:val="24"/>
      <w:szCs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eastAsia="Times New Roman"/>
      <w:b/>
      <w:sz w:val="24"/>
      <w:szCs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eastAsia="Times New Roman"/>
      <w:b/>
      <w:sz w:val="24"/>
      <w:szCs w:val="24"/>
      <w:u w:val="single"/>
    </w:rPr>
  </w:style>
  <w:style w:type="paragraph" w:customStyle="1" w:styleId="Objetexterne">
    <w:name w:val="Objet externe"/>
    <w:basedOn w:val="Normal"/>
    <w:next w:val="Normal"/>
    <w:pPr>
      <w:spacing w:before="120" w:after="120" w:line="240" w:lineRule="auto"/>
      <w:jc w:val="both"/>
    </w:pPr>
    <w:rPr>
      <w:rFonts w:eastAsia="Times New Roman"/>
      <w:i/>
      <w:caps/>
      <w:sz w:val="24"/>
      <w:szCs w:val="24"/>
    </w:rPr>
  </w:style>
  <w:style w:type="character" w:styleId="CommentReference">
    <w:name w:val="annotation reference"/>
    <w:semiHidden/>
    <w:rPr>
      <w:rFonts w:cs="Times New Roman"/>
      <w:sz w:val="16"/>
      <w:szCs w:val="16"/>
    </w:rPr>
  </w:style>
  <w:style w:type="table" w:styleId="TableGrid">
    <w:name w:val="Table Grid"/>
    <w:basedOn w:val="TableNormal"/>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pPr>
      <w:spacing w:before="120" w:after="120" w:line="240" w:lineRule="auto"/>
      <w:jc w:val="both"/>
    </w:pPr>
    <w:rPr>
      <w:rFonts w:eastAsia="Times New Roman"/>
      <w:sz w:val="20"/>
      <w:szCs w:val="20"/>
    </w:rPr>
  </w:style>
  <w:style w:type="character" w:customStyle="1" w:styleId="CommentTextChar">
    <w:name w:val="Comment Text Char"/>
    <w:link w:val="CommentText"/>
    <w:semiHidden/>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fr-FR" w:eastAsia="fr-FR"/>
    </w:rPr>
  </w:style>
  <w:style w:type="character" w:styleId="Hyperlink">
    <w:name w:val="Hyperlink"/>
    <w:uiPriority w:val="99"/>
    <w:rPr>
      <w:rFonts w:cs="Times New Roman"/>
      <w:color w:val="0000FF"/>
      <w:u w:val="single"/>
    </w:rPr>
  </w:style>
  <w:style w:type="paragraph" w:styleId="NormalWeb">
    <w:name w:val="Normal (Web)"/>
    <w:basedOn w:val="Normal"/>
    <w:pPr>
      <w:spacing w:before="100" w:beforeAutospacing="1" w:after="100" w:afterAutospacing="1" w:line="240" w:lineRule="auto"/>
    </w:pPr>
    <w:rPr>
      <w:rFonts w:eastAsia="Times New Roman"/>
      <w:sz w:val="24"/>
      <w:szCs w:val="24"/>
    </w:rPr>
  </w:style>
  <w:style w:type="character" w:customStyle="1" w:styleId="italic1">
    <w:name w:val="italic1"/>
    <w:rPr>
      <w:rFonts w:cs="Times New Roman"/>
      <w:i/>
      <w:iCs/>
    </w:rPr>
  </w:style>
  <w:style w:type="character" w:customStyle="1" w:styleId="default--char">
    <w:name w:val="default--char"/>
    <w:rPr>
      <w:rFonts w:cs="Times New Roman"/>
    </w:rPr>
  </w:style>
  <w:style w:type="paragraph" w:customStyle="1" w:styleId="xl26">
    <w:name w:val="xl26"/>
    <w:basedOn w:val="Normal"/>
    <w:pPr>
      <w:spacing w:before="100" w:beforeAutospacing="1" w:after="100" w:afterAutospacing="1" w:line="240" w:lineRule="auto"/>
      <w:textAlignment w:val="center"/>
    </w:pPr>
    <w:rPr>
      <w:rFonts w:eastAsia="Times New Roman"/>
      <w:sz w:val="24"/>
      <w:szCs w:val="24"/>
    </w:rPr>
  </w:style>
  <w:style w:type="character" w:styleId="FollowedHyperlink">
    <w:name w:val="FollowedHyperlink"/>
    <w:uiPriority w:val="99"/>
    <w:rPr>
      <w:rFonts w:cs="Times New Roman"/>
      <w:color w:val="800080"/>
      <w:u w:val="single"/>
    </w:rPr>
  </w:style>
  <w:style w:type="paragraph" w:customStyle="1" w:styleId="Revenue">
    <w:name w:val="Revenue"/>
    <w:basedOn w:val="Normal"/>
    <w:next w:val="Normal"/>
    <w:pPr>
      <w:keepNext/>
      <w:spacing w:before="480" w:after="120" w:line="240" w:lineRule="auto"/>
    </w:pPr>
    <w:rPr>
      <w:rFonts w:eastAsia="Times New Roman"/>
      <w:b/>
      <w:bCs/>
      <w:smallCaps/>
      <w:sz w:val="36"/>
      <w:szCs w:val="36"/>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ReusedInfo">
    <w:name w:val="ReusedInfo"/>
    <w:basedOn w:val="Normal"/>
    <w:next w:val="Normal"/>
    <w:uiPriority w:val="99"/>
    <w:pPr>
      <w:shd w:val="clear" w:color="auto" w:fill="C0C0C0"/>
      <w:spacing w:before="60" w:after="60" w:line="240" w:lineRule="auto"/>
    </w:pPr>
    <w:rPr>
      <w:rFonts w:eastAsia="Times New Roman"/>
      <w:sz w:val="20"/>
      <w:szCs w:val="20"/>
    </w:rPr>
  </w:style>
  <w:style w:type="paragraph" w:customStyle="1" w:styleId="literallayout">
    <w:name w:val="literallayout"/>
    <w:basedOn w:val="Normal"/>
    <w:next w:val="Normal"/>
    <w:uiPriority w:val="99"/>
    <w:pPr>
      <w:spacing w:after="0" w:line="240" w:lineRule="auto"/>
    </w:pPr>
    <w:rPr>
      <w:rFonts w:ascii="Courier New" w:eastAsia="Times New Roman" w:hAnsi="Courier New" w:cs="Courier New"/>
      <w:sz w:val="18"/>
      <w:szCs w:val="18"/>
    </w:rPr>
  </w:style>
  <w:style w:type="paragraph" w:customStyle="1" w:styleId="copytitle">
    <w:name w:val="copytitle"/>
    <w:basedOn w:val="Normal"/>
    <w:next w:val="Normal"/>
    <w:uiPriority w:val="99"/>
    <w:pPr>
      <w:spacing w:before="360" w:after="360" w:line="240" w:lineRule="auto"/>
      <w:jc w:val="center"/>
    </w:pPr>
    <w:rPr>
      <w:rFonts w:eastAsia="Times New Roman"/>
      <w:b/>
      <w:bCs/>
      <w:sz w:val="32"/>
      <w:szCs w:val="32"/>
    </w:rPr>
  </w:style>
  <w:style w:type="character" w:customStyle="1" w:styleId="literal">
    <w:name w:val="literal"/>
    <w:uiPriority w:val="99"/>
    <w:rPr>
      <w:rFonts w:ascii="Courier New" w:hAnsi="Courier New" w:cs="Courier New"/>
      <w:sz w:val="18"/>
      <w:szCs w:val="18"/>
    </w:rPr>
  </w:style>
  <w:style w:type="character" w:customStyle="1" w:styleId="tw4winExternal">
    <w:name w:val="tw4winExternal"/>
    <w:uiPriority w:val="99"/>
  </w:style>
  <w:style w:type="character" w:customStyle="1" w:styleId="Placeholder">
    <w:name w:val="Placeholder"/>
    <w:uiPriority w:val="99"/>
    <w:rPr>
      <w:color w:val="008000"/>
    </w:rPr>
  </w:style>
  <w:style w:type="paragraph" w:customStyle="1" w:styleId="font5">
    <w:name w:val="font5"/>
    <w:basedOn w:val="Normal"/>
    <w:pPr>
      <w:spacing w:before="100" w:beforeAutospacing="1" w:after="100" w:afterAutospacing="1" w:line="240" w:lineRule="auto"/>
    </w:pPr>
    <w:rPr>
      <w:rFonts w:eastAsia="Times New Roman"/>
      <w:sz w:val="16"/>
      <w:szCs w:val="16"/>
    </w:rPr>
  </w:style>
  <w:style w:type="paragraph" w:customStyle="1" w:styleId="xl260">
    <w:name w:val="xl260"/>
    <w:basedOn w:val="Normal"/>
    <w:pPr>
      <w:spacing w:before="100" w:beforeAutospacing="1" w:after="100" w:afterAutospacing="1" w:line="240" w:lineRule="auto"/>
    </w:pPr>
    <w:rPr>
      <w:rFonts w:eastAsia="Times New Roman"/>
      <w:color w:val="000000"/>
      <w:sz w:val="24"/>
      <w:szCs w:val="24"/>
    </w:rPr>
  </w:style>
  <w:style w:type="paragraph" w:customStyle="1" w:styleId="xl261">
    <w:name w:val="xl261"/>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263">
    <w:name w:val="xl263"/>
    <w:basedOn w:val="Normal"/>
    <w:pPr>
      <w:pBdr>
        <w:top w:val="dotted"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264">
    <w:name w:val="xl264"/>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rPr>
  </w:style>
  <w:style w:type="paragraph" w:customStyle="1" w:styleId="xl265">
    <w:name w:val="xl265"/>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266">
    <w:name w:val="xl266"/>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rPr>
  </w:style>
  <w:style w:type="paragraph" w:customStyle="1" w:styleId="xl267">
    <w:name w:val="xl267"/>
    <w:basedOn w:val="Normal"/>
    <w:pPr>
      <w:pBdr>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rPr>
  </w:style>
  <w:style w:type="paragraph" w:customStyle="1" w:styleId="xl268">
    <w:name w:val="xl268"/>
    <w:basedOn w:val="Normal"/>
    <w:pPr>
      <w:pBdr>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rPr>
  </w:style>
  <w:style w:type="paragraph" w:customStyle="1" w:styleId="xl269">
    <w:name w:val="xl269"/>
    <w:basedOn w:val="Normal"/>
    <w:pPr>
      <w:pBdr>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270">
    <w:name w:val="xl270"/>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rPr>
  </w:style>
  <w:style w:type="paragraph" w:customStyle="1" w:styleId="xl271">
    <w:name w:val="xl27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272">
    <w:name w:val="xl27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rPr>
  </w:style>
  <w:style w:type="paragraph" w:customStyle="1" w:styleId="xl273">
    <w:name w:val="xl273"/>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274">
    <w:name w:val="xl274"/>
    <w:basedOn w:val="Normal"/>
    <w:pPr>
      <w:pBdr>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275">
    <w:name w:val="xl27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276">
    <w:name w:val="xl27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277">
    <w:name w:val="xl27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rPr>
  </w:style>
  <w:style w:type="paragraph" w:customStyle="1" w:styleId="xl278">
    <w:name w:val="xl278"/>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279">
    <w:name w:val="xl279"/>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rPr>
  </w:style>
  <w:style w:type="paragraph" w:customStyle="1" w:styleId="xl280">
    <w:name w:val="xl280"/>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281">
    <w:name w:val="xl28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282">
    <w:name w:val="xl28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283">
    <w:name w:val="xl28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284">
    <w:name w:val="xl28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285">
    <w:name w:val="xl285"/>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rPr>
  </w:style>
  <w:style w:type="paragraph" w:customStyle="1" w:styleId="xl286">
    <w:name w:val="xl286"/>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rPr>
  </w:style>
  <w:style w:type="paragraph" w:customStyle="1" w:styleId="xl287">
    <w:name w:val="xl287"/>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rPr>
  </w:style>
  <w:style w:type="paragraph" w:customStyle="1" w:styleId="xl288">
    <w:name w:val="xl288"/>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289">
    <w:name w:val="xl289"/>
    <w:basedOn w:val="Normal"/>
    <w:pPr>
      <w:pBdr>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290">
    <w:name w:val="xl290"/>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291">
    <w:name w:val="xl291"/>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292">
    <w:name w:val="xl292"/>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rPr>
  </w:style>
  <w:style w:type="paragraph" w:customStyle="1" w:styleId="xl293">
    <w:name w:val="xl293"/>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294">
    <w:name w:val="xl29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i/>
      <w:iCs/>
      <w:sz w:val="16"/>
      <w:szCs w:val="16"/>
    </w:rPr>
  </w:style>
  <w:style w:type="paragraph" w:customStyle="1" w:styleId="xl295">
    <w:name w:val="xl295"/>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296">
    <w:name w:val="xl296"/>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297">
    <w:name w:val="xl297"/>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298">
    <w:name w:val="xl298"/>
    <w:basedOn w:val="Normal"/>
    <w:pPr>
      <w:pBdr>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299">
    <w:name w:val="xl299"/>
    <w:basedOn w:val="Normal"/>
    <w:pPr>
      <w:pBdr>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00">
    <w:name w:val="xl30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01">
    <w:name w:val="xl30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02">
    <w:name w:val="xl30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rPr>
  </w:style>
  <w:style w:type="paragraph" w:customStyle="1" w:styleId="xl303">
    <w:name w:val="xl303"/>
    <w:basedOn w:val="Normal"/>
    <w:pPr>
      <w:pBdr>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304">
    <w:name w:val="xl304"/>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05">
    <w:name w:val="xl305"/>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06">
    <w:name w:val="xl306"/>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rPr>
  </w:style>
  <w:style w:type="paragraph" w:customStyle="1" w:styleId="xl307">
    <w:name w:val="xl307"/>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08">
    <w:name w:val="xl308"/>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309">
    <w:name w:val="xl309"/>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10">
    <w:name w:val="xl310"/>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11">
    <w:name w:val="xl311"/>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12">
    <w:name w:val="xl312"/>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13">
    <w:name w:val="xl313"/>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14">
    <w:name w:val="xl314"/>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15">
    <w:name w:val="xl315"/>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16">
    <w:name w:val="xl316"/>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17">
    <w:name w:val="xl317"/>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18">
    <w:name w:val="xl318"/>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19">
    <w:name w:val="xl319"/>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20">
    <w:name w:val="xl32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21">
    <w:name w:val="xl32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rPr>
  </w:style>
  <w:style w:type="paragraph" w:customStyle="1" w:styleId="xl322">
    <w:name w:val="xl32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323">
    <w:name w:val="xl32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rPr>
  </w:style>
  <w:style w:type="paragraph" w:customStyle="1" w:styleId="xl324">
    <w:name w:val="xl32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i/>
      <w:iCs/>
      <w:sz w:val="16"/>
      <w:szCs w:val="16"/>
    </w:rPr>
  </w:style>
  <w:style w:type="paragraph" w:customStyle="1" w:styleId="xl325">
    <w:name w:val="xl32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26">
    <w:name w:val="xl32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27">
    <w:name w:val="xl32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328">
    <w:name w:val="xl328"/>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329">
    <w:name w:val="xl329"/>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330">
    <w:name w:val="xl330"/>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331">
    <w:name w:val="xl33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32">
    <w:name w:val="xl33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33">
    <w:name w:val="xl33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34">
    <w:name w:val="xl33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35">
    <w:name w:val="xl335"/>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36">
    <w:name w:val="xl336"/>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37">
    <w:name w:val="xl337"/>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rPr>
  </w:style>
  <w:style w:type="paragraph" w:customStyle="1" w:styleId="xl338">
    <w:name w:val="xl338"/>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rPr>
  </w:style>
  <w:style w:type="paragraph" w:customStyle="1" w:styleId="xl339">
    <w:name w:val="xl3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rPr>
  </w:style>
  <w:style w:type="paragraph" w:customStyle="1" w:styleId="xl340">
    <w:name w:val="xl3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i/>
      <w:iCs/>
      <w:sz w:val="16"/>
      <w:szCs w:val="16"/>
    </w:rPr>
  </w:style>
  <w:style w:type="paragraph" w:customStyle="1" w:styleId="xl341">
    <w:name w:val="xl341"/>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342">
    <w:name w:val="xl342"/>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343">
    <w:name w:val="xl34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rPr>
  </w:style>
  <w:style w:type="paragraph" w:customStyle="1" w:styleId="xl344">
    <w:name w:val="xl34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345">
    <w:name w:val="xl34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46">
    <w:name w:val="xl34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47">
    <w:name w:val="xl347"/>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48">
    <w:name w:val="xl348"/>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49">
    <w:name w:val="xl349"/>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350">
    <w:name w:val="xl350"/>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351">
    <w:name w:val="xl351"/>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352">
    <w:name w:val="xl35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i/>
      <w:iCs/>
      <w:sz w:val="16"/>
      <w:szCs w:val="16"/>
    </w:rPr>
  </w:style>
  <w:style w:type="paragraph" w:customStyle="1" w:styleId="xl353">
    <w:name w:val="xl35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354">
    <w:name w:val="xl35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355">
    <w:name w:val="xl35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356">
    <w:name w:val="xl35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357">
    <w:name w:val="xl357"/>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358">
    <w:name w:val="xl35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59">
    <w:name w:val="xl35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60">
    <w:name w:val="xl36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61">
    <w:name w:val="xl36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62">
    <w:name w:val="xl362"/>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363">
    <w:name w:val="xl363"/>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364">
    <w:name w:val="xl364"/>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365">
    <w:name w:val="xl365"/>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366">
    <w:name w:val="xl366"/>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367">
    <w:name w:val="xl367"/>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368">
    <w:name w:val="xl368"/>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369">
    <w:name w:val="xl369"/>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rPr>
  </w:style>
  <w:style w:type="paragraph" w:customStyle="1" w:styleId="xl370">
    <w:name w:val="xl37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371">
    <w:name w:val="xl371"/>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rPr>
  </w:style>
  <w:style w:type="paragraph" w:customStyle="1" w:styleId="xl372">
    <w:name w:val="xl37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373">
    <w:name w:val="xl373"/>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74">
    <w:name w:val="xl374"/>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75">
    <w:name w:val="xl375"/>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76">
    <w:name w:val="xl37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77">
    <w:name w:val="xl37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78">
    <w:name w:val="xl378"/>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79">
    <w:name w:val="xl379"/>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80">
    <w:name w:val="xl380"/>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81">
    <w:name w:val="xl381"/>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82">
    <w:name w:val="xl382"/>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383">
    <w:name w:val="xl383"/>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rPr>
  </w:style>
  <w:style w:type="paragraph" w:customStyle="1" w:styleId="xl384">
    <w:name w:val="xl384"/>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85">
    <w:name w:val="xl385"/>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86">
    <w:name w:val="xl38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87">
    <w:name w:val="xl387"/>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88">
    <w:name w:val="xl388"/>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89">
    <w:name w:val="xl389"/>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0">
    <w:name w:val="xl390"/>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1">
    <w:name w:val="xl39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2">
    <w:name w:val="xl39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3">
    <w:name w:val="xl393"/>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4">
    <w:name w:val="xl3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5">
    <w:name w:val="xl3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6">
    <w:name w:val="xl3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7">
    <w:name w:val="xl3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398">
    <w:name w:val="xl398"/>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sz w:val="16"/>
      <w:szCs w:val="16"/>
    </w:rPr>
  </w:style>
  <w:style w:type="paragraph" w:customStyle="1" w:styleId="xl399">
    <w:name w:val="xl399"/>
    <w:basedOn w:val="Normal"/>
    <w:pPr>
      <w:pBdr>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400">
    <w:name w:val="xl400"/>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401">
    <w:name w:val="xl401"/>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402">
    <w:name w:val="xl40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b/>
      <w:bCs/>
      <w:sz w:val="16"/>
      <w:szCs w:val="16"/>
    </w:rPr>
  </w:style>
  <w:style w:type="paragraph" w:customStyle="1" w:styleId="xl403">
    <w:name w:val="xl403"/>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04">
    <w:name w:val="xl404"/>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405">
    <w:name w:val="xl405"/>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06">
    <w:name w:val="xl406"/>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07">
    <w:name w:val="xl407"/>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08">
    <w:name w:val="xl408"/>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09">
    <w:name w:val="xl409"/>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10">
    <w:name w:val="xl410"/>
    <w:basedOn w:val="Normal"/>
    <w:pPr>
      <w:pBdr>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11">
    <w:name w:val="xl411"/>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12">
    <w:name w:val="xl412"/>
    <w:basedOn w:val="Normal"/>
    <w:pPr>
      <w:pBdr>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13">
    <w:name w:val="xl413"/>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14">
    <w:name w:val="xl41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15">
    <w:name w:val="xl41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16">
    <w:name w:val="xl41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17">
    <w:name w:val="xl41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18">
    <w:name w:val="xl418"/>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19">
    <w:name w:val="xl41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20">
    <w:name w:val="xl420"/>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421">
    <w:name w:val="xl421"/>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422">
    <w:name w:val="xl422"/>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423">
    <w:name w:val="xl423"/>
    <w:basedOn w:val="Normal"/>
    <w:pPr>
      <w:pBdr>
        <w:bottom w:val="dotted" w:sz="4" w:space="0" w:color="000000"/>
      </w:pBdr>
      <w:spacing w:before="100" w:beforeAutospacing="1" w:after="100" w:afterAutospacing="1" w:line="240" w:lineRule="auto"/>
      <w:textAlignment w:val="center"/>
    </w:pPr>
    <w:rPr>
      <w:rFonts w:eastAsia="Times New Roman"/>
      <w:sz w:val="16"/>
      <w:szCs w:val="16"/>
    </w:rPr>
  </w:style>
  <w:style w:type="paragraph" w:customStyle="1" w:styleId="xl424">
    <w:name w:val="xl424"/>
    <w:basedOn w:val="Normal"/>
    <w:pPr>
      <w:pBdr>
        <w:bottom w:val="dotted" w:sz="4" w:space="0" w:color="000000"/>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25">
    <w:name w:val="xl425"/>
    <w:basedOn w:val="Normal"/>
    <w:pPr>
      <w:pBdr>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26">
    <w:name w:val="xl426"/>
    <w:basedOn w:val="Normal"/>
    <w:pP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427">
    <w:name w:val="xl427"/>
    <w:basedOn w:val="Normal"/>
    <w:pPr>
      <w:pBdr>
        <w:top w:val="dotted" w:sz="4" w:space="0" w:color="000000"/>
        <w:lef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28">
    <w:name w:val="xl428"/>
    <w:basedOn w:val="Normal"/>
    <w:pPr>
      <w:pBdr>
        <w:top w:val="dotted" w:sz="4" w:space="0" w:color="000000"/>
      </w:pBdr>
      <w:spacing w:before="100" w:beforeAutospacing="1" w:after="100" w:afterAutospacing="1" w:line="240" w:lineRule="auto"/>
      <w:textAlignment w:val="center"/>
    </w:pPr>
    <w:rPr>
      <w:rFonts w:eastAsia="Times New Roman"/>
      <w:sz w:val="16"/>
      <w:szCs w:val="16"/>
    </w:rPr>
  </w:style>
  <w:style w:type="paragraph" w:customStyle="1" w:styleId="xl429">
    <w:name w:val="xl429"/>
    <w:basedOn w:val="Normal"/>
    <w:pPr>
      <w:pBdr>
        <w:top w:val="dotted" w:sz="4" w:space="0" w:color="000000"/>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30">
    <w:name w:val="xl430"/>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431">
    <w:name w:val="xl431"/>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432">
    <w:name w:val="xl432"/>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433">
    <w:name w:val="xl433"/>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b/>
      <w:bCs/>
      <w:sz w:val="16"/>
      <w:szCs w:val="16"/>
    </w:rPr>
  </w:style>
  <w:style w:type="paragraph" w:customStyle="1" w:styleId="xl434">
    <w:name w:val="xl434"/>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b/>
      <w:bCs/>
      <w:sz w:val="16"/>
      <w:szCs w:val="16"/>
    </w:rPr>
  </w:style>
  <w:style w:type="paragraph" w:customStyle="1" w:styleId="xl435">
    <w:name w:val="xl43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36">
    <w:name w:val="xl43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37">
    <w:name w:val="xl437"/>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sz w:val="16"/>
      <w:szCs w:val="16"/>
    </w:rPr>
  </w:style>
  <w:style w:type="paragraph" w:customStyle="1" w:styleId="xl438">
    <w:name w:val="xl438"/>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39">
    <w:name w:val="xl439"/>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eastAsia="Times New Roman"/>
      <w:sz w:val="16"/>
      <w:szCs w:val="16"/>
    </w:rPr>
  </w:style>
  <w:style w:type="paragraph" w:customStyle="1" w:styleId="xl440">
    <w:name w:val="xl440"/>
    <w:basedOn w:val="Normal"/>
    <w:pPr>
      <w:pBdr>
        <w:top w:val="dotted" w:sz="4" w:space="0" w:color="000000"/>
        <w:bottom w:val="dotted" w:sz="4" w:space="0" w:color="auto"/>
      </w:pBdr>
      <w:spacing w:before="100" w:beforeAutospacing="1" w:after="100" w:afterAutospacing="1" w:line="240" w:lineRule="auto"/>
      <w:textAlignment w:val="center"/>
    </w:pPr>
    <w:rPr>
      <w:rFonts w:eastAsia="Times New Roman"/>
      <w:sz w:val="16"/>
      <w:szCs w:val="16"/>
    </w:rPr>
  </w:style>
  <w:style w:type="paragraph" w:customStyle="1" w:styleId="xl441">
    <w:name w:val="xl441"/>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42">
    <w:name w:val="xl442"/>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43">
    <w:name w:val="xl443"/>
    <w:basedOn w:val="Normal"/>
    <w:pPr>
      <w:pBdr>
        <w:top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44">
    <w:name w:val="xl444"/>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45">
    <w:name w:val="xl445"/>
    <w:basedOn w:val="Normal"/>
    <w:pPr>
      <w:pBdr>
        <w:lef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46">
    <w:name w:val="xl446"/>
    <w:basedOn w:val="Normal"/>
    <w:pPr>
      <w:spacing w:before="100" w:beforeAutospacing="1" w:after="100" w:afterAutospacing="1" w:line="240" w:lineRule="auto"/>
      <w:textAlignment w:val="center"/>
    </w:pPr>
    <w:rPr>
      <w:rFonts w:eastAsia="Times New Roman"/>
      <w:sz w:val="16"/>
      <w:szCs w:val="16"/>
    </w:rPr>
  </w:style>
  <w:style w:type="paragraph" w:customStyle="1" w:styleId="xl447">
    <w:name w:val="xl447"/>
    <w:basedOn w:val="Normal"/>
    <w:pPr>
      <w:pBdr>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48">
    <w:name w:val="xl448"/>
    <w:basedOn w:val="Normal"/>
    <w:pPr>
      <w:pBdr>
        <w:left w:val="single" w:sz="4" w:space="0" w:color="auto"/>
        <w:bottom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49">
    <w:name w:val="xl449"/>
    <w:basedOn w:val="Normal"/>
    <w:pPr>
      <w:pBdr>
        <w:bottom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50">
    <w:name w:val="xl450"/>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51">
    <w:name w:val="xl451"/>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452">
    <w:name w:val="xl452"/>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453">
    <w:name w:val="xl453"/>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454">
    <w:name w:val="xl454"/>
    <w:basedOn w:val="Normal"/>
    <w:pPr>
      <w:pBdr>
        <w:top w:val="dotted" w:sz="4" w:space="0" w:color="auto"/>
        <w:bottom w:val="dotted" w:sz="4" w:space="0" w:color="auto"/>
      </w:pBdr>
      <w:spacing w:before="100" w:beforeAutospacing="1" w:after="100" w:afterAutospacing="1" w:line="240" w:lineRule="auto"/>
      <w:textAlignment w:val="center"/>
    </w:pPr>
    <w:rPr>
      <w:rFonts w:eastAsia="Times New Roman"/>
      <w:sz w:val="16"/>
      <w:szCs w:val="16"/>
    </w:rPr>
  </w:style>
  <w:style w:type="paragraph" w:customStyle="1" w:styleId="xl455">
    <w:name w:val="xl455"/>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56">
    <w:name w:val="xl456"/>
    <w:basedOn w:val="Normal"/>
    <w:pPr>
      <w:pBdr>
        <w:top w:val="dotted" w:sz="4" w:space="0" w:color="000000"/>
        <w:lef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57">
    <w:name w:val="xl457"/>
    <w:basedOn w:val="Normal"/>
    <w:pPr>
      <w:pBdr>
        <w:top w:val="dotted"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58">
    <w:name w:val="xl458"/>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59">
    <w:name w:val="xl459"/>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60">
    <w:name w:val="xl460"/>
    <w:basedOn w:val="Normal"/>
    <w:pPr>
      <w:pBdr>
        <w:top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461">
    <w:name w:val="xl461"/>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eastAsiaTheme="minorHAnsi"/>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styleId="ListParagraph">
    <w:name w:val="List Paragraph"/>
    <w:basedOn w:val="Normal"/>
    <w:uiPriority w:val="34"/>
    <w:qFormat/>
    <w:pPr>
      <w:spacing w:after="0" w:line="240" w:lineRule="auto"/>
    </w:pPr>
    <w:rPr>
      <w:rFonts w:eastAsia="Times New Roman"/>
      <w:sz w:val="24"/>
      <w:szCs w:val="24"/>
    </w:rPr>
  </w:style>
  <w:style w:type="paragraph" w:styleId="Revision">
    <w:name w:val="Revision"/>
    <w:hidden/>
    <w:uiPriority w:val="99"/>
    <w:semiHidden/>
    <w:rPr>
      <w:rFonts w:ascii="Times New Roman" w:hAnsi="Times New Roman"/>
      <w:sz w:val="23"/>
      <w:szCs w:val="22"/>
    </w:rPr>
  </w:style>
  <w:style w:type="paragraph" w:customStyle="1" w:styleId="xl462">
    <w:name w:val="xl46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463">
    <w:name w:val="xl46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rPr>
  </w:style>
  <w:style w:type="paragraph" w:customStyle="1" w:styleId="xl464">
    <w:name w:val="xl46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465">
    <w:name w:val="xl465"/>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466">
    <w:name w:val="xl466"/>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67">
    <w:name w:val="xl467"/>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68">
    <w:name w:val="xl46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69">
    <w:name w:val="xl46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70">
    <w:name w:val="xl470"/>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471">
    <w:name w:val="xl471"/>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472">
    <w:name w:val="xl472"/>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473">
    <w:name w:val="xl473"/>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474">
    <w:name w:val="xl474"/>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475">
    <w:name w:val="xl475"/>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476">
    <w:name w:val="xl476"/>
    <w:basedOn w:val="Normal"/>
    <w:pPr>
      <w:pBdr>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477">
    <w:name w:val="xl477"/>
    <w:basedOn w:val="Normal"/>
    <w:pPr>
      <w:pBdr>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478">
    <w:name w:val="xl478"/>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479">
    <w:name w:val="xl479"/>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480">
    <w:name w:val="xl480"/>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rPr>
  </w:style>
  <w:style w:type="paragraph" w:customStyle="1" w:styleId="xl481">
    <w:name w:val="xl481"/>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82">
    <w:name w:val="xl482"/>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83">
    <w:name w:val="xl483"/>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84">
    <w:name w:val="xl484"/>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85">
    <w:name w:val="xl485"/>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rPr>
  </w:style>
  <w:style w:type="paragraph" w:customStyle="1" w:styleId="xl486">
    <w:name w:val="xl48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487">
    <w:name w:val="xl48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488">
    <w:name w:val="xl488"/>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489">
    <w:name w:val="xl489"/>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490">
    <w:name w:val="xl490"/>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491">
    <w:name w:val="xl491"/>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92">
    <w:name w:val="xl492"/>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93">
    <w:name w:val="xl493"/>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94">
    <w:name w:val="xl4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95">
    <w:name w:val="xl4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96">
    <w:name w:val="xl4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97">
    <w:name w:val="xl4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rPr>
  </w:style>
  <w:style w:type="paragraph" w:customStyle="1" w:styleId="xl498">
    <w:name w:val="xl498"/>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499">
    <w:name w:val="xl499"/>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00">
    <w:name w:val="xl500"/>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01">
    <w:name w:val="xl501"/>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02">
    <w:name w:val="xl502"/>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03">
    <w:name w:val="xl503"/>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04">
    <w:name w:val="xl504"/>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05">
    <w:name w:val="xl50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rPr>
  </w:style>
  <w:style w:type="paragraph" w:customStyle="1" w:styleId="xl506">
    <w:name w:val="xl50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rPr>
  </w:style>
  <w:style w:type="paragraph" w:customStyle="1" w:styleId="xl507">
    <w:name w:val="xl507"/>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508">
    <w:name w:val="xl508"/>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509">
    <w:name w:val="xl509"/>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510">
    <w:name w:val="xl51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511">
    <w:name w:val="xl511"/>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512">
    <w:name w:val="xl512"/>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513">
    <w:name w:val="xl513"/>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514">
    <w:name w:val="xl514"/>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515">
    <w:name w:val="xl515"/>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516">
    <w:name w:val="xl516"/>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517">
    <w:name w:val="xl517"/>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rPr>
  </w:style>
  <w:style w:type="paragraph" w:customStyle="1" w:styleId="xl518">
    <w:name w:val="xl518"/>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19">
    <w:name w:val="xl519"/>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20">
    <w:name w:val="xl520"/>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21">
    <w:name w:val="xl52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22">
    <w:name w:val="xl52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23">
    <w:name w:val="xl523"/>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24">
    <w:name w:val="xl524"/>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rPr>
  </w:style>
  <w:style w:type="paragraph" w:customStyle="1" w:styleId="xl525">
    <w:name w:val="xl525"/>
    <w:basedOn w:val="Normal"/>
    <w:pPr>
      <w:pBdr>
        <w:top w:val="dotted"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rPr>
  </w:style>
  <w:style w:type="paragraph" w:customStyle="1" w:styleId="xl526">
    <w:name w:val="xl526"/>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rPr>
  </w:style>
  <w:style w:type="paragraph" w:customStyle="1" w:styleId="xl527">
    <w:name w:val="xl527"/>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rPr>
  </w:style>
  <w:style w:type="paragraph" w:customStyle="1" w:styleId="xl528">
    <w:name w:val="xl528"/>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rPr>
  </w:style>
  <w:style w:type="paragraph" w:customStyle="1" w:styleId="xl529">
    <w:name w:val="xl529"/>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rPr>
  </w:style>
  <w:style w:type="paragraph" w:customStyle="1" w:styleId="xl530">
    <w:name w:val="xl530"/>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rPr>
  </w:style>
  <w:style w:type="paragraph" w:customStyle="1" w:styleId="xl531">
    <w:name w:val="xl53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rPr>
  </w:style>
  <w:style w:type="paragraph" w:customStyle="1" w:styleId="xl532">
    <w:name w:val="xl532"/>
    <w:basedOn w:val="Normal"/>
    <w:pPr>
      <w:pBdr>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rPr>
  </w:style>
  <w:style w:type="paragraph" w:customStyle="1" w:styleId="xl533">
    <w:name w:val="xl533"/>
    <w:basedOn w:val="Normal"/>
    <w:pPr>
      <w:pBdr>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534">
    <w:name w:val="xl534"/>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rPr>
  </w:style>
  <w:style w:type="paragraph" w:customStyle="1" w:styleId="xl535">
    <w:name w:val="xl535"/>
    <w:basedOn w:val="Normal"/>
    <w:pPr>
      <w:pBdr>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536">
    <w:name w:val="xl536"/>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rPr>
  </w:style>
  <w:style w:type="paragraph" w:customStyle="1" w:styleId="xl537">
    <w:name w:val="xl537"/>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eastAsia="Times New Roman"/>
      <w:i/>
      <w:iCs/>
      <w:sz w:val="16"/>
      <w:szCs w:val="16"/>
    </w:rPr>
  </w:style>
  <w:style w:type="paragraph" w:customStyle="1" w:styleId="xl538">
    <w:name w:val="xl538"/>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eastAsia="Times New Roman"/>
      <w:i/>
      <w:iCs/>
      <w:sz w:val="16"/>
      <w:szCs w:val="16"/>
    </w:rPr>
  </w:style>
  <w:style w:type="paragraph" w:customStyle="1" w:styleId="xl539">
    <w:name w:val="xl5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540">
    <w:name w:val="xl5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541">
    <w:name w:val="xl54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542">
    <w:name w:val="xl54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543">
    <w:name w:val="xl543"/>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544">
    <w:name w:val="xl544"/>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rPr>
  </w:style>
  <w:style w:type="paragraph" w:customStyle="1" w:styleId="xl545">
    <w:name w:val="xl545"/>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rPr>
  </w:style>
  <w:style w:type="paragraph" w:customStyle="1" w:styleId="xl546">
    <w:name w:val="xl546"/>
    <w:basedOn w:val="Normal"/>
    <w:pPr>
      <w:pBdr>
        <w:top w:val="dotted"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rPr>
  </w:style>
  <w:style w:type="paragraph" w:customStyle="1" w:styleId="xl547">
    <w:name w:val="xl547"/>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548">
    <w:name w:val="xl548"/>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549">
    <w:name w:val="xl549"/>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550">
    <w:name w:val="xl550"/>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eastAsia="Times New Roman"/>
      <w:i/>
      <w:iCs/>
      <w:sz w:val="16"/>
      <w:szCs w:val="16"/>
    </w:rPr>
  </w:style>
  <w:style w:type="paragraph" w:customStyle="1" w:styleId="xl551">
    <w:name w:val="xl551"/>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rPr>
  </w:style>
  <w:style w:type="paragraph" w:customStyle="1" w:styleId="xl552">
    <w:name w:val="xl55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sz w:val="15"/>
      <w:szCs w:val="15"/>
    </w:rPr>
  </w:style>
  <w:style w:type="paragraph" w:customStyle="1" w:styleId="xl553">
    <w:name w:val="xl553"/>
    <w:basedOn w:val="Normal"/>
    <w:pPr>
      <w:pBdr>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5"/>
      <w:szCs w:val="15"/>
    </w:rPr>
  </w:style>
  <w:style w:type="paragraph" w:customStyle="1" w:styleId="xl554">
    <w:name w:val="xl554"/>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b/>
      <w:bCs/>
      <w:sz w:val="15"/>
      <w:szCs w:val="15"/>
    </w:rPr>
  </w:style>
  <w:style w:type="paragraph" w:customStyle="1" w:styleId="xl555">
    <w:name w:val="xl55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5"/>
      <w:szCs w:val="15"/>
    </w:rPr>
  </w:style>
  <w:style w:type="paragraph" w:customStyle="1" w:styleId="xl556">
    <w:name w:val="xl556"/>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i/>
      <w:iCs/>
      <w:sz w:val="15"/>
      <w:szCs w:val="15"/>
    </w:rPr>
  </w:style>
  <w:style w:type="paragraph" w:customStyle="1" w:styleId="xl557">
    <w:name w:val="xl557"/>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558">
    <w:name w:val="xl55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559">
    <w:name w:val="xl559"/>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560">
    <w:name w:val="xl560"/>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561">
    <w:name w:val="xl561"/>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562">
    <w:name w:val="xl562"/>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b/>
      <w:bCs/>
      <w:sz w:val="15"/>
      <w:szCs w:val="15"/>
    </w:rPr>
  </w:style>
  <w:style w:type="paragraph" w:customStyle="1" w:styleId="xl563">
    <w:name w:val="xl563"/>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b/>
      <w:bCs/>
      <w:sz w:val="15"/>
      <w:szCs w:val="15"/>
    </w:rPr>
  </w:style>
  <w:style w:type="paragraph" w:customStyle="1" w:styleId="xl564">
    <w:name w:val="xl564"/>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565">
    <w:name w:val="xl565"/>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566">
    <w:name w:val="xl566"/>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rPr>
  </w:style>
  <w:style w:type="paragraph" w:customStyle="1" w:styleId="xl567">
    <w:name w:val="xl567"/>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rPr>
  </w:style>
  <w:style w:type="paragraph" w:customStyle="1" w:styleId="xl568">
    <w:name w:val="xl56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rPr>
  </w:style>
  <w:style w:type="paragraph" w:customStyle="1" w:styleId="xl569">
    <w:name w:val="xl569"/>
    <w:basedOn w:val="Normal"/>
    <w:pPr>
      <w:pBdr>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rPr>
  </w:style>
  <w:style w:type="paragraph" w:customStyle="1" w:styleId="xl570">
    <w:name w:val="xl570"/>
    <w:basedOn w:val="Normal"/>
    <w:pPr>
      <w:shd w:val="clear" w:color="000000" w:fill="D9D9D9"/>
      <w:spacing w:before="100" w:beforeAutospacing="1" w:after="100" w:afterAutospacing="1" w:line="240" w:lineRule="auto"/>
      <w:jc w:val="center"/>
      <w:textAlignment w:val="center"/>
    </w:pPr>
    <w:rPr>
      <w:rFonts w:eastAsia="Times New Roman"/>
      <w:b/>
      <w:bCs/>
      <w:sz w:val="15"/>
      <w:szCs w:val="15"/>
    </w:rPr>
  </w:style>
  <w:style w:type="paragraph" w:customStyle="1" w:styleId="xl571">
    <w:name w:val="xl571"/>
    <w:basedOn w:val="Normal"/>
    <w:pPr>
      <w:pBdr>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rPr>
  </w:style>
  <w:style w:type="paragraph" w:customStyle="1" w:styleId="xl572">
    <w:name w:val="xl572"/>
    <w:basedOn w:val="Normal"/>
    <w:pPr>
      <w:pBdr>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rPr>
  </w:style>
  <w:style w:type="paragraph" w:customStyle="1" w:styleId="xl573">
    <w:name w:val="xl573"/>
    <w:basedOn w:val="Normal"/>
    <w:pPr>
      <w:pBdr>
        <w:bottom w:val="dotted" w:sz="4" w:space="0" w:color="000000"/>
      </w:pBdr>
      <w:spacing w:before="100" w:beforeAutospacing="1" w:after="100" w:afterAutospacing="1" w:line="240" w:lineRule="auto"/>
      <w:textAlignment w:val="center"/>
    </w:pPr>
    <w:rPr>
      <w:rFonts w:eastAsia="Times New Roman"/>
      <w:sz w:val="15"/>
      <w:szCs w:val="15"/>
    </w:rPr>
  </w:style>
  <w:style w:type="paragraph" w:customStyle="1" w:styleId="xl574">
    <w:name w:val="xl574"/>
    <w:basedOn w:val="Normal"/>
    <w:pPr>
      <w:pBdr>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575">
    <w:name w:val="xl575"/>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i/>
      <w:iCs/>
      <w:sz w:val="15"/>
      <w:szCs w:val="15"/>
    </w:rPr>
  </w:style>
  <w:style w:type="paragraph" w:customStyle="1" w:styleId="xl576">
    <w:name w:val="xl576"/>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5"/>
      <w:szCs w:val="15"/>
    </w:rPr>
  </w:style>
  <w:style w:type="paragraph" w:customStyle="1" w:styleId="xl577">
    <w:name w:val="xl577"/>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eastAsia="Times New Roman"/>
      <w:sz w:val="15"/>
      <w:szCs w:val="15"/>
    </w:rPr>
  </w:style>
  <w:style w:type="paragraph" w:customStyle="1" w:styleId="xl578">
    <w:name w:val="xl578"/>
    <w:basedOn w:val="Normal"/>
    <w:pPr>
      <w:pBdr>
        <w:top w:val="dotted" w:sz="4" w:space="0" w:color="000000"/>
        <w:bottom w:val="dotted" w:sz="4" w:space="0" w:color="auto"/>
      </w:pBdr>
      <w:spacing w:before="100" w:beforeAutospacing="1" w:after="100" w:afterAutospacing="1" w:line="240" w:lineRule="auto"/>
      <w:textAlignment w:val="center"/>
    </w:pPr>
    <w:rPr>
      <w:rFonts w:eastAsia="Times New Roman"/>
      <w:sz w:val="15"/>
      <w:szCs w:val="15"/>
    </w:rPr>
  </w:style>
  <w:style w:type="paragraph" w:customStyle="1" w:styleId="xl579">
    <w:name w:val="xl579"/>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580">
    <w:name w:val="xl580"/>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sz w:val="15"/>
      <w:szCs w:val="15"/>
    </w:rPr>
  </w:style>
  <w:style w:type="paragraph" w:customStyle="1" w:styleId="xl581">
    <w:name w:val="xl581"/>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582">
    <w:name w:val="xl582"/>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i/>
      <w:iCs/>
      <w:sz w:val="15"/>
      <w:szCs w:val="15"/>
    </w:rPr>
  </w:style>
  <w:style w:type="paragraph" w:customStyle="1" w:styleId="xl583">
    <w:name w:val="xl583"/>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5"/>
      <w:szCs w:val="15"/>
    </w:rPr>
  </w:style>
  <w:style w:type="paragraph" w:customStyle="1" w:styleId="xl584">
    <w:name w:val="xl584"/>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85">
    <w:name w:val="xl585"/>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86">
    <w:name w:val="xl58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87">
    <w:name w:val="xl58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88">
    <w:name w:val="xl588"/>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89">
    <w:name w:val="xl58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90">
    <w:name w:val="xl590"/>
    <w:basedOn w:val="Normal"/>
    <w:pPr>
      <w:pBdr>
        <w:top w:val="dotted" w:sz="4" w:space="0" w:color="000000"/>
        <w:lef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591">
    <w:name w:val="xl591"/>
    <w:basedOn w:val="Normal"/>
    <w:pPr>
      <w:pBdr>
        <w:top w:val="dotted" w:sz="4" w:space="0" w:color="000000"/>
      </w:pBdr>
      <w:spacing w:before="100" w:beforeAutospacing="1" w:after="100" w:afterAutospacing="1" w:line="240" w:lineRule="auto"/>
      <w:textAlignment w:val="center"/>
    </w:pPr>
    <w:rPr>
      <w:rFonts w:eastAsia="Times New Roman"/>
      <w:sz w:val="15"/>
      <w:szCs w:val="15"/>
    </w:rPr>
  </w:style>
  <w:style w:type="paragraph" w:customStyle="1" w:styleId="xl592">
    <w:name w:val="xl592"/>
    <w:basedOn w:val="Normal"/>
    <w:pPr>
      <w:pBdr>
        <w:top w:val="dotted" w:sz="4" w:space="0" w:color="000000"/>
        <w:righ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593">
    <w:name w:val="xl593"/>
    <w:basedOn w:val="Normal"/>
    <w:pPr>
      <w:pBdr>
        <w:top w:val="dotted" w:sz="4" w:space="0" w:color="000000"/>
        <w:left w:val="single" w:sz="4" w:space="0" w:color="auto"/>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94">
    <w:name w:val="xl594"/>
    <w:basedOn w:val="Normal"/>
    <w:pPr>
      <w:pBdr>
        <w:top w:val="dotted" w:sz="4" w:space="0" w:color="000000"/>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95">
    <w:name w:val="xl595"/>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5"/>
      <w:szCs w:val="15"/>
    </w:rPr>
  </w:style>
  <w:style w:type="paragraph" w:customStyle="1" w:styleId="xl596">
    <w:name w:val="xl596"/>
    <w:basedOn w:val="Normal"/>
    <w:pPr>
      <w:pBdr>
        <w:bottom w:val="dotted" w:sz="4" w:space="0" w:color="000000"/>
      </w:pBdr>
      <w:spacing w:before="100" w:beforeAutospacing="1" w:after="100" w:afterAutospacing="1" w:line="240" w:lineRule="auto"/>
      <w:jc w:val="right"/>
      <w:textAlignment w:val="center"/>
    </w:pPr>
    <w:rPr>
      <w:rFonts w:eastAsia="Times New Roman"/>
      <w:i/>
      <w:iCs/>
      <w:sz w:val="15"/>
      <w:szCs w:val="15"/>
    </w:rPr>
  </w:style>
  <w:style w:type="paragraph" w:customStyle="1" w:styleId="xl597">
    <w:name w:val="xl597"/>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5"/>
      <w:szCs w:val="15"/>
    </w:rPr>
  </w:style>
  <w:style w:type="paragraph" w:customStyle="1" w:styleId="xl598">
    <w:name w:val="xl598"/>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599">
    <w:name w:val="xl599"/>
    <w:basedOn w:val="Normal"/>
    <w:pPr>
      <w:pBdr>
        <w:top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600">
    <w:name w:val="xl600"/>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601">
    <w:name w:val="xl601"/>
    <w:basedOn w:val="Normal"/>
    <w:pPr>
      <w:pBdr>
        <w:left w:val="single" w:sz="4" w:space="0" w:color="auto"/>
        <w:bottom w:val="dotted" w:sz="4" w:space="0" w:color="auto"/>
      </w:pBdr>
      <w:spacing w:before="100" w:beforeAutospacing="1" w:after="100" w:afterAutospacing="1" w:line="240" w:lineRule="auto"/>
      <w:textAlignment w:val="center"/>
    </w:pPr>
    <w:rPr>
      <w:rFonts w:eastAsia="Times New Roman"/>
      <w:sz w:val="15"/>
      <w:szCs w:val="15"/>
    </w:rPr>
  </w:style>
  <w:style w:type="paragraph" w:customStyle="1" w:styleId="xl602">
    <w:name w:val="xl602"/>
    <w:basedOn w:val="Normal"/>
    <w:pPr>
      <w:pBdr>
        <w:bottom w:val="dotted" w:sz="4" w:space="0" w:color="auto"/>
      </w:pBdr>
      <w:spacing w:before="100" w:beforeAutospacing="1" w:after="100" w:afterAutospacing="1" w:line="240" w:lineRule="auto"/>
      <w:textAlignment w:val="center"/>
    </w:pPr>
    <w:rPr>
      <w:rFonts w:eastAsia="Times New Roman"/>
      <w:sz w:val="15"/>
      <w:szCs w:val="15"/>
    </w:rPr>
  </w:style>
  <w:style w:type="paragraph" w:customStyle="1" w:styleId="xl603">
    <w:name w:val="xl603"/>
    <w:basedOn w:val="Normal"/>
    <w:pPr>
      <w:pBdr>
        <w:bottom w:val="dotted" w:sz="4" w:space="0" w:color="auto"/>
        <w:righ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604">
    <w:name w:val="xl60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5"/>
      <w:szCs w:val="15"/>
    </w:rPr>
  </w:style>
  <w:style w:type="paragraph" w:customStyle="1" w:styleId="xl605">
    <w:name w:val="xl60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5"/>
      <w:szCs w:val="15"/>
    </w:rPr>
  </w:style>
  <w:style w:type="paragraph" w:customStyle="1" w:styleId="xl606">
    <w:name w:val="xl60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5"/>
      <w:szCs w:val="15"/>
    </w:rPr>
  </w:style>
  <w:style w:type="paragraph" w:customStyle="1" w:styleId="xl607">
    <w:name w:val="xl607"/>
    <w:basedOn w:val="Normal"/>
    <w:pPr>
      <w:pBdr>
        <w:bottom w:val="single" w:sz="4" w:space="0" w:color="auto"/>
      </w:pBdr>
      <w:spacing w:before="100" w:beforeAutospacing="1" w:after="100" w:afterAutospacing="1" w:line="240" w:lineRule="auto"/>
      <w:jc w:val="right"/>
    </w:pPr>
    <w:rPr>
      <w:rFonts w:eastAsia="Times New Roman"/>
      <w:i/>
      <w:iCs/>
      <w:color w:val="000000"/>
      <w:sz w:val="24"/>
      <w:szCs w:val="24"/>
    </w:rPr>
  </w:style>
  <w:style w:type="paragraph" w:customStyle="1" w:styleId="xl608">
    <w:name w:val="xl608"/>
    <w:basedOn w:val="Normal"/>
    <w:pPr>
      <w:pBdr>
        <w:left w:val="single" w:sz="4" w:space="0" w:color="auto"/>
        <w:bottom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609">
    <w:name w:val="xl609"/>
    <w:basedOn w:val="Normal"/>
    <w:pPr>
      <w:pBdr>
        <w:bottom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610">
    <w:name w:val="xl610"/>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611">
    <w:name w:val="xl611"/>
    <w:basedOn w:val="Normal"/>
    <w:pPr>
      <w:pBdr>
        <w:top w:val="dotted" w:sz="4" w:space="0" w:color="000000"/>
        <w:left w:val="single" w:sz="4" w:space="0" w:color="auto"/>
        <w:bottom w:val="dotted" w:sz="4" w:space="0" w:color="000000"/>
      </w:pBdr>
      <w:spacing w:before="100" w:beforeAutospacing="1" w:after="100" w:afterAutospacing="1" w:line="240" w:lineRule="auto"/>
      <w:textAlignment w:val="center"/>
    </w:pPr>
    <w:rPr>
      <w:rFonts w:eastAsia="Times New Roman"/>
      <w:sz w:val="15"/>
      <w:szCs w:val="15"/>
    </w:rPr>
  </w:style>
  <w:style w:type="paragraph" w:customStyle="1" w:styleId="xl612">
    <w:name w:val="xl612"/>
    <w:basedOn w:val="Normal"/>
    <w:pPr>
      <w:pBdr>
        <w:top w:val="dotted" w:sz="4" w:space="0" w:color="000000"/>
        <w:bottom w:val="dotted" w:sz="4" w:space="0" w:color="000000"/>
      </w:pBdr>
      <w:spacing w:before="100" w:beforeAutospacing="1" w:after="100" w:afterAutospacing="1" w:line="240" w:lineRule="auto"/>
      <w:textAlignment w:val="center"/>
    </w:pPr>
    <w:rPr>
      <w:rFonts w:eastAsia="Times New Roman"/>
      <w:sz w:val="15"/>
      <w:szCs w:val="15"/>
    </w:rPr>
  </w:style>
  <w:style w:type="paragraph" w:customStyle="1" w:styleId="xl613">
    <w:name w:val="xl613"/>
    <w:basedOn w:val="Normal"/>
    <w:pPr>
      <w:pBdr>
        <w:top w:val="dotted" w:sz="4" w:space="0" w:color="000000"/>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614">
    <w:name w:val="xl614"/>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rPr>
  </w:style>
  <w:style w:type="paragraph" w:customStyle="1" w:styleId="xl615">
    <w:name w:val="xl615"/>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rPr>
  </w:style>
  <w:style w:type="paragraph" w:customStyle="1" w:styleId="xl616">
    <w:name w:val="xl61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rPr>
  </w:style>
  <w:style w:type="paragraph" w:customStyle="1" w:styleId="xl617">
    <w:name w:val="xl617"/>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618">
    <w:name w:val="xl618"/>
    <w:basedOn w:val="Normal"/>
    <w:pPr>
      <w:pBdr>
        <w:top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619">
    <w:name w:val="xl619"/>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620">
    <w:name w:val="xl620"/>
    <w:basedOn w:val="Normal"/>
    <w:pPr>
      <w:pBdr>
        <w:lef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621">
    <w:name w:val="xl621"/>
    <w:basedOn w:val="Normal"/>
    <w:pPr>
      <w:spacing w:before="100" w:beforeAutospacing="1" w:after="100" w:afterAutospacing="1" w:line="240" w:lineRule="auto"/>
      <w:textAlignment w:val="center"/>
    </w:pPr>
    <w:rPr>
      <w:rFonts w:eastAsia="Times New Roman"/>
      <w:sz w:val="16"/>
      <w:szCs w:val="16"/>
    </w:rPr>
  </w:style>
  <w:style w:type="paragraph" w:customStyle="1" w:styleId="xl622">
    <w:name w:val="xl622"/>
    <w:basedOn w:val="Normal"/>
    <w:pPr>
      <w:pBdr>
        <w:right w:val="single" w:sz="4" w:space="0" w:color="auto"/>
      </w:pBdr>
      <w:spacing w:before="100" w:beforeAutospacing="1" w:after="100" w:afterAutospacing="1" w:line="240" w:lineRule="auto"/>
      <w:textAlignment w:val="center"/>
    </w:pPr>
    <w:rPr>
      <w:rFonts w:eastAsia="Times New Roman"/>
      <w:sz w:val="16"/>
      <w:szCs w:val="16"/>
    </w:rPr>
  </w:style>
  <w:style w:type="paragraph" w:customStyle="1" w:styleId="xl623">
    <w:name w:val="xl623"/>
    <w:basedOn w:val="Normal"/>
    <w:pPr>
      <w:pBdr>
        <w:top w:val="dotted" w:sz="4" w:space="0" w:color="auto"/>
        <w:bottom w:val="dotted" w:sz="4" w:space="0" w:color="auto"/>
      </w:pBdr>
      <w:spacing w:before="100" w:beforeAutospacing="1" w:after="100" w:afterAutospacing="1" w:line="240" w:lineRule="auto"/>
      <w:textAlignment w:val="center"/>
    </w:pPr>
    <w:rPr>
      <w:rFonts w:eastAsia="Times New Roman"/>
      <w:sz w:val="15"/>
      <w:szCs w:val="15"/>
    </w:rPr>
  </w:style>
  <w:style w:type="paragraph" w:customStyle="1" w:styleId="xl624">
    <w:name w:val="xl624"/>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eastAsia="Times New Roman"/>
      <w:sz w:val="15"/>
      <w:szCs w:val="15"/>
    </w:rPr>
  </w:style>
  <w:style w:type="paragraph" w:customStyle="1" w:styleId="xl625">
    <w:name w:val="xl625"/>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5"/>
      <w:szCs w:val="15"/>
    </w:rPr>
  </w:style>
  <w:style w:type="paragraph" w:customStyle="1" w:styleId="xl626">
    <w:name w:val="xl626"/>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5"/>
      <w:szCs w:val="15"/>
    </w:rPr>
  </w:style>
  <w:style w:type="paragraph" w:customStyle="1" w:styleId="xl627">
    <w:name w:val="xl627"/>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rPr>
  </w:style>
  <w:style w:type="character" w:styleId="SubtleReference">
    <w:name w:val="Subtle Reference"/>
    <w:basedOn w:val="DefaultParagraphFont"/>
    <w:uiPriority w:val="31"/>
    <w:qFormat/>
    <w:rPr>
      <w:smallCaps/>
      <w:color w:val="C0504D" w:themeColor="accent2"/>
      <w:u w:val="single"/>
    </w:rPr>
  </w:style>
  <w:style w:type="paragraph" w:customStyle="1" w:styleId="xl628">
    <w:name w:val="xl628"/>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2348">
      <w:bodyDiv w:val="1"/>
      <w:marLeft w:val="0"/>
      <w:marRight w:val="0"/>
      <w:marTop w:val="0"/>
      <w:marBottom w:val="0"/>
      <w:divBdr>
        <w:top w:val="none" w:sz="0" w:space="0" w:color="auto"/>
        <w:left w:val="none" w:sz="0" w:space="0" w:color="auto"/>
        <w:bottom w:val="none" w:sz="0" w:space="0" w:color="auto"/>
        <w:right w:val="none" w:sz="0" w:space="0" w:color="auto"/>
      </w:divBdr>
    </w:div>
    <w:div w:id="61417114">
      <w:bodyDiv w:val="1"/>
      <w:marLeft w:val="0"/>
      <w:marRight w:val="0"/>
      <w:marTop w:val="0"/>
      <w:marBottom w:val="0"/>
      <w:divBdr>
        <w:top w:val="none" w:sz="0" w:space="0" w:color="auto"/>
        <w:left w:val="none" w:sz="0" w:space="0" w:color="auto"/>
        <w:bottom w:val="none" w:sz="0" w:space="0" w:color="auto"/>
        <w:right w:val="none" w:sz="0" w:space="0" w:color="auto"/>
      </w:divBdr>
    </w:div>
    <w:div w:id="62653190">
      <w:bodyDiv w:val="1"/>
      <w:marLeft w:val="0"/>
      <w:marRight w:val="0"/>
      <w:marTop w:val="0"/>
      <w:marBottom w:val="0"/>
      <w:divBdr>
        <w:top w:val="none" w:sz="0" w:space="0" w:color="auto"/>
        <w:left w:val="none" w:sz="0" w:space="0" w:color="auto"/>
        <w:bottom w:val="none" w:sz="0" w:space="0" w:color="auto"/>
        <w:right w:val="none" w:sz="0" w:space="0" w:color="auto"/>
      </w:divBdr>
    </w:div>
    <w:div w:id="89325835">
      <w:bodyDiv w:val="1"/>
      <w:marLeft w:val="0"/>
      <w:marRight w:val="0"/>
      <w:marTop w:val="0"/>
      <w:marBottom w:val="0"/>
      <w:divBdr>
        <w:top w:val="none" w:sz="0" w:space="0" w:color="auto"/>
        <w:left w:val="none" w:sz="0" w:space="0" w:color="auto"/>
        <w:bottom w:val="none" w:sz="0" w:space="0" w:color="auto"/>
        <w:right w:val="none" w:sz="0" w:space="0" w:color="auto"/>
      </w:divBdr>
    </w:div>
    <w:div w:id="164977603">
      <w:bodyDiv w:val="1"/>
      <w:marLeft w:val="0"/>
      <w:marRight w:val="0"/>
      <w:marTop w:val="0"/>
      <w:marBottom w:val="0"/>
      <w:divBdr>
        <w:top w:val="none" w:sz="0" w:space="0" w:color="auto"/>
        <w:left w:val="none" w:sz="0" w:space="0" w:color="auto"/>
        <w:bottom w:val="none" w:sz="0" w:space="0" w:color="auto"/>
        <w:right w:val="none" w:sz="0" w:space="0" w:color="auto"/>
      </w:divBdr>
    </w:div>
    <w:div w:id="166136784">
      <w:bodyDiv w:val="1"/>
      <w:marLeft w:val="0"/>
      <w:marRight w:val="0"/>
      <w:marTop w:val="0"/>
      <w:marBottom w:val="0"/>
      <w:divBdr>
        <w:top w:val="none" w:sz="0" w:space="0" w:color="auto"/>
        <w:left w:val="none" w:sz="0" w:space="0" w:color="auto"/>
        <w:bottom w:val="none" w:sz="0" w:space="0" w:color="auto"/>
        <w:right w:val="none" w:sz="0" w:space="0" w:color="auto"/>
      </w:divBdr>
    </w:div>
    <w:div w:id="221334237">
      <w:bodyDiv w:val="1"/>
      <w:marLeft w:val="0"/>
      <w:marRight w:val="0"/>
      <w:marTop w:val="0"/>
      <w:marBottom w:val="0"/>
      <w:divBdr>
        <w:top w:val="none" w:sz="0" w:space="0" w:color="auto"/>
        <w:left w:val="none" w:sz="0" w:space="0" w:color="auto"/>
        <w:bottom w:val="none" w:sz="0" w:space="0" w:color="auto"/>
        <w:right w:val="none" w:sz="0" w:space="0" w:color="auto"/>
      </w:divBdr>
    </w:div>
    <w:div w:id="248084997">
      <w:bodyDiv w:val="1"/>
      <w:marLeft w:val="0"/>
      <w:marRight w:val="0"/>
      <w:marTop w:val="0"/>
      <w:marBottom w:val="0"/>
      <w:divBdr>
        <w:top w:val="none" w:sz="0" w:space="0" w:color="auto"/>
        <w:left w:val="none" w:sz="0" w:space="0" w:color="auto"/>
        <w:bottom w:val="none" w:sz="0" w:space="0" w:color="auto"/>
        <w:right w:val="none" w:sz="0" w:space="0" w:color="auto"/>
      </w:divBdr>
    </w:div>
    <w:div w:id="276640180">
      <w:bodyDiv w:val="1"/>
      <w:marLeft w:val="0"/>
      <w:marRight w:val="0"/>
      <w:marTop w:val="0"/>
      <w:marBottom w:val="0"/>
      <w:divBdr>
        <w:top w:val="none" w:sz="0" w:space="0" w:color="auto"/>
        <w:left w:val="none" w:sz="0" w:space="0" w:color="auto"/>
        <w:bottom w:val="none" w:sz="0" w:space="0" w:color="auto"/>
        <w:right w:val="none" w:sz="0" w:space="0" w:color="auto"/>
      </w:divBdr>
    </w:div>
    <w:div w:id="325406908">
      <w:bodyDiv w:val="1"/>
      <w:marLeft w:val="0"/>
      <w:marRight w:val="0"/>
      <w:marTop w:val="0"/>
      <w:marBottom w:val="0"/>
      <w:divBdr>
        <w:top w:val="none" w:sz="0" w:space="0" w:color="auto"/>
        <w:left w:val="none" w:sz="0" w:space="0" w:color="auto"/>
        <w:bottom w:val="none" w:sz="0" w:space="0" w:color="auto"/>
        <w:right w:val="none" w:sz="0" w:space="0" w:color="auto"/>
      </w:divBdr>
    </w:div>
    <w:div w:id="411395159">
      <w:bodyDiv w:val="1"/>
      <w:marLeft w:val="0"/>
      <w:marRight w:val="0"/>
      <w:marTop w:val="0"/>
      <w:marBottom w:val="0"/>
      <w:divBdr>
        <w:top w:val="none" w:sz="0" w:space="0" w:color="auto"/>
        <w:left w:val="none" w:sz="0" w:space="0" w:color="auto"/>
        <w:bottom w:val="none" w:sz="0" w:space="0" w:color="auto"/>
        <w:right w:val="none" w:sz="0" w:space="0" w:color="auto"/>
      </w:divBdr>
    </w:div>
    <w:div w:id="473957491">
      <w:bodyDiv w:val="1"/>
      <w:marLeft w:val="0"/>
      <w:marRight w:val="0"/>
      <w:marTop w:val="0"/>
      <w:marBottom w:val="0"/>
      <w:divBdr>
        <w:top w:val="none" w:sz="0" w:space="0" w:color="auto"/>
        <w:left w:val="none" w:sz="0" w:space="0" w:color="auto"/>
        <w:bottom w:val="none" w:sz="0" w:space="0" w:color="auto"/>
        <w:right w:val="none" w:sz="0" w:space="0" w:color="auto"/>
      </w:divBdr>
    </w:div>
    <w:div w:id="488130580">
      <w:bodyDiv w:val="1"/>
      <w:marLeft w:val="0"/>
      <w:marRight w:val="0"/>
      <w:marTop w:val="0"/>
      <w:marBottom w:val="0"/>
      <w:divBdr>
        <w:top w:val="none" w:sz="0" w:space="0" w:color="auto"/>
        <w:left w:val="none" w:sz="0" w:space="0" w:color="auto"/>
        <w:bottom w:val="none" w:sz="0" w:space="0" w:color="auto"/>
        <w:right w:val="none" w:sz="0" w:space="0" w:color="auto"/>
      </w:divBdr>
    </w:div>
    <w:div w:id="549537111">
      <w:bodyDiv w:val="1"/>
      <w:marLeft w:val="0"/>
      <w:marRight w:val="0"/>
      <w:marTop w:val="0"/>
      <w:marBottom w:val="0"/>
      <w:divBdr>
        <w:top w:val="none" w:sz="0" w:space="0" w:color="auto"/>
        <w:left w:val="none" w:sz="0" w:space="0" w:color="auto"/>
        <w:bottom w:val="none" w:sz="0" w:space="0" w:color="auto"/>
        <w:right w:val="none" w:sz="0" w:space="0" w:color="auto"/>
      </w:divBdr>
    </w:div>
    <w:div w:id="582253043">
      <w:bodyDiv w:val="1"/>
      <w:marLeft w:val="0"/>
      <w:marRight w:val="0"/>
      <w:marTop w:val="0"/>
      <w:marBottom w:val="0"/>
      <w:divBdr>
        <w:top w:val="none" w:sz="0" w:space="0" w:color="auto"/>
        <w:left w:val="none" w:sz="0" w:space="0" w:color="auto"/>
        <w:bottom w:val="none" w:sz="0" w:space="0" w:color="auto"/>
        <w:right w:val="none" w:sz="0" w:space="0" w:color="auto"/>
      </w:divBdr>
    </w:div>
    <w:div w:id="603339696">
      <w:bodyDiv w:val="1"/>
      <w:marLeft w:val="0"/>
      <w:marRight w:val="0"/>
      <w:marTop w:val="0"/>
      <w:marBottom w:val="0"/>
      <w:divBdr>
        <w:top w:val="none" w:sz="0" w:space="0" w:color="auto"/>
        <w:left w:val="none" w:sz="0" w:space="0" w:color="auto"/>
        <w:bottom w:val="none" w:sz="0" w:space="0" w:color="auto"/>
        <w:right w:val="none" w:sz="0" w:space="0" w:color="auto"/>
      </w:divBdr>
    </w:div>
    <w:div w:id="686179405">
      <w:bodyDiv w:val="1"/>
      <w:marLeft w:val="0"/>
      <w:marRight w:val="0"/>
      <w:marTop w:val="0"/>
      <w:marBottom w:val="0"/>
      <w:divBdr>
        <w:top w:val="none" w:sz="0" w:space="0" w:color="auto"/>
        <w:left w:val="none" w:sz="0" w:space="0" w:color="auto"/>
        <w:bottom w:val="none" w:sz="0" w:space="0" w:color="auto"/>
        <w:right w:val="none" w:sz="0" w:space="0" w:color="auto"/>
      </w:divBdr>
    </w:div>
    <w:div w:id="840243227">
      <w:bodyDiv w:val="1"/>
      <w:marLeft w:val="0"/>
      <w:marRight w:val="0"/>
      <w:marTop w:val="0"/>
      <w:marBottom w:val="0"/>
      <w:divBdr>
        <w:top w:val="none" w:sz="0" w:space="0" w:color="auto"/>
        <w:left w:val="none" w:sz="0" w:space="0" w:color="auto"/>
        <w:bottom w:val="none" w:sz="0" w:space="0" w:color="auto"/>
        <w:right w:val="none" w:sz="0" w:space="0" w:color="auto"/>
      </w:divBdr>
    </w:div>
    <w:div w:id="862132396">
      <w:bodyDiv w:val="1"/>
      <w:marLeft w:val="0"/>
      <w:marRight w:val="0"/>
      <w:marTop w:val="0"/>
      <w:marBottom w:val="0"/>
      <w:divBdr>
        <w:top w:val="none" w:sz="0" w:space="0" w:color="auto"/>
        <w:left w:val="none" w:sz="0" w:space="0" w:color="auto"/>
        <w:bottom w:val="none" w:sz="0" w:space="0" w:color="auto"/>
        <w:right w:val="none" w:sz="0" w:space="0" w:color="auto"/>
      </w:divBdr>
    </w:div>
    <w:div w:id="919683525">
      <w:bodyDiv w:val="1"/>
      <w:marLeft w:val="0"/>
      <w:marRight w:val="0"/>
      <w:marTop w:val="0"/>
      <w:marBottom w:val="0"/>
      <w:divBdr>
        <w:top w:val="none" w:sz="0" w:space="0" w:color="auto"/>
        <w:left w:val="none" w:sz="0" w:space="0" w:color="auto"/>
        <w:bottom w:val="none" w:sz="0" w:space="0" w:color="auto"/>
        <w:right w:val="none" w:sz="0" w:space="0" w:color="auto"/>
      </w:divBdr>
    </w:div>
    <w:div w:id="956369177">
      <w:bodyDiv w:val="1"/>
      <w:marLeft w:val="0"/>
      <w:marRight w:val="0"/>
      <w:marTop w:val="0"/>
      <w:marBottom w:val="0"/>
      <w:divBdr>
        <w:top w:val="none" w:sz="0" w:space="0" w:color="auto"/>
        <w:left w:val="none" w:sz="0" w:space="0" w:color="auto"/>
        <w:bottom w:val="none" w:sz="0" w:space="0" w:color="auto"/>
        <w:right w:val="none" w:sz="0" w:space="0" w:color="auto"/>
      </w:divBdr>
    </w:div>
    <w:div w:id="989208815">
      <w:bodyDiv w:val="1"/>
      <w:marLeft w:val="0"/>
      <w:marRight w:val="0"/>
      <w:marTop w:val="0"/>
      <w:marBottom w:val="0"/>
      <w:divBdr>
        <w:top w:val="none" w:sz="0" w:space="0" w:color="auto"/>
        <w:left w:val="none" w:sz="0" w:space="0" w:color="auto"/>
        <w:bottom w:val="none" w:sz="0" w:space="0" w:color="auto"/>
        <w:right w:val="none" w:sz="0" w:space="0" w:color="auto"/>
      </w:divBdr>
    </w:div>
    <w:div w:id="1014529364">
      <w:bodyDiv w:val="1"/>
      <w:marLeft w:val="0"/>
      <w:marRight w:val="0"/>
      <w:marTop w:val="0"/>
      <w:marBottom w:val="0"/>
      <w:divBdr>
        <w:top w:val="none" w:sz="0" w:space="0" w:color="auto"/>
        <w:left w:val="none" w:sz="0" w:space="0" w:color="auto"/>
        <w:bottom w:val="none" w:sz="0" w:space="0" w:color="auto"/>
        <w:right w:val="none" w:sz="0" w:space="0" w:color="auto"/>
      </w:divBdr>
    </w:div>
    <w:div w:id="1024480836">
      <w:bodyDiv w:val="1"/>
      <w:marLeft w:val="0"/>
      <w:marRight w:val="0"/>
      <w:marTop w:val="0"/>
      <w:marBottom w:val="0"/>
      <w:divBdr>
        <w:top w:val="none" w:sz="0" w:space="0" w:color="auto"/>
        <w:left w:val="none" w:sz="0" w:space="0" w:color="auto"/>
        <w:bottom w:val="none" w:sz="0" w:space="0" w:color="auto"/>
        <w:right w:val="none" w:sz="0" w:space="0" w:color="auto"/>
      </w:divBdr>
    </w:div>
    <w:div w:id="1059088559">
      <w:bodyDiv w:val="1"/>
      <w:marLeft w:val="0"/>
      <w:marRight w:val="0"/>
      <w:marTop w:val="0"/>
      <w:marBottom w:val="0"/>
      <w:divBdr>
        <w:top w:val="none" w:sz="0" w:space="0" w:color="auto"/>
        <w:left w:val="none" w:sz="0" w:space="0" w:color="auto"/>
        <w:bottom w:val="none" w:sz="0" w:space="0" w:color="auto"/>
        <w:right w:val="none" w:sz="0" w:space="0" w:color="auto"/>
      </w:divBdr>
    </w:div>
    <w:div w:id="1071468826">
      <w:bodyDiv w:val="1"/>
      <w:marLeft w:val="0"/>
      <w:marRight w:val="0"/>
      <w:marTop w:val="0"/>
      <w:marBottom w:val="0"/>
      <w:divBdr>
        <w:top w:val="none" w:sz="0" w:space="0" w:color="auto"/>
        <w:left w:val="none" w:sz="0" w:space="0" w:color="auto"/>
        <w:bottom w:val="none" w:sz="0" w:space="0" w:color="auto"/>
        <w:right w:val="none" w:sz="0" w:space="0" w:color="auto"/>
      </w:divBdr>
    </w:div>
    <w:div w:id="1078476055">
      <w:bodyDiv w:val="1"/>
      <w:marLeft w:val="0"/>
      <w:marRight w:val="0"/>
      <w:marTop w:val="0"/>
      <w:marBottom w:val="0"/>
      <w:divBdr>
        <w:top w:val="none" w:sz="0" w:space="0" w:color="auto"/>
        <w:left w:val="none" w:sz="0" w:space="0" w:color="auto"/>
        <w:bottom w:val="none" w:sz="0" w:space="0" w:color="auto"/>
        <w:right w:val="none" w:sz="0" w:space="0" w:color="auto"/>
      </w:divBdr>
    </w:div>
    <w:div w:id="1197423844">
      <w:bodyDiv w:val="1"/>
      <w:marLeft w:val="0"/>
      <w:marRight w:val="0"/>
      <w:marTop w:val="0"/>
      <w:marBottom w:val="0"/>
      <w:divBdr>
        <w:top w:val="none" w:sz="0" w:space="0" w:color="auto"/>
        <w:left w:val="none" w:sz="0" w:space="0" w:color="auto"/>
        <w:bottom w:val="none" w:sz="0" w:space="0" w:color="auto"/>
        <w:right w:val="none" w:sz="0" w:space="0" w:color="auto"/>
      </w:divBdr>
    </w:div>
    <w:div w:id="1259941803">
      <w:bodyDiv w:val="1"/>
      <w:marLeft w:val="0"/>
      <w:marRight w:val="0"/>
      <w:marTop w:val="0"/>
      <w:marBottom w:val="0"/>
      <w:divBdr>
        <w:top w:val="none" w:sz="0" w:space="0" w:color="auto"/>
        <w:left w:val="none" w:sz="0" w:space="0" w:color="auto"/>
        <w:bottom w:val="none" w:sz="0" w:space="0" w:color="auto"/>
        <w:right w:val="none" w:sz="0" w:space="0" w:color="auto"/>
      </w:divBdr>
    </w:div>
    <w:div w:id="1319844136">
      <w:bodyDiv w:val="1"/>
      <w:marLeft w:val="0"/>
      <w:marRight w:val="0"/>
      <w:marTop w:val="0"/>
      <w:marBottom w:val="0"/>
      <w:divBdr>
        <w:top w:val="none" w:sz="0" w:space="0" w:color="auto"/>
        <w:left w:val="none" w:sz="0" w:space="0" w:color="auto"/>
        <w:bottom w:val="none" w:sz="0" w:space="0" w:color="auto"/>
        <w:right w:val="none" w:sz="0" w:space="0" w:color="auto"/>
      </w:divBdr>
    </w:div>
    <w:div w:id="1378895927">
      <w:bodyDiv w:val="1"/>
      <w:marLeft w:val="0"/>
      <w:marRight w:val="0"/>
      <w:marTop w:val="0"/>
      <w:marBottom w:val="0"/>
      <w:divBdr>
        <w:top w:val="none" w:sz="0" w:space="0" w:color="auto"/>
        <w:left w:val="none" w:sz="0" w:space="0" w:color="auto"/>
        <w:bottom w:val="none" w:sz="0" w:space="0" w:color="auto"/>
        <w:right w:val="none" w:sz="0" w:space="0" w:color="auto"/>
      </w:divBdr>
    </w:div>
    <w:div w:id="1547910535">
      <w:bodyDiv w:val="1"/>
      <w:marLeft w:val="0"/>
      <w:marRight w:val="0"/>
      <w:marTop w:val="0"/>
      <w:marBottom w:val="0"/>
      <w:divBdr>
        <w:top w:val="none" w:sz="0" w:space="0" w:color="auto"/>
        <w:left w:val="none" w:sz="0" w:space="0" w:color="auto"/>
        <w:bottom w:val="none" w:sz="0" w:space="0" w:color="auto"/>
        <w:right w:val="none" w:sz="0" w:space="0" w:color="auto"/>
      </w:divBdr>
    </w:div>
    <w:div w:id="1739397481">
      <w:bodyDiv w:val="1"/>
      <w:marLeft w:val="0"/>
      <w:marRight w:val="0"/>
      <w:marTop w:val="0"/>
      <w:marBottom w:val="0"/>
      <w:divBdr>
        <w:top w:val="none" w:sz="0" w:space="0" w:color="auto"/>
        <w:left w:val="none" w:sz="0" w:space="0" w:color="auto"/>
        <w:bottom w:val="none" w:sz="0" w:space="0" w:color="auto"/>
        <w:right w:val="none" w:sz="0" w:space="0" w:color="auto"/>
      </w:divBdr>
    </w:div>
    <w:div w:id="1913537732">
      <w:bodyDiv w:val="1"/>
      <w:marLeft w:val="0"/>
      <w:marRight w:val="0"/>
      <w:marTop w:val="0"/>
      <w:marBottom w:val="0"/>
      <w:divBdr>
        <w:top w:val="none" w:sz="0" w:space="0" w:color="auto"/>
        <w:left w:val="none" w:sz="0" w:space="0" w:color="auto"/>
        <w:bottom w:val="none" w:sz="0" w:space="0" w:color="auto"/>
        <w:right w:val="none" w:sz="0" w:space="0" w:color="auto"/>
      </w:divBdr>
    </w:div>
    <w:div w:id="1929728559">
      <w:bodyDiv w:val="1"/>
      <w:marLeft w:val="0"/>
      <w:marRight w:val="0"/>
      <w:marTop w:val="0"/>
      <w:marBottom w:val="0"/>
      <w:divBdr>
        <w:top w:val="none" w:sz="0" w:space="0" w:color="auto"/>
        <w:left w:val="none" w:sz="0" w:space="0" w:color="auto"/>
        <w:bottom w:val="none" w:sz="0" w:space="0" w:color="auto"/>
        <w:right w:val="none" w:sz="0" w:space="0" w:color="auto"/>
      </w:divBdr>
    </w:div>
    <w:div w:id="1935942065">
      <w:bodyDiv w:val="1"/>
      <w:marLeft w:val="0"/>
      <w:marRight w:val="0"/>
      <w:marTop w:val="0"/>
      <w:marBottom w:val="0"/>
      <w:divBdr>
        <w:top w:val="none" w:sz="0" w:space="0" w:color="auto"/>
        <w:left w:val="none" w:sz="0" w:space="0" w:color="auto"/>
        <w:bottom w:val="none" w:sz="0" w:space="0" w:color="auto"/>
        <w:right w:val="none" w:sz="0" w:space="0" w:color="auto"/>
      </w:divBdr>
    </w:div>
    <w:div w:id="1952127853">
      <w:bodyDiv w:val="1"/>
      <w:marLeft w:val="0"/>
      <w:marRight w:val="0"/>
      <w:marTop w:val="0"/>
      <w:marBottom w:val="0"/>
      <w:divBdr>
        <w:top w:val="none" w:sz="0" w:space="0" w:color="auto"/>
        <w:left w:val="none" w:sz="0" w:space="0" w:color="auto"/>
        <w:bottom w:val="none" w:sz="0" w:space="0" w:color="auto"/>
        <w:right w:val="none" w:sz="0" w:space="0" w:color="auto"/>
      </w:divBdr>
    </w:div>
    <w:div w:id="2031223351">
      <w:bodyDiv w:val="1"/>
      <w:marLeft w:val="0"/>
      <w:marRight w:val="0"/>
      <w:marTop w:val="0"/>
      <w:marBottom w:val="0"/>
      <w:divBdr>
        <w:top w:val="none" w:sz="0" w:space="0" w:color="auto"/>
        <w:left w:val="none" w:sz="0" w:space="0" w:color="auto"/>
        <w:bottom w:val="none" w:sz="0" w:space="0" w:color="auto"/>
        <w:right w:val="none" w:sz="0" w:space="0" w:color="auto"/>
      </w:divBdr>
    </w:div>
    <w:div w:id="2034110117">
      <w:bodyDiv w:val="1"/>
      <w:marLeft w:val="0"/>
      <w:marRight w:val="0"/>
      <w:marTop w:val="0"/>
      <w:marBottom w:val="0"/>
      <w:divBdr>
        <w:top w:val="none" w:sz="0" w:space="0" w:color="auto"/>
        <w:left w:val="none" w:sz="0" w:space="0" w:color="auto"/>
        <w:bottom w:val="none" w:sz="0" w:space="0" w:color="auto"/>
        <w:right w:val="none" w:sz="0" w:space="0" w:color="auto"/>
      </w:divBdr>
    </w:div>
    <w:div w:id="2034451304">
      <w:bodyDiv w:val="1"/>
      <w:marLeft w:val="0"/>
      <w:marRight w:val="0"/>
      <w:marTop w:val="0"/>
      <w:marBottom w:val="0"/>
      <w:divBdr>
        <w:top w:val="none" w:sz="0" w:space="0" w:color="auto"/>
        <w:left w:val="none" w:sz="0" w:space="0" w:color="auto"/>
        <w:bottom w:val="none" w:sz="0" w:space="0" w:color="auto"/>
        <w:right w:val="none" w:sz="0" w:space="0" w:color="auto"/>
      </w:divBdr>
    </w:div>
    <w:div w:id="20901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budget/www/index-fr.htm"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C0DC8-40B2-45B3-81C8-7180DE4D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10432</Words>
  <Characters>52160</Characters>
  <Application>Microsoft Office Word</Application>
  <DocSecurity>0</DocSecurity>
  <Lines>3477</Lines>
  <Paragraphs>2607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59985</CharactersWithSpaces>
  <SharedDoc>false</SharedDoc>
  <HLinks>
    <vt:vector size="138" baseType="variant">
      <vt:variant>
        <vt:i4>5046279</vt:i4>
      </vt:variant>
      <vt:variant>
        <vt:i4>135</vt:i4>
      </vt:variant>
      <vt:variant>
        <vt:i4>0</vt:i4>
      </vt:variant>
      <vt:variant>
        <vt:i4>5</vt:i4>
      </vt:variant>
      <vt:variant>
        <vt:lpwstr>http://eur-lex.europa.eu/budget/www/index-en.htm</vt:lpwstr>
      </vt:variant>
      <vt:variant>
        <vt:lpwstr/>
      </vt:variant>
      <vt:variant>
        <vt:i4>1572925</vt:i4>
      </vt:variant>
      <vt:variant>
        <vt:i4>128</vt:i4>
      </vt:variant>
      <vt:variant>
        <vt:i4>0</vt:i4>
      </vt:variant>
      <vt:variant>
        <vt:i4>5</vt:i4>
      </vt:variant>
      <vt:variant>
        <vt:lpwstr/>
      </vt:variant>
      <vt:variant>
        <vt:lpwstr>_Toc404699400</vt:lpwstr>
      </vt:variant>
      <vt:variant>
        <vt:i4>1114170</vt:i4>
      </vt:variant>
      <vt:variant>
        <vt:i4>122</vt:i4>
      </vt:variant>
      <vt:variant>
        <vt:i4>0</vt:i4>
      </vt:variant>
      <vt:variant>
        <vt:i4>5</vt:i4>
      </vt:variant>
      <vt:variant>
        <vt:lpwstr/>
      </vt:variant>
      <vt:variant>
        <vt:lpwstr>_Toc404699399</vt:lpwstr>
      </vt:variant>
      <vt:variant>
        <vt:i4>1114170</vt:i4>
      </vt:variant>
      <vt:variant>
        <vt:i4>116</vt:i4>
      </vt:variant>
      <vt:variant>
        <vt:i4>0</vt:i4>
      </vt:variant>
      <vt:variant>
        <vt:i4>5</vt:i4>
      </vt:variant>
      <vt:variant>
        <vt:lpwstr/>
      </vt:variant>
      <vt:variant>
        <vt:lpwstr>_Toc404699398</vt:lpwstr>
      </vt:variant>
      <vt:variant>
        <vt:i4>1114170</vt:i4>
      </vt:variant>
      <vt:variant>
        <vt:i4>110</vt:i4>
      </vt:variant>
      <vt:variant>
        <vt:i4>0</vt:i4>
      </vt:variant>
      <vt:variant>
        <vt:i4>5</vt:i4>
      </vt:variant>
      <vt:variant>
        <vt:lpwstr/>
      </vt:variant>
      <vt:variant>
        <vt:lpwstr>_Toc404699397</vt:lpwstr>
      </vt:variant>
      <vt:variant>
        <vt:i4>1114170</vt:i4>
      </vt:variant>
      <vt:variant>
        <vt:i4>104</vt:i4>
      </vt:variant>
      <vt:variant>
        <vt:i4>0</vt:i4>
      </vt:variant>
      <vt:variant>
        <vt:i4>5</vt:i4>
      </vt:variant>
      <vt:variant>
        <vt:lpwstr/>
      </vt:variant>
      <vt:variant>
        <vt:lpwstr>_Toc404699396</vt:lpwstr>
      </vt:variant>
      <vt:variant>
        <vt:i4>1114170</vt:i4>
      </vt:variant>
      <vt:variant>
        <vt:i4>98</vt:i4>
      </vt:variant>
      <vt:variant>
        <vt:i4>0</vt:i4>
      </vt:variant>
      <vt:variant>
        <vt:i4>5</vt:i4>
      </vt:variant>
      <vt:variant>
        <vt:lpwstr/>
      </vt:variant>
      <vt:variant>
        <vt:lpwstr>_Toc404699395</vt:lpwstr>
      </vt:variant>
      <vt:variant>
        <vt:i4>1114170</vt:i4>
      </vt:variant>
      <vt:variant>
        <vt:i4>92</vt:i4>
      </vt:variant>
      <vt:variant>
        <vt:i4>0</vt:i4>
      </vt:variant>
      <vt:variant>
        <vt:i4>5</vt:i4>
      </vt:variant>
      <vt:variant>
        <vt:lpwstr/>
      </vt:variant>
      <vt:variant>
        <vt:lpwstr>_Toc404699394</vt:lpwstr>
      </vt:variant>
      <vt:variant>
        <vt:i4>1114170</vt:i4>
      </vt:variant>
      <vt:variant>
        <vt:i4>86</vt:i4>
      </vt:variant>
      <vt:variant>
        <vt:i4>0</vt:i4>
      </vt:variant>
      <vt:variant>
        <vt:i4>5</vt:i4>
      </vt:variant>
      <vt:variant>
        <vt:lpwstr/>
      </vt:variant>
      <vt:variant>
        <vt:lpwstr>_Toc404699393</vt:lpwstr>
      </vt:variant>
      <vt:variant>
        <vt:i4>1114170</vt:i4>
      </vt:variant>
      <vt:variant>
        <vt:i4>80</vt:i4>
      </vt:variant>
      <vt:variant>
        <vt:i4>0</vt:i4>
      </vt:variant>
      <vt:variant>
        <vt:i4>5</vt:i4>
      </vt:variant>
      <vt:variant>
        <vt:lpwstr/>
      </vt:variant>
      <vt:variant>
        <vt:lpwstr>_Toc404699392</vt:lpwstr>
      </vt:variant>
      <vt:variant>
        <vt:i4>1114170</vt:i4>
      </vt:variant>
      <vt:variant>
        <vt:i4>74</vt:i4>
      </vt:variant>
      <vt:variant>
        <vt:i4>0</vt:i4>
      </vt:variant>
      <vt:variant>
        <vt:i4>5</vt:i4>
      </vt:variant>
      <vt:variant>
        <vt:lpwstr/>
      </vt:variant>
      <vt:variant>
        <vt:lpwstr>_Toc404699391</vt:lpwstr>
      </vt:variant>
      <vt:variant>
        <vt:i4>1114170</vt:i4>
      </vt:variant>
      <vt:variant>
        <vt:i4>68</vt:i4>
      </vt:variant>
      <vt:variant>
        <vt:i4>0</vt:i4>
      </vt:variant>
      <vt:variant>
        <vt:i4>5</vt:i4>
      </vt:variant>
      <vt:variant>
        <vt:lpwstr/>
      </vt:variant>
      <vt:variant>
        <vt:lpwstr>_Toc404699390</vt:lpwstr>
      </vt:variant>
      <vt:variant>
        <vt:i4>1048634</vt:i4>
      </vt:variant>
      <vt:variant>
        <vt:i4>62</vt:i4>
      </vt:variant>
      <vt:variant>
        <vt:i4>0</vt:i4>
      </vt:variant>
      <vt:variant>
        <vt:i4>5</vt:i4>
      </vt:variant>
      <vt:variant>
        <vt:lpwstr/>
      </vt:variant>
      <vt:variant>
        <vt:lpwstr>_Toc404699389</vt:lpwstr>
      </vt:variant>
      <vt:variant>
        <vt:i4>1048634</vt:i4>
      </vt:variant>
      <vt:variant>
        <vt:i4>56</vt:i4>
      </vt:variant>
      <vt:variant>
        <vt:i4>0</vt:i4>
      </vt:variant>
      <vt:variant>
        <vt:i4>5</vt:i4>
      </vt:variant>
      <vt:variant>
        <vt:lpwstr/>
      </vt:variant>
      <vt:variant>
        <vt:lpwstr>_Toc404699388</vt:lpwstr>
      </vt:variant>
      <vt:variant>
        <vt:i4>1048634</vt:i4>
      </vt:variant>
      <vt:variant>
        <vt:i4>50</vt:i4>
      </vt:variant>
      <vt:variant>
        <vt:i4>0</vt:i4>
      </vt:variant>
      <vt:variant>
        <vt:i4>5</vt:i4>
      </vt:variant>
      <vt:variant>
        <vt:lpwstr/>
      </vt:variant>
      <vt:variant>
        <vt:lpwstr>_Toc404699387</vt:lpwstr>
      </vt:variant>
      <vt:variant>
        <vt:i4>1048634</vt:i4>
      </vt:variant>
      <vt:variant>
        <vt:i4>44</vt:i4>
      </vt:variant>
      <vt:variant>
        <vt:i4>0</vt:i4>
      </vt:variant>
      <vt:variant>
        <vt:i4>5</vt:i4>
      </vt:variant>
      <vt:variant>
        <vt:lpwstr/>
      </vt:variant>
      <vt:variant>
        <vt:lpwstr>_Toc404699386</vt:lpwstr>
      </vt:variant>
      <vt:variant>
        <vt:i4>1048634</vt:i4>
      </vt:variant>
      <vt:variant>
        <vt:i4>38</vt:i4>
      </vt:variant>
      <vt:variant>
        <vt:i4>0</vt:i4>
      </vt:variant>
      <vt:variant>
        <vt:i4>5</vt:i4>
      </vt:variant>
      <vt:variant>
        <vt:lpwstr/>
      </vt:variant>
      <vt:variant>
        <vt:lpwstr>_Toc404699385</vt:lpwstr>
      </vt:variant>
      <vt:variant>
        <vt:i4>1048634</vt:i4>
      </vt:variant>
      <vt:variant>
        <vt:i4>32</vt:i4>
      </vt:variant>
      <vt:variant>
        <vt:i4>0</vt:i4>
      </vt:variant>
      <vt:variant>
        <vt:i4>5</vt:i4>
      </vt:variant>
      <vt:variant>
        <vt:lpwstr/>
      </vt:variant>
      <vt:variant>
        <vt:lpwstr>_Toc404699384</vt:lpwstr>
      </vt:variant>
      <vt:variant>
        <vt:i4>1048634</vt:i4>
      </vt:variant>
      <vt:variant>
        <vt:i4>26</vt:i4>
      </vt:variant>
      <vt:variant>
        <vt:i4>0</vt:i4>
      </vt:variant>
      <vt:variant>
        <vt:i4>5</vt:i4>
      </vt:variant>
      <vt:variant>
        <vt:lpwstr/>
      </vt:variant>
      <vt:variant>
        <vt:lpwstr>_Toc404699383</vt:lpwstr>
      </vt:variant>
      <vt:variant>
        <vt:i4>1048634</vt:i4>
      </vt:variant>
      <vt:variant>
        <vt:i4>20</vt:i4>
      </vt:variant>
      <vt:variant>
        <vt:i4>0</vt:i4>
      </vt:variant>
      <vt:variant>
        <vt:i4>5</vt:i4>
      </vt:variant>
      <vt:variant>
        <vt:lpwstr/>
      </vt:variant>
      <vt:variant>
        <vt:lpwstr>_Toc404699382</vt:lpwstr>
      </vt:variant>
      <vt:variant>
        <vt:i4>1048634</vt:i4>
      </vt:variant>
      <vt:variant>
        <vt:i4>14</vt:i4>
      </vt:variant>
      <vt:variant>
        <vt:i4>0</vt:i4>
      </vt:variant>
      <vt:variant>
        <vt:i4>5</vt:i4>
      </vt:variant>
      <vt:variant>
        <vt:lpwstr/>
      </vt:variant>
      <vt:variant>
        <vt:lpwstr>_Toc404699381</vt:lpwstr>
      </vt:variant>
      <vt:variant>
        <vt:i4>1048634</vt:i4>
      </vt:variant>
      <vt:variant>
        <vt:i4>8</vt:i4>
      </vt:variant>
      <vt:variant>
        <vt:i4>0</vt:i4>
      </vt:variant>
      <vt:variant>
        <vt:i4>5</vt:i4>
      </vt:variant>
      <vt:variant>
        <vt:lpwstr/>
      </vt:variant>
      <vt:variant>
        <vt:lpwstr>_Toc404699380</vt:lpwstr>
      </vt:variant>
      <vt:variant>
        <vt:i4>2031674</vt:i4>
      </vt:variant>
      <vt:variant>
        <vt:i4>2</vt:i4>
      </vt:variant>
      <vt:variant>
        <vt:i4>0</vt:i4>
      </vt:variant>
      <vt:variant>
        <vt:i4>5</vt:i4>
      </vt:variant>
      <vt:variant>
        <vt:lpwstr/>
      </vt:variant>
      <vt:variant>
        <vt:lpwstr>_Toc404699379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2018-11-21T09:51:00Z</cp:lastPrinted>
  <dcterms:created xsi:type="dcterms:W3CDTF">2018-11-29T11:48:00Z</dcterms:created>
  <dcterms:modified xsi:type="dcterms:W3CDTF">2018-11-30T08:27:00Z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Last edited using">
    <vt:lpwstr>LW 6.0.1, Build 20180503</vt:lpwstr>
  </property>
  <property fmtid="{D5CDD505-2E9C-101B-9397-08002B2CF9AE}" pid="8" name="Created using">
    <vt:lpwstr>LW 6.0.1, Build 20180503</vt:lpwstr>
  </property>
</Properties>
</file>