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3FF69A2-A8A3-42C9-BF07-1043E498B74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spacing w:after="200"/>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
      </w:r>
      <w:r>
        <w:rPr>
          <w:noProof/>
        </w:rPr>
        <w:t xml:space="preserve"> е предвидена възможността за мобилизиране на средства по Инструмента за гъвкавост с цел финансиране на ясно определени разходи, които не могат да бъдат финансирани в рамките на наличните тавани за една или повече функции от многогодишната финансова рамка.</w:t>
      </w:r>
    </w:p>
    <w:p>
      <w:pPr>
        <w:spacing w:after="200"/>
        <w:rPr>
          <w:noProof/>
        </w:rPr>
      </w:pPr>
      <w:r>
        <w:rPr>
          <w:noProof/>
        </w:rPr>
        <w:t>В съответствие с член 11 от Регламент № 1311/2013 на Съвета и точка 12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
      </w:r>
      <w:r>
        <w:rPr>
          <w:noProof/>
        </w:rPr>
        <w:t xml:space="preserve">, след като разгледа всички възможности за преразпределяне на бюджетни кредити и изчерпа неразпределения марж по разходна функция </w:t>
      </w:r>
      <w:r>
        <w:rPr>
          <w:i/>
          <w:noProof/>
        </w:rPr>
        <w:t>Сигурност и гражданство</w:t>
      </w:r>
      <w:r>
        <w:rPr>
          <w:noProof/>
        </w:rPr>
        <w:t xml:space="preserve"> (функция 3), Комисията предлага Инструментът за гъвкавост да бъде мобилизиран през 2019 г. Наличната годишна сума през 2019 г. е в размер на 600 милиона евро (по цени от 2011 г.), съответстващи на 703 милиона евро по текущи цени. Освен това са налични 520 милиона евро от неизползваната част за 2018 г. </w:t>
      </w:r>
    </w:p>
    <w:p>
      <w:pPr>
        <w:spacing w:after="200"/>
        <w:rPr>
          <w:noProof/>
        </w:rPr>
      </w:pPr>
      <w:r>
        <w:rPr>
          <w:noProof/>
        </w:rPr>
        <w:t>Това мобилизиране на средства се отнася до сума в размер на 985,6 милиона евро над тавана за функция 3 от многогодишната финансова рамка и е предназначено за финансирането на подкрепа за мерки за справяне с кризата с миграцията, бежанците и сигурността. Заедно с първоначалния проектобюджет за 2019 г. Комисията направи предложение за мобилизиране на Инструмента за гъвкавост</w:t>
      </w:r>
      <w:r>
        <w:rPr>
          <w:rStyle w:val="FootnoteReference"/>
          <w:noProof/>
        </w:rPr>
        <w:footnoteReference w:id="3"/>
      </w:r>
      <w:r>
        <w:rPr>
          <w:noProof/>
        </w:rPr>
        <w:t xml:space="preserve"> за същата цел. Това първо мобилизиране, което включваше и 38,1 милиона евро, които трябва да бъдат мобилизирани над тавана по функция 1б за осигуряване на финансиране за разширяването на Програмата за подкрепа на структурните реформи, беше отменено от второ предложение</w:t>
      </w:r>
      <w:r>
        <w:rPr>
          <w:rStyle w:val="FootnoteReference"/>
          <w:noProof/>
        </w:rPr>
        <w:footnoteReference w:id="4"/>
      </w:r>
      <w:r>
        <w:rPr>
          <w:noProof/>
        </w:rPr>
        <w:t>, което придружи писмо за внасяне на корекции № 1/2019</w:t>
      </w:r>
      <w:r>
        <w:rPr>
          <w:rStyle w:val="FootnoteReference"/>
          <w:noProof/>
        </w:rPr>
        <w:footnoteReference w:id="5"/>
      </w:r>
      <w:r>
        <w:rPr>
          <w:noProof/>
        </w:rPr>
        <w:t xml:space="preserve">, прието от Комисията на 16 октомври 2018 г. </w:t>
      </w:r>
    </w:p>
    <w:p>
      <w:pPr>
        <w:spacing w:after="200"/>
        <w:rPr>
          <w:noProof/>
        </w:rPr>
      </w:pPr>
      <w:r>
        <w:rPr>
          <w:noProof/>
        </w:rPr>
        <w:t>При липса на съгласие на помирителния комитет по бюджета за 2019 г. по време на периода от двадесет и един дни, предвиден в член 314 параграф 6 от Договора за функционирането на Европейския съюз (ДФЕС), който приключи на 19 ноември 2018 г., Комисията представи днес втори проектобюджет за 2019 г</w:t>
      </w:r>
      <w:r>
        <w:rPr>
          <w:rStyle w:val="FootnoteReference"/>
          <w:noProof/>
        </w:rPr>
        <w:footnoteReference w:id="6"/>
      </w:r>
      <w:r>
        <w:rPr>
          <w:noProof/>
        </w:rPr>
        <w:t>. в съответствие с член 314 параграф 8 от Договора за функционирането на Европейския съюз. Настоящото предложение за мобилизиране на Инструмента за гъвкавост придружава този втори ПБ и отменя и заменя второто предложение, направено на 16 октомври 2018 г.</w:t>
      </w:r>
    </w:p>
    <w:p>
      <w:pPr>
        <w:spacing w:after="200"/>
        <w:rPr>
          <w:noProof/>
        </w:rPr>
      </w:pPr>
      <w:r>
        <w:rPr>
          <w:noProof/>
        </w:rPr>
        <w:t>Индикативните бюджетни кредити за плащания, съответстващи на предложеното мобилизиране на Инструмента за гъвкавост, са изчислени въз основа на правилата, приложими за предварителното финансиране, изчистването на предварителното финансиране и окончателните плащания по различните видове мерки, които следва да се финансират. Тези индикативни бюджетни кредити за плащания са представени в таблицата по-долу:</w:t>
      </w:r>
    </w:p>
    <w:p>
      <w:pPr>
        <w:ind w:left="5040" w:firstLine="720"/>
        <w:jc w:val="left"/>
        <w:rPr>
          <w:noProof/>
        </w:rPr>
      </w:pPr>
      <w:r>
        <w:rPr>
          <w:i/>
          <w:noProof/>
          <w:sz w:val="16"/>
        </w:rPr>
        <w:lastRenderedPageBreak/>
        <w:t>(в милиони евро по текущи цени)</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Година</w:t>
            </w:r>
          </w:p>
        </w:tc>
        <w:tc>
          <w:tcPr>
            <w:tcW w:w="5604" w:type="dxa"/>
            <w:shd w:val="clear" w:color="auto" w:fill="D9D9D9"/>
          </w:tcPr>
          <w:p>
            <w:pPr>
              <w:spacing w:before="30" w:after="30"/>
              <w:jc w:val="center"/>
              <w:rPr>
                <w:b/>
                <w:noProof/>
                <w:sz w:val="16"/>
                <w:szCs w:val="16"/>
              </w:rPr>
            </w:pPr>
            <w:r>
              <w:rPr>
                <w:b/>
                <w:noProof/>
                <w:sz w:val="16"/>
              </w:rPr>
              <w:t>Бюджетни кредити за плащания, свързани с мобилизирането на Инструмента за гъвкавост през 2019 г.</w:t>
            </w:r>
          </w:p>
        </w:tc>
      </w:tr>
      <w:tr>
        <w:trPr>
          <w:jc w:val="center"/>
        </w:trPr>
        <w:tc>
          <w:tcPr>
            <w:tcW w:w="1560" w:type="dxa"/>
            <w:shd w:val="clear" w:color="auto" w:fill="auto"/>
          </w:tcPr>
          <w:p>
            <w:pPr>
              <w:spacing w:before="30" w:after="30"/>
              <w:jc w:val="center"/>
              <w:rPr>
                <w:noProof/>
                <w:sz w:val="16"/>
                <w:szCs w:val="16"/>
              </w:rPr>
            </w:pPr>
            <w:r>
              <w:rPr>
                <w:noProof/>
                <w:sz w:val="16"/>
              </w:rPr>
              <w:t>2019 г.</w:t>
            </w:r>
          </w:p>
        </w:tc>
        <w:tc>
          <w:tcPr>
            <w:tcW w:w="5604" w:type="dxa"/>
            <w:shd w:val="clear" w:color="auto" w:fill="auto"/>
          </w:tcPr>
          <w:p>
            <w:pPr>
              <w:spacing w:before="30" w:after="30"/>
              <w:jc w:val="right"/>
              <w:rPr>
                <w:noProof/>
                <w:sz w:val="16"/>
                <w:szCs w:val="16"/>
              </w:rPr>
            </w:pPr>
            <w:r>
              <w:rPr>
                <w:noProof/>
                <w:sz w:val="16"/>
              </w:rPr>
              <w:t>496,7</w:t>
            </w:r>
          </w:p>
        </w:tc>
      </w:tr>
      <w:tr>
        <w:trPr>
          <w:jc w:val="center"/>
        </w:trPr>
        <w:tc>
          <w:tcPr>
            <w:tcW w:w="1560" w:type="dxa"/>
            <w:shd w:val="clear" w:color="auto" w:fill="auto"/>
          </w:tcPr>
          <w:p>
            <w:pPr>
              <w:spacing w:before="30" w:after="30"/>
              <w:jc w:val="center"/>
              <w:rPr>
                <w:noProof/>
                <w:sz w:val="16"/>
                <w:szCs w:val="16"/>
              </w:rPr>
            </w:pPr>
            <w:r>
              <w:rPr>
                <w:noProof/>
                <w:sz w:val="16"/>
              </w:rPr>
              <w:t>2020 г.</w:t>
            </w:r>
          </w:p>
        </w:tc>
        <w:tc>
          <w:tcPr>
            <w:tcW w:w="5604" w:type="dxa"/>
            <w:shd w:val="clear" w:color="auto" w:fill="auto"/>
          </w:tcPr>
          <w:p>
            <w:pPr>
              <w:spacing w:before="30" w:after="30"/>
              <w:jc w:val="right"/>
              <w:rPr>
                <w:noProof/>
                <w:sz w:val="16"/>
                <w:szCs w:val="16"/>
              </w:rPr>
            </w:pPr>
            <w:r>
              <w:rPr>
                <w:noProof/>
                <w:sz w:val="16"/>
              </w:rPr>
              <w:t>198,8</w:t>
            </w:r>
          </w:p>
        </w:tc>
      </w:tr>
      <w:tr>
        <w:trPr>
          <w:jc w:val="center"/>
        </w:trPr>
        <w:tc>
          <w:tcPr>
            <w:tcW w:w="1560" w:type="dxa"/>
            <w:shd w:val="clear" w:color="auto" w:fill="auto"/>
          </w:tcPr>
          <w:p>
            <w:pPr>
              <w:spacing w:before="30" w:after="30"/>
              <w:jc w:val="center"/>
              <w:rPr>
                <w:noProof/>
                <w:sz w:val="16"/>
                <w:szCs w:val="16"/>
              </w:rPr>
            </w:pPr>
            <w:r>
              <w:rPr>
                <w:noProof/>
                <w:sz w:val="16"/>
              </w:rPr>
              <w:t>2021 г.</w:t>
            </w:r>
          </w:p>
        </w:tc>
        <w:tc>
          <w:tcPr>
            <w:tcW w:w="5604" w:type="dxa"/>
            <w:shd w:val="clear" w:color="auto" w:fill="auto"/>
          </w:tcPr>
          <w:p>
            <w:pPr>
              <w:spacing w:before="30" w:after="30"/>
              <w:jc w:val="right"/>
              <w:rPr>
                <w:noProof/>
                <w:sz w:val="16"/>
                <w:szCs w:val="16"/>
              </w:rPr>
            </w:pPr>
            <w:r>
              <w:rPr>
                <w:noProof/>
                <w:sz w:val="16"/>
              </w:rPr>
              <w:t>118,5</w:t>
            </w:r>
          </w:p>
        </w:tc>
      </w:tr>
      <w:tr>
        <w:trPr>
          <w:jc w:val="center"/>
        </w:trPr>
        <w:tc>
          <w:tcPr>
            <w:tcW w:w="1560" w:type="dxa"/>
            <w:shd w:val="clear" w:color="auto" w:fill="auto"/>
          </w:tcPr>
          <w:p>
            <w:pPr>
              <w:spacing w:before="30" w:after="30"/>
              <w:jc w:val="center"/>
              <w:rPr>
                <w:noProof/>
                <w:sz w:val="16"/>
                <w:szCs w:val="16"/>
              </w:rPr>
            </w:pPr>
            <w:r>
              <w:rPr>
                <w:noProof/>
                <w:sz w:val="16"/>
              </w:rPr>
              <w:t>2022 г.</w:t>
            </w:r>
          </w:p>
        </w:tc>
        <w:tc>
          <w:tcPr>
            <w:tcW w:w="5604" w:type="dxa"/>
            <w:shd w:val="clear" w:color="auto" w:fill="auto"/>
          </w:tcPr>
          <w:p>
            <w:pPr>
              <w:spacing w:before="30" w:after="30"/>
              <w:jc w:val="right"/>
              <w:rPr>
                <w:noProof/>
                <w:sz w:val="16"/>
                <w:szCs w:val="16"/>
              </w:rPr>
            </w:pPr>
            <w:r>
              <w:rPr>
                <w:noProof/>
                <w:sz w:val="16"/>
              </w:rPr>
              <w:t>119,3</w:t>
            </w:r>
          </w:p>
        </w:tc>
      </w:tr>
      <w:tr>
        <w:trPr>
          <w:jc w:val="center"/>
        </w:trPr>
        <w:tc>
          <w:tcPr>
            <w:tcW w:w="1560" w:type="dxa"/>
            <w:shd w:val="clear" w:color="auto" w:fill="auto"/>
          </w:tcPr>
          <w:p>
            <w:pPr>
              <w:spacing w:before="30" w:after="30"/>
              <w:jc w:val="center"/>
              <w:rPr>
                <w:noProof/>
                <w:sz w:val="16"/>
                <w:szCs w:val="16"/>
              </w:rPr>
            </w:pPr>
            <w:r>
              <w:rPr>
                <w:noProof/>
                <w:sz w:val="16"/>
              </w:rPr>
              <w:t>2023 г.</w:t>
            </w:r>
          </w:p>
        </w:tc>
        <w:tc>
          <w:tcPr>
            <w:tcW w:w="5604" w:type="dxa"/>
            <w:shd w:val="clear" w:color="auto" w:fill="auto"/>
          </w:tcPr>
          <w:p>
            <w:pPr>
              <w:spacing w:before="30" w:after="30"/>
              <w:jc w:val="right"/>
              <w:rPr>
                <w:noProof/>
                <w:sz w:val="16"/>
                <w:szCs w:val="16"/>
              </w:rPr>
            </w:pPr>
            <w:r>
              <w:rPr>
                <w:noProof/>
                <w:sz w:val="16"/>
              </w:rPr>
              <w:t>52,3</w:t>
            </w:r>
          </w:p>
        </w:tc>
      </w:tr>
      <w:tr>
        <w:trPr>
          <w:jc w:val="center"/>
        </w:trPr>
        <w:tc>
          <w:tcPr>
            <w:tcW w:w="1560" w:type="dxa"/>
            <w:shd w:val="clear" w:color="auto" w:fill="D9D9D9"/>
          </w:tcPr>
          <w:p>
            <w:pPr>
              <w:spacing w:before="30" w:after="30"/>
              <w:jc w:val="right"/>
              <w:rPr>
                <w:b/>
                <w:noProof/>
                <w:sz w:val="16"/>
                <w:szCs w:val="16"/>
              </w:rPr>
            </w:pPr>
            <w:r>
              <w:rPr>
                <w:b/>
                <w:noProof/>
                <w:sz w:val="16"/>
              </w:rPr>
              <w:t>Общо</w:t>
            </w:r>
          </w:p>
        </w:tc>
        <w:tc>
          <w:tcPr>
            <w:tcW w:w="5604" w:type="dxa"/>
            <w:shd w:val="clear" w:color="auto" w:fill="D9D9D9"/>
          </w:tcPr>
          <w:p>
            <w:pPr>
              <w:spacing w:before="30" w:after="30"/>
              <w:jc w:val="right"/>
              <w:rPr>
                <w:b/>
                <w:noProof/>
                <w:sz w:val="16"/>
                <w:szCs w:val="16"/>
              </w:rPr>
            </w:pPr>
            <w:r>
              <w:rPr>
                <w:b/>
                <w:noProof/>
                <w:sz w:val="16"/>
              </w:rPr>
              <w:t>985,6</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средства по линия на Инструмента за гъвкавост за финансиране на незабавни бюджетни мерки за справяне с текущите предизвикателства на миграцията, притоците на бежанци и заплахите за сигурността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7"/>
      </w:r>
      <w:r>
        <w:rPr>
          <w:noProof/>
        </w:rPr>
        <w:t>, и по-специално точка 12 от него,</w:t>
      </w:r>
    </w:p>
    <w:p>
      <w:pPr>
        <w:rPr>
          <w:noProof/>
        </w:rPr>
      </w:pPr>
      <w:r>
        <w:rPr>
          <w:noProof/>
        </w:rPr>
        <w:t>като взеха предвид предложението на Европейската комисия,</w:t>
      </w:r>
    </w:p>
    <w:p>
      <w:pPr>
        <w:rPr>
          <w:noProof/>
        </w:rPr>
      </w:pPr>
      <w:r>
        <w:rPr>
          <w:noProof/>
        </w:rPr>
        <w:t xml:space="preserve">като имат предвид, че: </w:t>
      </w:r>
    </w:p>
    <w:p>
      <w:pPr>
        <w:pStyle w:val="Point0number"/>
        <w:numPr>
          <w:ilvl w:val="0"/>
          <w:numId w:val="6"/>
        </w:numPr>
        <w:spacing w:before="0" w:after="0"/>
        <w:rPr>
          <w:noProof/>
        </w:rPr>
      </w:pPr>
      <w:r>
        <w:rPr>
          <w:noProof/>
        </w:rPr>
        <w:t>Инструментът за гъвкавост е предназначен да осигурява финансирането на ясно определени разходи, които не могат да се финансират в рамките на наличните тавани за една или повече функции.</w:t>
      </w:r>
    </w:p>
    <w:p>
      <w:pPr>
        <w:pStyle w:val="Point0number"/>
        <w:numPr>
          <w:ilvl w:val="0"/>
          <w:numId w:val="6"/>
        </w:numPr>
        <w:rPr>
          <w:noProof/>
        </w:rPr>
      </w:pPr>
      <w:r>
        <w:rPr>
          <w:noProof/>
        </w:rPr>
        <w:t>Таванът на годишната сума, предоставена за Инструмента за гъвкавост, е 600 000 000 евро (по цени от 2011 г.), както е посочено в член 11 от Регламент (ЕС, Евратом) № 1311/2013 на Съвета</w:t>
      </w:r>
      <w:r>
        <w:rPr>
          <w:rStyle w:val="FootnoteReference"/>
          <w:noProof/>
        </w:rPr>
        <w:footnoteReference w:id="8"/>
      </w:r>
      <w:r>
        <w:rPr>
          <w:noProof/>
        </w:rPr>
        <w:t xml:space="preserve">, увеличен, когато е необходимо, с освободените суми, предоставени в съответствие с параграф 1, втора алинея от този член. </w:t>
      </w:r>
    </w:p>
    <w:p>
      <w:pPr>
        <w:pStyle w:val="Point0number"/>
        <w:numPr>
          <w:ilvl w:val="0"/>
          <w:numId w:val="6"/>
        </w:numPr>
        <w:spacing w:before="0" w:after="0"/>
        <w:rPr>
          <w:noProof/>
        </w:rPr>
      </w:pPr>
      <w:r>
        <w:rPr>
          <w:noProof/>
        </w:rPr>
        <w:t>За справяне с текущите предизвикателства, свързани с миграцията, притоците на бежанци и заплахите за сигурността, е необходимо да се мобилизират значителни по размер допълнителни суми с цел спешно финансиране на такива мерки.</w:t>
      </w:r>
    </w:p>
    <w:p>
      <w:pPr>
        <w:pStyle w:val="Point0number"/>
        <w:rPr>
          <w:noProof/>
        </w:rPr>
      </w:pPr>
      <w:r>
        <w:rPr>
          <w:noProof/>
        </w:rPr>
        <w:t>След като бяха разгледани всички възможности за преразпределяне на бюджетни кредити под тавана за разходите по функция 3 (</w:t>
      </w:r>
      <w:r>
        <w:rPr>
          <w:i/>
          <w:noProof/>
        </w:rPr>
        <w:t>Сигурност и гражданство</w:t>
      </w:r>
      <w:r>
        <w:rPr>
          <w:noProof/>
        </w:rPr>
        <w:t>), е необходимо да се мобилизира Инструментът за гъвкавост, за да се допълнят финансовите средства, предвидени в общия бюджет на Съюза за 2019 финансова година, над тавана по функция 3 със сумата от 985 629 138 EUR за финансиране на мерки в сферата на миграцията, бежанците и сигурността.</w:t>
      </w:r>
    </w:p>
    <w:p>
      <w:pPr>
        <w:pStyle w:val="Point0number"/>
        <w:rPr>
          <w:noProof/>
        </w:rPr>
      </w:pPr>
      <w:r>
        <w:rPr>
          <w:noProof/>
        </w:rPr>
        <w:t>Въз основа на очаквания профил на плащанията бюджетните кредити за плащания, съответстващи на мобилизираните средства по линия на Инструмента за гъвкавост, следва да бъдат разпределени за няколко финансови години.</w:t>
      </w:r>
    </w:p>
    <w:p>
      <w:pPr>
        <w:pStyle w:val="Point0number"/>
        <w:rPr>
          <w:noProof/>
        </w:rPr>
      </w:pPr>
      <w:r>
        <w:rPr>
          <w:noProof/>
        </w:rPr>
        <w:lastRenderedPageBreak/>
        <w:t>За да се даде възможност за бързо усвояване на средствата, настоящото решение следва да се прилага от началото на 2019 финансова година,</w:t>
      </w:r>
    </w:p>
    <w:p>
      <w:pPr>
        <w:pStyle w:val="Formuledadoption"/>
        <w:rPr>
          <w:noProof/>
        </w:rPr>
      </w:pPr>
      <w:r>
        <w:rPr>
          <w:noProof/>
        </w:rPr>
        <w:t>ПРИЕХА НАСТОЯЩОТО РЕШЕНИЕ:</w:t>
      </w:r>
    </w:p>
    <w:p>
      <w:pPr>
        <w:pStyle w:val="Titrearticle"/>
        <w:rPr>
          <w:noProof/>
        </w:rPr>
      </w:pPr>
      <w:r>
        <w:rPr>
          <w:noProof/>
        </w:rPr>
        <w:t>Член 1</w:t>
      </w:r>
    </w:p>
    <w:p>
      <w:pPr>
        <w:pStyle w:val="Point0number"/>
        <w:numPr>
          <w:ilvl w:val="0"/>
          <w:numId w:val="5"/>
        </w:numPr>
        <w:spacing w:before="0" w:after="0"/>
        <w:rPr>
          <w:noProof/>
        </w:rPr>
      </w:pPr>
      <w:r>
        <w:rPr>
          <w:noProof/>
        </w:rPr>
        <w:t>Инструментът за гъвкавост се мобилизира за осигуряване на сума в размер на 985 629 138 EUR под формата на бюджетни кредити за поети задължения по функция 3 (</w:t>
      </w:r>
      <w:r>
        <w:rPr>
          <w:i/>
          <w:noProof/>
        </w:rPr>
        <w:t>Сигурност и гражданство</w:t>
      </w:r>
      <w:r>
        <w:rPr>
          <w:noProof/>
        </w:rPr>
        <w:t>) в рамките на общия бюджет на Съюза за 2019 финансова година.</w:t>
      </w:r>
    </w:p>
    <w:p>
      <w:pPr>
        <w:rPr>
          <w:noProof/>
        </w:rPr>
      </w:pPr>
      <w:r>
        <w:rPr>
          <w:noProof/>
        </w:rPr>
        <w:t>Сумата, посочена в първата алинея, ще се използва за финансирането на мерки за справяне с текущите предизвикателства, свързани с миграцията, притоците на бежанци и заплахите за сигурността.</w:t>
      </w:r>
    </w:p>
    <w:p>
      <w:pPr>
        <w:pStyle w:val="Point0number"/>
        <w:numPr>
          <w:ilvl w:val="0"/>
          <w:numId w:val="5"/>
        </w:numPr>
        <w:spacing w:before="0" w:after="0"/>
        <w:rPr>
          <w:noProof/>
        </w:rPr>
      </w:pPr>
      <w:r>
        <w:rPr>
          <w:noProof/>
        </w:rPr>
        <w:t>Въз основа на очаквания профил на плащанията бюджетните кредити за плащания, съответстващи на мобилизираните средства по линия на Инструмента за гъвкавост, са със следния размер:</w:t>
      </w:r>
    </w:p>
    <w:p>
      <w:pPr>
        <w:pStyle w:val="Point0"/>
        <w:rPr>
          <w:noProof/>
        </w:rPr>
      </w:pPr>
      <w:r>
        <w:rPr>
          <w:noProof/>
        </w:rPr>
        <w:t>а)</w:t>
      </w:r>
      <w:r>
        <w:rPr>
          <w:noProof/>
        </w:rPr>
        <w:tab/>
        <w:t>496 697 300 EUR през 2019 г.;</w:t>
      </w:r>
    </w:p>
    <w:p>
      <w:pPr>
        <w:pStyle w:val="Point0"/>
        <w:rPr>
          <w:noProof/>
        </w:rPr>
      </w:pPr>
      <w:r>
        <w:rPr>
          <w:noProof/>
        </w:rPr>
        <w:t>б)</w:t>
      </w:r>
      <w:r>
        <w:rPr>
          <w:noProof/>
        </w:rPr>
        <w:tab/>
        <w:t>198 761 656 EUR през 2020 г.;</w:t>
      </w:r>
    </w:p>
    <w:p>
      <w:pPr>
        <w:pStyle w:val="Point0"/>
        <w:rPr>
          <w:noProof/>
        </w:rPr>
      </w:pPr>
      <w:r>
        <w:rPr>
          <w:noProof/>
        </w:rPr>
        <w:t>в)</w:t>
      </w:r>
      <w:r>
        <w:rPr>
          <w:noProof/>
        </w:rPr>
        <w:tab/>
        <w:t>118 520 503 EUR през 2021 г.;</w:t>
      </w:r>
    </w:p>
    <w:p>
      <w:pPr>
        <w:pStyle w:val="Point0"/>
        <w:rPr>
          <w:noProof/>
        </w:rPr>
      </w:pPr>
      <w:r>
        <w:rPr>
          <w:noProof/>
        </w:rPr>
        <w:t>г)</w:t>
      </w:r>
      <w:r>
        <w:rPr>
          <w:noProof/>
        </w:rPr>
        <w:tab/>
        <w:t>119 297 639 EUR през 2022 г.;</w:t>
      </w:r>
    </w:p>
    <w:p>
      <w:pPr>
        <w:pStyle w:val="Point0"/>
        <w:rPr>
          <w:noProof/>
        </w:rPr>
      </w:pPr>
      <w:r>
        <w:rPr>
          <w:noProof/>
        </w:rPr>
        <w:t>д)</w:t>
      </w:r>
      <w:r>
        <w:rPr>
          <w:noProof/>
        </w:rPr>
        <w:tab/>
        <w:t>52 352 040 EUR през 2023 г.</w:t>
      </w:r>
    </w:p>
    <w:p>
      <w:pPr>
        <w:rPr>
          <w:noProof/>
        </w:rPr>
      </w:pPr>
      <w:r>
        <w:rPr>
          <w:noProof/>
        </w:rPr>
        <w:t>Конкретните суми на бюджетните кредити за плащания за всяка финансова година се разрешават в съответствие с годишната бюджетна процедура.</w:t>
      </w:r>
    </w:p>
    <w:p>
      <w:pPr>
        <w:pStyle w:val="Titrearticle"/>
        <w:rPr>
          <w:noProof/>
        </w:rPr>
      </w:pPr>
      <w:r>
        <w:rPr>
          <w:noProof/>
        </w:rPr>
        <w:t>Член 2</w:t>
      </w:r>
    </w:p>
    <w:p>
      <w:pPr>
        <w:rPr>
          <w:i/>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noProof/>
        </w:rPr>
      </w:pPr>
      <w:r>
        <w:rPr>
          <w:noProof/>
        </w:rPr>
        <w:t>То се прилага от 1 януари 2019 г.</w:t>
      </w:r>
    </w:p>
    <w:p>
      <w:pPr>
        <w:rPr>
          <w:i/>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347, 20.12.2013 г., стр. 884.</w:t>
      </w:r>
    </w:p>
  </w:footnote>
  <w:footnote w:id="2">
    <w:p>
      <w:pPr>
        <w:pStyle w:val="FootnoteText"/>
        <w:rPr>
          <w:lang w:val="ru-RU"/>
        </w:rPr>
      </w:pPr>
      <w:r>
        <w:rPr>
          <w:rStyle w:val="FootnoteReference"/>
        </w:rPr>
        <w:footnoteRef/>
      </w:r>
      <w:r>
        <w:tab/>
        <w:t>ОВ C 373, 20.12.2013 г., стр. 1.</w:t>
      </w:r>
    </w:p>
  </w:footnote>
  <w:footnote w:id="3">
    <w:p>
      <w:pPr>
        <w:pStyle w:val="FootnoteText"/>
        <w:rPr>
          <w:lang w:val="pt-PT"/>
        </w:rPr>
      </w:pPr>
      <w:r>
        <w:rPr>
          <w:rStyle w:val="FootnoteReference"/>
        </w:rPr>
        <w:footnoteRef/>
      </w:r>
      <w:r>
        <w:tab/>
        <w:t>COM(2018) 280, 23.5.2018 г.</w:t>
      </w:r>
    </w:p>
  </w:footnote>
  <w:footnote w:id="4">
    <w:p>
      <w:pPr>
        <w:pStyle w:val="FootnoteText"/>
        <w:rPr>
          <w:lang w:val="pt-PT"/>
        </w:rPr>
      </w:pPr>
      <w:r>
        <w:rPr>
          <w:rStyle w:val="FootnoteReference"/>
        </w:rPr>
        <w:footnoteRef/>
      </w:r>
      <w:r>
        <w:tab/>
        <w:t>COM(2018) 708, 16.10.2018 г.</w:t>
      </w:r>
    </w:p>
  </w:footnote>
  <w:footnote w:id="5">
    <w:p>
      <w:pPr>
        <w:pStyle w:val="FootnoteText"/>
        <w:rPr>
          <w:lang w:val="pt-PT"/>
        </w:rPr>
      </w:pPr>
      <w:r>
        <w:rPr>
          <w:rStyle w:val="FootnoteReference"/>
        </w:rPr>
        <w:footnoteRef/>
      </w:r>
      <w:r>
        <w:tab/>
        <w:t>COM(2018) 709, 16.10.2018 г.</w:t>
      </w:r>
    </w:p>
  </w:footnote>
  <w:footnote w:id="6">
    <w:p>
      <w:pPr>
        <w:pStyle w:val="FootnoteText"/>
        <w:rPr>
          <w:lang w:val="ru-RU"/>
        </w:rPr>
      </w:pPr>
      <w:r>
        <w:rPr>
          <w:rStyle w:val="FootnoteReference"/>
        </w:rPr>
        <w:footnoteRef/>
      </w:r>
      <w:r>
        <w:tab/>
        <w:t>COM(2018) 900, 30.11.2018 г.</w:t>
      </w:r>
    </w:p>
  </w:footnote>
  <w:footnote w:id="7">
    <w:p>
      <w:pPr>
        <w:pStyle w:val="FootnoteText"/>
        <w:rPr>
          <w:lang w:val="ru-RU"/>
        </w:rPr>
      </w:pPr>
      <w:r>
        <w:rPr>
          <w:rStyle w:val="FootnoteReference"/>
        </w:rPr>
        <w:footnoteRef/>
      </w:r>
      <w:r>
        <w:tab/>
        <w:t>ОВ C 373, 20.12.2013 г., стр. 1.</w:t>
      </w:r>
    </w:p>
  </w:footnote>
  <w:footnote w:id="8">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9 19:08: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FF69A2-A8A3-42C9-BF07-1043E498B749"/>
    <w:docVar w:name="LW_COVERPAGE_TYPE" w:val="1"/>
    <w:docVar w:name="LW_CROSSREFERENCE" w:val="&lt;UNUSED&gt;"/>
    <w:docVar w:name="LW_DocType" w:val="COM"/>
    <w:docVar w:name="LW_EMISSION" w:val="30.11.2018"/>
    <w:docVar w:name="LW_EMISSION_ISODATE" w:val="2018-11-30"/>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9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89?\u1088?\u1077?\u1076?\u1089?\u1090?\u1074?\u1072? \u1087?\u1086? \u1083?\u1080?\u1085?\u1080?\u1103? \u1085?\u1072? \u1048?\u1085?\u1089?\u1090?\u1088?\u1091?\u1084?\u1077?\u1085?\u1090?\u1072? \u1079?\u1072? \u1075?\u1098?\u1074?\u1082?\u1072?\u1074?\u1086?\u1089?\u1090? \u1079?\u1072? \u1092?\u1080?\u1085?\u1072?\u1085?\u1089?\u1080?\u1088?\u1072?\u1085?\u1077? \u1085?\u1072? \u1085?\u1077?\u1079?\u1072?\u1073?\u1072?\u1074?\u1085?\u1080? \u1073?\u1102?\u1076?\u1078?\u1077?\u1090?\u1085?\u1080? \u1084?\u1077?\u1088?\u1082?\u1080? \u1079?\u1072? \u1089?\u1087?\u1088?\u1072?\u1074?\u1103?\u1085?\u1077? \u1089? \u1090?\u1077?\u1082?\u1091?\u1097?\u1080?\u1090?\u1077? \u1087?\u1088?\u1077?\u1076?\u1080?\u1079?\u1074?\u1080?\u1082?\u1072?\u1090?\u1077?\u1083?\u1089?\u1090?\u1074?\u1072? \u1085?\u1072? \u1084?\u1080?\u1075?\u1088?\u1072?\u1094?\u1080?\u1103?\u1090?\u1072?, \u1087?\u1088?\u1080?\u1090?\u1086?\u1094?\u1080?\u1090?\u1077? \u1085?\u1072? \u1073?\u1077?\u1078?\u1072?\u1085?\u1094?\u1080? \u1080? \u1079?\u1072?\u1087?\u1083?\u1072?\u1093?\u1080?\u1090?\u1077? \u1079?\u1072? \u1089?\u1080?\u1075?\u1091?\u1088?\u1085?\u1086?\u1089?\u1090?\u1090?\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59E622-2BE6-49F2-90AF-28801252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1000</Words>
  <Characters>5521</Characters>
  <Application>Microsoft Office Word</Application>
  <DocSecurity>0</DocSecurity>
  <Lines>128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2018-10-05T12:09:00Z</cp:lastPrinted>
  <dcterms:created xsi:type="dcterms:W3CDTF">2018-11-29T11:00:00Z</dcterms:created>
  <dcterms:modified xsi:type="dcterms:W3CDTF">2018-11-29T18:08:00Z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