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4DC95C8-821F-4BFC-91A0-D50C6F3DB34B"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ЦЕЛ НА ДОКЛАДА</w:t>
      </w:r>
    </w:p>
    <w:p>
      <w:pPr>
        <w:pStyle w:val="Text1"/>
        <w:rPr>
          <w:noProof/>
        </w:rPr>
      </w:pPr>
      <w:r>
        <w:rPr>
          <w:noProof/>
        </w:rPr>
        <w:t xml:space="preserve">Целта на настоящия доклад е да се изпълни задължението на Комисията по член 65, параграф 1 от Правилника за длъжностните лица и Условията за работа на другите служители на Европейския съюз (Правилник за персонала — ПП) да предостави данни относно въздействието върху бюджета на възнагражденията и пенсиите на служителите на Съюза предвид актуализацията за 2018 г. на възнагражденията и пенсиите на длъжностните лица и другите служители на ЕС и на корекционните коефициенти, които се прилагат към тези възнаграждения и пенсии. </w:t>
      </w:r>
    </w:p>
    <w:p>
      <w:pPr>
        <w:pStyle w:val="Text1"/>
        <w:rPr>
          <w:noProof/>
        </w:rPr>
      </w:pPr>
      <w:r>
        <w:rPr>
          <w:noProof/>
        </w:rPr>
        <w:t>Актуализацията за 2018 г. на възнагражденията и пенсиите на длъжностните лица и другите служители на ЕС се извършва съгласно приложение XI към ПП и трябва да бъде направена преди края на годината. Тя се определя въз основа на статистически данни, които са изготвени от Статистическата служба на ЕС съгласувано с националните статистически служби на държавите членки и които отразяват положението в държавите членки към 1 юли 2018 г.</w:t>
      </w:r>
    </w:p>
    <w:p>
      <w:pPr>
        <w:pStyle w:val="Heading1"/>
        <w:rPr>
          <w:noProof/>
        </w:rPr>
      </w:pPr>
      <w:r>
        <w:rPr>
          <w:noProof/>
        </w:rPr>
        <w:t>КОНТЕКСТ</w:t>
      </w:r>
    </w:p>
    <w:p>
      <w:pPr>
        <w:pStyle w:val="Text1"/>
        <w:rPr>
          <w:noProof/>
        </w:rPr>
      </w:pPr>
      <w:r>
        <w:rPr>
          <w:noProof/>
        </w:rPr>
        <w:t>С Регламент (ЕС, Евратом) № 1023/2013 на Европейския парламент и на Съвета от 22 октомври 2013 г. бе изменен механизмът за актуализиране на заплащането, известен като „методът“, като бе осигурена възможност за автоматично актуализиране на всички заплати, пенсии и надбавки. За тази цел съответните суми и корекционни коефициенти, които се съдържат в ПП, следва да се считат за референтни суми и корекционни коефициенти, които подлежат на редовно и автоматично актуализиране. В срок от две седмици след актуализирането тези актуализирани суми и корекционни коефициенти следва да се публикуват от Комисията в серия С на Официален вестник на Европейския съюз (ОВ) за информация.</w:t>
      </w:r>
    </w:p>
    <w:p>
      <w:pPr>
        <w:pStyle w:val="Text1"/>
        <w:rPr>
          <w:noProof/>
        </w:rPr>
      </w:pPr>
      <w:r>
        <w:rPr>
          <w:noProof/>
        </w:rPr>
        <w:t xml:space="preserve">Съгласно член 65, параграф 4 от ПП през 2013 и 2014 г. не се прави актуализация на възнагражденията и пенсиите на служителите на ЕС, които работят в Белгия и Люксембург, поради което през 2013 и 2014 г. заплащането на служителите на ЕС, които работят в Белгия и Люксембург, не бе актуализирано. Това бе в допълнение към ограниченото адаптиране на заплатите и пенсиите за 2011 и 2012 г. в размер съответно на 0 % и 0,8 %, което бе следствие от общия подход за уреждане на споровете по отношение на адаптирането на възнагражденията и пенсиите за 2011 и 2012 г. </w:t>
      </w:r>
    </w:p>
    <w:p>
      <w:pPr>
        <w:pStyle w:val="Text1"/>
        <w:rPr>
          <w:noProof/>
        </w:rPr>
      </w:pPr>
      <w:r>
        <w:rPr>
          <w:noProof/>
        </w:rPr>
        <w:t xml:space="preserve">През периода 2004 — 2018 г. служителите на ЕС понесоха значителни загуби от гледна точка на реалната покупателна способност, и то в по-голяма степен от държавните служители в държавите членки. През този период служителите на ЕС загубиха около 10,5 % от покупателната си способност поради общия ефект от реформите на Правилника за персонала, проведени през 2004 г. и през 2013 г., и намаленото адаптиране на заплатите. През същия период държавните служители в централните администрации на държавите членки загубиха 1,8 % от покупателната си способност. </w:t>
      </w:r>
    </w:p>
    <w:p>
      <w:pPr>
        <w:pStyle w:val="Text1"/>
        <w:rPr>
          <w:noProof/>
        </w:rPr>
      </w:pPr>
      <w:r>
        <w:rPr>
          <w:noProof/>
        </w:rPr>
        <w:t xml:space="preserve">Общият ефект от неприлагането на метода за адаптиране на заплатите през 2011 и 2012 г. и от замразяването на възнагражденията и пенсиите през 2013 и 2014 г. бе икономии в размер на около 3 млрд. евро за многогодишната финансова рамка (МФР) за периода 2014 — 2020 г. и на около 500 млн. евро годишно в дългосрочен план. Като цяло последното преразглеждане на Правилника за персонала доведе до икономии на административни разходи в размер на около 4,3 млрд. евро за МФР. Освен това икономиите в резултат на специфични мерки без пряко въздействие върху бюджета, като например увеличението на работното време и намалението на годишния отпуск без компенсиране в заплащането, възлизат на около 1,5 млрд. евро за институциите. </w:t>
      </w:r>
    </w:p>
    <w:p>
      <w:pPr>
        <w:pStyle w:val="Heading1"/>
        <w:rPr>
          <w:noProof/>
        </w:rPr>
      </w:pPr>
      <w:r>
        <w:rPr>
          <w:noProof/>
        </w:rPr>
        <w:t>Правни разпоредби относно актуализирането на възнагражденията и пенсиите на длъжностните лица и другите служители на ЕС и на корекционните коефициенти, прилагани към тях</w:t>
      </w:r>
    </w:p>
    <w:p>
      <w:pPr>
        <w:pStyle w:val="ManualHeading2"/>
        <w:rPr>
          <w:noProof/>
        </w:rPr>
      </w:pPr>
      <w:r>
        <w:rPr>
          <w:noProof/>
        </w:rPr>
        <w:t>3.1.</w:t>
      </w:r>
      <w:r>
        <w:rPr>
          <w:noProof/>
        </w:rPr>
        <w:tab/>
        <w:t>Актуализиране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 xml:space="preserve">В член 65, параграф 1, втора алинея от ПП се предвижда, че определени посочени в тази алинея суми, с които се определят основните заплати и различни надбавки и коефициенти, се актуализират ежегодно в съответствие с приложение XI. Комисията трябва да публикува актуализираните суми в срок от две седмици след актуализирането в серия С на ОВ на ЕС за информация. </w:t>
      </w:r>
    </w:p>
    <w:p>
      <w:pPr>
        <w:pStyle w:val="Text1"/>
        <w:rPr>
          <w:noProof/>
        </w:rPr>
      </w:pPr>
      <w:r>
        <w:rPr>
          <w:noProof/>
        </w:rPr>
        <w:t>Освен това съгласно член 65, параграф 3 от ПП тези суми (по член 65, параграф 1, втора алинея) се считат за суми, чиято реална стойност в даден момент подлежи на актуализиране без намесата на друг правен акт.</w:t>
      </w:r>
    </w:p>
    <w:p>
      <w:pPr>
        <w:pStyle w:val="Text1"/>
        <w:rPr>
          <w:noProof/>
        </w:rPr>
      </w:pPr>
      <w:r>
        <w:rPr>
          <w:noProof/>
        </w:rPr>
        <w:t>В член 65а от ПП се посочва, че правилата за прилагането на членове 64 и 65 от ПП са определени в приложение XI.</w:t>
      </w:r>
    </w:p>
    <w:p>
      <w:pPr>
        <w:pStyle w:val="Text1"/>
        <w:rPr>
          <w:noProof/>
        </w:rPr>
      </w:pPr>
      <w:r>
        <w:rPr>
          <w:noProof/>
        </w:rPr>
        <w:t>В съответствие с член 3 от приложение XI към ПП актуализирането на възнагражденията и пенсиите по член 65 от ПП произтича директно от промените в покупателната способност на заплатите, получавани в националните държавни служби (специфичен индикатор), и от промяната в издръжката на живота в Белгия и Люксембург (общ индекс).</w:t>
      </w:r>
    </w:p>
    <w:p>
      <w:pPr>
        <w:pStyle w:val="Text1"/>
        <w:rPr>
          <w:noProof/>
        </w:rPr>
      </w:pPr>
      <w:r>
        <w:rPr>
          <w:noProof/>
        </w:rPr>
        <w:t>Със специфичния индикатор се измерва промяната на нетното възнаграждение, без отчитане на инфлацията, на държавните служители в централните администрации на държавите членки. Евростат изчислява този индикатор въз основа на информацията, предоставена от единадесетте държави членки, посочени в член 1, параграф 4 от приложение XI.</w:t>
      </w:r>
    </w:p>
    <w:p>
      <w:pPr>
        <w:pStyle w:val="Text1"/>
        <w:rPr>
          <w:noProof/>
        </w:rPr>
      </w:pPr>
      <w:r>
        <w:rPr>
          <w:noProof/>
        </w:rPr>
        <w:t>С общия индекс се измерва промяната в издръжката на живота в Белгия и Люксембург за служителите на ЕС съобразно разпределението на персонала, който служи в тези две държави членки. Евростат изчислява този индекс въз основа на информацията за цените, предоставена от органите на Белгия и на Люксембург, и въз основа на информацията за броя на персонала, извлечена от вътрешните бази данни на институциите на ЕС.</w:t>
      </w:r>
    </w:p>
    <w:p>
      <w:pPr>
        <w:pStyle w:val="Text1"/>
        <w:rPr>
          <w:noProof/>
        </w:rPr>
      </w:pPr>
      <w:r>
        <w:rPr>
          <w:noProof/>
        </w:rPr>
        <w:t>Освен това член 10 от приложение XI към Правилника за персонала съдържа клауза за ограничаване, т.е. стойността на специфичния индикатор има горна граница от +2 % и долна граница от -2 %. Ако стойността на специфичния индикатор надвиши тази граница, за изчисляване на размера на годишната актуализация се използва стойността на границата. В такъв случай границата се прилага от 1 юли, а остатъкът от годишната актуализация се прилага от 1 април на следващата година.</w:t>
      </w:r>
    </w:p>
    <w:p>
      <w:pPr>
        <w:pStyle w:val="Text1"/>
        <w:rPr>
          <w:noProof/>
        </w:rPr>
      </w:pPr>
      <w:r>
        <w:rPr>
          <w:noProof/>
        </w:rPr>
        <w:t>Член 11 от приложение XI към Правилника за персонала съдържа клауза за изключване, която се прилага в случай на намаление на общия брутен вътрешен продукт на ЕС. Клаузата за изключване се прилага, ако стойността на специфичния индикатор е положителна, но общият брутен вътрешен продукт на ЕС за текущата година е намалял. В такъв случай за изчисляване на годишната актуализация се използва само част от специфичния индикатор, а остатъкът се отлага или въобще не се изплаща.</w:t>
      </w:r>
    </w:p>
    <w:p>
      <w:pPr>
        <w:pStyle w:val="ManualHeading2"/>
        <w:rPr>
          <w:noProof/>
        </w:rPr>
      </w:pPr>
      <w:r>
        <w:rPr>
          <w:noProof/>
        </w:rPr>
        <w:t>3.2.</w:t>
      </w:r>
      <w:r>
        <w:rPr>
          <w:noProof/>
        </w:rPr>
        <w:tab/>
        <w:t>Актуализиране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Съгласно член 64 от ПП възнаграждението на длъжностното лице, изразено в евро, се умножава по корекционен коефициент, който е по-голям от 100 %, по-малък от 100 % или равен на 100 % в зависимост от условията на живот на различните места на работа. За Белгия и Люксембург не се прилага корекционен коефициент, като се има предвид специалната референтна роля на тези места на работа като основни и първоначални седалища на повечето от институциите.</w:t>
      </w:r>
    </w:p>
    <w:p>
      <w:pPr>
        <w:pStyle w:val="Text1"/>
        <w:rPr>
          <w:noProof/>
        </w:rPr>
      </w:pPr>
      <w:r>
        <w:rPr>
          <w:noProof/>
        </w:rPr>
        <w:t>Освен това корекционните коефициенти се създават или отменят и се актуализират ежегодно в съответствие с приложение XI.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Съгласно член 3 от приложение XI към ПП актуализирането на корекционните коефициенти, които се прилагат към възнагражденията и пенсиите, се определя въз основа на съотношенията между съответните икономически паритети, посочени в член 1 от приложение XI, и обменните курсове, определени в член 63 от ПП, за съответните държави.</w:t>
      </w:r>
    </w:p>
    <w:p>
      <w:pPr>
        <w:pStyle w:val="Text1"/>
        <w:rPr>
          <w:noProof/>
        </w:rPr>
      </w:pPr>
      <w:r>
        <w:rPr>
          <w:noProof/>
        </w:rPr>
        <w:t>Чрез икономическите паритети за възнагражденията се установява еквивалентността на покупателната способност на възнагражденията, изплащани в Брюксел, като референтен град, с тази на възнагражденията, изплащани в другите места на работа. Евростат изчислява тези паритети съгласувано с националните статистически служби на държавите членки.</w:t>
      </w:r>
    </w:p>
    <w:p>
      <w:pPr>
        <w:pStyle w:val="Text1"/>
        <w:rPr>
          <w:noProof/>
        </w:rPr>
      </w:pPr>
      <w:r>
        <w:rPr>
          <w:noProof/>
        </w:rPr>
        <w:t>Чрез икономическите паритети за пенсиите се установява еквивалентността на покупателната способност на пенсиите, изплащани в Белгия, като референтна държава, с тази на пенсиите, изплащани в другите държави на пребиваване. Евростат изчислява тези паритети съгласувано с националните статистически служби. Съгласно член 20 от приложение XIII към Правилника за персонала корекционните коефициенти се прилагат само за тази част от пенсията, която съответства на пенсионните права, придобити преди 1 май 2004 г. Минималният приложим корекционен коефициент за пенсиите е 100.</w:t>
      </w:r>
    </w:p>
    <w:p>
      <w:pPr>
        <w:pStyle w:val="Text1"/>
        <w:rPr>
          <w:noProof/>
        </w:rPr>
      </w:pPr>
      <w:r>
        <w:rPr>
          <w:noProof/>
        </w:rPr>
        <w:t>Съгласно член 17, параграф 3 от приложение VII към Правилника за персонала за някои преводи, извършвани от длъжностните лица и от другите служители, се прилагат специални корекционни коефициенти.</w:t>
      </w:r>
    </w:p>
    <w:p>
      <w:pPr>
        <w:pStyle w:val="ManualHeading2"/>
        <w:rPr>
          <w:noProof/>
        </w:rPr>
      </w:pPr>
      <w:r>
        <w:rPr>
          <w:noProof/>
        </w:rPr>
        <w:t>3.3.</w:t>
      </w:r>
      <w:r>
        <w:rPr>
          <w:noProof/>
        </w:rPr>
        <w:tab/>
        <w:t>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Членове 11, 12 и 13 от приложение X към ПП съдържат разпоредби относно изплащането на възнагражденията на длъжностните лица и другите служители, служещи в трети държави. Възнагражденията се изплащат в евро в ЕС и за тях се прилага корекционният коефициент, приложим за възнагражденията на длъжностните лица на работа в Белгия, но по искане на длъжностното лице неговото възнаграждение може изцяло или частично да бъде изплатено във валутата на държавата по месторабота. В този случай към възнаграждението се прилага корекционният коефициент за това място на работа и възнаграждението се конвертира по съответния обменен курс. </w:t>
      </w:r>
    </w:p>
    <w:p>
      <w:pPr>
        <w:pStyle w:val="Text1"/>
        <w:rPr>
          <w:noProof/>
        </w:rPr>
      </w:pPr>
      <w:r>
        <w:rPr>
          <w:noProof/>
        </w:rPr>
        <w:t>За да се гарантира, доколкото е възможно, че длъжностните лица, срочно наетите служители и договорно наетите служители на Съюза имат еквивалентна покупателна способност, независимо от мястото си на работа, корекционният коефициент се актуализира веднъж годишно съгласно правилата, определени в приложение XI към ПП.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ManualHeading2"/>
        <w:rPr>
          <w:noProof/>
        </w:rPr>
      </w:pPr>
      <w:r>
        <w:rPr>
          <w:noProof/>
        </w:rPr>
        <w:t>3.4.</w:t>
      </w:r>
      <w:r>
        <w:rPr>
          <w:noProof/>
        </w:rPr>
        <w:tab/>
        <w:t>Междинно актуализиране на възнагражденията и пенсиите на длъжностните лица и другите служители на ЕС в ЕС (член 65, параграф 2 от ПП)</w:t>
      </w:r>
    </w:p>
    <w:p>
      <w:pPr>
        <w:pStyle w:val="Text1"/>
        <w:rPr>
          <w:noProof/>
        </w:rPr>
      </w:pPr>
      <w:r>
        <w:rPr>
          <w:noProof/>
        </w:rPr>
        <w:t>В член 65, параграф 2 се предвижда, че в случай на съществена промяна в издръжката на живота сумите по член 65, параграф 1 и корекционните коефициенти по член 64 се актуализират в съответствие с приложение XI. В срок от две седмици след актуализирането Комисията трябва да публикува актуализираните суми и корекционни коефициенти в серия С на ОВ на ЕС за информация.</w:t>
      </w:r>
    </w:p>
    <w:p>
      <w:pPr>
        <w:pStyle w:val="Text1"/>
        <w:rPr>
          <w:noProof/>
        </w:rPr>
      </w:pPr>
      <w:r>
        <w:rPr>
          <w:noProof/>
        </w:rPr>
        <w:t>Съгласно член 4, параграф 1 от приложение XI към ПП при значителна промяна в издръжката на живота, настъпила между юни и декември (съобразно с прага на чувствителност, определен в член 6 от приложение XI към ПП), се извършва междинно актуализиране на възнагражденията и пенсиите с действие от 1 януари, като се взема надлежно предвид прогнозата за промяната на покупателната способност през текущия годишен референтен период. Междинните актуализации се вземат предвид при годишната актуализация на заплатите.</w:t>
      </w:r>
    </w:p>
    <w:p>
      <w:pPr>
        <w:pStyle w:val="Text1"/>
        <w:rPr>
          <w:noProof/>
        </w:rPr>
      </w:pPr>
      <w:r>
        <w:rPr>
          <w:noProof/>
        </w:rPr>
        <w:t>Освен това, съгласно член 6 от приложение XI към ПП, междинното актуализиране следва да се извършва за всички места на работа (включително Брюксел и Люксембург), ако прагът на чувствителност е достигнат или надвишен в Брюксел и Люксембург. Ако този праг на чувствителност за Брюксел и Люксембург не е достигнат, междинното актуализиране се извършва само за местата, където прагът на чувствителност е достигнат или надвишен.</w:t>
      </w:r>
    </w:p>
    <w:p>
      <w:pPr>
        <w:pStyle w:val="Text1"/>
        <w:rPr>
          <w:noProof/>
        </w:rPr>
      </w:pPr>
      <w:r>
        <w:rPr>
          <w:noProof/>
        </w:rPr>
        <w:t>Съгласно член 7 от приложение XI към ПП размерът на междинната актуализация е равен на общия индекс, умножен, когато това е приложимо, по половината от прогнозния специфичен индикатор, ако той е отрицателен.</w:t>
      </w:r>
    </w:p>
    <w:p>
      <w:pPr>
        <w:pStyle w:val="Text1"/>
        <w:rPr>
          <w:noProof/>
        </w:rPr>
      </w:pPr>
      <w:r>
        <w:rPr>
          <w:noProof/>
        </w:rPr>
        <w:t>Корекционните коефициенти са съотношението между съответния икономически паритет и обменния курс, предвиден в член 63 от ПП, умножено по размера на актуализацията, ако прагът на чувствителност не е достигнат в Белгия и Люксембург.</w:t>
      </w:r>
    </w:p>
    <w:p>
      <w:pPr>
        <w:pStyle w:val="ManualHeading2"/>
        <w:rPr>
          <w:noProof/>
        </w:rPr>
      </w:pPr>
      <w:r>
        <w:rPr>
          <w:noProof/>
        </w:rPr>
        <w:t>3.5.</w:t>
      </w:r>
      <w:r>
        <w:rPr>
          <w:noProof/>
        </w:rPr>
        <w:tab/>
        <w:t>Междинни актуализации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Text1"/>
        <w:rPr>
          <w:noProof/>
        </w:rPr>
      </w:pPr>
      <w:r>
        <w:rPr>
          <w:noProof/>
        </w:rPr>
        <w:t>В допълнение към годишното актуализиране на възнагражденията на длъжностните лица, срочно наетите служители и договорно наетите служители на ЕС, служещи в трети държави, съгласно член 13, първа алинея от приложение X към ПП (</w:t>
      </w:r>
      <w:r>
        <w:rPr>
          <w:i/>
          <w:noProof/>
        </w:rPr>
        <w:t>вж. точка 3.3 по-горе</w:t>
      </w:r>
      <w:r>
        <w:rPr>
          <w:noProof/>
        </w:rPr>
        <w:t>), когато за дадена държава бъде установено, че промяната в издръжката на живота, измерена въз основа на корекционния коефициент и съответния обменен курс, е надвишила 5 % от последната актуализация, се прави междинно актуализиране на корекционния коефициент в съответствие с процедурата, предвидена в член 13, първа алинея от приложение X към ПП.</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Heading1"/>
        <w:rPr>
          <w:noProof/>
        </w:rPr>
      </w:pPr>
      <w:r>
        <w:rPr>
          <w:noProof/>
        </w:rPr>
        <w:t>Актуализиране за 2018 г.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Комисията взема под внимание различните актуализации на възнагражденията и пенсиите на длъжностните лица и другите служители на ЕС, които се правят съгласно приложение XI към ПП през референтния дванадесетмесечен период до 1 юли 2018 г. и преди края на 2018 г. Тези актуализации, посочени в точка 4 по-долу, се основават на статистически данни, изготвени от Статистическата служба на ЕС съгласувано с националните статистически служби на държавите членки и отразяващи положението в държавите членки към 1 юли 2018 г.</w:t>
      </w:r>
      <w:r>
        <w:rPr>
          <w:rStyle w:val="FootnoteReference"/>
          <w:noProof/>
        </w:rPr>
        <w:footnoteReference w:id="1"/>
      </w:r>
    </w:p>
    <w:p>
      <w:pPr>
        <w:pStyle w:val="ManualHeading2"/>
        <w:rPr>
          <w:noProof/>
        </w:rPr>
      </w:pPr>
      <w:r>
        <w:t>4.1.</w:t>
      </w:r>
      <w:r>
        <w:tab/>
      </w:r>
      <w:r>
        <w:rPr>
          <w:noProof/>
        </w:rPr>
        <w:t>Актуализиране за 2018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2"/>
      </w:r>
    </w:p>
    <w:p>
      <w:pPr>
        <w:pStyle w:val="Text1"/>
        <w:rPr>
          <w:noProof/>
        </w:rPr>
      </w:pPr>
      <w:r>
        <w:rPr>
          <w:noProof/>
        </w:rPr>
        <w:t>Средната промяна в покупателната способност на възнагражденията на държавните служители през референтния период, измерена със специфичния индикатор, е -0,4 %.</w:t>
      </w:r>
    </w:p>
    <w:p>
      <w:pPr>
        <w:pStyle w:val="Text1"/>
        <w:rPr>
          <w:noProof/>
        </w:rPr>
      </w:pPr>
      <w:r>
        <w:rPr>
          <w:noProof/>
        </w:rPr>
        <w:t>Промяната в издръжката на живота в Белгия и Люксембург през референтния период, измерена с общия индекс, изчислен от Евростат, е +2,1 %. Съгласно член 3, параграф 2 от приложение XI към ПП размерът на актуализацията се определя чрез умножаване на специфичния индикатор по изчисления от Евростат общ индекс. Следователно актуализацията на възнагражденията и пенсиите в Белгия и Люксембург е 1,7 %. Съгласно член 3, параграф 5 от приложение XI към ПП за Белгия и Люксембург не се прилага корекционен коефициент.</w:t>
      </w:r>
    </w:p>
    <w:p>
      <w:pPr>
        <w:pStyle w:val="Text1"/>
        <w:rPr>
          <w:noProof/>
        </w:rPr>
      </w:pPr>
      <w:r>
        <w:rPr>
          <w:noProof/>
        </w:rPr>
        <w:t xml:space="preserve">Общият специфичен индикатор (- 0,4 %) е над прага, необходим за задействане на клаузата за ограничаване (с долна граница от - 2 %), поради което тя не се прилага. </w:t>
      </w:r>
    </w:p>
    <w:p>
      <w:pPr>
        <w:pStyle w:val="Text1"/>
        <w:rPr>
          <w:noProof/>
        </w:rPr>
      </w:pPr>
      <w:r>
        <w:rPr>
          <w:noProof/>
        </w:rPr>
        <w:t>Тъй като прогнозната промяна на БВП в реално изражение е положителна (+ 2,3 %)</w:t>
      </w:r>
      <w:r>
        <w:rPr>
          <w:rStyle w:val="FootnoteReference"/>
          <w:noProof/>
        </w:rPr>
        <w:footnoteReference w:id="3"/>
      </w:r>
      <w:r>
        <w:rPr>
          <w:noProof/>
        </w:rPr>
        <w:t>, клаузата за изключване не се прилага.</w:t>
      </w:r>
    </w:p>
    <w:p>
      <w:pPr>
        <w:pStyle w:val="Text1"/>
        <w:rPr>
          <w:noProof/>
        </w:rPr>
      </w:pPr>
      <w:r>
        <w:rPr>
          <w:noProof/>
        </w:rPr>
        <w:t xml:space="preserve">С оглед на това до края на 2018 г. Комисията ще публикува в серия С на ОВ актуализираните суми, посочени в член 65, параграф 1, втора алинея от ПП, приложими от 1 юли 2018 г. към възнагражденията и пенсиите на длъжностните лица и другите служители на Европейския съюз. Тези суми са представени в приложение I към настоящия доклад. </w:t>
      </w:r>
    </w:p>
    <w:p>
      <w:pPr>
        <w:pStyle w:val="ManualHeading2"/>
        <w:rPr>
          <w:noProof/>
        </w:rPr>
      </w:pPr>
      <w:r>
        <w:t>4.2.</w:t>
      </w:r>
      <w:r>
        <w:tab/>
      </w:r>
      <w:r>
        <w:rPr>
          <w:noProof/>
        </w:rPr>
        <w:t>Актуализиране за 2018 г.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4"/>
      </w:r>
    </w:p>
    <w:p>
      <w:pPr>
        <w:pStyle w:val="Text1"/>
        <w:rPr>
          <w:noProof/>
        </w:rPr>
      </w:pPr>
      <w:r>
        <w:rPr>
          <w:noProof/>
        </w:rPr>
        <w:t>Извън Белгия и Люксембург актуализирането на възнагражденията и пенсиите се определя чрез умножаване на адаптирането в Белгия и Люксембург по промяната на корекционните коефициенти и на обменния курс.</w:t>
      </w:r>
    </w:p>
    <w:p>
      <w:pPr>
        <w:pStyle w:val="Text1"/>
        <w:rPr>
          <w:noProof/>
        </w:rPr>
      </w:pPr>
      <w:r>
        <w:rPr>
          <w:noProof/>
        </w:rPr>
        <w:t>Корекционните коефициенти, приложими към възнагражденията, пенсиите и преводите на част от възнагражденията, са изчислени от Евростат, както следва:</w:t>
      </w:r>
    </w:p>
    <w:p>
      <w:pPr>
        <w:pStyle w:val="Heading3"/>
        <w:rPr>
          <w:noProof/>
        </w:rPr>
      </w:pPr>
      <w:r>
        <w:rPr>
          <w:noProof/>
        </w:rPr>
        <w:t>Корекционни коефициенти за служителите извън Белгия и Люксембург</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възнагражденията, изплащани в Брюксел, с тази на възнагражденията, изплащани в другите места на работа, към 1 юли 2018 г.</w:t>
      </w:r>
    </w:p>
    <w:p>
      <w:pPr>
        <w:pStyle w:val="Text1"/>
        <w:rPr>
          <w:noProof/>
        </w:rPr>
      </w:pPr>
      <w:r>
        <w:rPr>
          <w:noProof/>
        </w:rPr>
        <w:t>Корекционните коефициенти, приложими към възнагражденията на длъжностните лица и другите служители, работещи в държавите членки, различни от Белгия и Люксембург, се определят чрез съотношенията между тези икономически паритети и обменните курсове, приложими към 1 юли 2018 г.</w:t>
      </w:r>
    </w:p>
    <w:p>
      <w:pPr>
        <w:pStyle w:val="Text1"/>
        <w:rPr>
          <w:noProof/>
        </w:rPr>
      </w:pPr>
      <w:r>
        <w:rPr>
          <w:noProof/>
        </w:rPr>
        <w:t xml:space="preserve">С оглед на това до края на 2018 г. Комисията ще публикува в серия С на ОВ корекционните коефициенти, приложими от 1 юли 2018 г. към възнагражденията и пенсиите на длъжностните лица и другите служители на Европейския съюз. Тези коефициенти са представени в приложение I към настоящия доклад. </w:t>
      </w:r>
    </w:p>
    <w:p>
      <w:pPr>
        <w:pStyle w:val="Heading3"/>
        <w:rPr>
          <w:noProof/>
        </w:rPr>
      </w:pPr>
      <w:r>
        <w:rPr>
          <w:noProof/>
        </w:rPr>
        <w:t>Корекционни коефициенти за ПЕНСИИТЕ извън Белгия и Люксембург и корекционни коефициенти за ПРЕВОДИТЕ:</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пенсиите, изплащани в Белгия, с тази на пенсиите, изплащани в другите държави на пребиваване, към 1 юли 2018 г.</w:t>
      </w:r>
    </w:p>
    <w:p>
      <w:pPr>
        <w:pStyle w:val="Text1"/>
        <w:rPr>
          <w:noProof/>
        </w:rPr>
      </w:pPr>
      <w:r>
        <w:rPr>
          <w:noProof/>
        </w:rPr>
        <w:t>Корекционните коефициенти, изчислени за пенсиите на лицата, които живеят в държави, различни от Белгия и Люксембург, се определят чрез съотношенията между тези икономически паритети и обменните курсове, приложими към 1 юли 2018 г. Съгласно член 20 от приложение XIII към ПП корекционните коефициенти се прилагат само за тази част от пенсията, която съответства на пенсионните права, придобити преди 1 май 2004 г.</w:t>
      </w:r>
    </w:p>
    <w:p>
      <w:pPr>
        <w:pStyle w:val="Text1"/>
        <w:rPr>
          <w:noProof/>
        </w:rPr>
      </w:pPr>
      <w:r>
        <w:rPr>
          <w:noProof/>
        </w:rPr>
        <w:t>Съгласно член 17 от приложение VII към ПП тези корекционни коефициенти се прилагат директно към преводите, извършвани от длъжностните лица и другите служители.</w:t>
      </w:r>
    </w:p>
    <w:p>
      <w:pPr>
        <w:pStyle w:val="Text1"/>
        <w:rPr>
          <w:noProof/>
        </w:rPr>
      </w:pPr>
      <w:r>
        <w:rPr>
          <w:noProof/>
        </w:rPr>
        <w:t xml:space="preserve">С оглед на това до края на 2018 г. Комисията ще публикува в серия С на ОВ корекционните коефициенти, приложими от 1 юли 2018 г. към пенсиите, изплащани извън Белгия и Люксембург, и корекционните коефициенти за преводите на длъжностните лица и другите служители на Европейския съюз. Тези коефициенти са представени в приложение I към настоящия доклад. </w:t>
      </w:r>
    </w:p>
    <w:p>
      <w:pPr>
        <w:pStyle w:val="ManualHeading2"/>
        <w:rPr>
          <w:noProof/>
        </w:rPr>
      </w:pPr>
      <w:r>
        <w:t>4.3.</w:t>
      </w:r>
      <w:r>
        <w:tab/>
      </w:r>
      <w:r>
        <w:rPr>
          <w:noProof/>
        </w:rPr>
        <w:t>Актуализиране за 2018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Статистическите данни, с които разполага Комисията, съдържат списък със 145 места на работа. Икономически паритети обаче не бяха представени в случаите, в които няма данни или данните са ненадеждни поради нестабилността на място или по други причини. </w:t>
      </w:r>
    </w:p>
    <w:p>
      <w:pPr>
        <w:pStyle w:val="Text1"/>
        <w:rPr>
          <w:bCs/>
          <w:iCs/>
          <w:noProof/>
          <w:szCs w:val="28"/>
        </w:rPr>
      </w:pPr>
      <w:r>
        <w:rPr>
          <w:noProof/>
        </w:rPr>
        <w:t xml:space="preserve">Корекционните коефициенти за всички места на работа извън ЕС бяха изчислени към 1 юли 2018 г. При годишната актуализация бяха определени корекционните коефициенти, произтичащи от съобщените от Евростат паритети за 1 юли 2018 г. </w:t>
      </w:r>
    </w:p>
    <w:p>
      <w:pPr>
        <w:pStyle w:val="Text1"/>
        <w:rPr>
          <w:b/>
          <w:noProof/>
        </w:rPr>
      </w:pPr>
      <w:r>
        <w:rPr>
          <w:noProof/>
        </w:rPr>
        <w:t xml:space="preserve">С оглед на това до края на 2018 г. Комисията ще публикува в серия С на ОВ корекционните коефициенти, приложими от 1 юли 2018 г. към възнагражденията на длъжностните лица, срочно наетите служители и договорно наетите служители на ЕС, служещи в трети държави. Тези коефициенти са представени в приложение II към настоящия доклад. </w:t>
      </w:r>
    </w:p>
    <w:p>
      <w:pPr>
        <w:pStyle w:val="ManualHeading2"/>
        <w:rPr>
          <w:noProof/>
        </w:rPr>
      </w:pPr>
      <w:r>
        <w:t>4.4.</w:t>
      </w:r>
      <w:r>
        <w:tab/>
      </w:r>
      <w:r>
        <w:rPr>
          <w:noProof/>
        </w:rPr>
        <w:t xml:space="preserve">Междинно актуализиране за 2018 г. на възнагражденията и пенсиите на длъжностните лица и другите служители на ЕС в ЕС (член 65, параграф 2 от ПП) </w:t>
      </w:r>
    </w:p>
    <w:p>
      <w:pPr>
        <w:pStyle w:val="Text1"/>
        <w:rPr>
          <w:noProof/>
        </w:rPr>
      </w:pPr>
      <w:r>
        <w:rPr>
          <w:noProof/>
        </w:rPr>
        <w:t>Съгласно член 4 от приложение XI към ПП възнагражденията и пенсиите в местата, в които се наблюдава значителна промяна в издръжката на живота, трябваше да бъдат актуализирани.</w:t>
      </w:r>
    </w:p>
    <w:p>
      <w:pPr>
        <w:pStyle w:val="Text1"/>
        <w:rPr>
          <w:noProof/>
        </w:rPr>
      </w:pPr>
      <w:r>
        <w:rPr>
          <w:noProof/>
        </w:rPr>
        <w:t>Евростат изчисли, съгласувано с националните статистически служби</w:t>
      </w:r>
      <w:r>
        <w:rPr>
          <w:rStyle w:val="FootnoteReference"/>
          <w:noProof/>
        </w:rPr>
        <w:footnoteReference w:id="5"/>
      </w:r>
      <w:r>
        <w:rPr>
          <w:noProof/>
        </w:rPr>
        <w:t xml:space="preserve">, че промяната в издръжката на живота за Белгия и Люксембург, измерена чрез общия индекс, за периода от юни 2017 г. до декември 2017 г. е 1,0 %. </w:t>
      </w:r>
    </w:p>
    <w:p>
      <w:pPr>
        <w:pStyle w:val="Text1"/>
        <w:rPr>
          <w:noProof/>
        </w:rPr>
      </w:pPr>
      <w:r>
        <w:rPr>
          <w:noProof/>
        </w:rPr>
        <w:t>Промените в издръжката на живота извън Белгия и Люксембург по време на референтния период бяха измерени с имплицитните индекси, изчислени от Евростат</w:t>
      </w:r>
      <w:r>
        <w:rPr>
          <w:rStyle w:val="FootnoteReference"/>
          <w:noProof/>
        </w:rPr>
        <w:footnoteReference w:id="6"/>
      </w:r>
      <w:r>
        <w:rPr>
          <w:noProof/>
        </w:rPr>
        <w:t>. Тези индекси бяха изчислени чрез умножаване на общия индекс по промяната на икономическия паритет.</w:t>
      </w:r>
    </w:p>
    <w:p>
      <w:pPr>
        <w:pStyle w:val="Text1"/>
        <w:rPr>
          <w:noProof/>
        </w:rPr>
      </w:pPr>
      <w:r>
        <w:rPr>
          <w:noProof/>
        </w:rPr>
        <w:t>Прагът на чувствителност за значителна промяна в издръжката на живота е процентът, който съответства на 6 % за дванадесетмесечен период (3 % за шестмесечен период).</w:t>
      </w:r>
    </w:p>
    <w:p>
      <w:pPr>
        <w:pStyle w:val="Text1"/>
        <w:rPr>
          <w:noProof/>
        </w:rPr>
      </w:pPr>
      <w:r>
        <w:rPr>
          <w:noProof/>
        </w:rPr>
        <w:t>Тъй като общият индекс за референтния период (юни 2017 г. — декември 2017 г.) бе 101,0 (т.е. + 1,0 %), тази промяна остана в рамките на определения праг (± 3,0 %). Поради това не бе необходимо междинно актуализиране на номиналните възнаграждения и пенсии на длъжностните лица на ЕС, работещи в Белгия и Люксембург.</w:t>
      </w:r>
    </w:p>
    <w:p>
      <w:pPr>
        <w:pStyle w:val="Text1"/>
        <w:rPr>
          <w:noProof/>
        </w:rPr>
      </w:pPr>
      <w:r>
        <w:rPr>
          <w:noProof/>
        </w:rPr>
        <w:t>Корекционните коефициенти са съотношението между съответния икономически паритет и обменния курс, умножено по стойността на междинната актуализация, ако прагът на чувствителност не е достигнат за Брюксел и Люксембург.</w:t>
      </w:r>
    </w:p>
    <w:p>
      <w:pPr>
        <w:pStyle w:val="Text1"/>
        <w:rPr>
          <w:noProof/>
        </w:rPr>
      </w:pPr>
      <w:r>
        <w:rPr>
          <w:noProof/>
        </w:rPr>
        <w:t>Евростат изчисли, съгласувано с националните статистически служби</w:t>
      </w:r>
      <w:r>
        <w:rPr>
          <w:rStyle w:val="FootnoteReference"/>
          <w:noProof/>
        </w:rPr>
        <w:footnoteReference w:id="7"/>
      </w:r>
      <w:r>
        <w:rPr>
          <w:noProof/>
        </w:rPr>
        <w:t>, че няма място на работа в ЕС, което да е с имплицитен ценови индекс, надхвърлящ определения за периода праг. Поради това не бе необходимо междинно актуализиране на корекционните коефициенти, приложими към възнагражденията на длъжностните лица и другите служители на Европейския съюз.</w:t>
      </w:r>
    </w:p>
    <w:p>
      <w:pPr>
        <w:pStyle w:val="Text1"/>
        <w:rPr>
          <w:noProof/>
        </w:rPr>
      </w:pPr>
      <w:r>
        <w:rPr>
          <w:noProof/>
        </w:rPr>
        <w:t>Също така Евростат изчисли, съгласувано с националните статистически служби</w:t>
      </w:r>
      <w:r>
        <w:rPr>
          <w:rStyle w:val="FootnoteReference"/>
          <w:noProof/>
        </w:rPr>
        <w:footnoteReference w:id="8"/>
      </w:r>
      <w:r>
        <w:rPr>
          <w:noProof/>
        </w:rPr>
        <w:t xml:space="preserve">, че за нито една държава — членка на ЕС, имплицитният ценови индекс не надхвърля прага за периода. Поради това не бе необходимо междинно актуализиране на корекционните коефициенти, изчислени от Евростат за пенсиите в тези държави. </w:t>
      </w:r>
    </w:p>
    <w:p>
      <w:pPr>
        <w:pStyle w:val="Text1"/>
        <w:rPr>
          <w:b/>
          <w:noProof/>
        </w:rPr>
      </w:pPr>
      <w:r>
        <w:rPr>
          <w:noProof/>
        </w:rPr>
        <w:t xml:space="preserve">С оглед на това не бе необходимо Комисията да публикува в серия С на ОВ междинна актуализация на корекционните коефициенти, приложими от 1 януари 2018 г. към възнагражденията и пенсиите на длъжностните лица и другите служители на ЕС, служещи в ЕС. </w:t>
      </w:r>
    </w:p>
    <w:p>
      <w:pPr>
        <w:pStyle w:val="ManualHeading2"/>
        <w:rPr>
          <w:noProof/>
        </w:rPr>
      </w:pPr>
      <w:r>
        <w:t>4.5.</w:t>
      </w:r>
      <w:r>
        <w:tab/>
      </w:r>
      <w:r>
        <w:rPr>
          <w:noProof/>
        </w:rPr>
        <w:t>Междинни актуализации за 2018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2017 г. — януари 2018 г.</w:t>
      </w:r>
    </w:p>
    <w:p>
      <w:pPr>
        <w:pStyle w:val="Text1"/>
        <w:rPr>
          <w:noProof/>
        </w:rPr>
      </w:pPr>
      <w:r>
        <w:rPr>
          <w:noProof/>
        </w:rPr>
        <w:t>Статистическите данни, с които разполага Комисията</w:t>
      </w:r>
      <w:r>
        <w:rPr>
          <w:rStyle w:val="FootnoteReference"/>
          <w:noProof/>
        </w:rPr>
        <w:footnoteReference w:id="9"/>
      </w:r>
      <w:r>
        <w:rPr>
          <w:noProof/>
        </w:rPr>
        <w:t xml:space="preserve">, показаха,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на служба в трети държави, които се изплащат във валутата на държавата по месторабота, т.е. след 1 юли 2017 г. </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август, 1 септември, 1 октомври, 1 ноември и 1 декември 2017 г. и 1 януари 2018 г. </w:t>
      </w:r>
    </w:p>
    <w:p>
      <w:pPr>
        <w:pStyle w:val="Text1"/>
        <w:rPr>
          <w:b/>
          <w:noProof/>
        </w:rPr>
      </w:pPr>
      <w:r>
        <w:rPr>
          <w:noProof/>
        </w:rPr>
        <w:t>С оглед на това на 13 юни 2018 г. Комисията публикува в серия С</w:t>
      </w:r>
      <w:r>
        <w:rPr>
          <w:rStyle w:val="FootnoteReference"/>
          <w:noProof/>
        </w:rPr>
        <w:footnoteReference w:id="10"/>
      </w:r>
      <w:r>
        <w:rPr>
          <w:noProof/>
        </w:rPr>
        <w:t xml:space="preserve"> на ОВ шест месечни таблици, в които са посочени засегнатите държави, съответните корекционни коефициенти и датите на прилагане за всеки от тях. </w:t>
      </w:r>
    </w:p>
    <w:p>
      <w:pPr>
        <w:pStyle w:val="Heading3"/>
        <w:rPr>
          <w:noProof/>
        </w:rPr>
      </w:pPr>
      <w:r>
        <w:rPr>
          <w:noProof/>
        </w:rPr>
        <w:t>За периода февруари 2018 г. — юни 2018 г.</w:t>
      </w:r>
    </w:p>
    <w:p>
      <w:pPr>
        <w:pStyle w:val="Text1"/>
        <w:rPr>
          <w:noProof/>
        </w:rPr>
      </w:pPr>
      <w:r>
        <w:rPr>
          <w:noProof/>
        </w:rPr>
        <w:t>Статистическите данни, с които разполага Комисията</w:t>
      </w:r>
      <w:r>
        <w:rPr>
          <w:rStyle w:val="FootnoteReference"/>
          <w:noProof/>
        </w:rPr>
        <w:footnoteReference w:id="11"/>
      </w:r>
      <w:r>
        <w:rPr>
          <w:noProof/>
        </w:rPr>
        <w:t>, показват,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ЕС на служба в трети държави, които се изплащат във валутата на държавата по месторабота.</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февруари, 1 март, 1 април, 1 май и 1 юни 2018 г. </w:t>
      </w:r>
    </w:p>
    <w:p>
      <w:pPr>
        <w:pStyle w:val="Text1"/>
        <w:rPr>
          <w:b/>
          <w:noProof/>
        </w:rPr>
      </w:pPr>
      <w:r>
        <w:rPr>
          <w:noProof/>
        </w:rPr>
        <w:t xml:space="preserve">С оглед на това до края на 2018 г. Комисията ще публикува в серия С на ОВ пет месечни таблици, в които са посочени засегнатите държави, съответните корекционни коефициенти и датите на прилагане за всеки от тях, представени в приложение III към настоящия доклад. </w:t>
      </w:r>
    </w:p>
    <w:p>
      <w:pPr>
        <w:pStyle w:val="Heading1"/>
        <w:rPr>
          <w:noProof/>
        </w:rPr>
      </w:pPr>
      <w:r>
        <w:rPr>
          <w:noProof/>
        </w:rPr>
        <w:t>Отражение върху бюджета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Тази точка съдържа подробна оценка на въздействието върху бюджета на актуализациите, засягащи възнагражденията и пенсиите на персонала на ЕС през 2018 г.</w:t>
      </w:r>
    </w:p>
    <w:p>
      <w:pPr>
        <w:pStyle w:val="ManualHeading2"/>
        <w:rPr>
          <w:noProof/>
        </w:rPr>
      </w:pPr>
      <w:r>
        <w:t>5.1.</w:t>
      </w:r>
      <w:r>
        <w:tab/>
      </w:r>
      <w:r>
        <w:rPr>
          <w:noProof/>
        </w:rPr>
        <w:t>Актуализиране за 2018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Актуализирането на сумите, посочени в член 65, параграф 1, втора алинея от ПП, има финансово отражение върху всички бюджетни редове, предназначени за разходи за персонала във всички институции и агенции.</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sz w:val="16"/>
              </w:rPr>
              <w:t>Следващи години</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+ 54,4</w:t>
            </w:r>
          </w:p>
        </w:tc>
        <w:tc>
          <w:tcPr>
            <w:tcW w:w="1004" w:type="dxa"/>
            <w:vAlign w:val="center"/>
          </w:tcPr>
          <w:p>
            <w:pPr>
              <w:pStyle w:val="Text1"/>
              <w:ind w:left="0"/>
              <w:jc w:val="center"/>
              <w:rPr>
                <w:noProof/>
              </w:rPr>
            </w:pPr>
            <w:r>
              <w:rPr>
                <w:noProof/>
              </w:rPr>
              <w:t>+ 108,9</w:t>
            </w:r>
          </w:p>
        </w:tc>
        <w:tc>
          <w:tcPr>
            <w:tcW w:w="1004" w:type="dxa"/>
            <w:vAlign w:val="center"/>
          </w:tcPr>
          <w:p>
            <w:pPr>
              <w:pStyle w:val="Text1"/>
              <w:ind w:left="0"/>
              <w:jc w:val="center"/>
              <w:rPr>
                <w:noProof/>
              </w:rPr>
            </w:pPr>
            <w:r>
              <w:rPr>
                <w:noProof/>
              </w:rPr>
              <w:t>+ 108,9</w:t>
            </w:r>
          </w:p>
        </w:tc>
        <w:tc>
          <w:tcPr>
            <w:tcW w:w="1004" w:type="dxa"/>
            <w:vAlign w:val="center"/>
          </w:tcPr>
          <w:p>
            <w:pPr>
              <w:pStyle w:val="Text1"/>
              <w:ind w:left="0"/>
              <w:jc w:val="center"/>
              <w:rPr>
                <w:noProof/>
              </w:rPr>
            </w:pPr>
            <w:r>
              <w:rPr>
                <w:noProof/>
              </w:rPr>
              <w:t>+ 14,3</w:t>
            </w:r>
          </w:p>
        </w:tc>
        <w:tc>
          <w:tcPr>
            <w:tcW w:w="1004" w:type="dxa"/>
            <w:vAlign w:val="center"/>
          </w:tcPr>
          <w:p>
            <w:pPr>
              <w:pStyle w:val="Text1"/>
              <w:ind w:left="0"/>
              <w:jc w:val="center"/>
              <w:rPr>
                <w:noProof/>
              </w:rPr>
            </w:pPr>
            <w:r>
              <w:rPr>
                <w:noProof/>
              </w:rPr>
              <w:t>+ 28,5</w:t>
            </w:r>
          </w:p>
        </w:tc>
        <w:tc>
          <w:tcPr>
            <w:tcW w:w="1004" w:type="dxa"/>
            <w:vAlign w:val="center"/>
          </w:tcPr>
          <w:p>
            <w:pPr>
              <w:pStyle w:val="Text1"/>
              <w:ind w:left="0"/>
              <w:jc w:val="center"/>
              <w:rPr>
                <w:noProof/>
              </w:rPr>
            </w:pPr>
            <w:r>
              <w:rPr>
                <w:noProof/>
              </w:rPr>
              <w:t>+ 28,5</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приходите</w:t>
            </w:r>
          </w:p>
        </w:tc>
        <w:tc>
          <w:tcPr>
            <w:tcW w:w="1004" w:type="dxa"/>
            <w:vAlign w:val="center"/>
          </w:tcPr>
          <w:p>
            <w:pPr>
              <w:pStyle w:val="Text1"/>
              <w:ind w:left="0"/>
              <w:jc w:val="center"/>
              <w:rPr>
                <w:noProof/>
              </w:rPr>
            </w:pPr>
            <w:r>
              <w:rPr>
                <w:noProof/>
              </w:rPr>
              <w:t>+ 9,5</w:t>
            </w:r>
          </w:p>
        </w:tc>
        <w:tc>
          <w:tcPr>
            <w:tcW w:w="1004" w:type="dxa"/>
            <w:vAlign w:val="center"/>
          </w:tcPr>
          <w:p>
            <w:pPr>
              <w:pStyle w:val="Text1"/>
              <w:ind w:left="0"/>
              <w:jc w:val="center"/>
              <w:rPr>
                <w:noProof/>
              </w:rPr>
            </w:pPr>
            <w:r>
              <w:rPr>
                <w:noProof/>
              </w:rPr>
              <w:t>+ 19,0</w:t>
            </w:r>
          </w:p>
        </w:tc>
        <w:tc>
          <w:tcPr>
            <w:tcW w:w="1004" w:type="dxa"/>
            <w:vAlign w:val="center"/>
          </w:tcPr>
          <w:p>
            <w:pPr>
              <w:pStyle w:val="Text1"/>
              <w:ind w:left="0"/>
              <w:jc w:val="center"/>
              <w:rPr>
                <w:noProof/>
              </w:rPr>
            </w:pPr>
            <w:r>
              <w:rPr>
                <w:noProof/>
              </w:rPr>
              <w:t>+ 19,0</w:t>
            </w:r>
          </w:p>
        </w:tc>
        <w:tc>
          <w:tcPr>
            <w:tcW w:w="1004" w:type="dxa"/>
            <w:vAlign w:val="center"/>
          </w:tcPr>
          <w:p>
            <w:pPr>
              <w:pStyle w:val="Text1"/>
              <w:ind w:left="0"/>
              <w:jc w:val="center"/>
              <w:rPr>
                <w:noProof/>
              </w:rPr>
            </w:pPr>
            <w:r>
              <w:rPr>
                <w:noProof/>
              </w:rPr>
              <w:t>+ 2,4</w:t>
            </w:r>
          </w:p>
        </w:tc>
        <w:tc>
          <w:tcPr>
            <w:tcW w:w="1004" w:type="dxa"/>
            <w:vAlign w:val="center"/>
          </w:tcPr>
          <w:p>
            <w:pPr>
              <w:pStyle w:val="Text1"/>
              <w:ind w:left="0"/>
              <w:jc w:val="center"/>
              <w:rPr>
                <w:noProof/>
              </w:rPr>
            </w:pPr>
            <w:r>
              <w:rPr>
                <w:noProof/>
              </w:rPr>
              <w:t>+ 4,8</w:t>
            </w:r>
          </w:p>
        </w:tc>
        <w:tc>
          <w:tcPr>
            <w:tcW w:w="1004" w:type="dxa"/>
            <w:vAlign w:val="center"/>
          </w:tcPr>
          <w:p>
            <w:pPr>
              <w:pStyle w:val="Text1"/>
              <w:ind w:left="0"/>
              <w:jc w:val="center"/>
              <w:rPr>
                <w:noProof/>
              </w:rPr>
            </w:pPr>
            <w:r>
              <w:rPr>
                <w:noProof/>
              </w:rPr>
              <w:t>+ 4,8</w:t>
            </w:r>
          </w:p>
        </w:tc>
      </w:tr>
    </w:tbl>
    <w:p>
      <w:pPr>
        <w:pStyle w:val="Text1"/>
        <w:rPr>
          <w:noProof/>
        </w:rPr>
      </w:pPr>
    </w:p>
    <w:p>
      <w:pPr>
        <w:pStyle w:val="Text1"/>
        <w:rPr>
          <w:noProof/>
        </w:rPr>
      </w:pPr>
    </w:p>
    <w:p>
      <w:pPr>
        <w:pStyle w:val="ManualHeading2"/>
        <w:rPr>
          <w:noProof/>
        </w:rPr>
      </w:pPr>
      <w:r>
        <w:t>5.2.</w:t>
      </w:r>
      <w:r>
        <w:tab/>
      </w:r>
      <w:r>
        <w:rPr>
          <w:noProof/>
        </w:rPr>
        <w:t>Актуализиране за 2018 г. на корекционните коефициенти, прилагани към възнагражденията и пенсиите на длъжностните лица и другите служители на ЕС в ЕС (член 64, втора алинея и член 20, параграф 1 от приложение XIII)</w:t>
      </w:r>
    </w:p>
    <w:p>
      <w:pPr>
        <w:pStyle w:val="Text1"/>
        <w:rPr>
          <w:noProof/>
        </w:rPr>
      </w:pPr>
      <w:r>
        <w:rPr>
          <w:noProof/>
        </w:rPr>
        <w:t>Пораждащото действие от 1 юли 2018 г. актуализиране на корекционните коефициенти, прилагани към възнагражденията и пенсиите на служителите на ЕС в държавите членки, но извън Брюксел и Люксембург, има финансово отражение върху няколко бюджетни реда, предназначени за разходи за персонала.</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- 0,3</w:t>
            </w:r>
          </w:p>
        </w:tc>
        <w:tc>
          <w:tcPr>
            <w:tcW w:w="1004" w:type="dxa"/>
            <w:vAlign w:val="center"/>
          </w:tcPr>
          <w:p>
            <w:pPr>
              <w:pStyle w:val="Text1"/>
              <w:ind w:left="0"/>
              <w:jc w:val="center"/>
              <w:rPr>
                <w:noProof/>
              </w:rPr>
            </w:pPr>
            <w:r>
              <w:rPr>
                <w:noProof/>
              </w:rPr>
              <w:t>- 0,7</w:t>
            </w:r>
          </w:p>
        </w:tc>
        <w:tc>
          <w:tcPr>
            <w:tcW w:w="1004" w:type="dxa"/>
            <w:vAlign w:val="center"/>
          </w:tcPr>
          <w:p>
            <w:pPr>
              <w:pStyle w:val="Text1"/>
              <w:ind w:left="0"/>
              <w:jc w:val="center"/>
              <w:rPr>
                <w:noProof/>
              </w:rPr>
            </w:pPr>
            <w:r>
              <w:rPr>
                <w:noProof/>
              </w:rPr>
              <w:t>- 0,7</w:t>
            </w:r>
          </w:p>
        </w:tc>
        <w:tc>
          <w:tcPr>
            <w:tcW w:w="1004" w:type="dxa"/>
            <w:vAlign w:val="center"/>
          </w:tcPr>
          <w:p>
            <w:pPr>
              <w:pStyle w:val="Text1"/>
              <w:ind w:left="0"/>
              <w:jc w:val="center"/>
              <w:rPr>
                <w:noProof/>
              </w:rPr>
            </w:pPr>
            <w:r>
              <w:rPr>
                <w:noProof/>
              </w:rPr>
              <w:t>+ 3,9</w:t>
            </w:r>
          </w:p>
        </w:tc>
        <w:tc>
          <w:tcPr>
            <w:tcW w:w="1004" w:type="dxa"/>
            <w:vAlign w:val="center"/>
          </w:tcPr>
          <w:p>
            <w:pPr>
              <w:pStyle w:val="Text1"/>
              <w:ind w:left="0"/>
              <w:jc w:val="center"/>
              <w:rPr>
                <w:noProof/>
              </w:rPr>
            </w:pPr>
            <w:r>
              <w:rPr>
                <w:noProof/>
              </w:rPr>
              <w:t>+ 7,8</w:t>
            </w:r>
          </w:p>
        </w:tc>
        <w:tc>
          <w:tcPr>
            <w:tcW w:w="1004" w:type="dxa"/>
            <w:vAlign w:val="center"/>
          </w:tcPr>
          <w:p>
            <w:pPr>
              <w:pStyle w:val="Text1"/>
              <w:ind w:left="0"/>
              <w:jc w:val="center"/>
              <w:rPr>
                <w:noProof/>
              </w:rPr>
            </w:pPr>
            <w:r>
              <w:rPr>
                <w:noProof/>
              </w:rPr>
              <w:t>+ 7,8</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Актуализиране за 2018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Пораждащото действие от 1 юли 2018 г. годишно актуализиране на корекционните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- 1,2</w:t>
            </w:r>
          </w:p>
        </w:tc>
        <w:tc>
          <w:tcPr>
            <w:tcW w:w="1004" w:type="dxa"/>
            <w:vAlign w:val="center"/>
          </w:tcPr>
          <w:p>
            <w:pPr>
              <w:pStyle w:val="Text1"/>
              <w:ind w:left="0"/>
              <w:jc w:val="center"/>
              <w:rPr>
                <w:noProof/>
              </w:rPr>
            </w:pPr>
            <w:r>
              <w:rPr>
                <w:noProof/>
              </w:rPr>
              <w:t>- 2,4</w:t>
            </w:r>
          </w:p>
        </w:tc>
        <w:tc>
          <w:tcPr>
            <w:tcW w:w="1004" w:type="dxa"/>
            <w:vAlign w:val="center"/>
          </w:tcPr>
          <w:p>
            <w:pPr>
              <w:pStyle w:val="Text1"/>
              <w:ind w:left="0"/>
              <w:jc w:val="center"/>
              <w:rPr>
                <w:noProof/>
              </w:rPr>
            </w:pPr>
            <w:r>
              <w:rPr>
                <w:noProof/>
              </w:rPr>
              <w:t>- 2,4</w:t>
            </w:r>
          </w:p>
        </w:tc>
      </w:tr>
    </w:tbl>
    <w:p>
      <w:pPr>
        <w:pStyle w:val="Text1"/>
        <w:rPr>
          <w:noProof/>
        </w:rPr>
      </w:pPr>
    </w:p>
    <w:p>
      <w:pPr>
        <w:pStyle w:val="ManualHeading2"/>
        <w:rPr>
          <w:noProof/>
        </w:rPr>
      </w:pPr>
      <w:r>
        <w:t>5.4.</w:t>
      </w:r>
      <w:r>
        <w:tab/>
      </w:r>
      <w:r>
        <w:rPr>
          <w:noProof/>
        </w:rPr>
        <w:t>Междинни актуализации за 2018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2017 г. — януари 2018 г.</w:t>
      </w:r>
    </w:p>
    <w:p>
      <w:pPr>
        <w:pStyle w:val="Text1"/>
        <w:rPr>
          <w:noProof/>
        </w:rPr>
      </w:pPr>
      <w:r>
        <w:rPr>
          <w:noProof/>
        </w:rPr>
        <w:t>Пораждащото действие от 1 август 2017 г., 1 септември 2017 г., 1 октомври 2017 г., 1 ноември 2017 г., 1 декември 2017 г. и 1 януари 2018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Text1"/>
        <w:rPr>
          <w:noProof/>
        </w:rPr>
      </w:pPr>
    </w:p>
    <w:p>
      <w:pPr>
        <w:pStyle w:val="Heading3"/>
        <w:rPr>
          <w:noProof/>
        </w:rPr>
      </w:pPr>
      <w:r>
        <w:rPr>
          <w:noProof/>
        </w:rPr>
        <w:t>За периода февруари 2018 г. — юни 2018 г.</w:t>
      </w:r>
    </w:p>
    <w:p>
      <w:pPr>
        <w:pStyle w:val="Text1"/>
        <w:rPr>
          <w:noProof/>
        </w:rPr>
      </w:pPr>
      <w:r>
        <w:rPr>
          <w:noProof/>
        </w:rPr>
        <w:t>Пораждащото действие от 1 февруари 2018 г., 1 март 2018 г., 1 април 2018 г., 1 май 2018 г. и 1 юни 2018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2018</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- 0,5</w:t>
            </w:r>
          </w:p>
        </w:tc>
        <w:tc>
          <w:tcPr>
            <w:tcW w:w="1004" w:type="dxa"/>
            <w:vAlign w:val="center"/>
          </w:tcPr>
          <w:p>
            <w:pPr>
              <w:pStyle w:val="Text1"/>
              <w:ind w:left="0"/>
              <w:jc w:val="center"/>
              <w:rPr>
                <w:noProof/>
              </w:rPr>
            </w:pPr>
            <w:r>
              <w:rPr>
                <w:noProof/>
              </w:rPr>
              <w:t>- 1,0</w:t>
            </w:r>
          </w:p>
        </w:tc>
        <w:tc>
          <w:tcPr>
            <w:tcW w:w="1004" w:type="dxa"/>
            <w:vAlign w:val="center"/>
          </w:tcPr>
          <w:p>
            <w:pPr>
              <w:pStyle w:val="Text1"/>
              <w:ind w:left="0"/>
              <w:jc w:val="center"/>
              <w:rPr>
                <w:noProof/>
              </w:rPr>
            </w:pPr>
            <w:r>
              <w:rPr>
                <w:noProof/>
              </w:rPr>
              <w:t>- 1,0</w:t>
            </w:r>
          </w:p>
        </w:tc>
      </w:tr>
    </w:tbl>
    <w:p>
      <w:pPr>
        <w:pStyle w:val="Text1"/>
        <w:rPr>
          <w:noProof/>
        </w:rPr>
      </w:pPr>
    </w:p>
    <w:p>
      <w:pPr>
        <w:rPr>
          <w:rFonts w:ascii="Times New Roman" w:eastAsiaTheme="majorEastAsia" w:hAnsi="Times New Roman" w:cs="Times New Roman"/>
          <w:noProof/>
          <w:spacing w:val="5"/>
          <w:kern w:val="28"/>
          <w:sz w:val="24"/>
          <w:szCs w:val="24"/>
        </w:rPr>
      </w:pPr>
      <w:r>
        <w:rPr>
          <w:noProof/>
        </w:rPr>
        <w:br w:type="page"/>
      </w:r>
    </w:p>
    <w:p>
      <w:pPr>
        <w:pStyle w:val="Title"/>
        <w:rPr>
          <w:rFonts w:ascii="Times New Roman" w:hAnsi="Times New Roman" w:cs="Times New Roman"/>
          <w:noProof/>
          <w:color w:val="auto"/>
          <w:sz w:val="24"/>
          <w:szCs w:val="24"/>
        </w:rPr>
      </w:pPr>
      <w:r>
        <w:rPr>
          <w:rFonts w:ascii="Times New Roman" w:hAnsi="Times New Roman"/>
          <w:noProof/>
          <w:color w:val="auto"/>
          <w:sz w:val="24"/>
          <w:szCs w:val="24"/>
        </w:rPr>
        <w:t>Приложения:</w:t>
      </w:r>
    </w:p>
    <w:p>
      <w:pPr>
        <w:pStyle w:val="ListNumber"/>
        <w:rPr>
          <w:noProof/>
        </w:rPr>
      </w:pPr>
      <w:r>
        <w:rPr>
          <w:noProof/>
        </w:rPr>
        <w:t>Проект на публикация в серия С на Официален вестник на Европейския съюз — Актуализиране за 2018 г. на възнагражденията и пенсиите на длъжностните лица и другите служители на ЕС и на корекционните коефициенти, прилагани към тях</w:t>
      </w:r>
    </w:p>
    <w:p>
      <w:pPr>
        <w:pStyle w:val="ListNumber"/>
        <w:rPr>
          <w:noProof/>
        </w:rPr>
      </w:pPr>
      <w:r>
        <w:rPr>
          <w:noProof/>
        </w:rPr>
        <w:t>Проект на публикация в серия С на Официален вестник на Европейския съюз — Актуализиране за 2018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w:t>
      </w:r>
    </w:p>
    <w:p>
      <w:pPr>
        <w:pStyle w:val="ListNumber"/>
        <w:rPr>
          <w:noProof/>
        </w:rPr>
      </w:pPr>
      <w:r>
        <w:rPr>
          <w:noProof/>
        </w:rPr>
        <w:t>Проект на публикация в серия С на Официален вестник на Европейския съюз — Междинно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за периода февруари 2018 г. — юни 2018 г.</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По-специално, използват се следните доклади на Евростат:</w:t>
      </w:r>
    </w:p>
    <w:p>
      <w:pPr>
        <w:pStyle w:val="FootnoteText"/>
        <w:numPr>
          <w:ilvl w:val="0"/>
          <w:numId w:val="7"/>
        </w:numPr>
      </w:pPr>
      <w:r>
        <w:t>Доклад на Евростат от 31 октомври 2018 г. относно годишното актуализиране за 2018 г.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 за адаптиране, считано от 1 юли 2018 г., на възнагражденията на активно заетия персонал и на пенсиите на пенсионираните служители и за актуализиране, считано от 1 юли 2018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p>
      <w:pPr>
        <w:pStyle w:val="FootnoteText"/>
        <w:numPr>
          <w:ilvl w:val="0"/>
          <w:numId w:val="7"/>
        </w:numPr>
      </w:pPr>
      <w:r>
        <w:t>Доклад на Евростат от 3 май 2018 г. относно междинното актуализиране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w:t>
      </w:r>
    </w:p>
    <w:p>
      <w:pPr>
        <w:pStyle w:val="FootnoteText"/>
        <w:numPr>
          <w:ilvl w:val="0"/>
          <w:numId w:val="7"/>
        </w:numPr>
      </w:pPr>
      <w:r>
        <w:t>Доклади на Евростат от 24 април 2018 г. и от 10 октомври 2018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приложимо за длъжностните лица и другите служители на Европейския съюз.</w:t>
      </w:r>
    </w:p>
    <w:p>
      <w:pPr>
        <w:pStyle w:val="FootnoteText"/>
      </w:pPr>
    </w:p>
  </w:footnote>
  <w:footnote w:id="2">
    <w:p>
      <w:pPr>
        <w:pStyle w:val="FootnoteText"/>
      </w:pPr>
      <w:r>
        <w:rPr>
          <w:rStyle w:val="FootnoteReference"/>
        </w:rPr>
        <w:footnoteRef/>
      </w:r>
      <w:r>
        <w:t xml:space="preserve"> </w:t>
      </w:r>
      <w:r>
        <w:tab/>
        <w:t>Доклад на Евростат от 31 октомври 2018 г. относно годишното актуализиране за 2018 г.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 за адаптиране, считано от 1 юли 2018 г., на възнагражденията на активно заетия персонал и на пенсиите на пенсионираните служители и за актуализиране, считано от 1 юли 2018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footnote>
  <w:footnote w:id="3">
    <w:p>
      <w:pPr>
        <w:pStyle w:val="FootnoteText"/>
      </w:pPr>
      <w:r>
        <w:rPr>
          <w:rStyle w:val="FootnoteReference"/>
        </w:rPr>
        <w:footnoteRef/>
      </w:r>
      <w:r>
        <w:t xml:space="preserve"> </w:t>
      </w:r>
      <w:r>
        <w:tab/>
        <w:t>Според европейската икономическа прогноза, оповестена от ГД „Икономически и финансови въпроси“ на 3 май 2018 г., растежът на БВП за ЕС като цяло през 2018 г. ще бъде + 2,3 % в реално изражение и през 2019 г. ще остане на същото равнище, т.е. + 2,0 %.</w:t>
      </w:r>
    </w:p>
  </w:footnote>
  <w:footnote w:id="4">
    <w:p>
      <w:pPr>
        <w:pStyle w:val="FootnoteText"/>
      </w:pPr>
      <w:r>
        <w:rPr>
          <w:rStyle w:val="FootnoteReference"/>
        </w:rPr>
        <w:footnoteRef/>
      </w:r>
      <w:r>
        <w:t xml:space="preserve"> </w:t>
      </w:r>
      <w:r>
        <w:tab/>
        <w:t>Доклад на Евростат от 31 октомври 2018 г. относно годишното актуализиране за 2018 г. на възнагражденията и пенсиите на длъжностните лица на ЕС (</w:t>
      </w:r>
      <w:r>
        <w:rPr>
          <w:i/>
        </w:rPr>
        <w:t>вж. бележка под линия 2 по-горе</w:t>
      </w:r>
      <w:r>
        <w:t>).</w:t>
      </w:r>
    </w:p>
  </w:footnote>
  <w:footnote w:id="5">
    <w:p>
      <w:pPr>
        <w:pStyle w:val="FootnoteText"/>
      </w:pPr>
      <w:r>
        <w:rPr>
          <w:rStyle w:val="FootnoteReference"/>
        </w:rPr>
        <w:footnoteRef/>
      </w:r>
      <w:r>
        <w:t xml:space="preserve"> </w:t>
      </w:r>
      <w:r>
        <w:tab/>
        <w:t>Доклад на Евростат от 3 май 2018 г. относно междинното актуализиране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w:t>
      </w:r>
    </w:p>
  </w:footnote>
  <w:footnote w:id="6">
    <w:p>
      <w:pPr>
        <w:pStyle w:val="FootnoteText"/>
      </w:pPr>
      <w:r>
        <w:rPr>
          <w:rStyle w:val="FootnoteReference"/>
        </w:rPr>
        <w:footnoteRef/>
      </w:r>
      <w:r>
        <w:t xml:space="preserve"> </w:t>
      </w:r>
      <w:r>
        <w:tab/>
      </w:r>
      <w:r>
        <w:rPr>
          <w:i/>
        </w:rPr>
        <w:t>Пак там.</w:t>
      </w:r>
    </w:p>
  </w:footnote>
  <w:footnote w:id="7">
    <w:p>
      <w:pPr>
        <w:pStyle w:val="FootnoteText"/>
      </w:pPr>
      <w:r>
        <w:rPr>
          <w:rStyle w:val="FootnoteReference"/>
        </w:rPr>
        <w:footnoteRef/>
      </w:r>
      <w:r>
        <w:t xml:space="preserve"> </w:t>
      </w:r>
      <w:r>
        <w:tab/>
      </w:r>
      <w:r>
        <w:rPr>
          <w:i/>
        </w:rPr>
        <w:t>Пак там.</w:t>
      </w:r>
    </w:p>
  </w:footnote>
  <w:footnote w:id="8">
    <w:p>
      <w:pPr>
        <w:pStyle w:val="FootnoteText"/>
      </w:pPr>
      <w:r>
        <w:rPr>
          <w:rStyle w:val="FootnoteReference"/>
        </w:rPr>
        <w:footnoteRef/>
      </w:r>
      <w:r>
        <w:t xml:space="preserve"> </w:t>
      </w:r>
      <w:r>
        <w:tab/>
      </w:r>
      <w:r>
        <w:rPr>
          <w:i/>
        </w:rPr>
        <w:t>Пак там.</w:t>
      </w:r>
    </w:p>
  </w:footnote>
  <w:footnote w:id="9">
    <w:p>
      <w:pPr>
        <w:pStyle w:val="FootnoteText"/>
      </w:pPr>
      <w:r>
        <w:rPr>
          <w:rStyle w:val="FootnoteReference"/>
        </w:rPr>
        <w:footnoteRef/>
      </w:r>
      <w:r>
        <w:t xml:space="preserve"> </w:t>
      </w:r>
      <w:r>
        <w:tab/>
        <w:t>Доклад на Евростат от 24 април 2018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Правилника за персонала и приложения X и XI към него, приложимо за длъжностните лица и другите служители на Европейския съюз.</w:t>
      </w:r>
    </w:p>
  </w:footnote>
  <w:footnote w:id="10">
    <w:p>
      <w:pPr>
        <w:pStyle w:val="FootnoteText"/>
      </w:pPr>
      <w:r>
        <w:rPr>
          <w:rStyle w:val="FootnoteReference"/>
        </w:rPr>
        <w:footnoteRef/>
      </w:r>
      <w:r>
        <w:t xml:space="preserve"> </w:t>
      </w:r>
      <w:r>
        <w:tab/>
        <w:t>ОВ C 203/13 от 13 юни 2018 г.</w:t>
      </w:r>
    </w:p>
  </w:footnote>
  <w:footnote w:id="11">
    <w:p>
      <w:pPr>
        <w:pStyle w:val="FootnoteText"/>
      </w:pPr>
      <w:r>
        <w:rPr>
          <w:rStyle w:val="FootnoteReference"/>
        </w:rPr>
        <w:footnoteRef/>
      </w:r>
      <w:r>
        <w:t xml:space="preserve"> </w:t>
      </w:r>
      <w:r>
        <w:tab/>
        <w:t>Доклад на Евростат от 10 октомври 2018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Правилника за персонала и приложения X и XI към него, приложимо за длъжностните лица и другите служители на Европейския съюз.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147"/>
    <w:multiLevelType w:val="hybridMultilevel"/>
    <w:tmpl w:val="6A1C32B4"/>
    <w:lvl w:ilvl="0" w:tplc="F566FB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235D536A"/>
    <w:multiLevelType w:val="hybridMultilevel"/>
    <w:tmpl w:val="104C844A"/>
    <w:lvl w:ilvl="0" w:tplc="CFA4794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6">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3"/>
  </w:num>
  <w:num w:numId="7">
    <w:abstractNumId w:va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IRIER Felix (HR)">
    <w15:presenceInfo w15:providerId="None" w15:userId="POIRIER Felix (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DC95C8-821F-4BFC-91A0-D50C6F3DB34B"/>
    <w:docVar w:name="LW_COVERPAGE_TYPE" w:val="1"/>
    <w:docVar w:name="LW_CROSSREFERENCE" w:val="&lt;UNUSED&gt;"/>
    <w:docVar w:name="LW_DocType" w:val="NORMAL"/>
    <w:docVar w:name="LW_EMISSION" w:val="30.11.2018"/>
    <w:docVar w:name="LW_EMISSION_ISODATE" w:val="2018-11-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6?\u1072?\u1085?\u1085?\u1080?\u1090?\u1077?, \u1089?\u1074?\u1098?\u1088?\u1079?\u1072?\u1085?\u1080? \u1089? \u1086?\u1090?\u1088?\u1072?\u1078?\u1077?\u1085?\u1080?\u1077?\u1090?\u1086? \u1074?\u1098?\u1088?\u1093?\u1091? \u1073?\u1102?\u1076?\u1078?\u1077?\u1090?\u1072? \u1085?\u1072? \u1075?\u1086?\u1076?\u1080?\u1096?\u1085?\u1086?\u1090?\u1086? \u1072?\u1082?\u1090?\u1091?\u1072?\u1083?\u1080?\u1079?\u1080?\u1088?\u1072?\u1085?\u1077? \u1079?\u1072? 2018 \u1075?. \u1085?\u1072? \u1074?\u1098?\u1079?\u1085?\u1072?\u1075?\u1088?\u1072?\u1078?\u1076?\u1077?\u1085?\u1080?\u1103?\u1090?\u1072? \u1080? \u1087?\u1077?\u1085?\u1089?\u1080?\u1080?\u1090?\u1077? \u1085?\u1072? \u1076?\u1083?\u1098?\u1078?\u1085?\u1086?\u1089?\u1090?\u1085?\u1080?\u1090?\u1077? \u1083?\u1080?\u1094?\u1072? \u1080? \u1076?\u1088?\u1091?\u1075?\u1080?\u1090?\u1077? \u1089?\u1083?\u1091?\u1078?\u1080?\u1090?\u1077?\u1083?\u1080? \u1085?\u1072? \u1045?\u1074?\u1088?\u1086?\u1087?\u1077?\u1081?\u1089?\u1082?\u1080?\u1103? \u1089?\u1098?\u1102?\u1079? \u1080? \u1085?\u1072? \u1082?\u1086?\u1088?\u1077?\u1082?\u1094?\u1080?\u1086?\u1085?\u1085?\u1080?\u1090?\u1077? \u1082?\u1086?\u1077?\u1092?\u1080?\u1094?\u1080?\u1077?\u1085?\u1090?\u1080?, \u1087?\u1088?\u1080?\u1083?\u1072?\u1075?\u1072?\u1085?\u1080? \u1082?\u1098?\u1084? \u1090?\u1103?\u109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1EFB-E564-4FE8-B1F3-0ED8CEB5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4550</Words>
  <Characters>25440</Characters>
  <Application>Microsoft Office Word</Application>
  <DocSecurity>0</DocSecurity>
  <Lines>591</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2018-11-13T09:27:00Z</cp:lastPrinted>
  <dcterms:created xsi:type="dcterms:W3CDTF">2018-11-13T09:27:00Z</dcterms:created>
  <dcterms:modified xsi:type="dcterms:W3CDTF">2018-11-22T10:18:00Z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