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188B7CB-52D2-4F8B-B47C-BB44CB66FFC2" style="width:450.75pt;height:452.25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b w:val="0"/>
          <w:noProof/>
          <w:szCs w:val="24"/>
        </w:rPr>
      </w:pPr>
      <w:bookmarkStart w:id="0" w:name="_GoBack"/>
      <w:bookmarkEnd w:id="0"/>
      <w:r>
        <w:rPr>
          <w:noProof/>
        </w:rPr>
        <w:lastRenderedPageBreak/>
        <w:t>ПРИЛОЖЕНИЕ</w:t>
      </w:r>
      <w:r>
        <w:rPr>
          <w:rStyle w:val="Marker"/>
          <w:noProof/>
        </w:rPr>
        <w:br/>
      </w:r>
      <w:r>
        <w:rPr>
          <w:noProof/>
        </w:rPr>
        <w:t>Указания за водене на преговори за споразумение между Европейския съюз и всяка южна държава от европейската политика за съседство (ЕПС) за определяне на реда и условията за предоставяне на спътникови услуги за повишаване на точността (SBAS) в южните държави от ЕПС въз основа на Европейската геостационарна служба за навигационно покритие (EGNOS)</w:t>
      </w:r>
    </w:p>
    <w:p>
      <w:pPr>
        <w:pStyle w:val="Point0number"/>
        <w:numPr>
          <w:ilvl w:val="0"/>
          <w:numId w:val="11"/>
        </w:numPr>
        <w:spacing w:line="360" w:lineRule="auto"/>
        <w:ind w:left="851" w:hanging="851"/>
        <w:rPr>
          <w:noProof/>
        </w:rPr>
      </w:pPr>
      <w:r>
        <w:rPr>
          <w:noProof/>
        </w:rPr>
        <w:t>Комисията ще договори международно споразумение с всяка отделна южна държава от европейската политика за съседство (ЕПС) за предоставяне на спътникови услуги за повишаване на точността в южните държави от ЕПС въз основа на Европейската геостационарна служба за навигационно покритие (EGNOS).</w:t>
      </w:r>
    </w:p>
    <w:p>
      <w:pPr>
        <w:pStyle w:val="Point0number"/>
        <w:spacing w:line="360" w:lineRule="auto"/>
        <w:ind w:left="851" w:hanging="851"/>
        <w:rPr>
          <w:noProof/>
          <w:szCs w:val="24"/>
        </w:rPr>
      </w:pPr>
      <w:r>
        <w:rPr>
          <w:noProof/>
        </w:rPr>
        <w:t>Комисията води преговорите в консултация с [...], който действа като специален комитет и докладва за резултатите от преговорите и, когато е уместно — за проблемите, които могат да възникнат в хода на преговорите.</w:t>
      </w:r>
    </w:p>
    <w:p>
      <w:pPr>
        <w:pStyle w:val="Heading1"/>
        <w:numPr>
          <w:ilvl w:val="0"/>
          <w:numId w:val="9"/>
        </w:numPr>
        <w:rPr>
          <w:noProof/>
        </w:rPr>
      </w:pPr>
      <w:r>
        <w:rPr>
          <w:noProof/>
        </w:rPr>
        <w:t>ЦЕЛ НА ПРЕГОВОРИТЕ</w:t>
      </w:r>
    </w:p>
    <w:p>
      <w:pPr>
        <w:spacing w:line="360" w:lineRule="auto"/>
        <w:ind w:left="-76"/>
        <w:rPr>
          <w:noProof/>
          <w:szCs w:val="24"/>
        </w:rPr>
      </w:pPr>
      <w:r>
        <w:rPr>
          <w:noProof/>
        </w:rPr>
        <w:t>Целта на преговорите е да се постигне споразумение за определяне на реда и условията за сътрудничество с всяка южна държава от ЕПС за предоставяне на спътникови услуги за повишаване на точността в южните държави от ЕПС въз основа на системата EGNOS.</w:t>
      </w:r>
    </w:p>
    <w:p>
      <w:pPr>
        <w:pStyle w:val="Heading1"/>
        <w:numPr>
          <w:ilvl w:val="0"/>
          <w:numId w:val="9"/>
        </w:numPr>
        <w:rPr>
          <w:noProof/>
          <w:szCs w:val="24"/>
        </w:rPr>
      </w:pPr>
      <w:r>
        <w:rPr>
          <w:noProof/>
        </w:rPr>
        <w:t>ОБХВАТ НА СПОРАЗУМЕНИЕТО</w:t>
      </w:r>
    </w:p>
    <w:p>
      <w:pPr>
        <w:spacing w:line="360" w:lineRule="auto"/>
        <w:ind w:left="-76"/>
        <w:rPr>
          <w:noProof/>
          <w:szCs w:val="24"/>
        </w:rPr>
      </w:pPr>
      <w:r>
        <w:rPr>
          <w:noProof/>
        </w:rPr>
        <w:t>Всяко споразумение следва да обхваща по-специално следните области:</w:t>
      </w:r>
    </w:p>
    <w:p>
      <w:pPr>
        <w:pStyle w:val="Point0number"/>
        <w:numPr>
          <w:ilvl w:val="0"/>
          <w:numId w:val="10"/>
        </w:numPr>
        <w:spacing w:line="360" w:lineRule="auto"/>
        <w:rPr>
          <w:noProof/>
          <w:szCs w:val="24"/>
        </w:rPr>
      </w:pPr>
      <w:r>
        <w:rPr>
          <w:noProof/>
        </w:rPr>
        <w:t xml:space="preserve">Разпоредби относно сътрудничеството: дейности за сътрудничество за изграждането и експлоатирането на SBAS в държавите от ЕПС. Тези дейности обхващат, </w:t>
      </w:r>
      <w:r>
        <w:rPr>
          <w:i/>
          <w:noProof/>
        </w:rPr>
        <w:t>inter alia</w:t>
      </w:r>
      <w:r>
        <w:rPr>
          <w:noProof/>
        </w:rPr>
        <w:t>, популяризиране на програмата EGNOS и нейните услуги, подкрепа за изпълнението и експлоатирането, сътрудничество по въпросите на честотата (без да се засягат процедурите на ЕС</w:t>
      </w:r>
      <w:r>
        <w:rPr>
          <w:rStyle w:val="FootnoteReference"/>
          <w:noProof/>
        </w:rPr>
        <w:footnoteReference w:id="1"/>
      </w:r>
      <w:r>
        <w:rPr>
          <w:noProof/>
        </w:rPr>
        <w:t>), стандартизация и всички въпроси относно системите за спътникова навигация, разглеждани от международни организации и сдружения, научни изследвания и развойна дейност; сътрудничеството трябва да отговаря на съществуващите споразумения и задължения за сътрудничество, включително по отношение на неразпространението и контрола върху износа</w:t>
      </w:r>
      <w:r>
        <w:rPr>
          <w:rStyle w:val="FootnoteReference"/>
          <w:noProof/>
        </w:rPr>
        <w:footnoteReference w:id="2"/>
      </w:r>
      <w:r>
        <w:rPr>
          <w:noProof/>
        </w:rPr>
        <w:t xml:space="preserve">; </w:t>
      </w:r>
      <w:r>
        <w:rPr>
          <w:noProof/>
          <w:sz w:val="23"/>
        </w:rPr>
        <w:t>то не засяга също така мерките, свързани с националната сигурност.</w:t>
      </w:r>
    </w:p>
    <w:p>
      <w:pPr>
        <w:pStyle w:val="Point0number"/>
        <w:numPr>
          <w:ilvl w:val="0"/>
          <w:numId w:val="10"/>
        </w:numPr>
        <w:spacing w:line="360" w:lineRule="auto"/>
        <w:rPr>
          <w:noProof/>
          <w:szCs w:val="24"/>
        </w:rPr>
      </w:pPr>
      <w:r>
        <w:rPr>
          <w:noProof/>
        </w:rPr>
        <w:t xml:space="preserve">Финансови разпоредби: участие на всяка южна държава от ЕПС в допълнителните оперативни разходи за поддръжката на системата EGNOS за осигуряване на обхват в южните държави от ЕПС по отношение на услугата за безопасност на човешкия живот; финансова подкрепа на ЕС за осигуряване на услугата за безопасност на човешкия живот в южните държави от ЕПС. В съответствие с член 2, параграф 5, последна алинея от Регламент (ЕС) № 1285/2013 тази подкрепа не може по никакъв начин да се финансира с бюджетни вноски, предвидени за европейските спътникови системи за навигация и обхванати от член 9 от Регламент (ЕС) № 1285/2013. </w:t>
      </w:r>
    </w:p>
    <w:p>
      <w:pPr>
        <w:pStyle w:val="Point0number"/>
        <w:numPr>
          <w:ilvl w:val="0"/>
          <w:numId w:val="10"/>
        </w:numPr>
        <w:spacing w:line="360" w:lineRule="auto"/>
        <w:rPr>
          <w:noProof/>
          <w:szCs w:val="24"/>
        </w:rPr>
      </w:pPr>
      <w:r>
        <w:rPr>
          <w:noProof/>
        </w:rPr>
        <w:t>Създаване на подходящи механизми за сътрудничество за управление на споразумението, въвеждане на подходящ режим на отговорност за предоставянето на услугите на EGNOS. Всяка южна държава от ЕПС гарантира, че всяка инсталация по EGNOS на нейна територията, която е собственост на ЕС или се отдава под наем от него, получава подходящ статут (привилегии, имунитети и т.н.), като гарантира също така, че всяка южна държава от ЕПС ще извърши необходимото нотифициране, наблюдение на сигурността и защита на системата EGNOS и на обектите на EGNOS; разпоредби относно уреждането на спорове между страните.</w:t>
      </w:r>
    </w:p>
    <w:p>
      <w:pPr>
        <w:pStyle w:val="Point0number"/>
        <w:numPr>
          <w:ilvl w:val="0"/>
          <w:numId w:val="10"/>
        </w:numPr>
        <w:spacing w:line="360" w:lineRule="auto"/>
        <w:rPr>
          <w:noProof/>
          <w:szCs w:val="24"/>
        </w:rPr>
      </w:pPr>
      <w:r>
        <w:rPr>
          <w:noProof/>
        </w:rPr>
        <w:t>Спазване на съответните разпоредби на договорите и на приложимото законодателство на ЕС, включително Регламент (ЕС)  1285/2013</w:t>
      </w:r>
      <w:r>
        <w:rPr>
          <w:rStyle w:val="FootnoteReference"/>
          <w:noProof/>
        </w:rPr>
        <w:footnoteReference w:id="3"/>
      </w:r>
      <w:r>
        <w:rPr>
          <w:noProof/>
        </w:rPr>
        <w:t xml:space="preserve"> и Регламент (ЕС) № 912/2010</w:t>
      </w:r>
      <w:r>
        <w:rPr>
          <w:rStyle w:val="FootnoteReference"/>
          <w:noProof/>
        </w:rPr>
        <w:footnoteReference w:id="4"/>
      </w:r>
      <w:r>
        <w:rPr>
          <w:noProof/>
        </w:rPr>
        <w:t>, по-специално по отношение на управлението на програмата EGNOS;</w:t>
      </w:r>
    </w:p>
    <w:p>
      <w:pPr>
        <w:pStyle w:val="Point0number"/>
        <w:numPr>
          <w:ilvl w:val="0"/>
          <w:numId w:val="10"/>
        </w:numPr>
        <w:spacing w:line="360" w:lineRule="auto"/>
        <w:rPr>
          <w:noProof/>
          <w:szCs w:val="24"/>
        </w:rPr>
      </w:pPr>
      <w:r>
        <w:rPr>
          <w:noProof/>
        </w:rPr>
        <w:t>Съответствие на елементите на системата EGNOS, които ще бъдат разполагани на територията на южните държави от ЕПС, с изискванията за сигурност;</w:t>
      </w:r>
    </w:p>
    <w:p>
      <w:pPr>
        <w:pStyle w:val="Point0number"/>
        <w:numPr>
          <w:ilvl w:val="0"/>
          <w:numId w:val="10"/>
        </w:numPr>
        <w:spacing w:line="360" w:lineRule="auto"/>
        <w:rPr>
          <w:noProof/>
        </w:rPr>
      </w:pPr>
      <w:r>
        <w:rPr>
          <w:noProof/>
        </w:rPr>
        <w:t>Включване на клауза за прекратяване, позволяваща действия при случаи, когато отделни южни държави от ЕПС не изпълняват задълженията по споразумението.</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firstLine="0"/>
        <w:rPr>
          <w:lang w:val="en-US"/>
        </w:rPr>
      </w:pPr>
      <w:r>
        <w:rPr>
          <w:rStyle w:val="FootnoteReference"/>
        </w:rPr>
        <w:footnoteRef/>
      </w:r>
      <w:r>
        <w:tab/>
        <w:t>Политика в областта на радиочестотния спектър въз основа на Решение № 676/2002/ЕО на Европейския парламент и на Съвета от 7 март 2002 г. („Решение за радиочестотния спектър“), с което се установява координация по въпросите на радиочестотния спектър на равнище ЕС, включително координация спрямо отговорностите на CEPT за техническите аспекти, както и представителство на интересите на ЕС във взаимоотношенията с Международния съюз по далекосъобщения (ITU).</w:t>
      </w:r>
    </w:p>
  </w:footnote>
  <w:footnote w:id="2">
    <w:p>
      <w:pPr>
        <w:pStyle w:val="FootnoteText"/>
        <w:ind w:left="360" w:hanging="215"/>
        <w:rPr>
          <w:lang w:val="en-US"/>
        </w:rPr>
      </w:pPr>
      <w:r>
        <w:rPr>
          <w:rStyle w:val="FootnoteReference"/>
        </w:rPr>
        <w:footnoteRef/>
      </w:r>
      <w:r>
        <w:tab/>
        <w:t>ОВ L 159 от 30 юни 2000 г., Васенаарска договореност и Режим за контрол върху ракетните технологии (РКРТ).</w:t>
      </w:r>
    </w:p>
  </w:footnote>
  <w:footnote w:id="3">
    <w:p>
      <w:pPr>
        <w:pStyle w:val="FootnoteText"/>
        <w:ind w:left="142" w:firstLine="0"/>
        <w:rPr>
          <w:lang w:val="en-US"/>
        </w:rPr>
      </w:pPr>
      <w:r>
        <w:rPr>
          <w:rStyle w:val="FootnoteReference"/>
        </w:rPr>
        <w:footnoteRef/>
      </w:r>
      <w:r>
        <w:tab/>
        <w:t>Регламент (ЕС) № 1285/2013 на Европейския парламент и на Съвета от 11 декември 2013 г. за изграждане и експлоатация на европейските навигационни спътникови системи и за отмяна на Регламент (ЕО) № 876/2002 на Съвета и на Регламент (ЕО) № 683/2008 на Европейския парламент и на Съвета (ОВ L 347, 20.12.2013 г., стр. 1.).</w:t>
      </w:r>
    </w:p>
  </w:footnote>
  <w:footnote w:id="4">
    <w:p>
      <w:pPr>
        <w:pStyle w:val="FootnoteText"/>
        <w:ind w:left="142" w:firstLine="0"/>
        <w:rPr>
          <w:lang w:val="en-US"/>
        </w:rPr>
      </w:pPr>
      <w:r>
        <w:rPr>
          <w:rStyle w:val="FootnoteReference"/>
        </w:rPr>
        <w:footnoteRef/>
      </w:r>
      <w:r>
        <w:tab/>
        <w:t>Регламент (ЕС) № 912/2010 на Европейския парламент и на Съвета от 22 септември 2010 г. за създаване на Европейската агенция за ГНСС, за отмяна на Регламент (ЕО) № 1321/2004 на Съвета за създаване на структури за управление на европейските сателитни радионавигационни програми и за изменение на Регламент (ЕО) № 683/2008 на Европейския парламент и на Съвета (ОВ L 276, 20.10.2010 г, стр.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CEE8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4E37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B4E12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4AE3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0ADD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9AFC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4089F4"/>
    <w:lvl w:ilvl="0">
      <w:start w:val="1"/>
      <w:numFmt w:val="decimal"/>
      <w:pStyle w:val="ListNumber"/>
      <w:lvlText w:val="%1."/>
      <w:lvlJc w:val="left"/>
      <w:pPr>
        <w:tabs>
          <w:tab w:val="num" w:pos="360"/>
        </w:tabs>
        <w:ind w:left="360" w:hanging="360"/>
      </w:pPr>
    </w:lvl>
  </w:abstractNum>
  <w:abstractNum w:abstractNumId="7">
    <w:nsid w:val="FFFFFF89"/>
    <w:multiLevelType w:val="singleLevel"/>
    <w:tmpl w:val="38D836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30 10:31: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E188B7CB-52D2-4F8B-B47C-BB44CB66FFC2"/>
    <w:docVar w:name="LW_COVERPAGE_TYPE" w:val="1"/>
    <w:docVar w:name="LW_CROSSREFERENCE" w:val="&lt;UNUSED&gt;"/>
    <w:docVar w:name="LW_DocType" w:val="ANNEX"/>
    <w:docVar w:name="LW_EMISSION" w:val="30.11.2018"/>
    <w:docVar w:name="LW_EMISSION_ISODATE" w:val="2018-11-30"/>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74?\u1089?\u1103?\u1082?\u1072? \u1086?\u1090?\u1076?\u1077?\u1083?\u1085?\u1072? \u1102?\u1078?\u1085?\u1072? \u1076?\u1098?\u1088?\u1078?\u1072?\u1074?\u1072? \u1086?\u1090? \u1077?\u1074?\u1088?\u1086?\u1087?\u1077?\u1081?\u1089?\u1082?\u1072?\u1090?\u1072? \u1087?\u1086?\u1083?\u1080?\u1090?\u1080?\u1082?\u1072? \u1079?\u1072? \u1089?\u1098?\u1089?\u1077?\u1076?\u1089?\u1090?\u1074?\u1086? \u1089? \u1094?\u1077?\u1083? \u1076?\u1086?\u1075?\u1086?\u1074?\u1072?\u1088?\u1103?\u1085?\u1077? \u1085?\u1072? \u1088?\u1077?\u1076?\u1072? \u1080? \u1091?\u1089?\u1083?\u1086?\u1074?\u1080?\u1103?\u1090?\u1072? \u1079?\u1072? \u1087?\u1088?\u1077?\u1076?\u1086?\u1089?\u1090?\u1072?\u1074?\u1103?\u1085?\u1077? \u1085?\u1072? \u1091?\u1089?\u1083?\u1091?\u1075?\u1080?\u1090?\u1077? \u1085?\u1072? \u1045?\u1074?\u1088?\u1086?\u1087?\u1077?\u1081?\u1089?\u1082?\u1072?\u1090?\u1072? \u1075?\u1077?\u1086?\u1089?\u1090?\u1072?\u1094?\u1080?\u1086?\u1085?\u1072?\u1088?\u1085?\u1072? \u1089?\u1083?\u1091?\u1078?\u1073?\u1072? \u1079?\u1072? \u1085?\u1072?\u1074?\u1080?\u1075?\u1072?\u1094?\u1080?\u1086?\u1085?\u1085?\u1086? \u1087?\u1086?\u1082?\u1088?\u1080?\u1090?\u1080?\u1077? (EGNOS) \u1087?\u1086? \u1083?\u1080?\u1085?\u1080?\u1103? \u1085?\u1072? \u1077?\u1074?\u1088?\u1086?\u1087?\u1077?\u1081?\u1089?\u1082?\u1072?\u1090?\u1072? \u1087?\u1086?\u1083?\u1080?\u1090?\u1080?\u1082?\u1072? \u1079?\u1072? \u1089?\u1098?\u1089?\u1077?\u1076?\u1089?\u1090?\u1074?\u1086?"/>
    <w:docVar w:name="LW_OBJETACTEPRINCIPAL.CP" w:val="\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74?\u1089?\u1103?\u1082?\u1072? \u1086?\u1090?\u1076?\u1077?\u1083?\u1085?\u1072? \u1102?\u1078?\u1085?\u1072? \u1076?\u1098?\u1088?\u1078?\u1072?\u1074?\u1072? \u1086?\u1090? \u1077?\u1074?\u1088?\u1086?\u1087?\u1077?\u1081?\u1089?\u1082?\u1072?\u1090?\u1072? \u1087?\u1086?\u1083?\u1080?\u1090?\u1080?\u1082?\u1072? \u1079?\u1072? \u1089?\u1098?\u1089?\u1077?\u1076?\u1089?\u1090?\u1074?\u1086? \u1089? \u1094?\u1077?\u1083? \u1076?\u1086?\u1075?\u1086?\u1074?\u1072?\u1088?\u1103?\u1085?\u1077? \u1085?\u1072? \u1088?\u1077?\u1076?\u1072? \u1080? \u1091?\u1089?\u1083?\u1086?\u1074?\u1080?\u1103?\u1090?\u1072? \u1079?\u1072? \u1087?\u1088?\u1077?\u1076?\u1086?\u1089?\u1090?\u1072?\u1074?\u1103?\u1085?\u1077? \u1085?\u1072? \u1091?\u1089?\u1083?\u1091?\u1075?\u1080?\u1090?\u1077? \u1085?\u1072? \u1045?\u1074?\u1088?\u1086?\u1087?\u1077?\u1081?\u1089?\u1082?\u1072?\u1090?\u1072? \u1075?\u1077?\u1086?\u1089?\u1090?\u1072?\u1094?\u1080?\u1086?\u1085?\u1072?\u1088?\u1085?\u1072? \u1089?\u1083?\u1091?\u1078?\u1073?\u1072? \u1079?\u1072? \u1085?\u1072?\u1074?\u1080?\u1075?\u1072?\u1094?\u1080?\u1086?\u1085?\u1085?\u1086? \u1087?\u1086?\u1082?\u1088?\u1080?\u1090?\u1080?\u1077? (EGNOS) \u1087?\u1086? \u1083?\u1080?\u1085?\u1080?\u1103? \u1085?\u1072? \u1077?\u1074?\u1088?\u1086?\u1087?\u1077?\u1081?\u1089?\u1082?\u1072?\u1090?\u1072? \u1087?\u1086?\u1083?\u1080?\u1090?\u1080?\u1082?\u1072? \u1079?\u1072? \u1089?\u1098?\u1089?\u1077?\u1076?\u1089?\u1090?\u1074?\u1086?"/>
    <w:docVar w:name="LW_PART_NBR" w:val="1"/>
    <w:docVar w:name="LW_PART_NBR_TOTAL" w:val="1"/>
    <w:docVar w:name="LW_REF.INST.NEW" w:val="COM"/>
    <w:docVar w:name="LW_REF.INST.NEW_ADOPTED" w:val="final"/>
    <w:docVar w:name="LW_REF.INST.NEW_TEXT" w:val="(2018) 7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87?\u1086?\u1088?\u1098?\u1082?\u1072? \u1079?\u1072?_x000b_\u1056?\u1045?\u1064?\u1045?\u1053?\u1048?\u1045? \u1053?\u1040? \u1057?\u1066?\u1042?\u1045?\u1058?\u1040?_x000b_"/>
    <w:docVar w:name="LW_TYPEACTEPRINCIPAL.CP" w:val="\u1055?\u1088?\u1077?\u1087?\u1086?\u1088?\u1098?\u1082?\u1072? \u1079?\u1072?_x000b_\u1056?\u1045?\u1064?\u1045?\u1053?\u1048?\u1045?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29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539</Words>
  <Characters>3167</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2018-11-16T14:21:00Z</dcterms:created>
  <dcterms:modified xsi:type="dcterms:W3CDTF">2018-11-30T09:31:00Z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Green (DQC version 03)</vt:lpwstr>
  </property>
</Properties>
</file>