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1C69647B-0E58-4FAE-911F-5241C6A40F23" style="width:450.75pt;height:434.2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tbl>
      <w:tblPr>
        <w:tblStyle w:val="MediumList2"/>
        <w:tblW w:w="9322" w:type="dxa"/>
        <w:tblLayout w:type="fixed"/>
        <w:tblLook w:val="04A0" w:firstRow="1" w:lastRow="0" w:firstColumn="1" w:lastColumn="0" w:noHBand="0" w:noVBand="1"/>
      </w:tblPr>
      <w:tblGrid>
        <w:gridCol w:w="441"/>
        <w:gridCol w:w="1227"/>
        <w:gridCol w:w="2551"/>
        <w:gridCol w:w="765"/>
        <w:gridCol w:w="86"/>
        <w:gridCol w:w="1559"/>
        <w:gridCol w:w="1417"/>
        <w:gridCol w:w="142"/>
        <w:gridCol w:w="981"/>
        <w:gridCol w:w="153"/>
      </w:tblGrid>
      <w:tr>
        <w:trPr>
          <w:gridAfter w:val="1"/>
          <w:cnfStyle w:val="100000000000" w:firstRow="1" w:lastRow="0" w:firstColumn="0" w:lastColumn="0" w:oddVBand="0" w:evenVBand="0" w:oddHBand="0" w:evenHBand="0" w:firstRowFirstColumn="0" w:firstRowLastColumn="0" w:lastRowFirstColumn="0" w:lastRowLastColumn="0"/>
          <w:wAfter w:w="153" w:type="dxa"/>
        </w:trPr>
        <w:tc>
          <w:tcPr>
            <w:cnfStyle w:val="001000000100" w:firstRow="0" w:lastRow="0" w:firstColumn="1" w:lastColumn="0" w:oddVBand="0" w:evenVBand="0" w:oddHBand="0" w:evenHBand="0" w:firstRowFirstColumn="1" w:firstRowLastColumn="0" w:lastRowFirstColumn="0" w:lastRowLastColumn="0"/>
            <w:tcW w:w="441" w:type="dxa"/>
          </w:tcPr>
          <w:p>
            <w:pPr>
              <w:autoSpaceDE w:val="0"/>
              <w:autoSpaceDN w:val="0"/>
              <w:adjustRightInd w:val="0"/>
              <w:rPr>
                <w:rFonts w:ascii="Times New Roman" w:eastAsia="Times New Roman" w:hAnsi="Times New Roman" w:cs="Times New Roman"/>
                <w:b/>
                <w:noProof/>
              </w:rPr>
            </w:pPr>
            <w:bookmarkStart w:id="1" w:name="_GoBack"/>
            <w:bookmarkEnd w:id="1"/>
          </w:p>
        </w:tc>
        <w:tc>
          <w:tcPr>
            <w:tcW w:w="1227" w:type="dxa"/>
          </w:tcPr>
          <w:p>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rPr>
            </w:pPr>
          </w:p>
        </w:tc>
        <w:tc>
          <w:tcPr>
            <w:tcW w:w="2551" w:type="dxa"/>
          </w:tcPr>
          <w:p>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sz w:val="22"/>
              </w:rPr>
            </w:pPr>
            <w:r>
              <w:rPr>
                <w:rFonts w:ascii="Times New Roman" w:hAnsi="Times New Roman"/>
                <w:b/>
                <w:noProof/>
                <w:sz w:val="22"/>
              </w:rPr>
              <w:t xml:space="preserve">Propositions législatives </w:t>
            </w:r>
          </w:p>
        </w:tc>
        <w:tc>
          <w:tcPr>
            <w:tcW w:w="765" w:type="dxa"/>
          </w:tcPr>
          <w:p>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sz w:val="22"/>
              </w:rPr>
            </w:pPr>
            <w:r>
              <w:rPr>
                <w:rFonts w:ascii="Times New Roman" w:hAnsi="Times New Roman"/>
                <w:b/>
                <w:noProof/>
                <w:sz w:val="22"/>
              </w:rPr>
              <w:t>Date</w:t>
            </w:r>
          </w:p>
          <w:p>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sz w:val="22"/>
              </w:rPr>
            </w:pPr>
          </w:p>
        </w:tc>
        <w:tc>
          <w:tcPr>
            <w:tcW w:w="1645" w:type="dxa"/>
            <w:gridSpan w:val="2"/>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2"/>
              </w:rPr>
            </w:pPr>
            <w:r>
              <w:rPr>
                <w:rFonts w:ascii="Times New Roman" w:hAnsi="Times New Roman"/>
                <w:b/>
                <w:noProof/>
                <w:sz w:val="22"/>
              </w:rPr>
              <w:t>Parlement européen</w:t>
            </w:r>
          </w:p>
        </w:tc>
        <w:tc>
          <w:tcPr>
            <w:tcW w:w="1417" w:type="dxa"/>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2"/>
              </w:rPr>
            </w:pPr>
            <w:r>
              <w:rPr>
                <w:rFonts w:ascii="Times New Roman" w:hAnsi="Times New Roman"/>
                <w:b/>
                <w:noProof/>
                <w:sz w:val="22"/>
              </w:rPr>
              <w:t>Conseil de l'Union européenne</w:t>
            </w:r>
          </w:p>
        </w:tc>
        <w:tc>
          <w:tcPr>
            <w:tcW w:w="1123" w:type="dxa"/>
            <w:gridSpan w:val="2"/>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2"/>
              </w:rPr>
            </w:pPr>
            <w:r>
              <w:rPr>
                <w:rFonts w:ascii="Times New Roman" w:hAnsi="Times New Roman"/>
                <w:b/>
                <w:noProof/>
                <w:sz w:val="22"/>
              </w:rPr>
              <w:t>Trilogues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Pr>
          <w:p>
            <w:pPr>
              <w:autoSpaceDE w:val="0"/>
              <w:autoSpaceDN w:val="0"/>
              <w:adjustRightInd w:val="0"/>
              <w:rPr>
                <w:rFonts w:ascii="Times New Roman" w:eastAsia="Times New Roman" w:hAnsi="Times New Roman" w:cs="Times New Roman"/>
                <w:b/>
                <w:noProof/>
              </w:rPr>
            </w:pPr>
          </w:p>
        </w:tc>
        <w:tc>
          <w:tcPr>
            <w:tcW w:w="1227" w:type="dxa"/>
          </w:tcPr>
          <w:p>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rPr>
            </w:pPr>
            <w:r>
              <w:rPr>
                <w:rFonts w:ascii="Times New Roman" w:hAnsi="Times New Roman"/>
                <w:b/>
                <w:noProof/>
              </w:rPr>
              <w:t>Adopté</w:t>
            </w:r>
          </w:p>
        </w:tc>
        <w:tc>
          <w:tcPr>
            <w:tcW w:w="2551" w:type="dxa"/>
          </w:tcPr>
          <w:p>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765"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645"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559"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134" w:type="dxa"/>
            <w:gridSpan w:val="2"/>
            <w:tcBorders>
              <w:top w:val="single" w:sz="24" w:space="0" w:color="auto"/>
            </w:tcBorders>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r>
      <w:tr>
        <w:tc>
          <w:tcPr>
            <w:cnfStyle w:val="001000000000" w:firstRow="0" w:lastRow="0" w:firstColumn="1" w:lastColumn="0" w:oddVBand="0" w:evenVBand="0" w:oddHBand="0" w:evenHBand="0" w:firstRowFirstColumn="0" w:firstRowLastColumn="0" w:lastRowFirstColumn="0" w:lastRowLastColumn="0"/>
            <w:tcW w:w="441" w:type="dxa"/>
          </w:tcPr>
          <w:p>
            <w:pPr>
              <w:autoSpaceDE w:val="0"/>
              <w:autoSpaceDN w:val="0"/>
              <w:adjustRightInd w:val="0"/>
              <w:rPr>
                <w:rFonts w:ascii="Times New Roman" w:eastAsia="Times New Roman" w:hAnsi="Times New Roman" w:cs="Times New Roman"/>
                <w:b/>
                <w:noProof/>
              </w:rPr>
            </w:pPr>
            <w:r>
              <w:rPr>
                <w:rFonts w:ascii="Times New Roman" w:hAnsi="Times New Roman"/>
                <w:b/>
                <w:noProof/>
              </w:rPr>
              <w:t>1</w:t>
            </w:r>
          </w:p>
        </w:tc>
        <w:tc>
          <w:tcPr>
            <w:tcW w:w="1227" w:type="dxa"/>
          </w:tcPr>
          <w:p>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rPr>
            </w:pPr>
          </w:p>
        </w:tc>
        <w:tc>
          <w:tcPr>
            <w:tcW w:w="2551"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Règlement (UE) 2017/1129 du Parlement européen et du Conseil du 14 juin 2017 concernant le prospectus à publier en cas d’offre au public de valeurs mobilières ou en vue de l’admission de valeurs mobilières à la négociation sur un marché réglementé</w:t>
            </w:r>
          </w:p>
        </w:tc>
        <w:tc>
          <w:tcPr>
            <w:tcW w:w="765"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Juin 2017</w:t>
            </w:r>
          </w:p>
        </w:tc>
        <w:tc>
          <w:tcPr>
            <w:tcW w:w="1645" w:type="dxa"/>
            <w:gridSpan w:val="2"/>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c>
          <w:tcPr>
            <w:tcW w:w="1559" w:type="dxa"/>
            <w:gridSpan w:val="2"/>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c>
          <w:tcPr>
            <w:tcW w:w="1134" w:type="dxa"/>
            <w:gridSpan w:val="2"/>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Pr>
          <w:p>
            <w:pPr>
              <w:autoSpaceDE w:val="0"/>
              <w:autoSpaceDN w:val="0"/>
              <w:adjustRightInd w:val="0"/>
              <w:rPr>
                <w:rFonts w:ascii="Times New Roman" w:eastAsia="Times New Roman" w:hAnsi="Times New Roman" w:cs="Times New Roman"/>
                <w:b/>
                <w:noProof/>
              </w:rPr>
            </w:pPr>
            <w:r>
              <w:rPr>
                <w:rFonts w:ascii="Times New Roman" w:hAnsi="Times New Roman"/>
                <w:b/>
                <w:noProof/>
              </w:rPr>
              <w:t>2</w:t>
            </w:r>
          </w:p>
        </w:tc>
        <w:tc>
          <w:tcPr>
            <w:tcW w:w="1227" w:type="dxa"/>
          </w:tcPr>
          <w:p>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rPr>
            </w:pPr>
          </w:p>
        </w:tc>
        <w:tc>
          <w:tcPr>
            <w:tcW w:w="2551"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Règlement (UE) 2017/1991 du Parlement européen et du Conseil du 25 octobre 2017 relatif aux fonds de capital-risque européens et aux fonds d'entrepreneuriat social européens</w:t>
            </w:r>
          </w:p>
        </w:tc>
        <w:tc>
          <w:tcPr>
            <w:tcW w:w="765"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Oct. 2017</w:t>
            </w:r>
          </w:p>
        </w:tc>
        <w:tc>
          <w:tcPr>
            <w:tcW w:w="1645"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tc>
        <w:tc>
          <w:tcPr>
            <w:tcW w:w="1559"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tc>
        <w:tc>
          <w:tcPr>
            <w:tcW w:w="1134"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tc>
      </w:tr>
      <w:tr>
        <w:tc>
          <w:tcPr>
            <w:cnfStyle w:val="001000000000" w:firstRow="0" w:lastRow="0" w:firstColumn="1" w:lastColumn="0" w:oddVBand="0" w:evenVBand="0" w:oddHBand="0" w:evenHBand="0" w:firstRowFirstColumn="0" w:firstRowLastColumn="0" w:lastRowFirstColumn="0" w:lastRowLastColumn="0"/>
            <w:tcW w:w="441" w:type="dxa"/>
            <w:tcBorders>
              <w:top w:val="nil"/>
              <w:bottom w:val="single" w:sz="4" w:space="0" w:color="auto"/>
            </w:tcBorders>
          </w:tcPr>
          <w:p>
            <w:pPr>
              <w:jc w:val="both"/>
              <w:rPr>
                <w:rFonts w:ascii="Times New Roman" w:eastAsia="Times New Roman" w:hAnsi="Times New Roman" w:cs="Times New Roman"/>
                <w:b/>
                <w:noProof/>
              </w:rPr>
            </w:pPr>
            <w:r>
              <w:rPr>
                <w:rFonts w:ascii="Times New Roman" w:hAnsi="Times New Roman"/>
                <w:b/>
                <w:noProof/>
              </w:rPr>
              <w:t>3</w:t>
            </w:r>
          </w:p>
        </w:tc>
        <w:tc>
          <w:tcPr>
            <w:tcW w:w="1227" w:type="dxa"/>
            <w:tcBorders>
              <w:top w:val="nil"/>
              <w:bottom w:val="single" w:sz="4" w:space="0" w:color="auto"/>
            </w:tcBorders>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rPr>
            </w:pPr>
          </w:p>
        </w:tc>
        <w:tc>
          <w:tcPr>
            <w:tcW w:w="2551" w:type="dxa"/>
            <w:tcBorders>
              <w:top w:val="nil"/>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Règlement (UE) 2017/2402 du Parlement européen et du Conseil du 12 décembre 2017 créant un cadre général pour la titrisation ainsi qu’un cadre spécifique pour les titrisations simples, transparentes et standardisées</w:t>
            </w:r>
          </w:p>
        </w:tc>
        <w:tc>
          <w:tcPr>
            <w:tcW w:w="765" w:type="dxa"/>
            <w:tcBorders>
              <w:top w:val="nil"/>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Déc. 2017</w:t>
            </w:r>
          </w:p>
        </w:tc>
        <w:tc>
          <w:tcPr>
            <w:tcW w:w="1645" w:type="dxa"/>
            <w:gridSpan w:val="2"/>
            <w:tcBorders>
              <w:top w:val="nil"/>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c>
          <w:tcPr>
            <w:tcW w:w="1559" w:type="dxa"/>
            <w:gridSpan w:val="2"/>
            <w:tcBorders>
              <w:top w:val="nil"/>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c>
          <w:tcPr>
            <w:tcW w:w="1134" w:type="dxa"/>
            <w:gridSpan w:val="2"/>
            <w:tcBorders>
              <w:top w:val="nil"/>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Borders>
              <w:top w:val="single" w:sz="4" w:space="0" w:color="auto"/>
            </w:tcBorders>
          </w:tcPr>
          <w:p>
            <w:pPr>
              <w:jc w:val="both"/>
              <w:rPr>
                <w:rFonts w:ascii="Times New Roman" w:eastAsia="Times New Roman" w:hAnsi="Times New Roman" w:cs="Times New Roman"/>
                <w:b/>
                <w:noProof/>
              </w:rPr>
            </w:pPr>
          </w:p>
        </w:tc>
        <w:tc>
          <w:tcPr>
            <w:tcW w:w="1227" w:type="dxa"/>
            <w:tcBorders>
              <w:top w:val="single" w:sz="4" w:space="0" w:color="auto"/>
            </w:tcBorders>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rPr>
            </w:pPr>
            <w:r>
              <w:rPr>
                <w:rFonts w:ascii="Times New Roman" w:hAnsi="Times New Roman"/>
                <w:b/>
                <w:noProof/>
              </w:rPr>
              <w:t>Proposé</w:t>
            </w:r>
          </w:p>
        </w:tc>
        <w:tc>
          <w:tcPr>
            <w:tcW w:w="2551"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tc>
        <w:tc>
          <w:tcPr>
            <w:tcW w:w="765"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tc>
        <w:tc>
          <w:tcPr>
            <w:tcW w:w="1645"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4"/>
                <w:szCs w:val="24"/>
              </w:rPr>
            </w:pPr>
          </w:p>
        </w:tc>
        <w:tc>
          <w:tcPr>
            <w:tcW w:w="1559" w:type="dxa"/>
            <w:gridSpan w:val="2"/>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4"/>
                <w:szCs w:val="24"/>
              </w:rPr>
            </w:pPr>
          </w:p>
        </w:tc>
        <w:tc>
          <w:tcPr>
            <w:tcW w:w="1134"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4"/>
                <w:szCs w:val="24"/>
              </w:rPr>
            </w:pPr>
          </w:p>
        </w:tc>
      </w:tr>
      <w:tr>
        <w:tc>
          <w:tcPr>
            <w:cnfStyle w:val="001000000000" w:firstRow="0" w:lastRow="0" w:firstColumn="1" w:lastColumn="0" w:oddVBand="0" w:evenVBand="0" w:oddHBand="0" w:evenHBand="0" w:firstRowFirstColumn="0" w:firstRowLastColumn="0" w:lastRowFirstColumn="0" w:lastRowLastColumn="0"/>
            <w:tcW w:w="441" w:type="dxa"/>
          </w:tcPr>
          <w:p>
            <w:pPr>
              <w:jc w:val="both"/>
              <w:rPr>
                <w:rFonts w:ascii="Times New Roman" w:eastAsia="Times New Roman" w:hAnsi="Times New Roman" w:cs="Times New Roman"/>
                <w:b/>
                <w:noProof/>
              </w:rPr>
            </w:pPr>
            <w:r>
              <w:rPr>
                <w:rFonts w:ascii="Times New Roman" w:hAnsi="Times New Roman"/>
                <w:b/>
                <w:noProof/>
              </w:rPr>
              <w:t>4</w:t>
            </w:r>
          </w:p>
        </w:tc>
        <w:tc>
          <w:tcPr>
            <w:tcW w:w="1227" w:type="dxa"/>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c>
          <w:tcPr>
            <w:tcW w:w="2551"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Proposition de directive du Parlement européen et du Conseil relative aux cadres de restructuration préventifs, à la seconde chance et aux mesures à prendre pour augmenter l'efficience des procédures de restructuration, d’insolvabilité et d'apurement</w:t>
            </w:r>
          </w:p>
        </w:tc>
        <w:tc>
          <w:tcPr>
            <w:tcW w:w="765"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Nov. 2016</w:t>
            </w:r>
          </w:p>
        </w:tc>
        <w:tc>
          <w:tcPr>
            <w:tcW w:w="1645" w:type="dxa"/>
            <w:gridSpan w:val="2"/>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Mandat de négociation obtenu en septembre 2018</w:t>
            </w:r>
          </w:p>
        </w:tc>
        <w:tc>
          <w:tcPr>
            <w:tcW w:w="1559" w:type="dxa"/>
            <w:gridSpan w:val="2"/>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Mandat de négociation obtenu en octobre 2018</w:t>
            </w:r>
          </w:p>
        </w:tc>
        <w:tc>
          <w:tcPr>
            <w:tcW w:w="1134" w:type="dxa"/>
            <w:gridSpan w:val="2"/>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Trilogues en cours depuis octobre 2018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Pr>
          <w:p>
            <w:pPr>
              <w:jc w:val="both"/>
              <w:rPr>
                <w:rFonts w:ascii="Times New Roman" w:eastAsia="Times New Roman" w:hAnsi="Times New Roman" w:cs="Times New Roman"/>
                <w:b/>
                <w:noProof/>
              </w:rPr>
            </w:pPr>
            <w:r>
              <w:rPr>
                <w:rFonts w:ascii="Times New Roman" w:hAnsi="Times New Roman"/>
                <w:b/>
                <w:noProof/>
              </w:rPr>
              <w:t>5</w:t>
            </w:r>
          </w:p>
        </w:tc>
        <w:tc>
          <w:tcPr>
            <w:tcW w:w="1227" w:type="dxa"/>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tc>
        <w:tc>
          <w:tcPr>
            <w:tcW w:w="2551"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Proposition de règlement du Parlement européen et du Conseil relative à un produit paneuropéen d’épargne-retraite individuelle (PEPP)</w:t>
            </w:r>
          </w:p>
        </w:tc>
        <w:tc>
          <w:tcPr>
            <w:tcW w:w="765"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Juin 2017</w:t>
            </w:r>
          </w:p>
        </w:tc>
        <w:tc>
          <w:tcPr>
            <w:tcW w:w="1645" w:type="dxa"/>
            <w:gridSpan w:val="2"/>
          </w:tcPr>
          <w:p>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Mandat de négociation obtenu en septembre 2018</w:t>
            </w:r>
          </w:p>
        </w:tc>
        <w:tc>
          <w:tcPr>
            <w:tcW w:w="1559" w:type="dxa"/>
            <w:gridSpan w:val="2"/>
          </w:tcPr>
          <w:p>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Mandat de négociation obtenu en juin 2018</w:t>
            </w:r>
          </w:p>
        </w:tc>
        <w:tc>
          <w:tcPr>
            <w:tcW w:w="1134" w:type="dxa"/>
            <w:gridSpan w:val="2"/>
          </w:tcPr>
          <w:p>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Trilogues en cours depuis octobre 2018</w:t>
            </w:r>
          </w:p>
        </w:tc>
      </w:tr>
      <w:tr>
        <w:trPr>
          <w:cantSplit/>
        </w:trPr>
        <w:tc>
          <w:tcPr>
            <w:cnfStyle w:val="001000000000" w:firstRow="0" w:lastRow="0" w:firstColumn="1" w:lastColumn="0" w:oddVBand="0" w:evenVBand="0" w:oddHBand="0" w:evenHBand="0" w:firstRowFirstColumn="0" w:firstRowLastColumn="0" w:lastRowFirstColumn="0" w:lastRowLastColumn="0"/>
            <w:tcW w:w="441" w:type="dxa"/>
          </w:tcPr>
          <w:p>
            <w:pPr>
              <w:jc w:val="both"/>
              <w:rPr>
                <w:rFonts w:ascii="Times New Roman" w:eastAsia="Times New Roman" w:hAnsi="Times New Roman" w:cs="Times New Roman"/>
                <w:b/>
                <w:noProof/>
              </w:rPr>
            </w:pPr>
            <w:r>
              <w:rPr>
                <w:rFonts w:ascii="Times New Roman" w:hAnsi="Times New Roman"/>
                <w:b/>
                <w:noProof/>
              </w:rPr>
              <w:t>6</w:t>
            </w:r>
          </w:p>
        </w:tc>
        <w:tc>
          <w:tcPr>
            <w:tcW w:w="1227" w:type="dxa"/>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c>
          <w:tcPr>
            <w:tcW w:w="2551"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Proposition de règlement du Parlement européen et du Conseil modifiant les règlements instituant l’Autorité européenne des marchés financiers (AEMF) et les autres autorités de surveillance européennes, incluant les règles renforcées de lutte contre le blanchiment de capitaux proposées en septembre 2018, ainsi que les actes associés</w:t>
            </w:r>
          </w:p>
        </w:tc>
        <w:tc>
          <w:tcPr>
            <w:tcW w:w="765"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 xml:space="preserve">Sept. 2017 </w:t>
            </w:r>
          </w:p>
        </w:tc>
        <w:tc>
          <w:tcPr>
            <w:tcW w:w="1645" w:type="dxa"/>
            <w:gridSpan w:val="2"/>
          </w:tcPr>
          <w:p>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Pas encore de décision</w:t>
            </w:r>
          </w:p>
        </w:tc>
        <w:tc>
          <w:tcPr>
            <w:tcW w:w="1559" w:type="dxa"/>
            <w:gridSpan w:val="2"/>
          </w:tcPr>
          <w:p>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Pas encore de décision</w:t>
            </w:r>
          </w:p>
        </w:tc>
        <w:tc>
          <w:tcPr>
            <w:tcW w:w="1134" w:type="dxa"/>
            <w:gridSpan w:val="2"/>
          </w:tcPr>
          <w:p>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Non commencés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Pr>
          <w:p>
            <w:pPr>
              <w:jc w:val="both"/>
              <w:rPr>
                <w:rFonts w:ascii="Times New Roman" w:eastAsia="Times New Roman" w:hAnsi="Times New Roman" w:cs="Times New Roman"/>
                <w:b/>
                <w:noProof/>
              </w:rPr>
            </w:pPr>
            <w:r>
              <w:rPr>
                <w:rFonts w:ascii="Times New Roman" w:hAnsi="Times New Roman"/>
                <w:b/>
                <w:noProof/>
              </w:rPr>
              <w:t>7</w:t>
            </w:r>
          </w:p>
        </w:tc>
        <w:tc>
          <w:tcPr>
            <w:tcW w:w="1227" w:type="dxa"/>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tc>
        <w:tc>
          <w:tcPr>
            <w:tcW w:w="2551" w:type="dxa"/>
          </w:tcPr>
          <w:p>
            <w:pPr>
              <w:pStyle w:val="Default"/>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2"/>
                <w:szCs w:val="22"/>
              </w:rPr>
            </w:pPr>
            <w:r>
              <w:rPr>
                <w:noProof/>
                <w:color w:val="000000" w:themeColor="text1"/>
                <w:sz w:val="22"/>
              </w:rPr>
              <w:t>Proposition de règlement du Parlement européen et du Conseil concernant les exigences prudentielles applicables aux entreprises d'investissement et proposition de directive du Parlement européen et du Conseil concernant la surveillance prudentielle des entreprises d'investissement</w:t>
            </w:r>
          </w:p>
        </w:tc>
        <w:tc>
          <w:tcPr>
            <w:tcW w:w="765"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Déc. 2017</w:t>
            </w:r>
          </w:p>
        </w:tc>
        <w:tc>
          <w:tcPr>
            <w:tcW w:w="1645" w:type="dxa"/>
            <w:gridSpan w:val="2"/>
          </w:tcPr>
          <w:p>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Mandat de négociation obtenu en septembre 2018</w:t>
            </w:r>
          </w:p>
        </w:tc>
        <w:tc>
          <w:tcPr>
            <w:tcW w:w="1559" w:type="dxa"/>
            <w:gridSpan w:val="2"/>
          </w:tcPr>
          <w:p>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Pas encore de décision</w:t>
            </w:r>
          </w:p>
        </w:tc>
        <w:tc>
          <w:tcPr>
            <w:tcW w:w="1134" w:type="dxa"/>
            <w:gridSpan w:val="2"/>
          </w:tcPr>
          <w:p>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Non commencés</w:t>
            </w:r>
          </w:p>
        </w:tc>
      </w:tr>
      <w:tr>
        <w:trPr>
          <w:trHeight w:val="231"/>
        </w:trPr>
        <w:tc>
          <w:tcPr>
            <w:cnfStyle w:val="001000000000" w:firstRow="0" w:lastRow="0" w:firstColumn="1" w:lastColumn="0" w:oddVBand="0" w:evenVBand="0" w:oddHBand="0" w:evenHBand="0" w:firstRowFirstColumn="0" w:firstRowLastColumn="0" w:lastRowFirstColumn="0" w:lastRowLastColumn="0"/>
            <w:tcW w:w="441" w:type="dxa"/>
          </w:tcPr>
          <w:p>
            <w:pPr>
              <w:jc w:val="both"/>
              <w:rPr>
                <w:rFonts w:ascii="Times New Roman" w:hAnsi="Times New Roman" w:cs="Times New Roman"/>
                <w:b/>
                <w:bCs/>
                <w:noProof/>
              </w:rPr>
            </w:pPr>
            <w:r>
              <w:rPr>
                <w:rFonts w:ascii="Times New Roman" w:hAnsi="Times New Roman"/>
                <w:b/>
                <w:noProof/>
              </w:rPr>
              <w:t>8</w:t>
            </w:r>
          </w:p>
        </w:tc>
        <w:tc>
          <w:tcPr>
            <w:tcW w:w="1227"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rPr>
            </w:pPr>
          </w:p>
        </w:tc>
        <w:tc>
          <w:tcPr>
            <w:tcW w:w="2551"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rPr>
            </w:pPr>
            <w:r>
              <w:rPr>
                <w:rFonts w:ascii="Times New Roman" w:hAnsi="Times New Roman"/>
                <w:noProof/>
              </w:rPr>
              <w:t>Proposition de règlement du Parlement européen et du Conseil relatif aux prestataires européens de services de financement participatif pour les entreprises</w:t>
            </w:r>
          </w:p>
        </w:tc>
        <w:tc>
          <w:tcPr>
            <w:tcW w:w="765"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highlight w:val="yellow"/>
              </w:rPr>
            </w:pPr>
            <w:r>
              <w:rPr>
                <w:rFonts w:ascii="Times New Roman" w:hAnsi="Times New Roman"/>
                <w:noProof/>
              </w:rPr>
              <w:t>Mars 2018</w:t>
            </w:r>
          </w:p>
        </w:tc>
        <w:tc>
          <w:tcPr>
            <w:tcW w:w="1645" w:type="dxa"/>
            <w:gridSpan w:val="2"/>
          </w:tcPr>
          <w:p>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Mandat de négociation obtenu en novembre 2018</w:t>
            </w:r>
          </w:p>
        </w:tc>
        <w:tc>
          <w:tcPr>
            <w:tcW w:w="1559" w:type="dxa"/>
            <w:gridSpan w:val="2"/>
          </w:tcPr>
          <w:p>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Pas encore de décision</w:t>
            </w:r>
          </w:p>
        </w:tc>
        <w:tc>
          <w:tcPr>
            <w:tcW w:w="1134" w:type="dxa"/>
            <w:gridSpan w:val="2"/>
          </w:tcPr>
          <w:p>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Non commencés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Pr>
          <w:p>
            <w:pPr>
              <w:pStyle w:val="Default"/>
              <w:jc w:val="both"/>
              <w:rPr>
                <w:b/>
                <w:noProof/>
                <w:sz w:val="22"/>
                <w:szCs w:val="22"/>
              </w:rPr>
            </w:pPr>
            <w:r>
              <w:rPr>
                <w:b/>
                <w:noProof/>
                <w:sz w:val="22"/>
              </w:rPr>
              <w:t>9</w:t>
            </w:r>
          </w:p>
        </w:tc>
        <w:tc>
          <w:tcPr>
            <w:tcW w:w="1227" w:type="dxa"/>
          </w:tcPr>
          <w:p>
            <w:pPr>
              <w:pStyle w:val="Default"/>
              <w:jc w:val="both"/>
              <w:cnfStyle w:val="000000100000" w:firstRow="0" w:lastRow="0" w:firstColumn="0" w:lastColumn="0" w:oddVBand="0" w:evenVBand="0" w:oddHBand="1" w:evenHBand="0" w:firstRowFirstColumn="0" w:firstRowLastColumn="0" w:lastRowFirstColumn="0" w:lastRowLastColumn="0"/>
              <w:rPr>
                <w:noProof/>
                <w:color w:val="000000" w:themeColor="text1"/>
                <w:sz w:val="22"/>
                <w:szCs w:val="22"/>
              </w:rPr>
            </w:pPr>
          </w:p>
        </w:tc>
        <w:tc>
          <w:tcPr>
            <w:tcW w:w="2551" w:type="dxa"/>
          </w:tcPr>
          <w:p>
            <w:pPr>
              <w:pStyle w:val="Default"/>
              <w:cnfStyle w:val="000000100000" w:firstRow="0" w:lastRow="0" w:firstColumn="0" w:lastColumn="0" w:oddVBand="0" w:evenVBand="0" w:oddHBand="1" w:evenHBand="0" w:firstRowFirstColumn="0" w:firstRowLastColumn="0" w:lastRowFirstColumn="0" w:lastRowLastColumn="0"/>
              <w:rPr>
                <w:noProof/>
                <w:color w:val="000000" w:themeColor="text1"/>
                <w:sz w:val="22"/>
                <w:szCs w:val="22"/>
              </w:rPr>
            </w:pPr>
            <w:r>
              <w:rPr>
                <w:noProof/>
                <w:color w:val="000000" w:themeColor="text1"/>
                <w:sz w:val="22"/>
              </w:rPr>
              <w:t>Proposition de directive du Parlement européen et du Conseil concernant l'émission d'obligations garanties et la surveillance publique des obligations garanties et proposition de règlement du Parlement européen et du Conseil en ce qui concerne les expositions sous forme d'obligations garanties</w:t>
            </w:r>
          </w:p>
        </w:tc>
        <w:tc>
          <w:tcPr>
            <w:tcW w:w="765"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highlight w:val="lightGray"/>
              </w:rPr>
            </w:pPr>
            <w:r>
              <w:rPr>
                <w:rFonts w:ascii="Times New Roman" w:hAnsi="Times New Roman"/>
                <w:noProof/>
              </w:rPr>
              <w:t>Mars 2018</w:t>
            </w:r>
          </w:p>
        </w:tc>
        <w:tc>
          <w:tcPr>
            <w:tcW w:w="1645" w:type="dxa"/>
            <w:gridSpan w:val="2"/>
          </w:tcPr>
          <w:p>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Mandat de négociation obtenu en novembre 2018</w:t>
            </w:r>
          </w:p>
        </w:tc>
        <w:tc>
          <w:tcPr>
            <w:tcW w:w="1559" w:type="dxa"/>
            <w:gridSpan w:val="2"/>
          </w:tcPr>
          <w:p>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Mandat de négociation attendu prochainement</w:t>
            </w:r>
          </w:p>
        </w:tc>
        <w:tc>
          <w:tcPr>
            <w:tcW w:w="1134" w:type="dxa"/>
            <w:gridSpan w:val="2"/>
          </w:tcPr>
          <w:p>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Non commencés</w:t>
            </w:r>
          </w:p>
        </w:tc>
      </w:tr>
      <w:tr>
        <w:tc>
          <w:tcPr>
            <w:cnfStyle w:val="001000000000" w:firstRow="0" w:lastRow="0" w:firstColumn="1" w:lastColumn="0" w:oddVBand="0" w:evenVBand="0" w:oddHBand="0" w:evenHBand="0" w:firstRowFirstColumn="0" w:firstRowLastColumn="0" w:lastRowFirstColumn="0" w:lastRowLastColumn="0"/>
            <w:tcW w:w="441" w:type="dxa"/>
          </w:tcPr>
          <w:p>
            <w:pPr>
              <w:pStyle w:val="Default"/>
              <w:jc w:val="both"/>
              <w:rPr>
                <w:b/>
                <w:noProof/>
                <w:sz w:val="22"/>
                <w:szCs w:val="22"/>
              </w:rPr>
            </w:pPr>
            <w:r>
              <w:rPr>
                <w:b/>
                <w:noProof/>
                <w:sz w:val="22"/>
              </w:rPr>
              <w:t>10</w:t>
            </w:r>
          </w:p>
        </w:tc>
        <w:tc>
          <w:tcPr>
            <w:tcW w:w="1227" w:type="dxa"/>
            <w:tcBorders>
              <w:top w:val="nil"/>
              <w:bottom w:val="nil"/>
            </w:tcBorders>
          </w:tcPr>
          <w:p>
            <w:pPr>
              <w:pStyle w:val="Default"/>
              <w:jc w:val="both"/>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p>
        </w:tc>
        <w:tc>
          <w:tcPr>
            <w:tcW w:w="2551" w:type="dxa"/>
            <w:tcBorders>
              <w:top w:val="nil"/>
              <w:bottom w:val="nil"/>
            </w:tcBorders>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highlight w:val="lightGray"/>
              </w:rPr>
            </w:pPr>
            <w:r>
              <w:rPr>
                <w:rFonts w:ascii="Times New Roman" w:hAnsi="Times New Roman"/>
                <w:noProof/>
              </w:rPr>
              <w:t>Proposition de directive du Parlement européen et du Conseil en ce qui concerne la distribution transfrontière des fonds communs de placement et proposition de règlement du Parlement européen et du Conseil visant à faciliter la distribution transfrontière des fonds communs de placement</w:t>
            </w:r>
          </w:p>
        </w:tc>
        <w:tc>
          <w:tcPr>
            <w:tcW w:w="765" w:type="dxa"/>
            <w:tcBorders>
              <w:top w:val="nil"/>
              <w:bottom w:val="nil"/>
            </w:tcBorders>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highlight w:val="lightGray"/>
              </w:rPr>
            </w:pPr>
            <w:r>
              <w:rPr>
                <w:rFonts w:ascii="Times New Roman" w:hAnsi="Times New Roman"/>
                <w:noProof/>
              </w:rPr>
              <w:t>Mars 2018</w:t>
            </w:r>
          </w:p>
        </w:tc>
        <w:tc>
          <w:tcPr>
            <w:tcW w:w="1645" w:type="dxa"/>
            <w:gridSpan w:val="2"/>
            <w:tcBorders>
              <w:top w:val="nil"/>
              <w:bottom w:val="nil"/>
            </w:tcBorders>
          </w:tcPr>
          <w:p>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Mandat de négociation attendu prochainement</w:t>
            </w:r>
          </w:p>
        </w:tc>
        <w:tc>
          <w:tcPr>
            <w:tcW w:w="1559" w:type="dxa"/>
            <w:gridSpan w:val="2"/>
            <w:tcBorders>
              <w:top w:val="nil"/>
              <w:bottom w:val="nil"/>
            </w:tcBorders>
          </w:tcPr>
          <w:p>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Mandat de négociation obtenu en juin 2018</w:t>
            </w:r>
          </w:p>
        </w:tc>
        <w:tc>
          <w:tcPr>
            <w:tcW w:w="1134" w:type="dxa"/>
            <w:gridSpan w:val="2"/>
            <w:tcBorders>
              <w:top w:val="nil"/>
              <w:bottom w:val="nil"/>
            </w:tcBorders>
          </w:tcPr>
          <w:p>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Non commencés</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1" w:type="dxa"/>
          </w:tcPr>
          <w:p>
            <w:pPr>
              <w:jc w:val="both"/>
              <w:rPr>
                <w:rFonts w:ascii="Times New Roman" w:eastAsia="Times New Roman" w:hAnsi="Times New Roman" w:cs="Times New Roman"/>
                <w:b/>
                <w:noProof/>
              </w:rPr>
            </w:pPr>
            <w:r>
              <w:rPr>
                <w:rFonts w:ascii="Times New Roman" w:hAnsi="Times New Roman"/>
                <w:b/>
                <w:noProof/>
              </w:rPr>
              <w:t>11</w:t>
            </w:r>
          </w:p>
        </w:tc>
        <w:tc>
          <w:tcPr>
            <w:tcW w:w="1227" w:type="dxa"/>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tc>
        <w:tc>
          <w:tcPr>
            <w:tcW w:w="2551" w:type="dxa"/>
          </w:tcPr>
          <w:p>
            <w:pPr>
              <w:pStyle w:val="Default"/>
              <w:cnfStyle w:val="000000100000" w:firstRow="0" w:lastRow="0" w:firstColumn="0" w:lastColumn="0" w:oddVBand="0" w:evenVBand="0" w:oddHBand="1" w:evenHBand="0" w:firstRowFirstColumn="0" w:firstRowLastColumn="0" w:lastRowFirstColumn="0" w:lastRowLastColumn="0"/>
              <w:rPr>
                <w:noProof/>
                <w:color w:val="000000" w:themeColor="text1"/>
                <w:sz w:val="22"/>
                <w:szCs w:val="22"/>
              </w:rPr>
            </w:pPr>
            <w:r>
              <w:rPr>
                <w:noProof/>
                <w:color w:val="000000" w:themeColor="text1"/>
                <w:sz w:val="22"/>
              </w:rPr>
              <w:t>Proposition de règlement du Parlement européen et du Conseil sur la loi applicable à l’opposabilité des cessions de créances</w:t>
            </w:r>
          </w:p>
        </w:tc>
        <w:tc>
          <w:tcPr>
            <w:tcW w:w="765" w:type="dxa"/>
          </w:tcPr>
          <w:p>
            <w:pPr>
              <w:pStyle w:val="Default"/>
              <w:cnfStyle w:val="000000100000" w:firstRow="0" w:lastRow="0" w:firstColumn="0" w:lastColumn="0" w:oddVBand="0" w:evenVBand="0" w:oddHBand="1" w:evenHBand="0" w:firstRowFirstColumn="0" w:firstRowLastColumn="0" w:lastRowFirstColumn="0" w:lastRowLastColumn="0"/>
              <w:rPr>
                <w:noProof/>
                <w:color w:val="000000" w:themeColor="text1"/>
                <w:sz w:val="22"/>
                <w:szCs w:val="22"/>
              </w:rPr>
            </w:pPr>
            <w:r>
              <w:rPr>
                <w:noProof/>
                <w:color w:val="000000" w:themeColor="text1"/>
                <w:sz w:val="22"/>
              </w:rPr>
              <w:t>Mars 2018</w:t>
            </w:r>
          </w:p>
        </w:tc>
        <w:tc>
          <w:tcPr>
            <w:tcW w:w="1645" w:type="dxa"/>
            <w:gridSpan w:val="2"/>
          </w:tcPr>
          <w:p>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Pas encore de décision</w:t>
            </w:r>
          </w:p>
        </w:tc>
        <w:tc>
          <w:tcPr>
            <w:tcW w:w="1559" w:type="dxa"/>
            <w:gridSpan w:val="2"/>
          </w:tcPr>
          <w:p>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 xml:space="preserve">Pas encore de décision </w:t>
            </w:r>
          </w:p>
        </w:tc>
        <w:tc>
          <w:tcPr>
            <w:tcW w:w="1134" w:type="dxa"/>
            <w:gridSpan w:val="2"/>
          </w:tcPr>
          <w:p>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Non commencés</w:t>
            </w:r>
          </w:p>
        </w:tc>
      </w:tr>
      <w:tr>
        <w:trPr>
          <w:cantSplit/>
        </w:trPr>
        <w:tc>
          <w:tcPr>
            <w:cnfStyle w:val="001000000000" w:firstRow="0" w:lastRow="0" w:firstColumn="1" w:lastColumn="0" w:oddVBand="0" w:evenVBand="0" w:oddHBand="0" w:evenHBand="0" w:firstRowFirstColumn="0" w:firstRowLastColumn="0" w:lastRowFirstColumn="0" w:lastRowLastColumn="0"/>
            <w:tcW w:w="441" w:type="dxa"/>
          </w:tcPr>
          <w:p>
            <w:pPr>
              <w:pStyle w:val="Default"/>
              <w:jc w:val="both"/>
              <w:rPr>
                <w:b/>
                <w:noProof/>
                <w:color w:val="auto"/>
                <w:sz w:val="22"/>
                <w:szCs w:val="22"/>
              </w:rPr>
            </w:pPr>
            <w:r>
              <w:rPr>
                <w:b/>
                <w:noProof/>
                <w:color w:val="auto"/>
                <w:sz w:val="22"/>
              </w:rPr>
              <w:t>12</w:t>
            </w:r>
          </w:p>
        </w:tc>
        <w:tc>
          <w:tcPr>
            <w:tcW w:w="1227" w:type="dxa"/>
            <w:tcBorders>
              <w:bottom w:val="nil"/>
            </w:tcBorders>
          </w:tcPr>
          <w:p>
            <w:pPr>
              <w:pStyle w:val="Default"/>
              <w:jc w:val="both"/>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p>
        </w:tc>
        <w:tc>
          <w:tcPr>
            <w:tcW w:w="2551" w:type="dxa"/>
            <w:tcBorders>
              <w:bottom w:val="nil"/>
            </w:tcBorders>
          </w:tcPr>
          <w:p>
            <w:pPr>
              <w:pStyle w:val="Default"/>
              <w:tabs>
                <w:tab w:val="left" w:pos="2565"/>
              </w:tabs>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r>
              <w:rPr>
                <w:noProof/>
                <w:color w:val="000000" w:themeColor="text1"/>
                <w:sz w:val="22"/>
              </w:rPr>
              <w:t>Proposition de règlement du Parlement européen et du Conseil en ce qui concerne la promotion du recours aux marchés de croissance des PME</w:t>
            </w:r>
          </w:p>
        </w:tc>
        <w:tc>
          <w:tcPr>
            <w:tcW w:w="765" w:type="dxa"/>
            <w:tcBorders>
              <w:bottom w:val="nil"/>
            </w:tcBorders>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Mai 2018</w:t>
            </w:r>
          </w:p>
        </w:tc>
        <w:tc>
          <w:tcPr>
            <w:tcW w:w="1645" w:type="dxa"/>
            <w:gridSpan w:val="2"/>
            <w:tcBorders>
              <w:bottom w:val="nil"/>
            </w:tcBorders>
          </w:tcPr>
          <w:p>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Pas encore de décision</w:t>
            </w:r>
          </w:p>
        </w:tc>
        <w:tc>
          <w:tcPr>
            <w:tcW w:w="1559" w:type="dxa"/>
            <w:gridSpan w:val="2"/>
            <w:tcBorders>
              <w:bottom w:val="nil"/>
            </w:tcBorders>
          </w:tcPr>
          <w:p>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Pas encore de décision</w:t>
            </w:r>
          </w:p>
        </w:tc>
        <w:tc>
          <w:tcPr>
            <w:tcW w:w="1134" w:type="dxa"/>
            <w:gridSpan w:val="2"/>
            <w:tcBorders>
              <w:bottom w:val="nil"/>
            </w:tcBorders>
          </w:tcPr>
          <w:p>
            <w:pPr>
              <w:pStyle w:val="P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Non commencés</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1" w:type="dxa"/>
          </w:tcPr>
          <w:p>
            <w:pPr>
              <w:pStyle w:val="Default"/>
              <w:jc w:val="both"/>
              <w:rPr>
                <w:b/>
                <w:noProof/>
                <w:color w:val="auto"/>
                <w:sz w:val="22"/>
                <w:szCs w:val="22"/>
              </w:rPr>
            </w:pPr>
            <w:r>
              <w:rPr>
                <w:b/>
                <w:noProof/>
                <w:color w:val="auto"/>
                <w:sz w:val="22"/>
              </w:rPr>
              <w:t>13</w:t>
            </w:r>
          </w:p>
        </w:tc>
        <w:tc>
          <w:tcPr>
            <w:tcW w:w="1227" w:type="dxa"/>
          </w:tcPr>
          <w:p>
            <w:pPr>
              <w:pStyle w:val="Default"/>
              <w:jc w:val="both"/>
              <w:cnfStyle w:val="000000100000" w:firstRow="0" w:lastRow="0" w:firstColumn="0" w:lastColumn="0" w:oddVBand="0" w:evenVBand="0" w:oddHBand="1" w:evenHBand="0" w:firstRowFirstColumn="0" w:firstRowLastColumn="0" w:lastRowFirstColumn="0" w:lastRowLastColumn="0"/>
              <w:rPr>
                <w:noProof/>
                <w:color w:val="000000" w:themeColor="text1"/>
                <w:sz w:val="22"/>
                <w:szCs w:val="22"/>
              </w:rPr>
            </w:pPr>
          </w:p>
        </w:tc>
        <w:tc>
          <w:tcPr>
            <w:tcW w:w="2551"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Cs w:val="24"/>
              </w:rPr>
            </w:pPr>
            <w:r>
              <w:rPr>
                <w:rFonts w:ascii="Times New Roman" w:hAnsi="Times New Roman"/>
                <w:noProof/>
              </w:rPr>
              <w:t>Proposition de règlement modifiant le règlement EMIR en ce qui concerne les procédures d’agrément des contreparties centrales et les autorités qui y participent, ainsi que les conditions de reconnaissance des contreparties centrales des pays tiers</w:t>
            </w:r>
          </w:p>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Cs w:val="24"/>
              </w:rPr>
            </w:pPr>
            <w:r>
              <w:rPr>
                <w:rFonts w:ascii="Times New Roman" w:hAnsi="Times New Roman"/>
                <w:noProof/>
              </w:rPr>
              <w:t>(Surveillance des CCP dans EMIR)</w:t>
            </w:r>
          </w:p>
        </w:tc>
        <w:tc>
          <w:tcPr>
            <w:tcW w:w="765"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Cs w:val="24"/>
              </w:rPr>
            </w:pPr>
            <w:r>
              <w:rPr>
                <w:rFonts w:ascii="Times New Roman" w:hAnsi="Times New Roman"/>
                <w:noProof/>
              </w:rPr>
              <w:t>Juin 2017</w:t>
            </w:r>
          </w:p>
        </w:tc>
        <w:tc>
          <w:tcPr>
            <w:tcW w:w="1645"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noProof/>
              </w:rPr>
              <w:t>Mandat de négociation obtenu en mai 2018</w:t>
            </w:r>
          </w:p>
        </w:tc>
        <w:tc>
          <w:tcPr>
            <w:tcW w:w="1559"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noProof/>
              </w:rPr>
              <w:t>Pas encore de décision</w:t>
            </w:r>
          </w:p>
        </w:tc>
        <w:tc>
          <w:tcPr>
            <w:tcW w:w="1134"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noProof/>
              </w:rPr>
              <w:t>Non commencés</w:t>
            </w:r>
          </w:p>
        </w:tc>
      </w:tr>
      <w:tr>
        <w:tc>
          <w:tcPr>
            <w:cnfStyle w:val="001000000000" w:firstRow="0" w:lastRow="0" w:firstColumn="1" w:lastColumn="0" w:oddVBand="0" w:evenVBand="0" w:oddHBand="0" w:evenHBand="0" w:firstRowFirstColumn="0" w:firstRowLastColumn="0" w:lastRowFirstColumn="0" w:lastRowLastColumn="0"/>
            <w:tcW w:w="441" w:type="dxa"/>
            <w:tcBorders>
              <w:top w:val="single" w:sz="24" w:space="0" w:color="auto"/>
              <w:right w:val="single" w:sz="4" w:space="0" w:color="auto"/>
            </w:tcBorders>
          </w:tcPr>
          <w:p>
            <w:pPr>
              <w:jc w:val="both"/>
              <w:rPr>
                <w:rFonts w:ascii="Times New Roman" w:eastAsia="Times New Roman" w:hAnsi="Times New Roman" w:cs="Times New Roman"/>
                <w:b/>
                <w:noProof/>
              </w:rPr>
            </w:pPr>
          </w:p>
        </w:tc>
        <w:tc>
          <w:tcPr>
            <w:tcW w:w="3778" w:type="dxa"/>
            <w:gridSpan w:val="2"/>
            <w:tcBorders>
              <w:top w:val="single" w:sz="24" w:space="0" w:color="auto"/>
              <w:left w:val="single" w:sz="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b/>
                <w:noProof/>
              </w:rPr>
              <w:t>Finance durable</w:t>
            </w:r>
          </w:p>
        </w:tc>
        <w:tc>
          <w:tcPr>
            <w:tcW w:w="851" w:type="dxa"/>
            <w:gridSpan w:val="2"/>
            <w:tcBorders>
              <w:top w:val="single" w:sz="2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c>
          <w:tcPr>
            <w:tcW w:w="1559" w:type="dxa"/>
            <w:tcBorders>
              <w:top w:val="single" w:sz="2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auto"/>
                <w:sz w:val="24"/>
                <w:szCs w:val="24"/>
              </w:rPr>
            </w:pPr>
          </w:p>
        </w:tc>
        <w:tc>
          <w:tcPr>
            <w:tcW w:w="1559" w:type="dxa"/>
            <w:gridSpan w:val="2"/>
            <w:tcBorders>
              <w:top w:val="single" w:sz="2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auto"/>
                <w:sz w:val="24"/>
                <w:szCs w:val="24"/>
              </w:rPr>
            </w:pPr>
          </w:p>
        </w:tc>
        <w:tc>
          <w:tcPr>
            <w:tcW w:w="1134" w:type="dxa"/>
            <w:gridSpan w:val="2"/>
            <w:tcBorders>
              <w:top w:val="single" w:sz="24" w:space="0" w:color="auto"/>
              <w:right w:val="single" w:sz="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auto"/>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Borders>
              <w:right w:val="single" w:sz="4" w:space="0" w:color="auto"/>
            </w:tcBorders>
          </w:tcPr>
          <w:p>
            <w:pPr>
              <w:jc w:val="both"/>
              <w:rPr>
                <w:rFonts w:ascii="Times New Roman" w:eastAsia="Times New Roman" w:hAnsi="Times New Roman" w:cs="Times New Roman"/>
                <w:b/>
                <w:noProof/>
              </w:rPr>
            </w:pPr>
            <w:r>
              <w:rPr>
                <w:rFonts w:ascii="Times New Roman" w:hAnsi="Times New Roman"/>
                <w:b/>
                <w:noProof/>
              </w:rPr>
              <w:t>14</w:t>
            </w:r>
          </w:p>
        </w:tc>
        <w:tc>
          <w:tcPr>
            <w:tcW w:w="1227" w:type="dxa"/>
            <w:tcBorders>
              <w:left w:val="single" w:sz="4" w:space="0" w:color="auto"/>
            </w:tcBorders>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rPr>
            </w:pPr>
          </w:p>
        </w:tc>
        <w:tc>
          <w:tcPr>
            <w:tcW w:w="2551"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Proposition de règlement du Parlement européen et du Conseil sur l’établissement d’un cadre pour favoriser les investissements durables (taxinomie)</w:t>
            </w:r>
          </w:p>
        </w:tc>
        <w:tc>
          <w:tcPr>
            <w:tcW w:w="765"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Mai 2018</w:t>
            </w:r>
          </w:p>
        </w:tc>
        <w:tc>
          <w:tcPr>
            <w:tcW w:w="1645"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rPr>
            </w:pPr>
            <w:r>
              <w:rPr>
                <w:rFonts w:ascii="Times New Roman" w:hAnsi="Times New Roman"/>
                <w:noProof/>
              </w:rPr>
              <w:t>Pas encore de décision</w:t>
            </w:r>
          </w:p>
        </w:tc>
        <w:tc>
          <w:tcPr>
            <w:tcW w:w="1559"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rPr>
            </w:pPr>
            <w:r>
              <w:rPr>
                <w:rFonts w:ascii="Times New Roman" w:hAnsi="Times New Roman"/>
                <w:noProof/>
                <w:color w:val="auto"/>
              </w:rPr>
              <w:t>Pas encore de décision</w:t>
            </w:r>
          </w:p>
        </w:tc>
        <w:tc>
          <w:tcPr>
            <w:tcW w:w="1134" w:type="dxa"/>
            <w:gridSpan w:val="2"/>
            <w:tcBorders>
              <w:right w:val="single" w:sz="4" w:space="0" w:color="auto"/>
            </w:tcBorders>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rPr>
            </w:pPr>
            <w:r>
              <w:rPr>
                <w:rFonts w:ascii="Times New Roman" w:hAnsi="Times New Roman"/>
                <w:noProof/>
                <w:color w:val="auto"/>
              </w:rPr>
              <w:t>Non commencés</w:t>
            </w:r>
          </w:p>
        </w:tc>
      </w:tr>
      <w:tr>
        <w:tc>
          <w:tcPr>
            <w:cnfStyle w:val="001000000000" w:firstRow="0" w:lastRow="0" w:firstColumn="1" w:lastColumn="0" w:oddVBand="0" w:evenVBand="0" w:oddHBand="0" w:evenHBand="0" w:firstRowFirstColumn="0" w:firstRowLastColumn="0" w:lastRowFirstColumn="0" w:lastRowLastColumn="0"/>
            <w:tcW w:w="441" w:type="dxa"/>
            <w:tcBorders>
              <w:right w:val="single" w:sz="4" w:space="0" w:color="auto"/>
            </w:tcBorders>
          </w:tcPr>
          <w:p>
            <w:pPr>
              <w:jc w:val="both"/>
              <w:rPr>
                <w:rFonts w:ascii="Times New Roman" w:eastAsia="Times New Roman" w:hAnsi="Times New Roman" w:cs="Times New Roman"/>
                <w:b/>
                <w:noProof/>
              </w:rPr>
            </w:pPr>
            <w:r>
              <w:rPr>
                <w:rFonts w:ascii="Times New Roman" w:hAnsi="Times New Roman"/>
                <w:b/>
                <w:noProof/>
              </w:rPr>
              <w:t>15</w:t>
            </w:r>
          </w:p>
        </w:tc>
        <w:tc>
          <w:tcPr>
            <w:tcW w:w="1227" w:type="dxa"/>
            <w:tcBorders>
              <w:left w:val="single" w:sz="4" w:space="0" w:color="auto"/>
            </w:tcBorders>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rPr>
            </w:pPr>
          </w:p>
        </w:tc>
        <w:tc>
          <w:tcPr>
            <w:tcW w:w="2551"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Proposition de règlement du Parlement européen et du Conseil sur la publication d'informations relatives aux investissements durables et aux risques en matière de durabilité</w:t>
            </w:r>
          </w:p>
        </w:tc>
        <w:tc>
          <w:tcPr>
            <w:tcW w:w="765"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Mai 2018</w:t>
            </w:r>
          </w:p>
        </w:tc>
        <w:tc>
          <w:tcPr>
            <w:tcW w:w="1645" w:type="dxa"/>
            <w:gridSpan w:val="2"/>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rPr>
            </w:pPr>
            <w:r>
              <w:rPr>
                <w:rFonts w:ascii="Times New Roman" w:hAnsi="Times New Roman"/>
                <w:noProof/>
              </w:rPr>
              <w:t>Mandat de négociation obtenu en novembre 2018</w:t>
            </w:r>
          </w:p>
        </w:tc>
        <w:tc>
          <w:tcPr>
            <w:tcW w:w="1559" w:type="dxa"/>
            <w:gridSpan w:val="2"/>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rPr>
            </w:pPr>
            <w:r>
              <w:rPr>
                <w:rFonts w:ascii="Times New Roman" w:hAnsi="Times New Roman"/>
                <w:noProof/>
                <w:color w:val="auto"/>
              </w:rPr>
              <w:t>Pas encore de décision</w:t>
            </w:r>
          </w:p>
        </w:tc>
        <w:tc>
          <w:tcPr>
            <w:tcW w:w="1134" w:type="dxa"/>
            <w:gridSpan w:val="2"/>
            <w:tcBorders>
              <w:right w:val="single" w:sz="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rPr>
            </w:pPr>
            <w:r>
              <w:rPr>
                <w:rFonts w:ascii="Times New Roman" w:hAnsi="Times New Roman"/>
                <w:noProof/>
                <w:color w:val="auto"/>
              </w:rPr>
              <w:t>Non commencés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Borders>
              <w:right w:val="single" w:sz="4" w:space="0" w:color="auto"/>
            </w:tcBorders>
          </w:tcPr>
          <w:p>
            <w:pPr>
              <w:jc w:val="both"/>
              <w:rPr>
                <w:rFonts w:ascii="Times New Roman" w:eastAsia="Times New Roman" w:hAnsi="Times New Roman" w:cs="Times New Roman"/>
                <w:b/>
                <w:noProof/>
              </w:rPr>
            </w:pPr>
            <w:r>
              <w:rPr>
                <w:rFonts w:ascii="Times New Roman" w:hAnsi="Times New Roman"/>
                <w:b/>
                <w:noProof/>
              </w:rPr>
              <w:t>16</w:t>
            </w:r>
          </w:p>
        </w:tc>
        <w:tc>
          <w:tcPr>
            <w:tcW w:w="1227" w:type="dxa"/>
            <w:tcBorders>
              <w:left w:val="single" w:sz="4" w:space="0" w:color="auto"/>
            </w:tcBorders>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rPr>
            </w:pPr>
          </w:p>
        </w:tc>
        <w:tc>
          <w:tcPr>
            <w:tcW w:w="2551"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Proposition de règlement du Parlement européen et du Conseil modifiant le règlement (UE) 2016/1011 en ce qui concerne les indices de référence correspondant à une faible intensité de carbone et les indices de référence correspondant à un bilan carbone positif</w:t>
            </w:r>
          </w:p>
        </w:tc>
        <w:tc>
          <w:tcPr>
            <w:tcW w:w="765"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Mai 2018</w:t>
            </w:r>
          </w:p>
        </w:tc>
        <w:tc>
          <w:tcPr>
            <w:tcW w:w="1645"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rPr>
            </w:pPr>
            <w:r>
              <w:rPr>
                <w:rFonts w:ascii="Times New Roman" w:hAnsi="Times New Roman"/>
                <w:noProof/>
                <w:color w:val="auto"/>
              </w:rPr>
              <w:t>Pas encore de décision</w:t>
            </w:r>
          </w:p>
        </w:tc>
        <w:tc>
          <w:tcPr>
            <w:tcW w:w="1559"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rPr>
            </w:pPr>
            <w:r>
              <w:rPr>
                <w:rFonts w:ascii="Times New Roman" w:hAnsi="Times New Roman"/>
                <w:noProof/>
                <w:color w:val="auto"/>
              </w:rPr>
              <w:t>Pas encore de décision</w:t>
            </w:r>
          </w:p>
        </w:tc>
        <w:tc>
          <w:tcPr>
            <w:tcW w:w="1134" w:type="dxa"/>
            <w:gridSpan w:val="2"/>
            <w:tcBorders>
              <w:right w:val="single" w:sz="4" w:space="0" w:color="auto"/>
            </w:tcBorders>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rPr>
            </w:pPr>
            <w:r>
              <w:rPr>
                <w:rFonts w:ascii="Times New Roman" w:hAnsi="Times New Roman"/>
                <w:noProof/>
                <w:color w:val="auto"/>
              </w:rPr>
              <w:t>Non commencés</w:t>
            </w:r>
          </w:p>
        </w:tc>
      </w:tr>
      <w:tr>
        <w:tc>
          <w:tcPr>
            <w:cnfStyle w:val="001000000000" w:firstRow="0" w:lastRow="0" w:firstColumn="1" w:lastColumn="0" w:oddVBand="0" w:evenVBand="0" w:oddHBand="0" w:evenHBand="0" w:firstRowFirstColumn="0" w:firstRowLastColumn="0" w:lastRowFirstColumn="0" w:lastRowLastColumn="0"/>
            <w:tcW w:w="441" w:type="dxa"/>
            <w:tcBorders>
              <w:top w:val="single" w:sz="24" w:space="0" w:color="auto"/>
              <w:right w:val="single" w:sz="4" w:space="0" w:color="auto"/>
            </w:tcBorders>
          </w:tcPr>
          <w:p>
            <w:pPr>
              <w:jc w:val="both"/>
              <w:rPr>
                <w:rFonts w:ascii="Times New Roman" w:eastAsia="Times New Roman" w:hAnsi="Times New Roman" w:cs="Times New Roman"/>
                <w:b/>
                <w:noProof/>
              </w:rPr>
            </w:pPr>
          </w:p>
        </w:tc>
        <w:tc>
          <w:tcPr>
            <w:tcW w:w="4629" w:type="dxa"/>
            <w:gridSpan w:val="4"/>
            <w:tcBorders>
              <w:top w:val="single" w:sz="24" w:space="0" w:color="auto"/>
              <w:left w:val="single" w:sz="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b/>
                <w:noProof/>
              </w:rPr>
              <w:t>Autres propositions importantes relatives à l’UMC</w:t>
            </w:r>
          </w:p>
        </w:tc>
        <w:tc>
          <w:tcPr>
            <w:tcW w:w="1559" w:type="dxa"/>
            <w:tcBorders>
              <w:top w:val="single" w:sz="2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auto"/>
                <w:sz w:val="24"/>
                <w:szCs w:val="24"/>
              </w:rPr>
            </w:pPr>
          </w:p>
        </w:tc>
        <w:tc>
          <w:tcPr>
            <w:tcW w:w="1559" w:type="dxa"/>
            <w:gridSpan w:val="2"/>
            <w:tcBorders>
              <w:top w:val="single" w:sz="2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auto"/>
                <w:sz w:val="24"/>
                <w:szCs w:val="24"/>
              </w:rPr>
            </w:pPr>
          </w:p>
        </w:tc>
        <w:tc>
          <w:tcPr>
            <w:tcW w:w="1134" w:type="dxa"/>
            <w:gridSpan w:val="2"/>
            <w:tcBorders>
              <w:top w:val="single" w:sz="24" w:space="0" w:color="auto"/>
              <w:right w:val="single" w:sz="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auto"/>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Borders>
              <w:right w:val="single" w:sz="4" w:space="0" w:color="auto"/>
            </w:tcBorders>
          </w:tcPr>
          <w:p>
            <w:pPr>
              <w:jc w:val="both"/>
              <w:rPr>
                <w:rFonts w:ascii="Times New Roman" w:eastAsia="Times New Roman" w:hAnsi="Times New Roman" w:cs="Times New Roman"/>
                <w:b/>
                <w:noProof/>
              </w:rPr>
            </w:pPr>
          </w:p>
        </w:tc>
        <w:tc>
          <w:tcPr>
            <w:tcW w:w="1227" w:type="dxa"/>
            <w:tcBorders>
              <w:left w:val="single" w:sz="4" w:space="0" w:color="auto"/>
            </w:tcBorders>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rPr>
            </w:pPr>
          </w:p>
        </w:tc>
        <w:tc>
          <w:tcPr>
            <w:tcW w:w="2551"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Proposition de règlement modifiant le règlement EMIR en ce qui concerne l’obligation de compensation, les obligations de déclaration, les techniques d’atténuation des risques pour les contrats dérivés de gré à gré non compensés, les exigences applicables aux référentiels centraux (révision du règlement EMIR au titre du programme REFIT)</w:t>
            </w:r>
          </w:p>
        </w:tc>
        <w:tc>
          <w:tcPr>
            <w:tcW w:w="765"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Mai 2017</w:t>
            </w:r>
          </w:p>
        </w:tc>
        <w:tc>
          <w:tcPr>
            <w:tcW w:w="1645"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Mandat de négociation obtenu en juin 2018</w:t>
            </w:r>
          </w:p>
        </w:tc>
        <w:tc>
          <w:tcPr>
            <w:tcW w:w="1559"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 xml:space="preserve">Mandat de négociation obtenu en décembre 2017 </w:t>
            </w:r>
          </w:p>
        </w:tc>
        <w:tc>
          <w:tcPr>
            <w:tcW w:w="1134" w:type="dxa"/>
            <w:gridSpan w:val="2"/>
            <w:tcBorders>
              <w:right w:val="single" w:sz="4" w:space="0" w:color="auto"/>
            </w:tcBorders>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Trilogues en cours depuis juillet 2018</w:t>
            </w:r>
          </w:p>
        </w:tc>
      </w:tr>
      <w:tr>
        <w:tc>
          <w:tcPr>
            <w:cnfStyle w:val="001000000000" w:firstRow="0" w:lastRow="0" w:firstColumn="1" w:lastColumn="0" w:oddVBand="0" w:evenVBand="0" w:oddHBand="0" w:evenHBand="0" w:firstRowFirstColumn="0" w:firstRowLastColumn="0" w:lastRowFirstColumn="0" w:lastRowLastColumn="0"/>
            <w:tcW w:w="441" w:type="dxa"/>
            <w:tcBorders>
              <w:right w:val="single" w:sz="4" w:space="0" w:color="auto"/>
            </w:tcBorders>
          </w:tcPr>
          <w:p>
            <w:pPr>
              <w:jc w:val="both"/>
              <w:rPr>
                <w:rFonts w:ascii="Times New Roman" w:eastAsia="Times New Roman" w:hAnsi="Times New Roman" w:cs="Times New Roman"/>
                <w:b/>
                <w:noProof/>
              </w:rPr>
            </w:pPr>
          </w:p>
        </w:tc>
        <w:tc>
          <w:tcPr>
            <w:tcW w:w="1227" w:type="dxa"/>
            <w:tcBorders>
              <w:left w:val="single" w:sz="4" w:space="0" w:color="auto"/>
              <w:bottom w:val="nil"/>
            </w:tcBorders>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rPr>
            </w:pPr>
          </w:p>
        </w:tc>
        <w:tc>
          <w:tcPr>
            <w:tcW w:w="2551" w:type="dxa"/>
            <w:tcBorders>
              <w:bottom w:val="nil"/>
            </w:tcBorders>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Cs w:val="24"/>
              </w:rPr>
            </w:pPr>
            <w:r>
              <w:rPr>
                <w:rFonts w:ascii="Times New Roman" w:hAnsi="Times New Roman"/>
                <w:noProof/>
              </w:rPr>
              <w:t>Proposition de règlement du Parlement européen et du Conseil relatif à un cadre pour le redressement et la résolution des contreparties centrales</w:t>
            </w:r>
          </w:p>
        </w:tc>
        <w:tc>
          <w:tcPr>
            <w:tcW w:w="765" w:type="dxa"/>
            <w:tcBorders>
              <w:bottom w:val="nil"/>
            </w:tcBorders>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Cs w:val="24"/>
              </w:rPr>
            </w:pPr>
            <w:r>
              <w:rPr>
                <w:rFonts w:ascii="Times New Roman" w:hAnsi="Times New Roman"/>
                <w:noProof/>
              </w:rPr>
              <w:t>Nov. 2016</w:t>
            </w:r>
          </w:p>
        </w:tc>
        <w:tc>
          <w:tcPr>
            <w:tcW w:w="1645" w:type="dxa"/>
            <w:gridSpan w:val="2"/>
            <w:tcBorders>
              <w:bottom w:val="nil"/>
            </w:tcBorders>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noProof/>
              </w:rPr>
              <w:t>Mandat de négociation obtenu en janvier 2018</w:t>
            </w:r>
          </w:p>
        </w:tc>
        <w:tc>
          <w:tcPr>
            <w:tcW w:w="1559" w:type="dxa"/>
            <w:gridSpan w:val="2"/>
            <w:tcBorders>
              <w:bottom w:val="nil"/>
            </w:tcBorders>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noProof/>
              </w:rPr>
              <w:t>Pas encore de décision</w:t>
            </w:r>
          </w:p>
        </w:tc>
        <w:tc>
          <w:tcPr>
            <w:tcW w:w="1134" w:type="dxa"/>
            <w:gridSpan w:val="2"/>
            <w:tcBorders>
              <w:bottom w:val="nil"/>
              <w:right w:val="single" w:sz="4" w:space="0" w:color="auto"/>
            </w:tcBorders>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noProof/>
              </w:rPr>
              <w:t>Non commencés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tcBorders>
              <w:right w:val="single" w:sz="4" w:space="0" w:color="auto"/>
            </w:tcBorders>
          </w:tcPr>
          <w:p>
            <w:pPr>
              <w:jc w:val="both"/>
              <w:rPr>
                <w:rFonts w:ascii="Times New Roman" w:eastAsia="Times New Roman" w:hAnsi="Times New Roman" w:cs="Times New Roman"/>
                <w:b/>
                <w:noProof/>
              </w:rPr>
            </w:pPr>
          </w:p>
        </w:tc>
        <w:tc>
          <w:tcPr>
            <w:tcW w:w="1227" w:type="dxa"/>
            <w:tcBorders>
              <w:left w:val="single" w:sz="4" w:space="0" w:color="auto"/>
              <w:bottom w:val="single" w:sz="4" w:space="0" w:color="auto"/>
            </w:tcBorders>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rPr>
            </w:pPr>
          </w:p>
        </w:tc>
        <w:tc>
          <w:tcPr>
            <w:tcW w:w="2551" w:type="dxa"/>
            <w:tcBorders>
              <w:bottom w:val="single" w:sz="4" w:space="0" w:color="auto"/>
            </w:tcBorders>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Proposition de directive du Conseil relative à une assiette commune consolidée pour l’impôt sur les sociétés (ACCIS)</w:t>
            </w:r>
          </w:p>
        </w:tc>
        <w:tc>
          <w:tcPr>
            <w:tcW w:w="765" w:type="dxa"/>
            <w:tcBorders>
              <w:bottom w:val="single" w:sz="4" w:space="0" w:color="auto"/>
            </w:tcBorders>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Oct. 2016</w:t>
            </w:r>
          </w:p>
        </w:tc>
        <w:tc>
          <w:tcPr>
            <w:tcW w:w="1645" w:type="dxa"/>
            <w:gridSpan w:val="2"/>
            <w:tcBorders>
              <w:bottom w:val="single" w:sz="4" w:space="0" w:color="auto"/>
            </w:tcBorders>
          </w:tcPr>
          <w:p>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Approuvée telle que modifiée en mars 2018</w:t>
            </w:r>
          </w:p>
        </w:tc>
        <w:tc>
          <w:tcPr>
            <w:tcW w:w="1559" w:type="dxa"/>
            <w:gridSpan w:val="2"/>
            <w:tcBorders>
              <w:bottom w:val="single" w:sz="4" w:space="0" w:color="auto"/>
            </w:tcBorders>
          </w:tcPr>
          <w:p>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Pas encore de décision</w:t>
            </w:r>
          </w:p>
        </w:tc>
        <w:tc>
          <w:tcPr>
            <w:tcW w:w="1134" w:type="dxa"/>
            <w:gridSpan w:val="2"/>
            <w:tcBorders>
              <w:bottom w:val="single" w:sz="4" w:space="0" w:color="auto"/>
              <w:right w:val="single" w:sz="4" w:space="0" w:color="auto"/>
            </w:tcBorders>
          </w:tcPr>
          <w:p>
            <w:pPr>
              <w:pStyle w:val="P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szCs w:val="22"/>
              </w:rPr>
            </w:pPr>
            <w:r>
              <w:rPr>
                <w:rFonts w:ascii="Times New Roman" w:hAnsi="Times New Roman"/>
                <w:noProof/>
                <w:sz w:val="22"/>
              </w:rPr>
              <w:t>Sans objet</w:t>
            </w:r>
          </w:p>
        </w:tc>
      </w:tr>
    </w:tbl>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005913"/>
      <w:docPartObj>
        <w:docPartGallery w:val="Page Numbers (Bottom of Page)"/>
        <w:docPartUnique/>
      </w:docPartObj>
    </w:sdtPr>
    <w:sdtEndPr>
      <w:rPr>
        <w:rFonts w:ascii="Times New Roman" w:hAnsi="Times New Roman" w:cs="Times New Roman"/>
        <w:noProof/>
        <w:sz w:val="16"/>
        <w:szCs w:val="16"/>
      </w:rPr>
    </w:sdtEndPr>
    <w:sdtContent>
      <w:p>
        <w:pPr>
          <w:pStyle w:val="Footer"/>
          <w:jc w:val="cente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Pr>
            <w:rFonts w:ascii="Times New Roman" w:hAnsi="Times New Roman" w:cs="Times New Roman"/>
            <w:noProof/>
            <w:sz w:val="16"/>
            <w:szCs w:val="16"/>
          </w:rPr>
          <w:t>1</w:t>
        </w:r>
        <w:r>
          <w:rPr>
            <w:rFonts w:ascii="Times New Roman" w:hAnsi="Times New Roman" w:cs="Times New Roman"/>
            <w:noProof/>
            <w:sz w:val="16"/>
            <w:szCs w:val="16"/>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
    <w:docVar w:name="LW_ANNEX_NBR_FIRST" w:val="1"/>
    <w:docVar w:name="LW_ANNEX_NBR_LAST" w:val="1"/>
    <w:docVar w:name="LW_ANNEX_UNIQUE" w:val="0"/>
    <w:docVar w:name="LW_CORRIGENDUM" w:val="&lt;UNUSED&gt;"/>
    <w:docVar w:name="LW_COVERPAGE_EXISTS" w:val="True"/>
    <w:docVar w:name="LW_COVERPAGE_GUID" w:val="1C69647B-0E58-4FAE-911F-5241C6A40F23"/>
    <w:docVar w:name="LW_COVERPAGE_TYPE" w:val="1"/>
    <w:docVar w:name="LW_CROSSREFERENCE" w:val="&lt;UNUSED&gt;"/>
    <w:docVar w:name="LW_DocType" w:val="NORMAL"/>
    <w:docVar w:name="LW_EMISSION" w:val="28.11.2018"/>
    <w:docVar w:name="LW_EMISSION_ISODATE" w:val="2018-11-28"/>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Union des marchés des capitaux: il est temps de redoubler d'efforts pour tenir les engagements pris en  faveur de l'investissement, de la croissance et d'un renforcement du rôle de l'euro"/>
    <w:docVar w:name="LW_PART_NBR" w:val="1"/>
    <w:docVar w:name="LW_PART_NBR_TOTAL" w:val="1"/>
    <w:docVar w:name="LW_REF.INST.NEW" w:val="COM"/>
    <w:docVar w:name="LW_REF.INST.NEW_ADOPTED" w:val="final"/>
    <w:docVar w:name="LW_REF.INST.NEW_TEXT" w:val="(2018) 7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COMMUNICATION DE LA COMMISSION  AU PARLEMENT EUROPÉEN,  AU CONSEIL EUROPÉEN, AU CONSEIL, Á LA BANQUE CENTRALE EUROPÉENNE,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Pa5">
    <w:name w:val="Pa5"/>
    <w:basedOn w:val="Normal"/>
    <w:next w:val="Normal"/>
    <w:uiPriority w:val="99"/>
    <w:pPr>
      <w:autoSpaceDE w:val="0"/>
      <w:autoSpaceDN w:val="0"/>
      <w:adjustRightInd w:val="0"/>
      <w:spacing w:after="0" w:line="241" w:lineRule="atLeast"/>
    </w:pPr>
    <w:rPr>
      <w:rFonts w:ascii="EC Square Sans Pro Medium" w:hAnsi="EC Square Sans Pro Medium"/>
      <w:sz w:val="24"/>
      <w:szCs w:val="24"/>
    </w:rPr>
  </w:style>
  <w:style w:type="table" w:customStyle="1" w:styleId="GridTable5Dark-Accent11">
    <w:name w:val="Grid Table 5 Dark - Accent 1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Pa5">
    <w:name w:val="Pa5"/>
    <w:basedOn w:val="Normal"/>
    <w:next w:val="Normal"/>
    <w:uiPriority w:val="99"/>
    <w:pPr>
      <w:autoSpaceDE w:val="0"/>
      <w:autoSpaceDN w:val="0"/>
      <w:adjustRightInd w:val="0"/>
      <w:spacing w:after="0" w:line="241" w:lineRule="atLeast"/>
    </w:pPr>
    <w:rPr>
      <w:rFonts w:ascii="EC Square Sans Pro Medium" w:hAnsi="EC Square Sans Pro Medium"/>
      <w:sz w:val="24"/>
      <w:szCs w:val="24"/>
    </w:rPr>
  </w:style>
  <w:style w:type="table" w:customStyle="1" w:styleId="GridTable5Dark-Accent11">
    <w:name w:val="Grid Table 5 Dark - Accent 1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886</Words>
  <Characters>5079</Characters>
  <Application>Microsoft Office Word</Application>
  <DocSecurity>0</DocSecurity>
  <Lines>507</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2018-11-27T10:43:00Z</dcterms:created>
  <dcterms:modified xsi:type="dcterms:W3CDTF">2018-11-30T10:18:00Z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First annex">
    <vt:lpwstr>1</vt:lpwstr>
  </property>
  <property fmtid="{D5CDD505-2E9C-101B-9397-08002B2CF9AE}" pid="5" name="Last annex">
    <vt:lpwstr>1</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reated using">
    <vt:lpwstr>LW 6.0.1, Build 20180503</vt:lpwstr>
  </property>
</Properties>
</file>