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BD0999B-AD92-46DB-9226-4FEABD20E71F" style="width:450.35pt;height:366.1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Настоящото предложение се отнася за решение за определяне на позицията, която да се заеме от името на Съюза в Съвета на министрите на Енергийната общност относно удължаването на мандата на директора на Секретариата на Енергийната общност („СЕО“).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Настоящият директор на СЕО, г-н Янез Копач, беше назначен за първи път през 2012 г. Мандатът му беше подновен през 2015 г. и ще изтече на 30 ноември 2018 г.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Съгласно членове 69 и 88 от Договора за създаване на Енергийна общност директорът на СЕО се назначава от Съвета на министрите на Енергийната общност с обикновено мнозинство. Комисията разполага с изключителното право да предлага директора.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Позиция, която да се заеме от името на Съюза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Съществуват редица причини за трети мандат на г-н Копач като директор на СЕО. </w:t>
      </w:r>
    </w:p>
    <w:p>
      <w:pPr>
        <w:rPr>
          <w:rFonts w:eastAsia="Arial Unicode MS"/>
          <w:noProof/>
        </w:rPr>
      </w:pPr>
      <w:r>
        <w:rPr>
          <w:noProof/>
        </w:rPr>
        <w:t xml:space="preserve">На първо място, важно е да се гарантира непрекъснатостта на процеса на Енергийната общност. Г-н Копач постигна много добри резултати при управлението на основни аспекти в рамките на Енергийната общност. Такъв аспект е по-специално реформата на Договора за създаване на Енергийна общност, която осигурява прилагането на достиженията на правото на ЕС и играе водеща роля в процеса на осъществяване на реформи на енергийния пазар на договарящите се страни от Енергийната общност. </w:t>
      </w:r>
    </w:p>
    <w:p>
      <w:pPr>
        <w:rPr>
          <w:rFonts w:eastAsia="Arial Unicode MS"/>
          <w:noProof/>
        </w:rPr>
      </w:pPr>
      <w:r>
        <w:rPr>
          <w:noProof/>
        </w:rPr>
        <w:t>На второ място, г-н Копач ръководи своето портфолио по конструктивен и активен начин. Той е отдаден на изпълнението на своите задължения в духа на целите на Договора за създаване на Енергийна общност.  Това включва неговата професионална ангажираност към привеждането в съответствие на законодателствата на договарящите се страни от Енергийната общност с основните принципи на правото на ЕС. Освен това той установи и поддържа институционална етика на СЕО, като гарантира професионализма и качеството на работа на неговия персонал.</w:t>
      </w:r>
    </w:p>
    <w:p>
      <w:pPr>
        <w:rPr>
          <w:rFonts w:eastAsia="Arial Unicode MS"/>
          <w:noProof/>
        </w:rPr>
      </w:pPr>
      <w:r>
        <w:rPr>
          <w:noProof/>
        </w:rPr>
        <w:t>На последно място, г-на Копач многократно доказа, че проявява независимост при изпълнението на своите задачи.  Като гражданин на държава — членка на ЕС, г-н Копач ще допринася за балансиран подход при вземането на решения и за безпристрастността в рамките на Енергийната общност.</w:t>
      </w:r>
    </w:p>
    <w:p>
      <w:pPr>
        <w:rPr>
          <w:rFonts w:eastAsia="Arial Unicode MS"/>
          <w:noProof/>
        </w:rPr>
      </w:pPr>
      <w:r>
        <w:rPr>
          <w:noProof/>
        </w:rPr>
        <w:t>Позицията, която да бъде заета от името на Съюза в Съвета на министрите на Енергийната общност, следва да бъде за одобрение на проекта за решение.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noProof/>
        </w:rPr>
      </w:pPr>
      <w:r>
        <w:rPr>
          <w:noProof/>
        </w:rPr>
        <w:t>3.1.</w:t>
      </w:r>
      <w:r>
        <w:rPr>
          <w:noProof/>
        </w:rPr>
        <w:tab/>
        <w:t>Процесуалноправно основание</w:t>
      </w:r>
    </w:p>
    <w:p>
      <w:pPr>
        <w:pStyle w:val="ManualNumPar3"/>
        <w:rPr>
          <w:i/>
          <w:noProof/>
        </w:rPr>
      </w:pPr>
      <w:r>
        <w:rPr>
          <w:i/>
          <w:noProof/>
        </w:rPr>
        <w:t>3.1.1.</w:t>
      </w:r>
      <w:r>
        <w:rPr>
          <w:noProof/>
        </w:rPr>
        <w:tab/>
      </w:r>
      <w:r>
        <w:rPr>
          <w:i/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</w:t>
      </w:r>
      <w:r>
        <w:rPr>
          <w:i/>
          <w:noProof/>
        </w:rPr>
        <w:t>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</w:t>
      </w:r>
      <w:r>
        <w:rPr>
          <w:noProof/>
        </w:rPr>
        <w:t>“.</w:t>
      </w:r>
    </w:p>
    <w:p>
      <w:pPr>
        <w:rPr>
          <w:noProof/>
        </w:rPr>
      </w:pPr>
      <w:r>
        <w:rPr>
          <w:noProof/>
        </w:rPr>
        <w:lastRenderedPageBreak/>
        <w:t>Предвиденият акт не допълва, нито изменя институционалната рамка на споразумението. 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rPr>
          <w:noProof/>
        </w:rPr>
        <w:t>3.2.</w:t>
      </w:r>
      <w:r>
        <w:rPr>
          <w:noProof/>
        </w:rPr>
        <w:tab/>
        <w:t>Материалноправно основание</w:t>
      </w:r>
    </w:p>
    <w:p>
      <w:pPr>
        <w:pStyle w:val="ManualNumPar3"/>
        <w:rPr>
          <w:i/>
          <w:noProof/>
        </w:rPr>
      </w:pPr>
      <w:r>
        <w:rPr>
          <w:i/>
          <w:noProof/>
        </w:rPr>
        <w:t>3.2.1.</w:t>
      </w:r>
      <w:r>
        <w:rPr>
          <w:noProof/>
        </w:rPr>
        <w:tab/>
      </w:r>
      <w:r>
        <w:rPr>
          <w:i/>
          <w:noProof/>
        </w:rPr>
        <w:t>Принципи</w:t>
      </w:r>
    </w:p>
    <w:p>
      <w:pPr>
        <w:rPr>
          <w:noProof/>
        </w:rPr>
      </w:pPr>
      <w:r>
        <w:rPr>
          <w:noProof/>
        </w:rPr>
        <w:t xml:space="preserve"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 </w:t>
      </w:r>
    </w:p>
    <w:p>
      <w:pPr>
        <w:pStyle w:val="ManualNumPar3"/>
        <w:rPr>
          <w:i/>
          <w:noProof/>
        </w:rPr>
      </w:pPr>
      <w:r>
        <w:rPr>
          <w:i/>
          <w:noProof/>
        </w:rPr>
        <w:t>3.2.2.</w:t>
      </w:r>
      <w:r>
        <w:rPr>
          <w:noProof/>
        </w:rPr>
        <w:tab/>
      </w:r>
      <w:r>
        <w:rPr>
          <w:i/>
          <w:noProof/>
        </w:rPr>
        <w:t>Прилагане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 на предвидения акт са свързани с енергетиката. Поради това материалноправното основание за предложеното решение е член 194 от ДФЕС.</w:t>
      </w:r>
    </w:p>
    <w:p>
      <w:pPr>
        <w:pStyle w:val="ManualHeading3"/>
        <w:rPr>
          <w:b/>
          <w:i w:val="0"/>
          <w:noProof/>
        </w:rPr>
      </w:pPr>
      <w:r>
        <w:rPr>
          <w:b/>
          <w:i w:val="0"/>
          <w:noProof/>
        </w:rPr>
        <w:t>3.3.</w:t>
      </w:r>
      <w:r>
        <w:rPr>
          <w:noProof/>
        </w:rPr>
        <w:tab/>
      </w:r>
      <w:r>
        <w:rPr>
          <w:b/>
          <w:i w:val="0"/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на предложеното решение следва да бъде член 194 от ДФЕС във връзка с член 218, параграф 9 от ДФЕС.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2018/0407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се заеме от името на Европейския съюз в Съвета на министрите на Енергийната общност относно удължаването на мандата на директора на Секретариата на Енергийната общност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194,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Решение 2006/500/ЕО на Съвета от 29 май 2006 г. за сключване от страна на Европейската общност на Договора за създаване на Енергийна общност,</w:t>
      </w:r>
    </w:p>
    <w:p>
      <w:pPr>
        <w:rPr>
          <w:noProof/>
        </w:rPr>
      </w:pPr>
      <w:r>
        <w:rPr>
          <w:noProof/>
        </w:rPr>
        <w:t>като взе предвид Договора за създаване на Енергийна общност, и по-специално членове 69 и 88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Договорът за създаване на Енергийна общност беше сключен от Съюза с Решение 2006/500/ЕО на Съвета от 29 май 2006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влезе в сила на 1 юли 2006 г.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членове 69 и 88 от Договора за създаване на Енергийна общност директорът на Секретариата на Енергийната общност се назначава по силата на процедурен акт на Съвета на министрите по предложение на Европейската комисия.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В Енергийната общност е в ход процес на реформи, сред които са серия от нови законодателни предложения, за които се изисква активната роля на Секретариата.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Г-н Янез Копач показа ефективно, ефикасно и независимо управление на Секретариата, благодарение на което може да изпълнява тази функция,  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единствен</w:t>
      </w:r>
    </w:p>
    <w:p>
      <w:pPr>
        <w:rPr>
          <w:noProof/>
        </w:rPr>
      </w:pPr>
      <w:r>
        <w:rPr>
          <w:noProof/>
        </w:rPr>
        <w:t>Позицията, която да се заеме от името на Съюза, е да се одобри проектът на процедурен акт на Съвета на министрите, изложен в приложението към настоящото решение.</w:t>
      </w:r>
    </w:p>
    <w:p>
      <w:pPr>
        <w:rPr>
          <w:noProof/>
        </w:rPr>
      </w:pPr>
    </w:p>
    <w:p>
      <w:pPr>
        <w:keepNext/>
        <w:keepLines/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ОВ L198, 20.7.2006 г., стр. 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1908D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BD26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3B674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56065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14CEC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BBC5C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63C65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BE4A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0"/>
  </w:num>
  <w:num w:numId="3">
    <w:abstractNumId w:val="21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5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2-03 09:45:4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BD0999B-AD92-46DB-9226-4FEABD20E71F"/>
    <w:docVar w:name="LW_COVERPAGE_TYPE" w:val="1"/>
    <w:docVar w:name="LW_CROSSREFERENCE" w:val="&lt;UNUSED&gt;"/>
    <w:docVar w:name="LW_DocType" w:val="COM"/>
    <w:docVar w:name="LW_EMISSION" w:val="28.11.2018"/>
    <w:docVar w:name="LW_EMISSION_ISODATE" w:val="2018-11-28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407"/>
    <w:docVar w:name="LW_REF.II.NEW.CP_YEAR" w:val="2018"/>
    <w:docVar w:name="LW_REF.INST.NEW" w:val="COM"/>
    <w:docVar w:name="LW_REF.INST.NEW_ADOPTED" w:val="final"/>
    <w:docVar w:name="LW_REF.INST.NEW_TEXT" w:val="(2018) 79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57?\u1098?\u1074?\u1077?\u1090?\u1072? \u1085?\u1072? \u1084?\u1080?\u1085?\u1080?\u1089?\u1090?\u1088?\u1080?\u1090?\u1077? \u1085?\u1072? \u1045?\u1085?\u1077?\u1088?\u1075?\u1080?\u1081?\u1085?\u1072?\u1090?\u1072? \u1086?\u1073?\u1097?\u1085?\u1086?\u1089?\u1090? \u1086?\u1090?\u1085?\u1086?\u1089?\u1085?\u1086? \u1091?\u1076?\u1098?\u1083?\u1078?\u1072?\u1074?\u1072?\u1085?\u1077?\u1090?\u1086? \u1085?\u1072? \u1084?\u1072?\u1085?\u1076?\u1072?\u1090?\u1072? \u1085?\u1072? \u1076?\u1080?\u1088?\u1077?\u1082?\u1090?\u1086?\u1088?\u1072? \u1085?\u1072? \u1057?\u1077?\u1082?\u1088?\u1077?\u1090?\u1072?\u1088?\u1080?\u1072?\u1090?\u1072? \u1085?\u1072? \u1045?\u1085?\u1077?\u1088?\u1075?\u1080?\u1081?\u1085?\u1072?\u1090?\u1072? \u1086?\u1073?\u1097?\u1085?\u1086?\u1089?\u109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Number3">
    <w:name w:val="List Number 3"/>
    <w:basedOn w:val="Normal"/>
    <w:pPr>
      <w:numPr>
        <w:numId w:val="1"/>
      </w:numPr>
    </w:pPr>
  </w:style>
  <w:style w:type="paragraph" w:styleId="ListNumber4">
    <w:name w:val="List Number 4"/>
    <w:basedOn w:val="Normal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Number3">
    <w:name w:val="List Number 3"/>
    <w:basedOn w:val="Normal"/>
    <w:pPr>
      <w:numPr>
        <w:numId w:val="1"/>
      </w:numPr>
    </w:pPr>
  </w:style>
  <w:style w:type="paragraph" w:styleId="ListNumber4">
    <w:name w:val="List Number 4"/>
    <w:basedOn w:val="Normal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8972-6279-4AF0-8FA4-AD49EA62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5</TotalTime>
  <Pages>5</Pages>
  <Words>861</Words>
  <Characters>4736</Characters>
  <Application>Microsoft Office Word</Application>
  <DocSecurity>0</DocSecurity>
  <Lines>102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18</cp:revision>
  <cp:lastPrinted>2018-11-15T10:38:00Z</cp:lastPrinted>
  <dcterms:created xsi:type="dcterms:W3CDTF">2018-11-29T14:32:00Z</dcterms:created>
  <dcterms:modified xsi:type="dcterms:W3CDTF">2018-12-03T08:45:00Z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