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CEE5118-B2F1-4ED4-89BE-2DFB4445D014"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before="360" w:after="0" w:line="360" w:lineRule="auto"/>
        <w:jc w:val="center"/>
        <w:rPr>
          <w:noProof/>
        </w:rPr>
      </w:pPr>
      <w:r>
        <w:rPr>
          <w:noProof/>
        </w:rPr>
        <w:t>DRAFT</w:t>
      </w:r>
    </w:p>
    <w:p>
      <w:pPr>
        <w:spacing w:before="360" w:after="0" w:line="360" w:lineRule="auto"/>
        <w:jc w:val="center"/>
        <w:rPr>
          <w:b/>
          <w:noProof/>
        </w:rPr>
      </w:pPr>
      <w:r>
        <w:rPr>
          <w:b/>
          <w:noProof/>
        </w:rPr>
        <w:t>DECISION No 2018/</w:t>
      </w:r>
      <w:r>
        <w:rPr>
          <w:b/>
          <w:noProof/>
        </w:rPr>
        <w:br/>
        <w:t>OF THE REGIONAL STEERING COMMITTEE OF THE TRANSPORT COMMUNITY</w:t>
      </w:r>
    </w:p>
    <w:p>
      <w:pPr>
        <w:spacing w:before="360" w:after="0" w:line="360" w:lineRule="auto"/>
        <w:jc w:val="center"/>
        <w:rPr>
          <w:b/>
          <w:noProof/>
          <w:szCs w:val="24"/>
        </w:rPr>
      </w:pPr>
      <w:r>
        <w:rPr>
          <w:b/>
          <w:noProof/>
          <w:szCs w:val="24"/>
        </w:rPr>
        <w:t>of …</w:t>
      </w:r>
    </w:p>
    <w:p>
      <w:pPr>
        <w:spacing w:before="0" w:after="200" w:line="276" w:lineRule="auto"/>
        <w:jc w:val="center"/>
        <w:rPr>
          <w:b/>
          <w:noProof/>
          <w:szCs w:val="24"/>
        </w:rPr>
      </w:pPr>
      <w:r>
        <w:rPr>
          <w:b/>
          <w:noProof/>
          <w:szCs w:val="24"/>
        </w:rPr>
        <w:t>on the adoption of the budget of the Transport Community for the year of 2019</w:t>
      </w:r>
    </w:p>
    <w:p>
      <w:pPr>
        <w:spacing w:before="360" w:after="360" w:line="360" w:lineRule="auto"/>
        <w:jc w:val="center"/>
        <w:rPr>
          <w:b/>
          <w:noProof/>
          <w:szCs w:val="24"/>
        </w:rPr>
      </w:pPr>
    </w:p>
    <w:p>
      <w:pPr>
        <w:keepNext/>
        <w:spacing w:before="600" w:line="360" w:lineRule="auto"/>
        <w:jc w:val="left"/>
        <w:rPr>
          <w:noProof/>
        </w:rPr>
      </w:pPr>
      <w:r>
        <w:rPr>
          <w:noProof/>
        </w:rPr>
        <w:t>THE REGIONAL STEERING COMMITTEE OF THE TRANSPORT COMMUNITY,</w:t>
      </w:r>
    </w:p>
    <w:p>
      <w:pPr>
        <w:spacing w:line="360" w:lineRule="auto"/>
        <w:jc w:val="left"/>
        <w:rPr>
          <w:noProof/>
        </w:rPr>
      </w:pPr>
      <w:r>
        <w:rPr>
          <w:noProof/>
        </w:rPr>
        <w:t>Having regard to the Treaty establishing the Transport Community, and in particular Article 24(1) and Aricles 30 and 35 thereof,</w:t>
      </w:r>
    </w:p>
    <w:p>
      <w:pPr>
        <w:keepNext/>
        <w:spacing w:line="360" w:lineRule="auto"/>
        <w:jc w:val="left"/>
        <w:rPr>
          <w:noProof/>
        </w:rPr>
      </w:pPr>
      <w:r>
        <w:rPr>
          <w:noProof/>
        </w:rPr>
        <w:t>HAS DECIDED AS FOLLOWS:</w:t>
      </w:r>
    </w:p>
    <w:p>
      <w:pPr>
        <w:keepNext/>
        <w:spacing w:before="360" w:line="360" w:lineRule="auto"/>
        <w:jc w:val="center"/>
        <w:rPr>
          <w:i/>
          <w:noProof/>
        </w:rPr>
      </w:pPr>
      <w:r>
        <w:rPr>
          <w:i/>
          <w:noProof/>
        </w:rPr>
        <w:t>Article 1</w:t>
      </w:r>
    </w:p>
    <w:p>
      <w:pPr>
        <w:spacing w:line="360" w:lineRule="auto"/>
        <w:jc w:val="left"/>
        <w:rPr>
          <w:noProof/>
        </w:rPr>
      </w:pPr>
      <w:r>
        <w:rPr>
          <w:noProof/>
        </w:rPr>
        <w:t>The budget of the Transport Community for the year of 2019, attached to this Decision, is hereby adopted.</w:t>
      </w:r>
    </w:p>
    <w:p>
      <w:pPr>
        <w:keepNext/>
        <w:spacing w:before="360" w:line="360" w:lineRule="auto"/>
        <w:jc w:val="center"/>
        <w:rPr>
          <w:i/>
          <w:noProof/>
        </w:rPr>
      </w:pPr>
      <w:r>
        <w:rPr>
          <w:i/>
          <w:noProof/>
        </w:rPr>
        <w:t>Article 2</w:t>
      </w:r>
    </w:p>
    <w:p>
      <w:pPr>
        <w:spacing w:line="360" w:lineRule="auto"/>
        <w:jc w:val="left"/>
        <w:rPr>
          <w:noProof/>
        </w:rPr>
      </w:pPr>
      <w:r>
        <w:rPr>
          <w:noProof/>
        </w:rPr>
        <w:t>The European Commission shall be in charge of implementing the budget and of the initiation of the work of the Permanent Secretariat of the Transport Community in accordance with Article 3.</w:t>
      </w:r>
    </w:p>
    <w:p>
      <w:pPr>
        <w:keepNext/>
        <w:spacing w:before="360" w:line="360" w:lineRule="auto"/>
        <w:jc w:val="center"/>
        <w:rPr>
          <w:i/>
          <w:noProof/>
        </w:rPr>
      </w:pPr>
      <w:r>
        <w:rPr>
          <w:i/>
          <w:noProof/>
        </w:rPr>
        <w:t>Article 3</w:t>
      </w:r>
    </w:p>
    <w:p>
      <w:pPr>
        <w:keepNext/>
        <w:spacing w:after="0" w:line="360" w:lineRule="auto"/>
        <w:jc w:val="left"/>
        <w:rPr>
          <w:noProof/>
        </w:rPr>
      </w:pPr>
      <w:r>
        <w:rPr>
          <w:noProof/>
        </w:rPr>
        <w:t>Article 2 shall apply from   xx December 2018. It shall cease to apply the day prior to the day on whichthe appointment of the Director of the Permanent Secretariat becomes effective.</w:t>
      </w:r>
    </w:p>
    <w:p>
      <w:pPr>
        <w:keepNext/>
        <w:spacing w:after="0" w:line="360" w:lineRule="auto"/>
        <w:jc w:val="left"/>
        <w:rPr>
          <w:noProof/>
        </w:rPr>
      </w:pPr>
      <w:r>
        <w:rPr>
          <w:noProof/>
        </w:rPr>
        <w:t>Done in …, on … 2018.</w:t>
      </w:r>
    </w:p>
    <w:p>
      <w:pPr>
        <w:keepNext/>
        <w:tabs>
          <w:tab w:val="left" w:pos="5669"/>
        </w:tabs>
        <w:spacing w:before="720" w:after="0" w:line="360" w:lineRule="auto"/>
        <w:jc w:val="left"/>
        <w:rPr>
          <w:i/>
          <w:noProof/>
        </w:rPr>
      </w:pPr>
      <w:r>
        <w:rPr>
          <w:i/>
          <w:noProof/>
        </w:rPr>
        <w:tab/>
        <w:t>For the Regional Steering Committee</w:t>
      </w:r>
    </w:p>
    <w:p>
      <w:pPr>
        <w:tabs>
          <w:tab w:val="left" w:pos="5669"/>
        </w:tabs>
        <w:spacing w:before="0" w:after="0" w:line="360" w:lineRule="auto"/>
        <w:jc w:val="left"/>
        <w:rPr>
          <w:i/>
          <w:noProof/>
        </w:rPr>
      </w:pPr>
      <w:r>
        <w:rPr>
          <w:i/>
          <w:noProof/>
        </w:rPr>
        <w:tab/>
        <w:t>The President</w:t>
      </w:r>
    </w:p>
    <w:p>
      <w:pPr>
        <w:spacing w:line="360" w:lineRule="auto"/>
        <w:jc w:val="left"/>
        <w:rPr>
          <w:b/>
          <w:noProof/>
        </w:rPr>
        <w:sectPr>
          <w:footerReference w:type="default" r:id="rId16"/>
          <w:footerReference w:type="first" r:id="rId17"/>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rFonts w:asciiTheme="minorHAnsi" w:hAnsiTheme="minorHAnsi" w:cstheme="minorBidi"/>
          <w:noProof/>
          <w:szCs w:val="24"/>
          <w:u w:val="single"/>
        </w:rPr>
      </w:pPr>
      <w:r>
        <w:rPr>
          <w:b/>
          <w:noProof/>
          <w:szCs w:val="24"/>
        </w:rPr>
        <w:t>APPENDIX: Budget of the Transport Community for the year 2019.</w:t>
      </w:r>
    </w:p>
    <w:tbl>
      <w:tblPr>
        <w:tblStyle w:val="TableGrid"/>
        <w:tblW w:w="13716" w:type="dxa"/>
        <w:tblLook w:val="04A0" w:firstRow="1" w:lastRow="0" w:firstColumn="1" w:lastColumn="0" w:noHBand="0" w:noVBand="1"/>
      </w:tblPr>
      <w:tblGrid>
        <w:gridCol w:w="8897"/>
        <w:gridCol w:w="4819"/>
      </w:tblGrid>
      <w:tr>
        <w:tc>
          <w:tcPr>
            <w:tcW w:w="8897" w:type="dxa"/>
          </w:tcPr>
          <w:p>
            <w:pPr>
              <w:spacing w:before="0" w:after="200"/>
              <w:jc w:val="left"/>
              <w:rPr>
                <w:i/>
                <w:noProof/>
                <w:szCs w:val="24"/>
              </w:rPr>
            </w:pPr>
            <w:r>
              <w:rPr>
                <w:i/>
                <w:noProof/>
                <w:szCs w:val="24"/>
              </w:rPr>
              <w:t>Budget line</w:t>
            </w:r>
          </w:p>
        </w:tc>
        <w:tc>
          <w:tcPr>
            <w:tcW w:w="4819" w:type="dxa"/>
          </w:tcPr>
          <w:p>
            <w:pPr>
              <w:spacing w:before="0" w:after="200"/>
              <w:jc w:val="right"/>
              <w:rPr>
                <w:i/>
                <w:noProof/>
                <w:szCs w:val="24"/>
              </w:rPr>
            </w:pPr>
            <w:r>
              <w:rPr>
                <w:i/>
                <w:noProof/>
                <w:szCs w:val="24"/>
              </w:rPr>
              <w:t>Amount</w:t>
            </w:r>
          </w:p>
        </w:tc>
      </w:tr>
      <w:tr>
        <w:tc>
          <w:tcPr>
            <w:tcW w:w="8897" w:type="dxa"/>
          </w:tcPr>
          <w:p>
            <w:pPr>
              <w:spacing w:before="0" w:after="200"/>
              <w:jc w:val="left"/>
              <w:rPr>
                <w:noProof/>
                <w:szCs w:val="24"/>
              </w:rPr>
            </w:pPr>
            <w:r>
              <w:rPr>
                <w:noProof/>
                <w:szCs w:val="24"/>
              </w:rPr>
              <w:t>Salaries for officials</w:t>
            </w:r>
          </w:p>
        </w:tc>
        <w:tc>
          <w:tcPr>
            <w:tcW w:w="4819" w:type="dxa"/>
          </w:tcPr>
          <w:p>
            <w:pPr>
              <w:spacing w:before="0" w:after="200"/>
              <w:jc w:val="right"/>
              <w:rPr>
                <w:b/>
                <w:noProof/>
                <w:szCs w:val="24"/>
              </w:rPr>
            </w:pPr>
            <w:r>
              <w:rPr>
                <w:b/>
                <w:noProof/>
                <w:szCs w:val="24"/>
              </w:rPr>
              <w:t>750.000</w:t>
            </w:r>
          </w:p>
        </w:tc>
      </w:tr>
      <w:tr>
        <w:tc>
          <w:tcPr>
            <w:tcW w:w="8897" w:type="dxa"/>
          </w:tcPr>
          <w:p>
            <w:pPr>
              <w:spacing w:before="0" w:after="200"/>
              <w:jc w:val="left"/>
              <w:rPr>
                <w:noProof/>
                <w:szCs w:val="24"/>
              </w:rPr>
            </w:pPr>
            <w:r>
              <w:rPr>
                <w:noProof/>
                <w:szCs w:val="24"/>
              </w:rPr>
              <w:t>Contribution to Health / Pension scheme for officials</w:t>
            </w:r>
          </w:p>
        </w:tc>
        <w:tc>
          <w:tcPr>
            <w:tcW w:w="4819" w:type="dxa"/>
          </w:tcPr>
          <w:p>
            <w:pPr>
              <w:spacing w:before="0" w:after="200"/>
              <w:jc w:val="right"/>
              <w:rPr>
                <w:b/>
                <w:noProof/>
                <w:szCs w:val="24"/>
              </w:rPr>
            </w:pPr>
            <w:r>
              <w:rPr>
                <w:b/>
                <w:noProof/>
                <w:szCs w:val="24"/>
              </w:rPr>
              <w:t>200.000</w:t>
            </w:r>
          </w:p>
        </w:tc>
      </w:tr>
      <w:tr>
        <w:tc>
          <w:tcPr>
            <w:tcW w:w="8897" w:type="dxa"/>
          </w:tcPr>
          <w:p>
            <w:pPr>
              <w:spacing w:before="0" w:after="200"/>
              <w:jc w:val="left"/>
              <w:rPr>
                <w:noProof/>
                <w:szCs w:val="24"/>
              </w:rPr>
            </w:pPr>
            <w:r>
              <w:rPr>
                <w:noProof/>
                <w:szCs w:val="24"/>
              </w:rPr>
              <w:t>Running costs of the secretariat  (incl. fixed expenditure / travel / meeting organisation)</w:t>
            </w:r>
          </w:p>
        </w:tc>
        <w:tc>
          <w:tcPr>
            <w:tcW w:w="4819" w:type="dxa"/>
          </w:tcPr>
          <w:p>
            <w:pPr>
              <w:spacing w:before="0" w:after="200"/>
              <w:jc w:val="right"/>
              <w:rPr>
                <w:b/>
                <w:noProof/>
                <w:szCs w:val="24"/>
              </w:rPr>
            </w:pPr>
            <w:r>
              <w:rPr>
                <w:b/>
                <w:noProof/>
                <w:szCs w:val="24"/>
              </w:rPr>
              <w:t>330.000</w:t>
            </w:r>
          </w:p>
        </w:tc>
      </w:tr>
      <w:tr>
        <w:tc>
          <w:tcPr>
            <w:tcW w:w="8897" w:type="dxa"/>
          </w:tcPr>
          <w:p>
            <w:pPr>
              <w:spacing w:before="0" w:after="200"/>
              <w:jc w:val="left"/>
              <w:rPr>
                <w:noProof/>
                <w:szCs w:val="24"/>
              </w:rPr>
            </w:pPr>
            <w:r>
              <w:rPr>
                <w:noProof/>
                <w:szCs w:val="24"/>
              </w:rPr>
              <w:t>Office IT equipment and furniture (not covered by the HQ Agreement)</w:t>
            </w:r>
          </w:p>
        </w:tc>
        <w:tc>
          <w:tcPr>
            <w:tcW w:w="4819" w:type="dxa"/>
          </w:tcPr>
          <w:p>
            <w:pPr>
              <w:spacing w:before="0" w:after="200"/>
              <w:jc w:val="right"/>
              <w:rPr>
                <w:b/>
                <w:noProof/>
                <w:szCs w:val="24"/>
              </w:rPr>
            </w:pPr>
            <w:r>
              <w:rPr>
                <w:b/>
                <w:noProof/>
                <w:szCs w:val="24"/>
              </w:rPr>
              <w:t>100.000</w:t>
            </w:r>
          </w:p>
        </w:tc>
      </w:tr>
      <w:tr>
        <w:tc>
          <w:tcPr>
            <w:tcW w:w="8897" w:type="dxa"/>
          </w:tcPr>
          <w:p>
            <w:pPr>
              <w:spacing w:before="0" w:after="200"/>
              <w:jc w:val="left"/>
              <w:rPr>
                <w:noProof/>
                <w:szCs w:val="24"/>
              </w:rPr>
            </w:pPr>
            <w:r>
              <w:rPr>
                <w:noProof/>
                <w:szCs w:val="24"/>
              </w:rPr>
              <w:t>Recruitment costs (publication and reimbursement of candidates)</w:t>
            </w:r>
          </w:p>
        </w:tc>
        <w:tc>
          <w:tcPr>
            <w:tcW w:w="4819" w:type="dxa"/>
          </w:tcPr>
          <w:p>
            <w:pPr>
              <w:spacing w:before="0" w:after="200"/>
              <w:jc w:val="right"/>
              <w:rPr>
                <w:b/>
                <w:noProof/>
                <w:szCs w:val="24"/>
              </w:rPr>
            </w:pPr>
            <w:r>
              <w:rPr>
                <w:b/>
                <w:noProof/>
                <w:szCs w:val="24"/>
              </w:rPr>
              <w:t>100.000</w:t>
            </w:r>
          </w:p>
        </w:tc>
      </w:tr>
      <w:tr>
        <w:tc>
          <w:tcPr>
            <w:tcW w:w="8897" w:type="dxa"/>
            <w:shd w:val="clear" w:color="auto" w:fill="BFBFBF" w:themeFill="background1" w:themeFillShade="BF"/>
          </w:tcPr>
          <w:p>
            <w:pPr>
              <w:spacing w:before="0" w:after="200"/>
              <w:jc w:val="left"/>
              <w:rPr>
                <w:b/>
                <w:noProof/>
                <w:szCs w:val="24"/>
              </w:rPr>
            </w:pPr>
            <w:r>
              <w:rPr>
                <w:b/>
                <w:noProof/>
                <w:szCs w:val="24"/>
              </w:rPr>
              <w:t>Total</w:t>
            </w:r>
          </w:p>
        </w:tc>
        <w:tc>
          <w:tcPr>
            <w:tcW w:w="4819" w:type="dxa"/>
            <w:shd w:val="clear" w:color="auto" w:fill="BFBFBF" w:themeFill="background1" w:themeFillShade="BF"/>
          </w:tcPr>
          <w:p>
            <w:pPr>
              <w:spacing w:before="0" w:after="200"/>
              <w:jc w:val="right"/>
              <w:rPr>
                <w:b/>
                <w:noProof/>
                <w:szCs w:val="24"/>
              </w:rPr>
            </w:pPr>
            <w:r>
              <w:rPr>
                <w:b/>
                <w:noProof/>
                <w:szCs w:val="24"/>
              </w:rPr>
              <w:t>1.480.000</w:t>
            </w:r>
          </w:p>
        </w:tc>
      </w:tr>
      <w:tr>
        <w:tc>
          <w:tcPr>
            <w:tcW w:w="8897" w:type="dxa"/>
          </w:tcPr>
          <w:p>
            <w:pPr>
              <w:spacing w:before="0" w:after="200"/>
              <w:jc w:val="left"/>
              <w:rPr>
                <w:b/>
                <w:noProof/>
                <w:szCs w:val="24"/>
              </w:rPr>
            </w:pPr>
            <w:r>
              <w:rPr>
                <w:b/>
                <w:noProof/>
                <w:szCs w:val="24"/>
              </w:rPr>
              <w:t>Reserve (approx: 10%)</w:t>
            </w:r>
          </w:p>
        </w:tc>
        <w:tc>
          <w:tcPr>
            <w:tcW w:w="4819" w:type="dxa"/>
          </w:tcPr>
          <w:p>
            <w:pPr>
              <w:spacing w:before="0" w:after="200"/>
              <w:jc w:val="right"/>
              <w:rPr>
                <w:b/>
                <w:noProof/>
                <w:szCs w:val="24"/>
              </w:rPr>
            </w:pPr>
            <w:r>
              <w:rPr>
                <w:b/>
                <w:noProof/>
                <w:szCs w:val="24"/>
              </w:rPr>
              <w:t>150.000</w:t>
            </w:r>
          </w:p>
        </w:tc>
      </w:tr>
      <w:tr>
        <w:tc>
          <w:tcPr>
            <w:tcW w:w="8897" w:type="dxa"/>
            <w:shd w:val="clear" w:color="auto" w:fill="BFBFBF" w:themeFill="background1" w:themeFillShade="BF"/>
          </w:tcPr>
          <w:p>
            <w:pPr>
              <w:spacing w:before="0" w:after="200"/>
              <w:jc w:val="left"/>
              <w:rPr>
                <w:b/>
                <w:noProof/>
                <w:szCs w:val="24"/>
              </w:rPr>
            </w:pPr>
            <w:r>
              <w:rPr>
                <w:b/>
                <w:noProof/>
                <w:szCs w:val="24"/>
              </w:rPr>
              <w:t>Grand total</w:t>
            </w:r>
          </w:p>
        </w:tc>
        <w:tc>
          <w:tcPr>
            <w:tcW w:w="4819" w:type="dxa"/>
            <w:shd w:val="clear" w:color="auto" w:fill="BFBFBF" w:themeFill="background1" w:themeFillShade="BF"/>
          </w:tcPr>
          <w:p>
            <w:pPr>
              <w:spacing w:before="0" w:after="200"/>
              <w:jc w:val="right"/>
              <w:rPr>
                <w:b/>
                <w:noProof/>
                <w:szCs w:val="24"/>
              </w:rPr>
            </w:pPr>
            <w:r>
              <w:rPr>
                <w:b/>
                <w:noProof/>
                <w:szCs w:val="24"/>
              </w:rPr>
              <w:t>1.630.000</w:t>
            </w:r>
          </w:p>
        </w:tc>
      </w:tr>
      <w:tr>
        <w:tc>
          <w:tcPr>
            <w:tcW w:w="8897" w:type="dxa"/>
          </w:tcPr>
          <w:p>
            <w:pPr>
              <w:spacing w:before="0" w:after="200"/>
              <w:jc w:val="left"/>
              <w:rPr>
                <w:b/>
                <w:noProof/>
                <w:szCs w:val="24"/>
              </w:rPr>
            </w:pPr>
            <w:r>
              <w:rPr>
                <w:b/>
                <w:i/>
                <w:noProof/>
                <w:szCs w:val="24"/>
              </w:rPr>
              <w:t xml:space="preserve">Of which: </w:t>
            </w:r>
            <w:r>
              <w:rPr>
                <w:b/>
                <w:noProof/>
                <w:szCs w:val="24"/>
              </w:rPr>
              <w:t xml:space="preserve"> EU contribution (</w:t>
            </w:r>
            <w:r>
              <w:rPr>
                <w:i/>
                <w:noProof/>
                <w:szCs w:val="24"/>
              </w:rPr>
              <w:t>80%)*</w:t>
            </w:r>
          </w:p>
        </w:tc>
        <w:tc>
          <w:tcPr>
            <w:tcW w:w="4819" w:type="dxa"/>
          </w:tcPr>
          <w:p>
            <w:pPr>
              <w:spacing w:before="0" w:after="200"/>
              <w:jc w:val="right"/>
              <w:rPr>
                <w:b/>
                <w:noProof/>
                <w:szCs w:val="24"/>
              </w:rPr>
            </w:pPr>
            <w:r>
              <w:rPr>
                <w:b/>
                <w:noProof/>
                <w:szCs w:val="24"/>
              </w:rPr>
              <w:t>1.304.000</w:t>
            </w:r>
          </w:p>
        </w:tc>
      </w:tr>
      <w:tr>
        <w:trPr>
          <w:trHeight w:val="273"/>
        </w:trPr>
        <w:tc>
          <w:tcPr>
            <w:tcW w:w="8897" w:type="dxa"/>
          </w:tcPr>
          <w:p>
            <w:pPr>
              <w:spacing w:before="0" w:after="200"/>
              <w:jc w:val="left"/>
              <w:rPr>
                <w:b/>
                <w:noProof/>
                <w:szCs w:val="24"/>
              </w:rPr>
            </w:pPr>
            <w:r>
              <w:rPr>
                <w:b/>
                <w:noProof/>
                <w:szCs w:val="24"/>
              </w:rPr>
              <w:t>WB6 contribution (</w:t>
            </w:r>
            <w:r>
              <w:rPr>
                <w:i/>
                <w:noProof/>
                <w:szCs w:val="24"/>
              </w:rPr>
              <w:t>20%: annex V of TCT provides the distribution per country).</w:t>
            </w:r>
          </w:p>
        </w:tc>
        <w:tc>
          <w:tcPr>
            <w:tcW w:w="4819" w:type="dxa"/>
          </w:tcPr>
          <w:p>
            <w:pPr>
              <w:spacing w:before="0" w:after="200"/>
              <w:jc w:val="right"/>
              <w:rPr>
                <w:b/>
                <w:noProof/>
                <w:szCs w:val="24"/>
              </w:rPr>
            </w:pPr>
            <w:r>
              <w:rPr>
                <w:b/>
                <w:noProof/>
                <w:szCs w:val="24"/>
              </w:rPr>
              <w:t>326.000</w:t>
            </w:r>
          </w:p>
        </w:tc>
      </w:tr>
    </w:tbl>
    <w:p>
      <w:pPr>
        <w:spacing w:before="0" w:after="200" w:line="276" w:lineRule="auto"/>
        <w:jc w:val="left"/>
        <w:rPr>
          <w:rFonts w:eastAsia="Times New Roman"/>
          <w:noProof/>
          <w:szCs w:val="24"/>
          <w:lang w:eastAsia="en-GB"/>
        </w:rPr>
      </w:pPr>
      <w:r>
        <w:rPr>
          <w:rFonts w:eastAsia="Times New Roman"/>
          <w:noProof/>
          <w:szCs w:val="24"/>
          <w:lang w:eastAsia="en-GB"/>
        </w:rPr>
        <w:t>* The figure of the EU contribution is without prejudice of the adoption of the EU budget for 2019.</w:t>
      </w:r>
    </w:p>
    <w:p>
      <w:pPr>
        <w:rPr>
          <w:noProof/>
        </w:rPr>
        <w:sectPr>
          <w:headerReference w:type="default"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pPr>
    </w:p>
    <w:p>
      <w:pPr>
        <w:rPr>
          <w:rFonts w:asciiTheme="minorHAnsi" w:hAnsiTheme="minorHAnsi" w:cstheme="minorBidi"/>
          <w:noProof/>
          <w:sz w:val="22"/>
        </w:rPr>
      </w:pPr>
    </w:p>
    <w:sectPr>
      <w:headerReference w:type="default" r:id="rId22"/>
      <w:footerReference w:type="default" r:id="rId23"/>
      <w:headerReference w:type="first" r:id="rId24"/>
      <w:footerReference w:type="first" r:id="rId25"/>
      <w:footnotePr>
        <w:numRestart w:val="eachPage"/>
      </w:footnotePr>
      <w:endnotePr>
        <w:numRestart w:val="eachSect"/>
      </w:endnotePr>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60F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629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AEE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465D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8CE0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BCBA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242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C61CAB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8 10:59: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0"/>
    <w:docVar w:name="LW_CORRIGENDUM" w:val="&lt;UNUSED&gt;"/>
    <w:docVar w:name="LW_COVERPAGE_EXISTS" w:val="True"/>
    <w:docVar w:name="LW_COVERPAGE_GUID" w:val="3CEE5118-B2F1-4ED4-89BE-2DFB4445D014"/>
    <w:docVar w:name="LW_COVERPAGE_TYPE" w:val="1"/>
    <w:docVar w:name="LW_CROSSREFERENCE" w:val="&lt;UNUSED&gt;"/>
    <w:docVar w:name="LW_DocType" w:val="ANNEX"/>
    <w:docVar w:name="LW_EMISSION" w:val="3.12.2018"/>
    <w:docVar w:name="LW_EMISSION_ISODATE" w:val="2018-12-0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adopted on behalf of the European Union within the Regional Steering Committee of the Transport Community as regards certain budgetary and personnel matters in relation to the implementation of the Treaty establishing the Transport Community_x000b_"/>
    <w:docVar w:name="LW_OBJETACTEPRINCIPAL.CP" w:val="establishing the position to be adopted on behalf of the European Union within the Regional Steering Committee of the Transport Community as regards certain budgetary and personnel matters in relation to the implementation of the Treaty establishing the Transport Community_x000b_"/>
    <w:docVar w:name="LW_PART_NBR" w:val="1"/>
    <w:docVar w:name="LW_PART_NBR_TOTAL" w:val="1"/>
    <w:docVar w:name="LW_REF.INST.NEW" w:val="COM"/>
    <w:docVar w:name="LW_REF.INST.NEW_ADOPTED" w:val="final"/>
    <w:docVar w:name="LW_REF.INST.NEW_TEXT" w:val="(2018)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D820-2E80-4B67-A12A-811C81A3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274</Words>
  <Characters>1439</Characters>
  <Application>Microsoft Office Word</Application>
  <DocSecurity>0</DocSecurity>
  <Lines>53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BECUE Estelle (MOVE)</dc:creator>
  <cp:lastModifiedBy>DIGIT/C6</cp:lastModifiedBy>
  <cp:revision>8</cp:revision>
  <cp:lastPrinted>2018-10-22T12:06:00Z</cp:lastPrinted>
  <dcterms:created xsi:type="dcterms:W3CDTF">2018-11-23T14:59:00Z</dcterms:created>
  <dcterms:modified xsi:type="dcterms:W3CDTF">2018-11-28T09:59:00Z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