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4EB8AD1-9EE5-4941-BA50-D0B37657A243" style="width:450.75pt;height:43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ind w:left="720"/>
        <w:rPr>
          <w:noProof/>
        </w:rPr>
      </w:pPr>
      <w:r>
        <w:rPr>
          <w:noProof/>
        </w:rPr>
        <w:t>С проекта на решение на Съвместния комитет на ЕИП (приложен към предложението за решение на Съвета) се цели да се измени приложение IX (Финансови услуги) към Споразумението за ЕИП, за да се включи Регламентът за централните депозитари на ценни книжа</w:t>
      </w:r>
      <w:r>
        <w:rPr>
          <w:rStyle w:val="FootnoteReference"/>
          <w:noProof/>
        </w:rPr>
        <w:footnoteReference w:id="1"/>
      </w:r>
      <w:r>
        <w:rPr>
          <w:noProof/>
        </w:rPr>
        <w:t xml:space="preserve"> в Споразумението за ЕИП. </w:t>
      </w:r>
    </w:p>
    <w:p>
      <w:pPr>
        <w:pStyle w:val="Text1"/>
        <w:ind w:left="720"/>
        <w:rPr>
          <w:noProof/>
        </w:rPr>
      </w:pPr>
      <w:r>
        <w:rPr>
          <w:noProof/>
        </w:rPr>
        <w:t>Адаптациите, които фигурират в приложените проекти на решения на Съвместния комитет на ЕИП, надхвърлят това, което може да се счита за чисто технически адаптации по смисъла на Регламент № 2894/94 на Съвета. Поради това позицията на Съюза ще бъде определена от Съвета.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Style w:val="Text1"/>
        <w:ind w:left="720"/>
        <w:rPr>
          <w:rFonts w:eastAsia="Arial Unicode MS"/>
          <w:noProof/>
        </w:rPr>
      </w:pPr>
      <w:r>
        <w:rPr>
          <w:noProof/>
        </w:rPr>
        <w:t>Приложеният проект на решение на Съвместния комитет на ЕИП разширява вече съществуващата политика на ЕС, за да включи в нея членуващите в ЕИП държави от ЕАСТ (Норвегия, Исландия и Лихтенщайн).</w:t>
      </w:r>
      <w:r>
        <w:t xml:space="preserve"> </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Style w:val="Text1"/>
        <w:ind w:left="720"/>
        <w:rPr>
          <w:noProof/>
        </w:rPr>
      </w:pPr>
      <w:r>
        <w:rPr>
          <w:noProof/>
        </w:rPr>
        <w:t xml:space="preserve">Разширяването на прилагането на достиженията на правото на ЕС за членуващите в ЕИП държави от ЕАСТ чрез включването на тези достижения в Споразумението за ЕИП се извършва в съответствие с целите и принципите на това споразумение, с цел създаването на динамично и хомогенно европейско икономическо пространство, основано на общи правила и еднакви условия на конкуренция. </w:t>
      </w:r>
    </w:p>
    <w:p>
      <w:pPr>
        <w:pStyle w:val="ManualHeading1"/>
        <w:rPr>
          <w:noProof/>
        </w:rPr>
      </w:pPr>
      <w:r>
        <w:rPr>
          <w:noProof/>
        </w:rPr>
        <w:t>2.</w:t>
      </w:r>
      <w:r>
        <w:rPr>
          <w:noProof/>
        </w:rPr>
        <w:tab/>
        <w:t>ПРАВНО ОСНОВАНИЕ, СУБИСИДИАРНОСТ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Style w:val="Text1"/>
        <w:rPr>
          <w:noProof/>
        </w:rPr>
      </w:pPr>
      <w:r>
        <w:rPr>
          <w:noProof/>
        </w:rPr>
        <w:t>Законодателството, което трябва да бъде включено в Споразумението за ЕИП, се основава на член 114 от Договора за функционирането на Европейския съюз.</w:t>
      </w:r>
    </w:p>
    <w:p>
      <w:pPr>
        <w:pStyle w:val="Text1"/>
        <w:rPr>
          <w:noProof/>
        </w:rPr>
      </w:pPr>
      <w:r>
        <w:rPr>
          <w:noProof/>
        </w:rPr>
        <w:t>Съгласно член 1, параграф 3 от Регламент (ЕО) № 2894/94 на Съвета</w:t>
      </w:r>
      <w:r>
        <w:rPr>
          <w:rStyle w:val="FootnoteReference"/>
          <w:noProof/>
        </w:rPr>
        <w:footnoteReference w:id="2"/>
      </w:r>
      <w:r>
        <w:rPr>
          <w:noProof/>
        </w:rPr>
        <w:t xml:space="preserve"> относно условията за прилагане на Споразумението за Европейското икономическо пространство Съветът определя въз основа на предложение на Комисията позицията, която трябва да се заеме от името на Съюза по отношение на подобни решения. </w:t>
      </w:r>
    </w:p>
    <w:p>
      <w:pPr>
        <w:pStyle w:val="Text1"/>
        <w:rPr>
          <w:noProof/>
        </w:rPr>
      </w:pPr>
      <w:r>
        <w:rPr>
          <w:noProof/>
        </w:rPr>
        <w:t>ЕСВД и службите на Комисията представят проектите на решения на Съвместния комитет на ЕИП пред Съвета, който следва да ги приеме като позиция на Съюза. ЕСВД се надява да има възможност да ги представи пред Съвместния комитет на ЕИП възможно най-скоро.</w:t>
      </w:r>
    </w:p>
    <w:p>
      <w:pPr>
        <w:pStyle w:val="ManualHeading2"/>
        <w:rPr>
          <w:rFonts w:eastAsia="Arial Unicode MS"/>
          <w:noProof/>
          <w:u w:color="000000"/>
          <w:bdr w:val="nil"/>
        </w:rPr>
      </w:pPr>
      <w:r>
        <w:rPr>
          <w:noProof/>
        </w:rPr>
        <w:lastRenderedPageBreak/>
        <w:t>•</w:t>
      </w:r>
      <w:r>
        <w:rPr>
          <w:noProof/>
        </w:rPr>
        <w:tab/>
        <w:t xml:space="preserve">Субсидиарност (при неизключителна компетентност) </w:t>
      </w:r>
    </w:p>
    <w:p>
      <w:pPr>
        <w:pStyle w:val="Text1"/>
        <w:rPr>
          <w:noProof/>
        </w:rPr>
      </w:pPr>
      <w:r>
        <w:rPr>
          <w:noProof/>
        </w:rPr>
        <w:t xml:space="preserve">Предложението е в съответствие с принципа на субсидиарност по следната причина. </w:t>
      </w:r>
    </w:p>
    <w:p>
      <w:pPr>
        <w:pStyle w:val="Text1"/>
        <w:rPr>
          <w:noProof/>
        </w:rPr>
      </w:pPr>
      <w:r>
        <w:rPr>
          <w:noProof/>
        </w:rPr>
        <w:t xml:space="preserve">Целта на настоящото предложение, а именно да се осигури хомогенността на вътрешния пазар, не може да бъде постигната в достатъчна степен от държавите членки, вследствие на което може, с оглед на последиците, да бъде постигната по-добре на равнището на Съюза. </w:t>
      </w:r>
    </w:p>
    <w:p>
      <w:pPr>
        <w:pStyle w:val="Text1"/>
        <w:rPr>
          <w:noProof/>
        </w:rPr>
      </w:pPr>
      <w:r>
        <w:rPr>
          <w:noProof/>
        </w:rPr>
        <w:t xml:space="preserve">Процесът на включване на достиженията на правото на ЕС в Споразумението за ЕИП се извършва в съответствие с Регламент (ЕО) № 2894/94 на Съвета от 28 ноември 1994 г. относно условията за прилагане на Споразумението за Европейското икономическо пространство, който потвърждава възприетия подход. </w:t>
      </w:r>
    </w:p>
    <w:p>
      <w:pPr>
        <w:pStyle w:val="ManualHeading2"/>
        <w:rPr>
          <w:rFonts w:eastAsia="Arial Unicode MS"/>
          <w:noProof/>
          <w:u w:color="000000"/>
          <w:bdr w:val="nil"/>
        </w:rPr>
      </w:pPr>
      <w:r>
        <w:rPr>
          <w:noProof/>
        </w:rPr>
        <w:t>•</w:t>
      </w:r>
      <w:r>
        <w:rPr>
          <w:noProof/>
        </w:rPr>
        <w:tab/>
        <w:t>Пропорционалност</w:t>
      </w:r>
    </w:p>
    <w:p>
      <w:pPr>
        <w:pStyle w:val="Text1"/>
        <w:rPr>
          <w:noProof/>
        </w:rPr>
      </w:pPr>
      <w:r>
        <w:rPr>
          <w:noProof/>
        </w:rPr>
        <w:t>В съответствие с принципа на пропорционалност настоящото предложение не надхвърля необходимото за постигането на своята цел.</w:t>
      </w:r>
    </w:p>
    <w:p>
      <w:pPr>
        <w:pStyle w:val="ManualHeading2"/>
        <w:rPr>
          <w:rFonts w:eastAsia="Arial Unicode MS"/>
          <w:noProof/>
          <w:u w:color="000000"/>
          <w:bdr w:val="nil"/>
        </w:rPr>
      </w:pPr>
      <w:r>
        <w:rPr>
          <w:noProof/>
        </w:rPr>
        <w:t>•</w:t>
      </w:r>
      <w:r>
        <w:rPr>
          <w:noProof/>
        </w:rPr>
        <w:tab/>
        <w:t>Избор на инструмент</w:t>
      </w:r>
    </w:p>
    <w:p>
      <w:pPr>
        <w:pStyle w:val="Text1"/>
        <w:rPr>
          <w:noProof/>
        </w:rPr>
      </w:pPr>
      <w:r>
        <w:rPr>
          <w:noProof/>
        </w:rPr>
        <w:t xml:space="preserve">В съответствие с член 98 от Споразумението за ЕИП избраният инструмент е решение на Съвместния комитет на ЕИП. Съвместният комитет на ЕИП осигурява ефективното изпълнение и функциониране на Споразумението за ЕИП. За тази цел той взема решения в случаите, предвидени в това споразумение. </w:t>
      </w:r>
    </w:p>
    <w:p>
      <w:pPr>
        <w:pStyle w:val="ManualHeading1"/>
        <w:rPr>
          <w:noProof/>
        </w:rPr>
      </w:pPr>
      <w:r>
        <w:rPr>
          <w:noProof/>
        </w:rPr>
        <w:t>3.</w:t>
      </w:r>
      <w:r>
        <w:rPr>
          <w:noProof/>
        </w:rPr>
        <w:tab/>
        <w:t>РЕЗУЛТАТИ ОТ ПОСЛЕДВАЩИ ОЦЕНКИ, КОНСУЛТАЦИИ СЪС ЗАИНТЕРЕСОВАНИТЕ СТРАНИ И ОЦЕНКИ НА ВЪЗДЕЙСТВИЕТО</w:t>
      </w:r>
    </w:p>
    <w:p>
      <w:pPr>
        <w:pStyle w:val="Text1"/>
        <w:rPr>
          <w:noProof/>
        </w:rPr>
      </w:pPr>
      <w:r>
        <w:rPr>
          <w:noProof/>
        </w:rPr>
        <w:t xml:space="preserve">Не е приложимо. </w:t>
      </w:r>
    </w:p>
    <w:p>
      <w:pPr>
        <w:pStyle w:val="ManualHeading1"/>
        <w:rPr>
          <w:noProof/>
        </w:rPr>
      </w:pPr>
      <w:r>
        <w:rPr>
          <w:noProof/>
        </w:rPr>
        <w:t>4.</w:t>
      </w:r>
      <w:r>
        <w:rPr>
          <w:noProof/>
        </w:rPr>
        <w:tab/>
        <w:t>ОТРАЖЕНИЕ ВЪРХУ БЮДЖЕТА</w:t>
      </w:r>
    </w:p>
    <w:p>
      <w:pPr>
        <w:pStyle w:val="Text1"/>
        <w:rPr>
          <w:noProof/>
        </w:rPr>
      </w:pPr>
      <w:r>
        <w:rPr>
          <w:noProof/>
        </w:rPr>
        <w:t>Не се очаква отражение върху бюджета в резултат от включването на горепосочения регламент в Споразумението за ЕИП.</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ind w:firstLine="720"/>
        <w:rPr>
          <w:i/>
          <w:noProof/>
        </w:rPr>
      </w:pPr>
      <w:r>
        <w:rPr>
          <w:i/>
          <w:noProof/>
        </w:rPr>
        <w:t>Положението на Лихтенщайн (адаптация 3, буква в)</w:t>
      </w:r>
    </w:p>
    <w:p>
      <w:pPr>
        <w:ind w:left="720"/>
        <w:rPr>
          <w:noProof/>
        </w:rPr>
      </w:pPr>
      <w:r>
        <w:rPr>
          <w:noProof/>
        </w:rPr>
        <w:t xml:space="preserve">Лихтенщайн и Швейцария са свързани с плътна мрежа от договори, включително по-специално Договора за митнически съюз от 1923 г. и Валутния договор от 1980 г., съгласно който Лихтенщайн (вече използващ швейцарския франк като официална парична единица от 1921 г.) се включва във валутната зона на Швейцария. В сектора на финансовите услуги Валутният договор предвижда прякото прилагане на някои швейцарски правни и административни правила (вж. приложенията към Валутния договор). В резултат на това някои финансови посредници (например банки, инвестиционни дружества) трябва да отговарят на изискванията за докладване на Швейцарската национална банка (ШНБ), за да може тя да провежда парична политика. В исторически план общата икономическа и валутна зона доведе до силни икономически връзки </w:t>
      </w:r>
      <w:r>
        <w:rPr>
          <w:noProof/>
        </w:rPr>
        <w:lastRenderedPageBreak/>
        <w:t>между двете страни, които продължиха да съществуват след присъединяването на Лихтенщайн към Споразумението за ЕИП.</w:t>
      </w:r>
    </w:p>
    <w:p>
      <w:pPr>
        <w:ind w:left="720"/>
        <w:rPr>
          <w:noProof/>
        </w:rPr>
      </w:pPr>
      <w:r>
        <w:rPr>
          <w:noProof/>
        </w:rPr>
        <w:t xml:space="preserve">Поради тези причини финансовият пазар на Лихтенщайн е напълно интегриран в инфраструктурата на финансовите пазари в Швейцария и разчита в голяма степен на тях. Всяко промяна на настоящата уредба може да доведе до предизвикателства за участниците на финансовите пазари в Лихтенщайн. Поради това в адаптация 3, буква в) се предвижда, че на централните депозитари на ценни книжа на трети държави, които вече предоставят услуги, посочени в член 25, параграф 2 от Регламента за ЦДЦК, на финансови посредници в Лихтенщайн или които вече са създали клон в Лихтенщайн, може да бъде разрешено да продължат да предоставят услугите, посочени в член 25, параграф 2, за срок, не по-дълъг от 5 години след датата на влизане в сила на приложения проект на решение на Съвместния комитет на ЕИП.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2018/0404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Съвместния комитет на ЕИП във връзка с изменение на приложение IX (Финансови услуги) към Споразумението за ЕИП</w:t>
      </w:r>
      <w:r>
        <w:rPr>
          <w:noProof/>
        </w:rPr>
        <w:br/>
      </w:r>
      <w:r>
        <w:rPr>
          <w:noProof/>
        </w:rPr>
        <w:br/>
        <w:t>(Регламент за централните депозитари на ценни книжа (ЦДЦК)</w:t>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във връзка с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3"/>
      </w:r>
      <w:r>
        <w:rPr>
          <w:noProof/>
        </w:rPr>
        <w:t xml:space="preserve">, и по-специално член 1, параграф 3 от него, </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
          <w:noProof/>
        </w:rPr>
        <w:footnoteReference w:id="4"/>
      </w:r>
      <w:r>
        <w:rPr>
          <w:noProof/>
        </w:rPr>
        <w:t xml:space="preserve"> („Споразумението за ЕИП“) влезе в сила на 1 януари 1994 г.</w:t>
      </w:r>
    </w:p>
    <w:p>
      <w:pPr>
        <w:pStyle w:val="ManualConsidrant"/>
        <w:rPr>
          <w:noProof/>
        </w:rPr>
      </w:pPr>
      <w:r>
        <w:t>(2)</w:t>
      </w:r>
      <w:r>
        <w:tab/>
      </w:r>
      <w:r>
        <w:rPr>
          <w:noProof/>
        </w:rPr>
        <w:t xml:space="preserve">Съгласно член 98 от Споразумението за ЕИП Съвместният комитет на ЕИП може да реши да измени, </w:t>
      </w:r>
      <w:r>
        <w:rPr>
          <w:i/>
          <w:noProof/>
        </w:rPr>
        <w:t>inter alia</w:t>
      </w:r>
      <w:r>
        <w:rPr>
          <w:noProof/>
        </w:rPr>
        <w:t>, приложение IX към Споразумението за ЕИП, което съдържа разпоредби относно финансовите услуги.</w:t>
      </w:r>
    </w:p>
    <w:p>
      <w:pPr>
        <w:pStyle w:val="ManualConsidrant"/>
        <w:rPr>
          <w:noProof/>
        </w:rPr>
      </w:pPr>
      <w:r>
        <w:t>(3)</w:t>
      </w:r>
      <w:r>
        <w:tab/>
      </w:r>
      <w:r>
        <w:rPr>
          <w:noProof/>
        </w:rPr>
        <w:t>Регламент (ЕС) № 909/2014 на Европейския парламент и на Съвета</w:t>
      </w:r>
      <w:r>
        <w:rPr>
          <w:rStyle w:val="FootnoteReference"/>
          <w:noProof/>
        </w:rPr>
        <w:footnoteReference w:id="5"/>
      </w:r>
      <w:r>
        <w:rPr>
          <w:noProof/>
        </w:rPr>
        <w:t xml:space="preserve"> следва да бъде включен в Споразумението за ЕИП.</w:t>
      </w:r>
    </w:p>
    <w:p>
      <w:pPr>
        <w:pStyle w:val="ManualConsidrant"/>
        <w:rPr>
          <w:noProof/>
        </w:rPr>
      </w:pPr>
      <w:r>
        <w:t>(4)</w:t>
      </w:r>
      <w:r>
        <w:tab/>
      </w:r>
      <w:r>
        <w:rPr>
          <w:noProof/>
        </w:rPr>
        <w:t xml:space="preserve">Поради това приложение IX към Споразумението за ЕИП следва да бъде съответно изменено. </w:t>
      </w:r>
    </w:p>
    <w:p>
      <w:pPr>
        <w:pStyle w:val="ManualConsidrant"/>
        <w:rPr>
          <w:noProof/>
        </w:rPr>
      </w:pPr>
      <w:r>
        <w:t>(5)</w:t>
      </w:r>
      <w:r>
        <w:tab/>
      </w:r>
      <w:r>
        <w:rPr>
          <w:noProof/>
        </w:rPr>
        <w:t>Ето защо позицията на Съюза в рамките на Съвместния комитет на ЕИП следва да се основава на приложения проект на решение,</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Съвместния комитет на ЕИП във връзка с предложеното изменение на приложение IX (Финансови услуги) към Споразумението за ЕИП, се основава на проектите на решения на Съвместния комитет на ЕИП, приложени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r>
        <w:rPr>
          <w:noProof/>
        </w:rPr>
        <w:tab/>
      </w:r>
      <w:r>
        <w:rPr>
          <w:noProof/>
        </w:rPr>
        <w:br/>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 909/2014 на Европейския парламент и на Съвета от 23 юли 2014 г. за подобряване на сетълмента на ценни книжа в Европейския съюз и за централните депозитари на ценни книжа, както и за изменение на директиви 98/26/ЕО и 2014/65/ЕС и Регламент (ЕС) № 236/2012.</w:t>
      </w:r>
    </w:p>
  </w:footnote>
  <w:footnote w:id="2">
    <w:p>
      <w:pPr>
        <w:pStyle w:val="FootnoteText"/>
        <w:rPr>
          <w:iCs/>
        </w:rPr>
      </w:pPr>
      <w:r>
        <w:rPr>
          <w:rStyle w:val="FootnoteReference"/>
        </w:rPr>
        <w:footnoteRef/>
      </w:r>
      <w:r>
        <w:tab/>
        <w:t>ОВ L 305, 30.11.1994 г., стр. 6—8.</w:t>
      </w:r>
    </w:p>
  </w:footnote>
  <w:footnote w:id="3">
    <w:p>
      <w:pPr>
        <w:pStyle w:val="FootnoteText"/>
      </w:pPr>
      <w:r>
        <w:rPr>
          <w:rStyle w:val="FootnoteReference"/>
        </w:rPr>
        <w:footnoteRef/>
      </w:r>
      <w:r>
        <w:tab/>
        <w:t>ОВ L 305, 30.11.1994 г., стр. 6.</w:t>
      </w:r>
    </w:p>
  </w:footnote>
  <w:footnote w:id="4">
    <w:p>
      <w:pPr>
        <w:pStyle w:val="FootnoteText"/>
      </w:pPr>
      <w:r>
        <w:rPr>
          <w:rStyle w:val="FootnoteReference"/>
        </w:rPr>
        <w:footnoteRef/>
      </w:r>
      <w:r>
        <w:tab/>
        <w:t xml:space="preserve">ОВ L 1, 3.1.1994 г., стр. 3. </w:t>
      </w:r>
    </w:p>
  </w:footnote>
  <w:footnote w:id="5">
    <w:p>
      <w:pPr>
        <w:pStyle w:val="FootnoteText"/>
      </w:pPr>
      <w:r>
        <w:rPr>
          <w:rStyle w:val="FootnoteReference"/>
        </w:rPr>
        <w:footnoteRef/>
      </w:r>
      <w:r>
        <w:tab/>
        <w:t xml:space="preserve">Регламент (ЕС) № 909/2014 на Европейския парламент и на Съвета от 23 юли 2014 г. за подобряване на сетълмента на ценни книжа в Европейския съюз и за централните депозитари на ценни книжа, както и за изменение на директиви 98/26/ЕО и 2014/65/ЕС и Регламент (ЕС) № 236/2012 (ОВ L 257, 28.8.2014 г., стр.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F5017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AEC44C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458C0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B9A32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AD2E28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638E5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000EEE4"/>
    <w:lvl w:ilvl="0">
      <w:start w:val="1"/>
      <w:numFmt w:val="decimal"/>
      <w:pStyle w:val="ListNumber"/>
      <w:lvlText w:val="%1."/>
      <w:lvlJc w:val="left"/>
      <w:pPr>
        <w:tabs>
          <w:tab w:val="num" w:pos="360"/>
        </w:tabs>
        <w:ind w:left="360" w:hanging="360"/>
      </w:pPr>
    </w:lvl>
  </w:abstractNum>
  <w:abstractNum w:abstractNumId="7">
    <w:nsid w:val="FFFFFF89"/>
    <w:multiLevelType w:val="singleLevel"/>
    <w:tmpl w:val="A98CFCB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26 09:34:3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4EB8AD1-9EE5-4941-BA50-D0B37657A243"/>
    <w:docVar w:name="LW_COVERPAGE_TYPE" w:val="1"/>
    <w:docVar w:name="LW_CROSSREFERENCE" w:val="&lt;UNUSED&gt;"/>
    <w:docVar w:name="LW_DocType" w:val="COM"/>
    <w:docVar w:name="LW_EMISSION" w:val="5.12.2018"/>
    <w:docVar w:name="LW_EMISSION_ISODATE" w:val="2018-12-05"/>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404"/>
    <w:docVar w:name="LW_REF.II.NEW.CP_YEAR" w:val="2018"/>
    <w:docVar w:name="LW_REF.INST.NEW" w:val="COM"/>
    <w:docVar w:name="LW_REF.INST.NEW_ADOPTED" w:val="final"/>
    <w:docVar w:name="LW_REF.INST.NEW_TEXT" w:val="(2018) 7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87?\u1088?\u1080?\u1083?\u1086?\u1078?\u1077?\u1085?\u1080?\u1077? IX (\u1060?\u1080?\u1085?\u1072?\u1085?\u1089?\u1086?\u1074?\u1080? \u1091?\u1089?\u1083?\u1091?\u1075?\u1080?) \u1082?\u1098?\u1084? \u1057?\u1087?\u1086?\u1088?\u1072?\u1079?\u1091?\u1084?\u1077?\u1085?\u1080?\u1077?\u1090?\u1086? \u1079?\u1072? \u1045?\u1048?\u1055?_x000b__x000b_(\u1056?\u1077?\u1075?\u1083?\u1072?\u1084?\u1077?\u1085?\u1090? \u1079?\u1072? \u1094?\u1077?\u1085?\u1090?\u1088?\u1072?\u1083?\u1085?\u1080?\u1090?\u1077? \u1076?\u1077?\u1087?\u1086?\u1079?\u1080?\u1090?\u1072?\u1088?\u1080? \u1085?\u1072? \u1094?\u1077?\u1085?\u1085?\u1080? \u1082?\u1085?\u1080?\u1078?\u1072? (\u1062?\u1044?\u1062?\u105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CAA9B-C440-49F9-B25C-3C475298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6</Pages>
  <Words>1082</Words>
  <Characters>6117</Characters>
  <Application>Microsoft Office Word</Application>
  <DocSecurity>0</DocSecurity>
  <Lines>135</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2018-10-12T14:22:00Z</dcterms:created>
  <dcterms:modified xsi:type="dcterms:W3CDTF">2018-11-26T08:34:00Z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