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CEC9B9-5D5F-4259-8C9E-C2F3360E17DA" style="width:450.7pt;height:44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ind w:left="720"/>
        <w:rPr>
          <w:noProof/>
        </w:rPr>
      </w:pPr>
      <w:r>
        <w:rPr>
          <w:noProof/>
        </w:rPr>
        <w:t>Le projet de décision du Comité mixte de l’EEE (joint à la proposition de décision du Conseil) vise à modifier l’annexe IX (Services financiers) de l’accord EEE afin d’y intégrer le règlement sur les dépositaires centraux de titres</w:t>
      </w:r>
      <w:r>
        <w:rPr>
          <w:rStyle w:val="FootnoteReference"/>
          <w:noProof/>
        </w:rPr>
        <w:footnoteReference w:id="1"/>
      </w:r>
      <w:r>
        <w:rPr>
          <w:noProof/>
        </w:rPr>
        <w:t xml:space="preserve">. </w:t>
      </w:r>
    </w:p>
    <w:p>
      <w:pPr>
        <w:pStyle w:val="Text1"/>
        <w:ind w:left="720"/>
        <w:rPr>
          <w:noProof/>
        </w:rPr>
      </w:pPr>
      <w:r>
        <w:rPr>
          <w:noProof/>
        </w:rPr>
        <w:t>Les adaptations figurant dans les projets ci-joints de décisions du Comité mixte de l’EEE vont au-delà de ce qui peut être considéré comme de simples adaptations techniques au sens du règlement (CE) nº 2894/94 du Conseil. La position de l’Union doit donc être établie par le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ind w:left="720"/>
        <w:rPr>
          <w:rFonts w:eastAsia="Arial Unicode MS"/>
          <w:noProof/>
        </w:rPr>
      </w:pPr>
      <w:r>
        <w:rPr>
          <w:noProof/>
        </w:rPr>
        <w:t>Le projet ci-joint de décision du Comité mixte de l’EEE étend la politique déjà existante de l’UE aux États de l’AELE membres de l’EEE (Norvège, Islande et Liechtenstein).</w:t>
      </w:r>
      <w:r>
        <w:t xml:space="preserve">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ind w:left="720"/>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l’article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2"/>
      </w:r>
      <w:r>
        <w:rPr>
          <w:noProof/>
        </w:rPr>
        <w:t xml:space="preserve"> prévoit que le Conseil arrête, sur proposition de la Commission, la position à prendre au nom de l'Union à l'égard de décisions de ce type. </w:t>
      </w:r>
    </w:p>
    <w:p>
      <w:pPr>
        <w:pStyle w:val="Text1"/>
        <w:rPr>
          <w:noProof/>
        </w:rPr>
      </w:pPr>
      <w:r>
        <w:rPr>
          <w:noProof/>
        </w:rPr>
        <w:t>Le SEAE, conjointement avec les services de la Commission, soumet les projets de décisions du Comité mixte de l’EEE au Conseil pour adoption en tant que position de l’Union. Il espère pouvoir présenter ces documents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Text1"/>
        <w:rPr>
          <w:noProof/>
        </w:rPr>
      </w:pPr>
      <w:r>
        <w:rPr>
          <w:noProof/>
        </w:rPr>
        <w:t xml:space="preserve">Sans objet </w:t>
      </w:r>
    </w:p>
    <w:p>
      <w:pPr>
        <w:pStyle w:val="ManualHeading1"/>
        <w:rPr>
          <w:noProof/>
        </w:rPr>
      </w:pPr>
      <w:r>
        <w:rPr>
          <w:noProof/>
        </w:rPr>
        <w:t>4.</w:t>
      </w:r>
      <w:r>
        <w:rPr>
          <w:noProof/>
        </w:rPr>
        <w:tab/>
        <w:t>INCIDENCE BUDGÉTAIRE</w:t>
      </w:r>
    </w:p>
    <w:p>
      <w:pPr>
        <w:pStyle w:val="Text1"/>
        <w:rPr>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ind w:firstLine="720"/>
        <w:rPr>
          <w:i/>
          <w:noProof/>
        </w:rPr>
      </w:pPr>
      <w:r>
        <w:rPr>
          <w:i/>
          <w:noProof/>
        </w:rPr>
        <w:t>Situation du Liechtenstein [adaptation 3 c)]</w:t>
      </w:r>
    </w:p>
    <w:p>
      <w:pPr>
        <w:ind w:left="720"/>
        <w:rPr>
          <w:noProof/>
        </w:rPr>
      </w:pPr>
      <w:r>
        <w:rPr>
          <w:noProof/>
        </w:rPr>
        <w:t>Le Liechtenstein et la Suisse sont liés par toute une série de traités, notamment le traité douanier de 1923 et le traité monétaire de 1980, en vertu duquel le Liechtenstein (qui utilise déjà le franc suisse en tant que monnaie officielle depuis 1921) est intégré dans la zone monétaire de la Suisse. Dans le secteur des services financiers, le traité monétaire prévoit l’applicabilité directe de certaines règles administratives et juridiques suisses (cf. annexes du traité monétaire). En conséquence, certains intermédiaires financiers (comme les banques, les sociétés d’investissement) doivent respecter les obligations de déclaration de la Banque nationale suisse (BNS) afin de lui permettre de conduire la politique monétaire. Historiquement, la zone économique et monétaire commune a contribué à établir des liens économiques solides entre les deux pays, qui ont persisté après l’adhésion du Liechtenstein à l’accord EEE.</w:t>
      </w:r>
    </w:p>
    <w:p>
      <w:pPr>
        <w:ind w:left="720"/>
        <w:rPr>
          <w:noProof/>
        </w:rPr>
      </w:pPr>
      <w:r>
        <w:rPr>
          <w:noProof/>
        </w:rPr>
        <w:t xml:space="preserve">Le marché financier du Liechtenstein est donc totalement intégré dans les infrastructures des marchés financiers suisses et en dépend largement. Toute perturbation de la structure actuelle peut entraîner des difficultés pour les acteurs du marché financier du Liechtenstein. C’est pourquoi l’adaptation 3 c) prévoit que les dépositaires centraux de titres de pays tiers fournissant déjà les services visés à l’article 25, paragraphe 2, du règlement sur les DCT à des intermédiaires financiers au Liechtenstein ou ayant déjà établi une filiale au Liechtenstein peuvent être autorisés à continuer à fournir les services visés à l’article 25, paragraphe 2, pour une période ne dépassant pas cinq ans à compter de la date d'entrée en vigueur du projet de décision du Comité mixte de l’EEE joint en annexe.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IX (Services financiers) de l’accord EEE </w:t>
      </w:r>
      <w:r>
        <w:rPr>
          <w:noProof/>
        </w:rPr>
        <w:br/>
      </w:r>
      <w:r>
        <w:rPr>
          <w:noProof/>
        </w:rPr>
        <w:br/>
      </w:r>
      <w:r>
        <w:rPr>
          <w:noProof/>
        </w:rPr>
        <w:br/>
        <w:t>[Règlement sur les dépositaires centraux de titres (DCT)]</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IX de l’accord EEE, qui contient des dispositions sur les services financiers.</w:t>
      </w:r>
    </w:p>
    <w:p>
      <w:pPr>
        <w:pStyle w:val="ManualConsidrant"/>
        <w:rPr>
          <w:noProof/>
        </w:rPr>
      </w:pPr>
      <w:r>
        <w:t>(3)</w:t>
      </w:r>
      <w:r>
        <w:tab/>
      </w:r>
      <w:r>
        <w:rPr>
          <w:noProof/>
        </w:rPr>
        <w:t>Le règlement (UE) nº 909/2014 du Parlement européen et du Conseil</w:t>
      </w:r>
      <w:r>
        <w:rPr>
          <w:rStyle w:val="FootnoteReference"/>
          <w:noProof/>
        </w:rPr>
        <w:footnoteReference w:id="5"/>
      </w:r>
      <w:r>
        <w:rPr>
          <w:noProof/>
        </w:rPr>
        <w:t xml:space="preserve"> doit être intégré dans l'accord EEE.</w:t>
      </w:r>
    </w:p>
    <w:p>
      <w:pPr>
        <w:pStyle w:val="ManualConsidrant"/>
        <w:rPr>
          <w:noProof/>
        </w:rPr>
      </w:pPr>
      <w:r>
        <w:t>(4)</w:t>
      </w:r>
      <w:r>
        <w:tab/>
      </w:r>
      <w:r>
        <w:rPr>
          <w:noProof/>
        </w:rPr>
        <w:t xml:space="preserve">Il y a donc lieu de modifier l'annexe IX de l’accord EEE en conséquence. </w:t>
      </w:r>
    </w:p>
    <w:p>
      <w:pPr>
        <w:pStyle w:val="ManualConsidrant"/>
        <w:rPr>
          <w:noProof/>
        </w:rPr>
      </w:pPr>
      <w:r>
        <w:t>(5)</w:t>
      </w:r>
      <w:r>
        <w:tab/>
      </w:r>
      <w:r>
        <w:rPr>
          <w:noProof/>
        </w:rPr>
        <w:t>Il convient dès lors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IX (Services financiers) de l'accord EEE est fondée sur les projets de décisions du Comité mixte de l'EEE joints à la présente décision.</w:t>
      </w:r>
    </w:p>
    <w:p>
      <w:pPr>
        <w:pStyle w:val="Titrearticle"/>
        <w:rPr>
          <w:noProof/>
        </w:rPr>
      </w:pPr>
      <w:r>
        <w:rPr>
          <w:noProof/>
        </w:rPr>
        <w:t>Article 2</w:t>
      </w:r>
    </w:p>
    <w:p>
      <w:pPr>
        <w:keepLines/>
        <w:rPr>
          <w:noProof/>
        </w:rPr>
      </w:pPr>
      <w:r>
        <w:rPr>
          <w:noProof/>
        </w:rPr>
        <w:t>La présente décision entre en vigueur le jour de son adoption.</w:t>
      </w:r>
      <w:r>
        <w:rPr>
          <w:noProof/>
        </w:rPr>
        <w:br/>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 909/2014 du Parlement européen et du Conseil du 23 juillet 2014 concernant l'amélioration du règlement de titres dans l'Union européenne et les dépositaires centraux de titres, et modifiant les directives 98/26/CE et 2014/65/UE ainsi que le règlement (UE) n° 236/2012.</w:t>
      </w:r>
    </w:p>
  </w:footnote>
  <w:footnote w:id="2">
    <w:p>
      <w:pPr>
        <w:pStyle w:val="FootnoteText"/>
        <w:rPr>
          <w:iCs/>
          <w:lang w:val="fr-BE"/>
        </w:rPr>
      </w:pPr>
      <w:r>
        <w:rPr>
          <w:rStyle w:val="FootnoteReference"/>
        </w:rPr>
        <w:footnoteRef/>
      </w:r>
      <w:r>
        <w:tab/>
        <w:t>JO L 305 du 30.11.1994, p. 6.</w:t>
      </w:r>
    </w:p>
  </w:footnote>
  <w:footnote w:id="3">
    <w:p>
      <w:pPr>
        <w:pStyle w:val="FootnoteText"/>
        <w:rPr>
          <w:lang w:val="fr-BE"/>
        </w:rPr>
      </w:pPr>
      <w:r>
        <w:rPr>
          <w:rStyle w:val="FootnoteReference"/>
        </w:rPr>
        <w:footnoteRef/>
      </w:r>
      <w:r>
        <w:tab/>
        <w:t>JO L 305 du 30.11.1994, p. 6.</w:t>
      </w:r>
    </w:p>
  </w:footnote>
  <w:footnote w:id="4">
    <w:p>
      <w:pPr>
        <w:pStyle w:val="FootnoteText"/>
        <w:rPr>
          <w:lang w:val="fr-BE"/>
        </w:rPr>
      </w:pPr>
      <w:r>
        <w:rPr>
          <w:rStyle w:val="FootnoteReference"/>
        </w:rPr>
        <w:footnoteRef/>
      </w:r>
      <w:r>
        <w:tab/>
        <w:t xml:space="preserve">JO L 1 du 3.1.1994, p. 3. </w:t>
      </w:r>
    </w:p>
  </w:footnote>
  <w:footnote w:id="5">
    <w:p>
      <w:pPr>
        <w:pStyle w:val="FootnoteText"/>
        <w:rPr>
          <w:lang w:val="fr-BE"/>
        </w:rPr>
      </w:pPr>
      <w:r>
        <w:rPr>
          <w:rStyle w:val="FootnoteReference"/>
        </w:rPr>
        <w:footnoteRef/>
      </w:r>
      <w:r>
        <w:tab/>
        <w:t xml:space="preserve">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501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C44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58C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B9A32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D2E2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38E5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00EEE4"/>
    <w:lvl w:ilvl="0">
      <w:start w:val="1"/>
      <w:numFmt w:val="decimal"/>
      <w:pStyle w:val="ListNumber"/>
      <w:lvlText w:val="%1."/>
      <w:lvlJc w:val="left"/>
      <w:pPr>
        <w:tabs>
          <w:tab w:val="num" w:pos="360"/>
        </w:tabs>
        <w:ind w:left="360" w:hanging="360"/>
      </w:pPr>
    </w:lvl>
  </w:abstractNum>
  <w:abstractNum w:abstractNumId="7">
    <w:nsid w:val="FFFFFF89"/>
    <w:multiLevelType w:val="singleLevel"/>
    <w:tmpl w:val="A98CF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09:29: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DCEC9B9-5D5F-4259-8C9E-C2F3360E17DA"/>
    <w:docVar w:name="LW_COVERPAGE_TYPE" w:val="1"/>
    <w:docVar w:name="LW_CROSSREFERENCE" w:val="&lt;UNUSED&gt;"/>
    <w:docVar w:name="LW_DocType" w:val="COM"/>
    <w:docVar w:name="LW_EMISSION" w:val="5.12.2018"/>
    <w:docVar w:name="LW_EMISSION_ISODATE" w:val="2018-12-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4"/>
    <w:docVar w:name="LW_REF.II.NEW.CP_YEAR" w:val="2018"/>
    <w:docVar w:name="LW_REF.INST.NEW" w:val="COM"/>
    <w:docVar w:name="LW_REF.INST.NEW_ADOPTED" w:val="final"/>
    <w:docVar w:name="LW_REF.INST.NEW_TEXT" w:val="(2018) 7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u8217?EEE en ce qui concerne une modification de l\u8217?annexe IX (Services financiers) de l\u8217?accord EEE _x000b__x000b__x000b_[Règlement sur les dépositaires centraux de titres (DC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B9BF-2A79-4DA2-934C-247A6254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1099</Words>
  <Characters>5940</Characters>
  <Application>Microsoft Office Word</Application>
  <DocSecurity>0</DocSecurity>
  <Lines>123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2018-10-04T10:41:00Z</dcterms:created>
  <dcterms:modified xsi:type="dcterms:W3CDTF">2018-11-26T08:29:00Z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