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85C50C-5ABC-4140-85B9-B1E071B04988" style="width:450.75pt;height:4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ind w:left="720"/>
        <w:rPr>
          <w:noProof/>
        </w:rPr>
      </w:pPr>
      <w:r>
        <w:rPr>
          <w:noProof/>
        </w:rPr>
        <w:t>The draft Decision of the EEA Joint Committee (annexed to the proposed Council Decision) aims to amend Annex IX (Financial Services) to the EEA Agreement in order to incorporate the Central Securities Depositories Regulation</w:t>
      </w:r>
      <w:r>
        <w:rPr>
          <w:rStyle w:val="FootnoteReference"/>
          <w:noProof/>
        </w:rPr>
        <w:footnoteReference w:id="1"/>
      </w:r>
      <w:r>
        <w:rPr>
          <w:noProof/>
        </w:rPr>
        <w:t xml:space="preserve"> into the EEA Agreement. </w:t>
      </w:r>
    </w:p>
    <w:p>
      <w:pPr>
        <w:pStyle w:val="Text1"/>
        <w:ind w:left="720"/>
        <w:rPr>
          <w:noProof/>
        </w:rPr>
      </w:pPr>
      <w:r>
        <w:rPr>
          <w:noProof/>
        </w:rPr>
        <w:t>The adaptations appearing in the drafts of the annexed Decisions of the EEA Joint Committee go beyond what can be considered mere technical adaptations in the sense of the Council Regulation No 2894/94.The Union position shall therefore be established by the Council.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ind w:left="720"/>
        <w:rPr>
          <w:rFonts w:eastAsia="Arial Unicode MS"/>
          <w:noProof/>
        </w:rPr>
      </w:pPr>
      <w:r>
        <w:rPr>
          <w:noProof/>
        </w:rPr>
        <w:t>The annexed draft EEA Joint Committee Decision extends the already existing EU policy to the EEA EFTA States (Norway, Iceland and Liechtenstein).</w:t>
      </w:r>
      <w: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ind w:left="720"/>
        <w:rPr>
          <w:noProof/>
        </w:rPr>
      </w:pPr>
      <w:r>
        <w:rPr>
          <w:noProof/>
        </w:rPr>
        <w:t xml:space="preserve">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The legislation to be incorporated into the EEA Agreement is based on Article 114 of the Treaty on the Functioning of the European Union.</w:t>
      </w:r>
    </w:p>
    <w:p>
      <w:pPr>
        <w:pStyle w:val="Text1"/>
        <w:rPr>
          <w:noProof/>
        </w:rPr>
      </w:pPr>
      <w:r>
        <w:rPr>
          <w:noProof/>
        </w:rPr>
        <w:t>Article 1(3) of Council Regulation (EC) No 2894/94</w:t>
      </w:r>
      <w:r>
        <w:rPr>
          <w:rStyle w:val="FootnoteReference"/>
          <w:noProof/>
        </w:rPr>
        <w:footnoteReference w:id="2"/>
      </w:r>
      <w:r>
        <w:rPr>
          <w:noProof/>
        </w:rPr>
        <w:t xml:space="preserve"> concerning arrangements for implementing the EEA Agreement provides that the Council establishes the position to be adopted on the Union’s behalf on such Decisions, on a proposal from the Commission. </w:t>
      </w:r>
    </w:p>
    <w:p>
      <w:pPr>
        <w:pStyle w:val="Text1"/>
        <w:rPr>
          <w:noProof/>
        </w:rPr>
      </w:pPr>
      <w:r>
        <w:rPr>
          <w:noProof/>
        </w:rPr>
        <w:t>The EEAS with the Commission services submit the draft Decisions of the EEA Joint Committee for adoption by the Council as the Union’s position. The EEAS would hope to be able to present them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The proposal complies with the subsidiarity principle for the following reason. </w:t>
      </w:r>
    </w:p>
    <w:p>
      <w:pPr>
        <w:pStyle w:val="Text1"/>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Text1"/>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Text1"/>
        <w:rPr>
          <w:noProof/>
        </w:rPr>
      </w:pPr>
      <w:r>
        <w:rPr>
          <w:noProof/>
        </w:rPr>
        <w:t xml:space="preserve">Not applicable </w:t>
      </w:r>
    </w:p>
    <w:p>
      <w:pPr>
        <w:pStyle w:val="ManualHeading1"/>
        <w:rPr>
          <w:noProof/>
        </w:rPr>
      </w:pPr>
      <w:r>
        <w:rPr>
          <w:noProof/>
        </w:rPr>
        <w:t>4.</w:t>
      </w:r>
      <w:r>
        <w:rPr>
          <w:noProof/>
        </w:rPr>
        <w:tab/>
        <w:t>BUDGETARY IMPLICATIONS</w:t>
      </w:r>
    </w:p>
    <w:p>
      <w:pPr>
        <w:pStyle w:val="Text1"/>
        <w:rPr>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ind w:firstLine="720"/>
        <w:rPr>
          <w:i/>
          <w:noProof/>
        </w:rPr>
      </w:pPr>
      <w:r>
        <w:rPr>
          <w:i/>
          <w:noProof/>
        </w:rPr>
        <w:t>Liechtenstein’s situation (adaptation 3(c))</w:t>
      </w:r>
    </w:p>
    <w:p>
      <w:pPr>
        <w:ind w:left="720"/>
        <w:rPr>
          <w:noProof/>
        </w:rPr>
      </w:pPr>
      <w:r>
        <w:rPr>
          <w:noProof/>
        </w:rPr>
        <w:t>Liechtenstein and Switzerland are linked by a dense network of treaties, including notably the Customs Treaty of 1923, and the Currency Treaty of 1980 pursuant to which Liechtenstein (already using the Swiss Franc as its official currency since 1921)  is included in the currency area of Switzerland. In the financial services sector, the Currency Treaty provides for the direct applicability of certain Swiss legal and administrative rules (cf. Annexes to the Currency Treaty). As a result, certain financial intermediaries (e.g. banks, investment undertakings) must comply with reporting requirements of the Swiss National Bank (SNB) for the purpose of enabling it to conduct monetary policy. The common economic and currency area has historically led to strong economic ties between the two countries that persisted after Liechtenstein’s accession to the EEA Agreement.</w:t>
      </w:r>
    </w:p>
    <w:p>
      <w:pPr>
        <w:ind w:left="720"/>
        <w:rPr>
          <w:noProof/>
          <w:lang w:val="en-US" w:eastAsia="en-GB"/>
        </w:rPr>
      </w:pPr>
      <w:r>
        <w:rPr>
          <w:noProof/>
        </w:rPr>
        <w:t xml:space="preserve">For these reasons, the Liechtenstein financial market is fully integrated with and relies extensively on Swiss financial market infrastructures. Any disruption of the current setup may lead to challenges for Liechtenstein financial market participants. Adaptation 3(c) therefore provides that third-country Central Securities Depositories already providing services referred to in Article 25(2) of the CSDR Regulation to financial intermediaries in Liechtenstein or already having set up a branch in Liechtenstein may be allowed to continue to provide the services referred to in Article 25(2) for a period not exceeding 5 years after the date of entry into force of the annexed draft Decision of the EEA Joint Committee.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within the EEA Joint Committee, concerning an amendment to Annex IX (Financial Services) </w:t>
      </w:r>
      <w:r>
        <w:rPr>
          <w:noProof/>
        </w:rPr>
        <w:br/>
        <w:t>to the EEA Agreement</w:t>
      </w:r>
      <w:r>
        <w:rPr>
          <w:noProof/>
        </w:rPr>
        <w:br/>
      </w:r>
      <w:r>
        <w:rPr>
          <w:noProof/>
        </w:rPr>
        <w:br/>
        <w:t>(Central Securities Depositories Regulation (CSDR))</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 xml:space="preserve">in conjunction with Article 218(9) </w:t>
      </w:r>
      <w:r>
        <w:rPr>
          <w:noProof/>
        </w:rPr>
        <w:t>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r>
        <w:rPr>
          <w:noProof/>
        </w:rPr>
        <w:t xml:space="preserve">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4"/>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amend Annex IX to the EEA Agreement, which contains provisions on financial services.</w:t>
      </w:r>
    </w:p>
    <w:p>
      <w:pPr>
        <w:pStyle w:val="ManualConsidrant"/>
        <w:rPr>
          <w:noProof/>
        </w:rPr>
      </w:pPr>
      <w:r>
        <w:t>(3)</w:t>
      </w:r>
      <w:r>
        <w:tab/>
      </w:r>
      <w:r>
        <w:rPr>
          <w:noProof/>
        </w:rPr>
        <w:t>Regulation (EU) No 909/2014 of the European Parliament and of the Council</w:t>
      </w:r>
      <w:r>
        <w:rPr>
          <w:rStyle w:val="FootnoteReference"/>
          <w:noProof/>
        </w:rPr>
        <w:footnoteReference w:id="5"/>
      </w:r>
      <w:r>
        <w:rPr>
          <w:noProof/>
        </w:rPr>
        <w:t xml:space="preserve"> is to be incorporated into the EEA Agreement.</w:t>
      </w:r>
    </w:p>
    <w:p>
      <w:pPr>
        <w:pStyle w:val="ManualConsidrant"/>
        <w:rPr>
          <w:noProof/>
        </w:rPr>
      </w:pPr>
      <w:r>
        <w:t>(4)</w:t>
      </w:r>
      <w:r>
        <w:tab/>
      </w:r>
      <w:r>
        <w:rPr>
          <w:noProof/>
        </w:rPr>
        <w:t xml:space="preserve">Annex IX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IX (Financial Services) to the EEA Agreement, shall be based on the draft decisions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r>
        <w:rPr>
          <w:noProof/>
        </w:rPr>
        <w:br/>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909/2014 of the European Parliament and of the Council of 23 July 2014 on improving securities settlement in the European Union and on central securities depositories and amending Directives 98/26/EC and 2014/65/EU and Regulation (EU) No 236/2012.</w:t>
      </w:r>
    </w:p>
  </w:footnote>
  <w:footnote w:id="2">
    <w:p>
      <w:pPr>
        <w:pStyle w:val="FootnoteText"/>
        <w:rPr>
          <w:iCs/>
          <w:lang w:val="pl-PL"/>
        </w:rPr>
      </w:pPr>
      <w:r>
        <w:rPr>
          <w:rStyle w:val="FootnoteReference"/>
        </w:rPr>
        <w:footnoteRef/>
      </w:r>
      <w:r>
        <w:rPr>
          <w:iCs/>
          <w:lang w:val="pl-PL"/>
        </w:rPr>
        <w:tab/>
        <w:t>OJ L 305, 30.11.1994, p. 6–8.</w:t>
      </w:r>
    </w:p>
  </w:footnote>
  <w:footnote w:id="3">
    <w:p>
      <w:pPr>
        <w:pStyle w:val="FootnoteText"/>
        <w:rPr>
          <w:lang w:val="pl-PL"/>
        </w:rPr>
      </w:pPr>
      <w:r>
        <w:rPr>
          <w:rStyle w:val="FootnoteReference"/>
        </w:rPr>
        <w:footnoteRef/>
      </w:r>
      <w:r>
        <w:rPr>
          <w:lang w:val="pl-PL"/>
        </w:rPr>
        <w:tab/>
        <w:t>OJ L 305, 30.11.1994, p. 6.</w:t>
      </w:r>
    </w:p>
  </w:footnote>
  <w:footnote w:id="4">
    <w:p>
      <w:pPr>
        <w:pStyle w:val="FootnoteText"/>
        <w:rPr>
          <w:lang w:val="pl-PL"/>
        </w:rPr>
      </w:pPr>
      <w:r>
        <w:rPr>
          <w:rStyle w:val="FootnoteReference"/>
        </w:rPr>
        <w:footnoteRef/>
      </w:r>
      <w:r>
        <w:rPr>
          <w:lang w:val="pl-PL"/>
        </w:rPr>
        <w:tab/>
        <w:t xml:space="preserve">OJ L 1, 3.1.1994, p. 3. </w:t>
      </w:r>
    </w:p>
  </w:footnote>
  <w:footnote w:id="5">
    <w:p>
      <w:pPr>
        <w:pStyle w:val="FootnoteText"/>
        <w:rPr>
          <w:lang w:val="en-US"/>
        </w:rPr>
      </w:pPr>
      <w:r>
        <w:rPr>
          <w:rStyle w:val="FootnoteReference"/>
        </w:rPr>
        <w:footnoteRef/>
      </w:r>
      <w:r>
        <w:tab/>
        <w:t xml:space="preserve">Regulation (EU) No 909/2014 of the European Parliament and of the Council of 23 July 2014 on improving securities settlement in the European Union and on central securities depositories and amending Directives 98/26/EC and 2014/65/EU and Regulation (EU) No 236/2012, OJ L 257, 28.8.2014,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501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C44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58C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B9A32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D2E2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38E5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00EEE4"/>
    <w:lvl w:ilvl="0">
      <w:start w:val="1"/>
      <w:numFmt w:val="decimal"/>
      <w:pStyle w:val="ListNumber"/>
      <w:lvlText w:val="%1."/>
      <w:lvlJc w:val="left"/>
      <w:pPr>
        <w:tabs>
          <w:tab w:val="num" w:pos="360"/>
        </w:tabs>
        <w:ind w:left="360" w:hanging="360"/>
      </w:pPr>
    </w:lvl>
  </w:abstractNum>
  <w:abstractNum w:abstractNumId="7">
    <w:nsid w:val="FFFFFF89"/>
    <w:multiLevelType w:val="singleLevel"/>
    <w:tmpl w:val="A98CF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09:28: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85C50C-5ABC-4140-85B9-B1E071B04988"/>
    <w:docVar w:name="LW_COVERPAGE_TYPE" w:val="1"/>
    <w:docVar w:name="LW_CROSSREFERENCE" w:val="&lt;UNUSED&gt;"/>
    <w:docVar w:name="LW_DocType" w:val="COM"/>
    <w:docVar w:name="LW_EMISSION" w:val="5.12.2018"/>
    <w:docVar w:name="LW_EMISSION_ISODATE" w:val="2018-12-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4"/>
    <w:docVar w:name="LW_REF.II.NEW.CP_YEAR" w:val="2018"/>
    <w:docVar w:name="LW_REF.INST.NEW" w:val="COM"/>
    <w:docVar w:name="LW_REF.INST.NEW_ADOPTED" w:val="final"/>
    <w:docVar w:name="LW_REF.INST.NEW_TEXT" w:val="(2018) 7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X (Financial Services) _x000b_to the EEA Agreement_x000b__x000b_(Central Securities Depositories Regulation (CSD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18E7-07D7-4576-BD8B-4EB6DC82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1045</Words>
  <Characters>5742</Characters>
  <Application>Microsoft Office Word</Application>
  <DocSecurity>0</DocSecurity>
  <Lines>119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2018-09-24T11:49:00Z</dcterms:created>
  <dcterms:modified xsi:type="dcterms:W3CDTF">2018-11-26T08:28:00Z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