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E99" w:rsidRDefault="00CD4FBA">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E6FCB7B-F860-4743-8504-C13BCE90E7D6" style="width:450pt;height:422pt">
            <v:imagedata r:id="rId8" o:title=""/>
          </v:shape>
        </w:pict>
      </w:r>
    </w:p>
    <w:p w:rsidR="00190E99" w:rsidRDefault="00190E99">
      <w:pPr>
        <w:rPr>
          <w:noProof/>
          <w:szCs w:val="24"/>
        </w:rPr>
        <w:sectPr w:rsidR="00190E99">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rsidR="00190E99" w:rsidRDefault="00CD4FBA">
      <w:pPr>
        <w:pStyle w:val="Exposdesmotifstitre"/>
        <w:rPr>
          <w:noProof/>
        </w:rPr>
      </w:pPr>
      <w:r>
        <w:rPr>
          <w:noProof/>
        </w:rPr>
        <w:lastRenderedPageBreak/>
        <w:t>EXPLANATORY MEMORANDUM</w:t>
      </w:r>
    </w:p>
    <w:p w:rsidR="00190E99" w:rsidRDefault="00CD4FBA">
      <w:pPr>
        <w:pStyle w:val="ManualHeading1"/>
        <w:rPr>
          <w:noProof/>
          <w:szCs w:val="24"/>
        </w:rPr>
      </w:pPr>
      <w:r>
        <w:rPr>
          <w:noProof/>
          <w:szCs w:val="24"/>
        </w:rPr>
        <w:t>1.</w:t>
      </w:r>
      <w:r>
        <w:rPr>
          <w:noProof/>
          <w:szCs w:val="24"/>
        </w:rPr>
        <w:tab/>
        <w:t>CONTEXT OF THE PROPOSAL</w:t>
      </w:r>
    </w:p>
    <w:p w:rsidR="00190E99" w:rsidRDefault="00CD4FBA">
      <w:pPr>
        <w:pStyle w:val="ManualHeading2"/>
        <w:rPr>
          <w:noProof/>
          <w:szCs w:val="24"/>
          <w:u w:color="000000"/>
          <w:bdr w:val="nil"/>
          <w:lang w:val="en-US" w:eastAsia="en-GB"/>
        </w:rPr>
      </w:pPr>
      <w:r>
        <w:rPr>
          <w:noProof/>
          <w:szCs w:val="24"/>
          <w:u w:color="000000"/>
          <w:bdr w:val="nil"/>
          <w:lang w:val="en-US" w:eastAsia="en-GB"/>
        </w:rPr>
        <w:t>•</w:t>
      </w:r>
      <w:r>
        <w:rPr>
          <w:noProof/>
          <w:szCs w:val="24"/>
          <w:u w:color="000000"/>
          <w:bdr w:val="nil"/>
          <w:lang w:val="en-US" w:eastAsia="en-GB"/>
        </w:rPr>
        <w:tab/>
        <w:t>Reasons for and objectives of the proposal</w:t>
      </w:r>
    </w:p>
    <w:p w:rsidR="00190E99" w:rsidRDefault="00CD4FBA">
      <w:pPr>
        <w:pBdr>
          <w:top w:val="nil"/>
          <w:left w:val="nil"/>
          <w:bottom w:val="nil"/>
          <w:right w:val="nil"/>
          <w:between w:val="nil"/>
          <w:bar w:val="nil"/>
        </w:pBdr>
        <w:spacing w:after="240"/>
        <w:rPr>
          <w:noProof/>
          <w:szCs w:val="24"/>
        </w:rPr>
      </w:pPr>
      <w:r>
        <w:rPr>
          <w:noProof/>
          <w:szCs w:val="24"/>
        </w:rPr>
        <w:t xml:space="preserve">On 29 March 2017, the United Kingdom notified the </w:t>
      </w:r>
      <w:r>
        <w:rPr>
          <w:noProof/>
          <w:szCs w:val="24"/>
        </w:rPr>
        <w:t>European Council pursuant to Article 50 of the Treaty on European Union of its intention to withdraw from the European Union and from the European Atomic Energy Community. In accordance with Article 50 of the Treaty on European Union, the Union shall negot</w:t>
      </w:r>
      <w:r>
        <w:rPr>
          <w:noProof/>
          <w:szCs w:val="24"/>
        </w:rPr>
        <w:t>iate with the withdrawing State an agreement setting out the arrangements for its withdrawal (the Withdrawal Agreement), taking account of the framework for its future relationship with the Union. The Withdrawal Agreement is to be concluded on behalf of th</w:t>
      </w:r>
      <w:r>
        <w:rPr>
          <w:noProof/>
          <w:szCs w:val="24"/>
        </w:rPr>
        <w:t>e Union by the Council, after obtaining the consent of the European Parliament.</w:t>
      </w:r>
    </w:p>
    <w:p w:rsidR="00190E99" w:rsidRDefault="00CD4FBA">
      <w:pPr>
        <w:pBdr>
          <w:top w:val="nil"/>
          <w:left w:val="nil"/>
          <w:bottom w:val="nil"/>
          <w:right w:val="nil"/>
          <w:between w:val="nil"/>
          <w:bar w:val="nil"/>
        </w:pBdr>
        <w:spacing w:after="240"/>
        <w:rPr>
          <w:noProof/>
          <w:szCs w:val="24"/>
        </w:rPr>
      </w:pPr>
      <w:r>
        <w:rPr>
          <w:noProof/>
          <w:szCs w:val="24"/>
        </w:rPr>
        <w:t xml:space="preserve">Following the notification, the European Council (Article 50) adopted negotiating guidelines on 29 April 2017. In the light of these guidelines, the Council authorised the </w:t>
      </w:r>
      <w:r>
        <w:rPr>
          <w:noProof/>
          <w:szCs w:val="24"/>
        </w:rPr>
        <w:t>Commission on 22 May 2017 to open the negotiations for an agreement with the United Kingdom setting out the arrangements for its withdrawal from the European Union and from the European Atomic Energy Community, and adopted the negotiating directives for th</w:t>
      </w:r>
      <w:r>
        <w:rPr>
          <w:noProof/>
          <w:szCs w:val="24"/>
        </w:rPr>
        <w:t xml:space="preserve">ese negotiations. On 15 December 2017, the European Council adopted guidelines supplementing the ones from 29 April 2017 and setting out the principles and conditions for any transitional arrangements, after which, the Council, on 29 January 2018, adopted </w:t>
      </w:r>
      <w:r>
        <w:rPr>
          <w:noProof/>
          <w:szCs w:val="24"/>
        </w:rPr>
        <w:t>supplementary negotiating directives.</w:t>
      </w:r>
    </w:p>
    <w:p w:rsidR="00190E99" w:rsidRDefault="00CD4FBA">
      <w:pPr>
        <w:pBdr>
          <w:top w:val="nil"/>
          <w:left w:val="nil"/>
          <w:bottom w:val="nil"/>
          <w:right w:val="nil"/>
          <w:between w:val="nil"/>
          <w:bar w:val="nil"/>
        </w:pBdr>
        <w:spacing w:after="240"/>
        <w:rPr>
          <w:noProof/>
          <w:szCs w:val="24"/>
        </w:rPr>
      </w:pPr>
      <w:r>
        <w:rPr>
          <w:noProof/>
          <w:szCs w:val="24"/>
        </w:rPr>
        <w:t>The negotiations have been conducted in the light of the above European Council guidelines and in line with the negotiating directives of the Council, and with due regard to the resolutions of the European Parliament o</w:t>
      </w:r>
      <w:r>
        <w:rPr>
          <w:noProof/>
          <w:szCs w:val="24"/>
        </w:rPr>
        <w:t>f 5 April 2017, 3 October 2017, 13 December 2017 and 14 March 2018.</w:t>
      </w:r>
    </w:p>
    <w:p w:rsidR="00190E99" w:rsidRDefault="00CD4FBA">
      <w:pPr>
        <w:pBdr>
          <w:top w:val="nil"/>
          <w:left w:val="nil"/>
          <w:bottom w:val="nil"/>
          <w:right w:val="nil"/>
          <w:between w:val="nil"/>
          <w:bar w:val="nil"/>
        </w:pBdr>
        <w:spacing w:after="240"/>
        <w:rPr>
          <w:noProof/>
          <w:szCs w:val="24"/>
        </w:rPr>
      </w:pPr>
      <w:r>
        <w:rPr>
          <w:noProof/>
          <w:szCs w:val="24"/>
        </w:rPr>
        <w:t>The negotiations were completed and initialled at the level of the Chief Negotiators on 14 November 2018. This text underwent legal revision</w:t>
      </w:r>
      <w:r>
        <w:rPr>
          <w:rStyle w:val="FootnoteReference"/>
          <w:noProof/>
          <w:szCs w:val="24"/>
        </w:rPr>
        <w:footnoteReference w:id="1"/>
      </w:r>
      <w:r>
        <w:rPr>
          <w:noProof/>
          <w:szCs w:val="24"/>
        </w:rPr>
        <w:t xml:space="preserve"> and it is that text which is proposed for sign</w:t>
      </w:r>
      <w:r>
        <w:rPr>
          <w:noProof/>
          <w:szCs w:val="24"/>
        </w:rPr>
        <w:t>ature.</w:t>
      </w:r>
    </w:p>
    <w:p w:rsidR="00190E99" w:rsidRDefault="00CD4FBA">
      <w:pPr>
        <w:pBdr>
          <w:top w:val="nil"/>
          <w:left w:val="nil"/>
          <w:bottom w:val="nil"/>
          <w:right w:val="nil"/>
          <w:between w:val="nil"/>
          <w:bar w:val="nil"/>
        </w:pBdr>
        <w:spacing w:after="240"/>
        <w:rPr>
          <w:noProof/>
          <w:szCs w:val="24"/>
        </w:rPr>
      </w:pPr>
      <w:r>
        <w:rPr>
          <w:noProof/>
          <w:szCs w:val="24"/>
        </w:rPr>
        <w:t>An agreement on a future relationship between the Union and the United Kingdom can only be concluded once the United Kingdom has become a third country. However, Article 50 of the Treaty on European Union requires that the framework for the future r</w:t>
      </w:r>
      <w:r>
        <w:rPr>
          <w:noProof/>
          <w:szCs w:val="24"/>
        </w:rPr>
        <w:t>elationship with the Union be taken into account in the agreement setting out the arrangements for the withdrawal. An overall understanding with the United Kingdom on the framework for the future relationship was identified during negotiations under Articl</w:t>
      </w:r>
      <w:r>
        <w:rPr>
          <w:noProof/>
          <w:szCs w:val="24"/>
        </w:rPr>
        <w:t>e 50 in the Political Declaration setting out the framework for the future relationship between the European Union and the United Kingdom that has been approved by the European Council on 25 November 2018</w:t>
      </w:r>
      <w:r>
        <w:rPr>
          <w:rStyle w:val="FootnoteReference"/>
          <w:noProof/>
          <w:szCs w:val="24"/>
        </w:rPr>
        <w:footnoteReference w:id="2"/>
      </w:r>
    </w:p>
    <w:p w:rsidR="00190E99" w:rsidRDefault="00CD4FBA">
      <w:pPr>
        <w:pStyle w:val="ManualHeading2"/>
        <w:rPr>
          <w:noProof/>
        </w:rPr>
      </w:pPr>
      <w:r>
        <w:rPr>
          <w:noProof/>
          <w:color w:val="000000"/>
          <w:u w:color="000000"/>
          <w:bdr w:val="nil"/>
          <w:lang w:val="en-US" w:eastAsia="en-GB"/>
        </w:rPr>
        <w:t>•</w:t>
      </w:r>
      <w:r>
        <w:rPr>
          <w:noProof/>
          <w:color w:val="000000"/>
          <w:u w:color="000000"/>
          <w:bdr w:val="nil"/>
          <w:lang w:val="en-US" w:eastAsia="en-GB"/>
        </w:rPr>
        <w:tab/>
      </w:r>
      <w:r>
        <w:rPr>
          <w:noProof/>
        </w:rPr>
        <w:t>Consistency with other Union policies</w:t>
      </w:r>
    </w:p>
    <w:p w:rsidR="00190E99" w:rsidRDefault="00CD4FBA">
      <w:pPr>
        <w:pBdr>
          <w:top w:val="nil"/>
          <w:left w:val="nil"/>
          <w:bottom w:val="nil"/>
          <w:right w:val="nil"/>
          <w:between w:val="nil"/>
          <w:bar w:val="nil"/>
        </w:pBdr>
        <w:spacing w:after="240"/>
        <w:rPr>
          <w:noProof/>
          <w:szCs w:val="24"/>
        </w:rPr>
      </w:pPr>
      <w:r>
        <w:rPr>
          <w:noProof/>
          <w:szCs w:val="24"/>
        </w:rPr>
        <w:t>The Withdr</w:t>
      </w:r>
      <w:r>
        <w:rPr>
          <w:noProof/>
          <w:szCs w:val="24"/>
        </w:rPr>
        <w:t>awal Agreement fully respects the Treaties and preserves the integrity and the autonomy of the Union legal order as well as the integrity of the Single Market and the Customs Union. It promotes the values, objectives, and interests of the Union, and ensure</w:t>
      </w:r>
      <w:r>
        <w:rPr>
          <w:noProof/>
          <w:szCs w:val="24"/>
        </w:rPr>
        <w:t>s the consistency, effectiveness and continuity of its policies and actions. In particular, Article 4 of the Withdrawal Agreement lays down methods and principles relating to the effect, the implementation and the application of the agreement that ensure t</w:t>
      </w:r>
      <w:r>
        <w:rPr>
          <w:noProof/>
          <w:szCs w:val="24"/>
        </w:rPr>
        <w:t>he same legal effect of Union law provisions made applicable by the Withdrawal Agreement in the United Kingdom as within the Union and its Member States.</w:t>
      </w:r>
    </w:p>
    <w:p w:rsidR="00190E99" w:rsidRDefault="00CD4FBA">
      <w:pPr>
        <w:pStyle w:val="ManualHeading2"/>
        <w:rPr>
          <w:noProof/>
          <w:u w:color="000000"/>
          <w:bdr w:val="nil"/>
          <w:lang w:val="en-US" w:eastAsia="en-GB"/>
        </w:rPr>
      </w:pPr>
      <w:r>
        <w:rPr>
          <w:noProof/>
          <w:color w:val="000000"/>
          <w:u w:color="000000"/>
          <w:bdr w:val="nil"/>
          <w:lang w:val="en-US" w:eastAsia="en-GB"/>
        </w:rPr>
        <w:t>•</w:t>
      </w:r>
      <w:r>
        <w:rPr>
          <w:noProof/>
          <w:u w:color="000000"/>
          <w:bdr w:val="nil"/>
          <w:lang w:val="en-US" w:eastAsia="en-GB"/>
        </w:rPr>
        <w:tab/>
        <w:t>Fundamental rights</w:t>
      </w:r>
    </w:p>
    <w:p w:rsidR="00190E99" w:rsidRDefault="00CD4FBA">
      <w:pPr>
        <w:pBdr>
          <w:top w:val="nil"/>
          <w:left w:val="nil"/>
          <w:bottom w:val="nil"/>
          <w:right w:val="nil"/>
          <w:between w:val="nil"/>
          <w:bar w:val="nil"/>
        </w:pBdr>
        <w:spacing w:after="240"/>
        <w:rPr>
          <w:noProof/>
          <w:szCs w:val="24"/>
        </w:rPr>
      </w:pPr>
      <w:r>
        <w:rPr>
          <w:noProof/>
          <w:szCs w:val="24"/>
        </w:rPr>
        <w:t xml:space="preserve">According to Article 6 of the Treaty on European Union, the Union recognises the </w:t>
      </w:r>
      <w:r>
        <w:rPr>
          <w:noProof/>
          <w:szCs w:val="24"/>
        </w:rPr>
        <w:t>rights, freedoms and principles set out in the Charter of Fundamental Rights of the European Union, which has the same legal value as the Treaties. Moreover, fundamental rights, as guaranteed by the European Convention for the Protection of Human Rights an</w:t>
      </w:r>
      <w:r>
        <w:rPr>
          <w:noProof/>
          <w:szCs w:val="24"/>
        </w:rPr>
        <w:t>d Fundamental Freedoms and as they result from the constitutional traditions common to the Member States, constitute general principles of the Union's law.</w:t>
      </w:r>
    </w:p>
    <w:p w:rsidR="00190E99" w:rsidRDefault="00CD4FBA">
      <w:pPr>
        <w:pBdr>
          <w:top w:val="nil"/>
          <w:left w:val="nil"/>
          <w:bottom w:val="nil"/>
          <w:right w:val="nil"/>
          <w:between w:val="nil"/>
          <w:bar w:val="nil"/>
        </w:pBdr>
        <w:spacing w:after="240"/>
        <w:rPr>
          <w:rFonts w:eastAsia="Arial Unicode MS"/>
          <w:noProof/>
          <w:szCs w:val="24"/>
        </w:rPr>
      </w:pPr>
      <w:r>
        <w:rPr>
          <w:noProof/>
          <w:szCs w:val="24"/>
        </w:rPr>
        <w:t>These rights, freedoms and principles are fully preserved and protected in the Union after the withd</w:t>
      </w:r>
      <w:r>
        <w:rPr>
          <w:noProof/>
          <w:szCs w:val="24"/>
        </w:rPr>
        <w:t>rawal of the United Kingdom from the Union. Moreover, the Withdrawal Agreement ensures that whenever Union law provisions or concepts are referred to, they are interpreted and applied using the methods and general principles of interpretation applicable wi</w:t>
      </w:r>
      <w:r>
        <w:rPr>
          <w:noProof/>
          <w:szCs w:val="24"/>
        </w:rPr>
        <w:t>thin the Union, including consistent interpretation with the Charter of Fundamental Rights. This is particularly relevant for the Part of the Agreement on citizens' rights which relies extensively on Union law.</w:t>
      </w:r>
    </w:p>
    <w:p w:rsidR="00190E99" w:rsidRDefault="00CD4FBA">
      <w:pPr>
        <w:pStyle w:val="ManualHeading1"/>
        <w:rPr>
          <w:noProof/>
          <w:szCs w:val="24"/>
        </w:rPr>
      </w:pPr>
      <w:r>
        <w:rPr>
          <w:noProof/>
          <w:szCs w:val="24"/>
        </w:rPr>
        <w:t>2.</w:t>
      </w:r>
      <w:r>
        <w:rPr>
          <w:noProof/>
          <w:szCs w:val="24"/>
        </w:rPr>
        <w:tab/>
        <w:t>LEGAL BASIS, SUBSIDIARITY AND PROPORTIONA</w:t>
      </w:r>
      <w:r>
        <w:rPr>
          <w:noProof/>
          <w:szCs w:val="24"/>
        </w:rPr>
        <w:t>LITY</w:t>
      </w:r>
    </w:p>
    <w:p w:rsidR="00190E99" w:rsidRDefault="00CD4FBA">
      <w:pPr>
        <w:pStyle w:val="ManualHeading2"/>
        <w:rPr>
          <w:noProof/>
          <w:szCs w:val="24"/>
          <w:u w:color="000000"/>
          <w:bdr w:val="nil"/>
          <w:lang w:val="en-US" w:eastAsia="en-GB"/>
        </w:rPr>
      </w:pPr>
      <w:r>
        <w:rPr>
          <w:noProof/>
          <w:szCs w:val="24"/>
          <w:u w:color="000000"/>
          <w:bdr w:val="nil"/>
          <w:lang w:val="en-US" w:eastAsia="en-GB"/>
        </w:rPr>
        <w:t>•</w:t>
      </w:r>
      <w:r>
        <w:rPr>
          <w:noProof/>
          <w:szCs w:val="24"/>
          <w:u w:color="000000"/>
          <w:bdr w:val="nil"/>
          <w:lang w:val="en-US" w:eastAsia="en-GB"/>
        </w:rPr>
        <w:tab/>
        <w:t>Legal basis</w:t>
      </w:r>
    </w:p>
    <w:p w:rsidR="00190E99" w:rsidRDefault="00CD4FBA">
      <w:pPr>
        <w:pBdr>
          <w:top w:val="nil"/>
          <w:left w:val="nil"/>
          <w:bottom w:val="nil"/>
          <w:right w:val="nil"/>
          <w:between w:val="nil"/>
          <w:bar w:val="nil"/>
        </w:pBdr>
        <w:spacing w:after="240"/>
        <w:rPr>
          <w:noProof/>
          <w:szCs w:val="24"/>
        </w:rPr>
      </w:pPr>
      <w:r>
        <w:rPr>
          <w:noProof/>
          <w:szCs w:val="24"/>
        </w:rPr>
        <w:t>The United Kingdom has notified its intention to withdraw from the European Union. As a consequence, Article 50 of the Treaty on European Union constitutes the legal basis for the signature and conclusion of a withdrawal agreement. It is</w:t>
      </w:r>
      <w:r>
        <w:rPr>
          <w:noProof/>
          <w:szCs w:val="24"/>
        </w:rPr>
        <w:t xml:space="preserve"> recalled that in accordance with Article 106a of the Treaty establishing the European Atomic Energy Community, Article 50 of the Treaty on European Union applies also to the European Atomic Energy Community.</w:t>
      </w:r>
    </w:p>
    <w:p w:rsidR="00190E99" w:rsidRDefault="00CD4FBA">
      <w:pPr>
        <w:pStyle w:val="ManualHeading2"/>
        <w:rPr>
          <w:noProof/>
          <w:u w:color="000000"/>
          <w:bdr w:val="nil"/>
          <w:lang w:val="en-US" w:eastAsia="en-GB"/>
        </w:rPr>
      </w:pPr>
      <w:r>
        <w:rPr>
          <w:noProof/>
          <w:szCs w:val="24"/>
          <w:u w:color="000000"/>
          <w:bdr w:val="nil"/>
          <w:lang w:val="en-US" w:eastAsia="en-GB"/>
        </w:rPr>
        <w:t>•</w:t>
      </w:r>
      <w:r>
        <w:rPr>
          <w:noProof/>
          <w:szCs w:val="24"/>
          <w:u w:color="000000"/>
          <w:bdr w:val="nil"/>
          <w:lang w:val="en-US" w:eastAsia="en-GB"/>
        </w:rPr>
        <w:tab/>
      </w:r>
      <w:r>
        <w:rPr>
          <w:noProof/>
          <w:u w:color="000000"/>
          <w:bdr w:val="nil"/>
          <w:lang w:val="en-US" w:eastAsia="en-GB"/>
        </w:rPr>
        <w:t>Proportionality</w:t>
      </w:r>
    </w:p>
    <w:p w:rsidR="00190E99" w:rsidRDefault="00CD4FBA">
      <w:pPr>
        <w:pBdr>
          <w:top w:val="nil"/>
          <w:left w:val="nil"/>
          <w:bottom w:val="nil"/>
          <w:right w:val="nil"/>
          <w:between w:val="nil"/>
          <w:bar w:val="nil"/>
        </w:pBdr>
        <w:spacing w:after="240"/>
        <w:rPr>
          <w:noProof/>
          <w:szCs w:val="24"/>
        </w:rPr>
      </w:pPr>
      <w:r>
        <w:rPr>
          <w:noProof/>
          <w:szCs w:val="24"/>
        </w:rPr>
        <w:t>The Withdrawal Agreement sett</w:t>
      </w:r>
      <w:r>
        <w:rPr>
          <w:noProof/>
          <w:szCs w:val="24"/>
        </w:rPr>
        <w:t>les all disentanglement issues and sets out clearly the terms and conditions of the transition and its duration. In so doing, the Withdrawal Agreement is adequate and proportionate to the objective of ensuring an orderly withdrawal of the United Kingdom fr</w:t>
      </w:r>
      <w:r>
        <w:rPr>
          <w:noProof/>
          <w:szCs w:val="24"/>
        </w:rPr>
        <w:t>om the Union.</w:t>
      </w:r>
    </w:p>
    <w:p w:rsidR="00190E99" w:rsidRDefault="00CD4FBA">
      <w:pPr>
        <w:pStyle w:val="ManualHeading2"/>
        <w:rPr>
          <w:noProof/>
          <w:szCs w:val="24"/>
          <w:u w:color="000000"/>
          <w:bdr w:val="nil"/>
          <w:lang w:val="en-US" w:eastAsia="en-GB"/>
        </w:rPr>
      </w:pPr>
      <w:r>
        <w:rPr>
          <w:noProof/>
          <w:szCs w:val="24"/>
          <w:u w:color="000000"/>
          <w:bdr w:val="nil"/>
          <w:lang w:val="en-US" w:eastAsia="en-GB"/>
        </w:rPr>
        <w:t>•</w:t>
      </w:r>
      <w:r>
        <w:rPr>
          <w:noProof/>
          <w:szCs w:val="24"/>
          <w:u w:color="000000"/>
          <w:bdr w:val="nil"/>
          <w:lang w:val="en-US" w:eastAsia="en-GB"/>
        </w:rPr>
        <w:tab/>
        <w:t>Choice of the instrument</w:t>
      </w:r>
    </w:p>
    <w:p w:rsidR="00190E99" w:rsidRDefault="00CD4FBA">
      <w:pPr>
        <w:pBdr>
          <w:top w:val="nil"/>
          <w:left w:val="nil"/>
          <w:bottom w:val="nil"/>
          <w:right w:val="nil"/>
          <w:between w:val="nil"/>
          <w:bar w:val="nil"/>
        </w:pBdr>
        <w:spacing w:after="240"/>
        <w:rPr>
          <w:noProof/>
          <w:szCs w:val="24"/>
        </w:rPr>
      </w:pPr>
      <w:r>
        <w:rPr>
          <w:noProof/>
          <w:szCs w:val="24"/>
        </w:rPr>
        <w:t>In accordance with Article 50(2) of the Treaty on European Union, the arrangements for the withdrawal have to be laid down in an agreement between the withdrawing state and the Union; the signature of such an agreem</w:t>
      </w:r>
      <w:r>
        <w:rPr>
          <w:noProof/>
          <w:szCs w:val="24"/>
        </w:rPr>
        <w:t>ent is to be decided by a Council decision.</w:t>
      </w:r>
    </w:p>
    <w:p w:rsidR="00190E99" w:rsidRDefault="00CD4FBA">
      <w:pPr>
        <w:pStyle w:val="ManualHeading1"/>
        <w:rPr>
          <w:noProof/>
          <w:szCs w:val="24"/>
        </w:rPr>
      </w:pPr>
      <w:r>
        <w:rPr>
          <w:noProof/>
          <w:szCs w:val="24"/>
        </w:rPr>
        <w:t>3.</w:t>
      </w:r>
      <w:r>
        <w:rPr>
          <w:noProof/>
          <w:szCs w:val="24"/>
        </w:rPr>
        <w:tab/>
        <w:t>BUDGETARY IMPLICATIONS</w:t>
      </w:r>
    </w:p>
    <w:p w:rsidR="00190E99" w:rsidRDefault="00CD4FBA">
      <w:pPr>
        <w:pBdr>
          <w:top w:val="nil"/>
          <w:left w:val="nil"/>
          <w:bottom w:val="nil"/>
          <w:right w:val="nil"/>
          <w:between w:val="nil"/>
          <w:bar w:val="nil"/>
        </w:pBdr>
        <w:spacing w:after="240"/>
        <w:rPr>
          <w:rFonts w:eastAsia="Arial Unicode MS"/>
          <w:noProof/>
          <w:szCs w:val="24"/>
        </w:rPr>
      </w:pPr>
      <w:r>
        <w:rPr>
          <w:noProof/>
          <w:szCs w:val="24"/>
        </w:rPr>
        <w:t>Since the Withdrawal Agreement ensures that the Union and the United Kingdom both respect the financial obligations resulting from the whole period of the UK membership in the Union, the</w:t>
      </w:r>
      <w:r>
        <w:rPr>
          <w:noProof/>
          <w:szCs w:val="24"/>
        </w:rPr>
        <w:t xml:space="preserve"> only budgetary impact of the Withdrawal agreement for the Union results mainly from the establishment of the Joint Committee, composed of representatives of the Union and of the United Kingdom. The Joint Committee will among others supervise and facilitat</w:t>
      </w:r>
      <w:r>
        <w:rPr>
          <w:noProof/>
          <w:szCs w:val="24"/>
        </w:rPr>
        <w:t>e the implementation and application of the Withdrawal agreement. The Joint Committee will meet at least once a year, at the request of either party. In addition, there could also be costs linked to the possible initiation of an arbitration procedure under</w:t>
      </w:r>
      <w:r>
        <w:rPr>
          <w:noProof/>
          <w:szCs w:val="24"/>
        </w:rPr>
        <w:t xml:space="preserve"> the dispute settlement of the Agreement. Should the transition period be extended, the United Kingdom will make a contribution for that new period to the Union budget that will be treated as General Revenues. The legislative financial statement attached t</w:t>
      </w:r>
      <w:r>
        <w:rPr>
          <w:noProof/>
          <w:szCs w:val="24"/>
        </w:rPr>
        <w:t>o this proposal give additional details on its estimated financial impact for the Union's budget.</w:t>
      </w:r>
    </w:p>
    <w:p w:rsidR="00190E99" w:rsidRDefault="00CD4FBA">
      <w:pPr>
        <w:pStyle w:val="ManualHeading1"/>
        <w:rPr>
          <w:noProof/>
          <w:szCs w:val="24"/>
        </w:rPr>
      </w:pPr>
      <w:r>
        <w:rPr>
          <w:noProof/>
          <w:szCs w:val="24"/>
        </w:rPr>
        <w:t>4.</w:t>
      </w:r>
      <w:r>
        <w:rPr>
          <w:noProof/>
          <w:szCs w:val="24"/>
        </w:rPr>
        <w:tab/>
        <w:t>OTHER ELEMENTS</w:t>
      </w:r>
    </w:p>
    <w:p w:rsidR="00190E99" w:rsidRDefault="00CD4FBA">
      <w:pPr>
        <w:pStyle w:val="ManualHeading2"/>
        <w:rPr>
          <w:noProof/>
          <w:szCs w:val="24"/>
          <w:u w:color="000000"/>
          <w:bdr w:val="nil"/>
          <w:lang w:val="en-US" w:eastAsia="en-GB"/>
        </w:rPr>
      </w:pPr>
      <w:r>
        <w:rPr>
          <w:noProof/>
          <w:szCs w:val="24"/>
          <w:u w:color="000000"/>
          <w:bdr w:val="nil"/>
          <w:lang w:val="en-US" w:eastAsia="en-GB"/>
        </w:rPr>
        <w:t>•</w:t>
      </w:r>
      <w:r>
        <w:rPr>
          <w:noProof/>
          <w:szCs w:val="24"/>
          <w:u w:color="000000"/>
          <w:bdr w:val="nil"/>
          <w:lang w:val="en-US" w:eastAsia="en-GB"/>
        </w:rPr>
        <w:tab/>
        <w:t>Implementation plans and monitoring, evaluation and reporting arrangements</w:t>
      </w:r>
    </w:p>
    <w:p w:rsidR="00190E99" w:rsidRDefault="00CD4FBA">
      <w:pPr>
        <w:keepNext/>
        <w:outlineLvl w:val="1"/>
        <w:rPr>
          <w:rFonts w:eastAsia="Arial Unicode MS"/>
          <w:noProof/>
          <w:szCs w:val="24"/>
          <w:u w:color="000000"/>
          <w:bdr w:val="nil"/>
          <w:lang w:eastAsia="en-GB"/>
        </w:rPr>
      </w:pPr>
      <w:r>
        <w:rPr>
          <w:rFonts w:eastAsia="Arial Unicode MS"/>
          <w:noProof/>
          <w:szCs w:val="24"/>
          <w:u w:color="000000"/>
          <w:bdr w:val="nil"/>
          <w:lang w:val="en-US" w:eastAsia="en-GB"/>
        </w:rPr>
        <w:t>Title 2 of Part Six of the Withdrawal Agreement establishes a J</w:t>
      </w:r>
      <w:r>
        <w:rPr>
          <w:rFonts w:eastAsia="Arial Unicode MS"/>
          <w:noProof/>
          <w:szCs w:val="24"/>
          <w:u w:color="000000"/>
          <w:bdr w:val="nil"/>
          <w:lang w:val="en-US" w:eastAsia="en-GB"/>
        </w:rPr>
        <w:t>oint Committee that will continuously monitor the implementation, operation and impact of this agreement. The Joint Committee is comprised of representatives of the European Union and representatives of the United Kingdom who will meet at least once a year</w:t>
      </w:r>
      <w:r>
        <w:rPr>
          <w:rFonts w:eastAsia="Arial Unicode MS"/>
          <w:noProof/>
          <w:szCs w:val="24"/>
          <w:u w:color="000000"/>
          <w:bdr w:val="nil"/>
          <w:lang w:val="en-US" w:eastAsia="en-GB"/>
        </w:rPr>
        <w:t xml:space="preserve"> and will supervise and facilitate the implementation and application of the agreement and decide on the tasks of the specialised committees and supervise their work and make amendment to the Agreement where specifically provided for in the Agreement itsel</w:t>
      </w:r>
      <w:r>
        <w:rPr>
          <w:rFonts w:eastAsia="Arial Unicode MS"/>
          <w:noProof/>
          <w:szCs w:val="24"/>
          <w:u w:color="000000"/>
          <w:bdr w:val="nil"/>
          <w:lang w:val="en-US" w:eastAsia="en-GB"/>
        </w:rPr>
        <w:t xml:space="preserve">f. The </w:t>
      </w:r>
      <w:r>
        <w:rPr>
          <w:noProof/>
          <w:szCs w:val="24"/>
        </w:rPr>
        <w:t xml:space="preserve">Joint Committee can only make its decisions and recommendations by agreement between the Union and the United Kingdom. It can in no way restrict the decision-making at Union level. The Union and the United Kingdom may, through the Joint Committee, </w:t>
      </w:r>
      <w:r>
        <w:rPr>
          <w:noProof/>
          <w:szCs w:val="24"/>
        </w:rPr>
        <w:t>decide to amend certain aspects of the Agreement, only in those cases where this is specifically provided therein. When the Parties approve such a decision, it has to be subject to their respective applicable internal requirements and procedures.</w:t>
      </w:r>
    </w:p>
    <w:p w:rsidR="00190E99" w:rsidRDefault="00CD4FBA">
      <w:pPr>
        <w:keepNext/>
        <w:outlineLvl w:val="1"/>
        <w:rPr>
          <w:rFonts w:eastAsia="Arial Unicode MS"/>
          <w:noProof/>
          <w:szCs w:val="24"/>
          <w:u w:color="000000"/>
          <w:bdr w:val="nil"/>
          <w:lang w:val="en-US" w:eastAsia="en-GB"/>
        </w:rPr>
      </w:pPr>
      <w:r>
        <w:rPr>
          <w:rFonts w:eastAsia="Arial Unicode MS"/>
          <w:noProof/>
          <w:szCs w:val="24"/>
          <w:u w:color="000000"/>
          <w:bdr w:val="nil"/>
          <w:lang w:val="en-US" w:eastAsia="en-GB"/>
        </w:rPr>
        <w:t xml:space="preserve">The following specialised committees will operate under the control of the Joint Committee i.e. one sub-committee for each of the main parts of the Withdrawal Agreement: </w:t>
      </w:r>
    </w:p>
    <w:p w:rsidR="00190E99" w:rsidRDefault="00CD4FBA">
      <w:pPr>
        <w:pStyle w:val="Point1letter"/>
        <w:numPr>
          <w:ilvl w:val="3"/>
          <w:numId w:val="15"/>
        </w:numPr>
        <w:rPr>
          <w:noProof/>
        </w:rPr>
      </w:pPr>
      <w:r>
        <w:rPr>
          <w:noProof/>
        </w:rPr>
        <w:t>the Committee on citizens' rights;</w:t>
      </w:r>
    </w:p>
    <w:p w:rsidR="00190E99" w:rsidRDefault="00CD4FBA">
      <w:pPr>
        <w:pStyle w:val="Point1letter"/>
        <w:rPr>
          <w:noProof/>
        </w:rPr>
      </w:pPr>
      <w:r>
        <w:rPr>
          <w:noProof/>
        </w:rPr>
        <w:t>the Committee on the other separation provisions;</w:t>
      </w:r>
    </w:p>
    <w:p w:rsidR="00190E99" w:rsidRDefault="00CD4FBA">
      <w:pPr>
        <w:pStyle w:val="Point1letter"/>
        <w:rPr>
          <w:noProof/>
        </w:rPr>
      </w:pPr>
      <w:r>
        <w:rPr>
          <w:noProof/>
        </w:rPr>
        <w:t>the Committee on issues related to the implementation of the Protocol on Ireland/Northern Ireland;</w:t>
      </w:r>
    </w:p>
    <w:p w:rsidR="00190E99" w:rsidRDefault="00CD4FBA">
      <w:pPr>
        <w:pStyle w:val="Point1letter"/>
        <w:rPr>
          <w:noProof/>
        </w:rPr>
      </w:pPr>
      <w:r>
        <w:rPr>
          <w:noProof/>
        </w:rPr>
        <w:t xml:space="preserve">the Committee on issues related to the implementation of the Protocol relating to the Sovereign Base Areas in Cyprus; </w:t>
      </w:r>
    </w:p>
    <w:p w:rsidR="00190E99" w:rsidRDefault="00CD4FBA">
      <w:pPr>
        <w:pStyle w:val="Point1letter"/>
        <w:rPr>
          <w:noProof/>
        </w:rPr>
      </w:pPr>
      <w:r>
        <w:rPr>
          <w:noProof/>
        </w:rPr>
        <w:t>the Committee on issues related to the</w:t>
      </w:r>
      <w:r>
        <w:rPr>
          <w:noProof/>
        </w:rPr>
        <w:t xml:space="preserve"> implementation of the Protocol on Gibraltar; and</w:t>
      </w:r>
    </w:p>
    <w:p w:rsidR="00190E99" w:rsidRDefault="00CD4FBA">
      <w:pPr>
        <w:pStyle w:val="Point1letter"/>
        <w:rPr>
          <w:noProof/>
        </w:rPr>
      </w:pPr>
      <w:r>
        <w:rPr>
          <w:noProof/>
        </w:rPr>
        <w:t>the Committee on the financial provisions.</w:t>
      </w:r>
    </w:p>
    <w:p w:rsidR="00190E99" w:rsidRDefault="00CD4FBA">
      <w:pPr>
        <w:outlineLvl w:val="1"/>
        <w:rPr>
          <w:rFonts w:eastAsia="Arial Unicode MS"/>
          <w:noProof/>
          <w:szCs w:val="24"/>
          <w:u w:color="000000"/>
          <w:bdr w:val="nil"/>
          <w:lang w:val="en-US" w:eastAsia="en-GB"/>
        </w:rPr>
      </w:pPr>
      <w:r>
        <w:rPr>
          <w:rFonts w:eastAsia="Arial Unicode MS"/>
          <w:noProof/>
          <w:szCs w:val="24"/>
          <w:u w:color="000000"/>
          <w:bdr w:val="nil"/>
          <w:lang w:val="en-US" w:eastAsia="en-GB"/>
        </w:rPr>
        <w:t>The proposal also foresees a role for the Joint Committee in dispute settlement, which is addressed in Title 3 of Part Six of the Withdrawal Agreement.</w:t>
      </w:r>
    </w:p>
    <w:p w:rsidR="00190E99" w:rsidRDefault="00CD4FBA">
      <w:pPr>
        <w:pStyle w:val="ManualHeading2"/>
        <w:rPr>
          <w:noProof/>
          <w:szCs w:val="24"/>
          <w:u w:color="000000"/>
          <w:bdr w:val="nil"/>
          <w:lang w:val="en-US" w:eastAsia="en-GB"/>
        </w:rPr>
      </w:pPr>
      <w:r>
        <w:rPr>
          <w:noProof/>
          <w:szCs w:val="24"/>
          <w:u w:color="000000"/>
          <w:bdr w:val="nil"/>
          <w:lang w:val="en-US" w:eastAsia="en-GB"/>
        </w:rPr>
        <w:t>•</w:t>
      </w:r>
      <w:r>
        <w:rPr>
          <w:noProof/>
          <w:szCs w:val="24"/>
          <w:u w:color="000000"/>
          <w:bdr w:val="nil"/>
          <w:lang w:val="en-US" w:eastAsia="en-GB"/>
        </w:rPr>
        <w:tab/>
        <w:t xml:space="preserve">Detailed </w:t>
      </w:r>
      <w:r>
        <w:rPr>
          <w:noProof/>
          <w:szCs w:val="24"/>
          <w:u w:color="000000"/>
          <w:bdr w:val="nil"/>
          <w:lang w:val="en-US" w:eastAsia="en-GB"/>
        </w:rPr>
        <w:t>explanation of the specific provisions of the proposal</w:t>
      </w:r>
    </w:p>
    <w:p w:rsidR="00190E99" w:rsidRDefault="00CD4FBA">
      <w:pPr>
        <w:rPr>
          <w:noProof/>
          <w:szCs w:val="24"/>
        </w:rPr>
      </w:pPr>
      <w:r>
        <w:rPr>
          <w:noProof/>
          <w:szCs w:val="24"/>
        </w:rPr>
        <w:t>The Commission's draft text proposal for the Withdrawal Agreement consists of 185 Articles structured in six Parts (further divided into Titles and Chapters), three Protocols and nine Annexes, as follo</w:t>
      </w:r>
      <w:r>
        <w:rPr>
          <w:noProof/>
          <w:szCs w:val="24"/>
        </w:rPr>
        <w:t>ws:</w:t>
      </w:r>
    </w:p>
    <w:p w:rsidR="00190E99" w:rsidRDefault="00CD4FBA">
      <w:pPr>
        <w:rPr>
          <w:noProof/>
          <w:szCs w:val="24"/>
        </w:rPr>
      </w:pPr>
      <w:r>
        <w:rPr>
          <w:b/>
          <w:noProof/>
          <w:szCs w:val="24"/>
        </w:rPr>
        <w:t>Part One</w:t>
      </w:r>
      <w:r>
        <w:rPr>
          <w:noProof/>
          <w:szCs w:val="24"/>
        </w:rPr>
        <w:t xml:space="preserve"> (Common Provisions) contains the common provisions of the Withdrawal Agreement (“the Agreement”), including definitions, the territorial scope of the Withdrawal Agreement, the methods and principles relating to the effect, the implementation a</w:t>
      </w:r>
      <w:r>
        <w:rPr>
          <w:noProof/>
          <w:szCs w:val="24"/>
        </w:rPr>
        <w:t>nd the application of the Agreement.</w:t>
      </w:r>
    </w:p>
    <w:p w:rsidR="00190E99" w:rsidRDefault="00CD4FBA">
      <w:pPr>
        <w:rPr>
          <w:noProof/>
          <w:szCs w:val="24"/>
        </w:rPr>
      </w:pPr>
      <w:r>
        <w:rPr>
          <w:b/>
          <w:noProof/>
          <w:szCs w:val="24"/>
        </w:rPr>
        <w:t>Part Two</w:t>
      </w:r>
      <w:r>
        <w:rPr>
          <w:noProof/>
          <w:szCs w:val="24"/>
        </w:rPr>
        <w:t xml:space="preserve"> (Citizens’ Rights) sets out the provisions aimed at safeguarding the status and rights derived from EU law of EU and UK citizens, and their families, affected by the United Kingdom's withdrawal. Part Two includ</w:t>
      </w:r>
      <w:r>
        <w:rPr>
          <w:noProof/>
          <w:szCs w:val="24"/>
        </w:rPr>
        <w:t>es 4 titles: Title I (General provisions), Title II (Rights and obligations), Title III (Coordination of Social Security systems), and Title IV (Other provisions).</w:t>
      </w:r>
    </w:p>
    <w:p w:rsidR="00190E99" w:rsidRDefault="00CD4FBA">
      <w:pPr>
        <w:rPr>
          <w:noProof/>
          <w:szCs w:val="24"/>
        </w:rPr>
      </w:pPr>
      <w:r>
        <w:rPr>
          <w:b/>
          <w:noProof/>
          <w:szCs w:val="24"/>
        </w:rPr>
        <w:t>Part Three</w:t>
      </w:r>
      <w:r>
        <w:rPr>
          <w:noProof/>
          <w:szCs w:val="24"/>
        </w:rPr>
        <w:t xml:space="preserve"> (Separation Provisions) sets out the provisions for other issues relating to the </w:t>
      </w:r>
      <w:r>
        <w:rPr>
          <w:noProof/>
          <w:szCs w:val="24"/>
        </w:rPr>
        <w:t>disentanglement of the United Kingdom from the Union. Part Three includes 13 titles: Title I (Goods placed on the market), Title II (Ongoing customs procedures), Title III (Ongoing value added tax and excise duty matters), Title IV (Intellectual property),</w:t>
      </w:r>
      <w:r>
        <w:rPr>
          <w:noProof/>
          <w:szCs w:val="24"/>
        </w:rPr>
        <w:t xml:space="preserve"> Title V (Ongoing police and judicial cooperation in criminal matters), Title VI (Ongoing judicial cooperation in civil and commercial matters), Title VII (Data and information processed or obtained before the date of entry into force, or on the basis of t</w:t>
      </w:r>
      <w:r>
        <w:rPr>
          <w:noProof/>
          <w:szCs w:val="24"/>
        </w:rPr>
        <w:t xml:space="preserve">his Agreement), Title VIII (Ongoing public procurement and similar procedures), Title IX (Euratom related issues), Title X (Union judicial and administrative procedures), Title XI (Administrative cooperation procedures between Member States and the United </w:t>
      </w:r>
      <w:r>
        <w:rPr>
          <w:noProof/>
          <w:szCs w:val="24"/>
        </w:rPr>
        <w:t xml:space="preserve">Kingdom), Title XII (Privileges and immunities) and Title XIII (Other issues relating to the functioning of the institutions, bodies, offices and agencies of the Union). </w:t>
      </w:r>
    </w:p>
    <w:p w:rsidR="00190E99" w:rsidRDefault="00CD4FBA">
      <w:pPr>
        <w:rPr>
          <w:noProof/>
          <w:szCs w:val="24"/>
        </w:rPr>
      </w:pPr>
      <w:r>
        <w:rPr>
          <w:b/>
          <w:noProof/>
          <w:szCs w:val="24"/>
        </w:rPr>
        <w:t>Part Four</w:t>
      </w:r>
      <w:r>
        <w:rPr>
          <w:noProof/>
          <w:szCs w:val="24"/>
        </w:rPr>
        <w:t xml:space="preserve"> (Transition) sets out a transition period during which the whole EU acquis </w:t>
      </w:r>
      <w:r>
        <w:rPr>
          <w:noProof/>
          <w:szCs w:val="24"/>
        </w:rPr>
        <w:t xml:space="preserve">will apply to the United Kingdom, with some exceptions. During transition, the United Kingdom will no longer be represented in the Union institutions, nor participate in the decision-shaping and decision-making process of the Union. Furthermore, Part Four </w:t>
      </w:r>
      <w:r>
        <w:rPr>
          <w:noProof/>
          <w:szCs w:val="24"/>
        </w:rPr>
        <w:t>establishes the transitional arrangements applicable to United Kingdom with regard to the international agreements concluded by the Union, or by Member States acting on its behalf, or by the Union and its Member States acting jointly. In accordance with Ar</w:t>
      </w:r>
      <w:r>
        <w:rPr>
          <w:noProof/>
          <w:szCs w:val="24"/>
        </w:rPr>
        <w:t>ticle 129, the United Kingdom will be bound by the obligations stemming from those agreements. Article 130 provides for a consultation mechanism for the fixing of fishing opportunities of the United Kingdom for the transition period. Article 131 will ensur</w:t>
      </w:r>
      <w:r>
        <w:rPr>
          <w:noProof/>
          <w:szCs w:val="24"/>
        </w:rPr>
        <w:t>e that the full competence of all Union institutions will be preserved in relation to the United Kingdom, including the competence of the Court of Justice of the European Union. Article 132 provides for the possibility of adopting a single decision extendi</w:t>
      </w:r>
      <w:r>
        <w:rPr>
          <w:noProof/>
          <w:szCs w:val="24"/>
        </w:rPr>
        <w:t>ng the transition period for up to 1 or 2 years</w:t>
      </w:r>
    </w:p>
    <w:p w:rsidR="00190E99" w:rsidRDefault="00CD4FBA">
      <w:pPr>
        <w:rPr>
          <w:noProof/>
          <w:szCs w:val="24"/>
        </w:rPr>
      </w:pPr>
      <w:r>
        <w:rPr>
          <w:b/>
          <w:noProof/>
          <w:szCs w:val="24"/>
        </w:rPr>
        <w:t>Part Five</w:t>
      </w:r>
      <w:r>
        <w:rPr>
          <w:noProof/>
          <w:szCs w:val="24"/>
        </w:rPr>
        <w:t xml:space="preserve"> (Financial provisions) lays down detailed rules on the financial settlement, including detailed rules on the components of the financial settlement as well as the rules for the calculation of the va</w:t>
      </w:r>
      <w:r>
        <w:rPr>
          <w:noProof/>
          <w:szCs w:val="24"/>
        </w:rPr>
        <w:t>lue of the financial settlement and payment modalities. Rules are also set for the arrangements for continued participation of the United Kingdom in the programmes of the current Multiannual Financial Framework (MFF) until their closure.</w:t>
      </w:r>
    </w:p>
    <w:p w:rsidR="00190E99" w:rsidRDefault="00CD4FBA">
      <w:pPr>
        <w:rPr>
          <w:noProof/>
          <w:szCs w:val="24"/>
        </w:rPr>
      </w:pPr>
      <w:r>
        <w:rPr>
          <w:b/>
          <w:noProof/>
          <w:szCs w:val="24"/>
        </w:rPr>
        <w:t>Part Six</w:t>
      </w:r>
      <w:r>
        <w:rPr>
          <w:noProof/>
          <w:szCs w:val="24"/>
        </w:rPr>
        <w:t xml:space="preserve"> (Institut</w:t>
      </w:r>
      <w:r>
        <w:rPr>
          <w:noProof/>
          <w:szCs w:val="24"/>
        </w:rPr>
        <w:t>ional and final provisions) sets out rules for the consistent interpretation and application of the Agreement and establishes a Joint Committee as well as a dispute settlement mechanism. This Part contains also a best endeavours obligation on Parties to tr</w:t>
      </w:r>
      <w:r>
        <w:rPr>
          <w:noProof/>
          <w:szCs w:val="24"/>
        </w:rPr>
        <w:t>y to reach agreement on their future relationship before the end of the transition period, as well as the provisions on the entry into force of the Agreement.</w:t>
      </w:r>
    </w:p>
    <w:p w:rsidR="00190E99" w:rsidRDefault="00CD4FBA">
      <w:pPr>
        <w:rPr>
          <w:noProof/>
          <w:szCs w:val="24"/>
        </w:rPr>
      </w:pPr>
      <w:r>
        <w:rPr>
          <w:noProof/>
          <w:szCs w:val="24"/>
        </w:rPr>
        <w:t xml:space="preserve">The </w:t>
      </w:r>
      <w:r>
        <w:rPr>
          <w:b/>
          <w:noProof/>
          <w:szCs w:val="24"/>
        </w:rPr>
        <w:t>protocol on Ireland/Northern Ireland</w:t>
      </w:r>
      <w:r>
        <w:rPr>
          <w:noProof/>
          <w:szCs w:val="24"/>
        </w:rPr>
        <w:t xml:space="preserve"> and its 10 Annexes include the provisions necessary for </w:t>
      </w:r>
      <w:r>
        <w:rPr>
          <w:noProof/>
          <w:szCs w:val="24"/>
        </w:rPr>
        <w:t>the so-called “backstop” solution for avoiding a hard border between Ireland and Northern Ireland. This will apply unless and until it is superseded, in whole or in part, by any subsequent agreement. The Protocol creates a single EU-UK customs territory. T</w:t>
      </w:r>
      <w:r>
        <w:rPr>
          <w:noProof/>
          <w:szCs w:val="24"/>
        </w:rPr>
        <w:t>his will avoid the need for tariffs, quotas or checks on rules of origin between the Union and the United Kingdom. It also foresees a set of measures to ensure that there is a level playing field between the Union and the United Kingdom. Furthermore, the P</w:t>
      </w:r>
      <w:r>
        <w:rPr>
          <w:noProof/>
          <w:szCs w:val="24"/>
        </w:rPr>
        <w:t>rotocol ensures that the Union's Customs Code (UCC), setting out, inter alia, the provisions for releasing products into free circulation within the EU, will continue to apply to Northern Ireland. This will ensure that Northern Irish businesses will not fa</w:t>
      </w:r>
      <w:r>
        <w:rPr>
          <w:noProof/>
          <w:szCs w:val="24"/>
        </w:rPr>
        <w:t>ce restrictions when placing products on the EU’s Single Market. The Protocol also foresees that the United Kingdom in respect of Northern Ireland will remain aligned to a limited set of rules that are related to the EU’s Single Market and indispensable fo</w:t>
      </w:r>
      <w:r>
        <w:rPr>
          <w:noProof/>
          <w:szCs w:val="24"/>
        </w:rPr>
        <w:t>r avoiding a hard border: legislation on goods, sanitary and phytosanitary rules (“SPS rules”), rules on agricultural production, VAT and excise, and state aid rules. There are also provisions maintaining the Single Electricity Market on the island of Irel</w:t>
      </w:r>
      <w:r>
        <w:rPr>
          <w:noProof/>
          <w:szCs w:val="24"/>
        </w:rPr>
        <w:t>and. Pursuant to the Protocol, the Common Travel Area between Ireland and the United Kingdom and its associated rights and privileges will continue to apply in conformity with Union law, in particular on free movement of EU citizens. North-South cooperatio</w:t>
      </w:r>
      <w:r>
        <w:rPr>
          <w:noProof/>
          <w:szCs w:val="24"/>
        </w:rPr>
        <w:t>n will also continue as set out in the Protocol, including in the areas of environment, health, agriculture, transport, education and tourism, as well as in the areas of energy, telecommunications, broadcasting, inland fisheries, justice and security, high</w:t>
      </w:r>
      <w:r>
        <w:rPr>
          <w:noProof/>
          <w:szCs w:val="24"/>
        </w:rPr>
        <w:t>er education and sport.</w:t>
      </w:r>
    </w:p>
    <w:p w:rsidR="00190E99" w:rsidRDefault="00CD4FBA">
      <w:pPr>
        <w:rPr>
          <w:noProof/>
          <w:szCs w:val="24"/>
        </w:rPr>
      </w:pPr>
      <w:r>
        <w:rPr>
          <w:noProof/>
          <w:szCs w:val="24"/>
        </w:rPr>
        <w:t xml:space="preserve">The Withdrawal Agreement also includes a </w:t>
      </w:r>
      <w:r>
        <w:rPr>
          <w:b/>
          <w:noProof/>
          <w:szCs w:val="24"/>
        </w:rPr>
        <w:t>protocol relating to the Sovereign Base Areas of the United Kingdom in Cyprus</w:t>
      </w:r>
      <w:r>
        <w:rPr>
          <w:noProof/>
          <w:szCs w:val="24"/>
        </w:rPr>
        <w:t xml:space="preserve"> (the protocol on the SBAs). Since the relations between the Union and the Sovereign Base Areas in Cyprus are to b</w:t>
      </w:r>
      <w:r>
        <w:rPr>
          <w:noProof/>
          <w:szCs w:val="24"/>
        </w:rPr>
        <w:t>e defined against the background of the Republic of Cyprus’ membership of the Union, the protocol on the SBAs should establishes appropriate mechanisms to achieve, after the withdrawal of the United Kingdom from the Union, the objectives of the arrangement</w:t>
      </w:r>
      <w:r>
        <w:rPr>
          <w:noProof/>
          <w:szCs w:val="24"/>
        </w:rPr>
        <w:t>s set out in Protocol 3 to the Act of Accession of the Republic of Cyprus to the Union. As outlined in the Joint Statement of 19 June 2018, both the Union and the United Kingdom committed to establishing appropriate arrangements for the Sovereign Base Area</w:t>
      </w:r>
      <w:r>
        <w:rPr>
          <w:noProof/>
          <w:szCs w:val="24"/>
        </w:rPr>
        <w:t xml:space="preserve">s, "in particular with the aim to protect the interests of Cypriots who live and work in the SBAs following the United Kingdom's withdrawal from the Union, in full respect of the rights and obligations under the Treaty of Establishment." The Union and the </w:t>
      </w:r>
      <w:r>
        <w:rPr>
          <w:noProof/>
          <w:szCs w:val="24"/>
        </w:rPr>
        <w:t xml:space="preserve">United Kingdom have agreed on the terms of a Protocol which will give effect to this and which is annexed to the Withdrawal Agreement. The aim of the Protocol is to ensure that Union law, in the areas stipulated in Protocol 3 to Cyprus's Act of Accession, </w:t>
      </w:r>
      <w:r>
        <w:rPr>
          <w:noProof/>
          <w:szCs w:val="24"/>
        </w:rPr>
        <w:t>will continue to apply in the Sovereign Base Areas, with no disruption or loss of rights especially for the approximately 11,000 Cypriot civilians living and working in the areas of the SBAs. This applies to a number of policy areas such as taxation, goods</w:t>
      </w:r>
      <w:r>
        <w:rPr>
          <w:noProof/>
          <w:szCs w:val="24"/>
        </w:rPr>
        <w:t xml:space="preserve">, agriculture, fisheries and veterinary and phytosanitary rules. The Protocol confers responsibility on the Republic of Cyprus for the implementation and enforcement of Union law in relation to most of the areas covered, with the exception of security and </w:t>
      </w:r>
      <w:r>
        <w:rPr>
          <w:noProof/>
          <w:szCs w:val="24"/>
        </w:rPr>
        <w:t xml:space="preserve">military affairs. </w:t>
      </w:r>
    </w:p>
    <w:p w:rsidR="00190E99" w:rsidRDefault="00CD4FBA">
      <w:pPr>
        <w:rPr>
          <w:rStyle w:val="Emphasis"/>
          <w:i w:val="0"/>
          <w:noProof/>
        </w:rPr>
      </w:pPr>
      <w:r>
        <w:rPr>
          <w:noProof/>
          <w:u w:color="000000"/>
          <w:bdr w:val="nil"/>
          <w:lang w:val="en-US"/>
        </w:rPr>
        <w:t xml:space="preserve">Finally, the Withdrawal Agreement includes a </w:t>
      </w:r>
      <w:r>
        <w:rPr>
          <w:b/>
          <w:noProof/>
          <w:u w:color="000000"/>
          <w:bdr w:val="nil"/>
          <w:lang w:val="en-US"/>
        </w:rPr>
        <w:t>protocol on Gibraltar</w:t>
      </w:r>
      <w:r>
        <w:rPr>
          <w:noProof/>
          <w:u w:color="000000"/>
          <w:bdr w:val="nil"/>
          <w:lang w:val="en-US"/>
        </w:rPr>
        <w:t xml:space="preserve"> addressing the specific issues that the withdrawal of the United Kingdom from the Union creates in relation to Gibraltar.</w:t>
      </w:r>
      <w:r>
        <w:rPr>
          <w:noProof/>
        </w:rPr>
        <w:t xml:space="preserve"> The European Council guidelines of 29 April 2017 set out that </w:t>
      </w:r>
      <w:r>
        <w:rPr>
          <w:rStyle w:val="Emphasis"/>
          <w:i w:val="0"/>
          <w:noProof/>
        </w:rPr>
        <w:t>"no agreement between the Union and the United Kingdom may apply to the territory of Gibraltar without the agreement between the Kingdom of Spain and the United Kingdom." This has been recalled</w:t>
      </w:r>
      <w:r>
        <w:rPr>
          <w:rStyle w:val="Emphasis"/>
          <w:i w:val="0"/>
          <w:noProof/>
        </w:rPr>
        <w:t xml:space="preserve"> in the Council supplementary negotiating directives of 29 January 2018 and in the European Council guidelines of 14 March 2018. In the statements to the minutes of the European Council meeting of 25 November 2018, the following declaration of the European</w:t>
      </w:r>
      <w:r>
        <w:rPr>
          <w:rStyle w:val="Emphasis"/>
          <w:i w:val="0"/>
          <w:noProof/>
        </w:rPr>
        <w:t xml:space="preserve"> Council and of the Commission has been included: "After the United Kingdom leaves the Union, Gibraltar will not be included in the territorial scope of the agreements to be concluded between the Union and the United Kingdom. However, this does not preclud</w:t>
      </w:r>
      <w:r>
        <w:rPr>
          <w:rStyle w:val="Emphasis"/>
          <w:i w:val="0"/>
          <w:noProof/>
        </w:rPr>
        <w:t>e the possibility to have separate agreements between the Union and the United Kingdom in respect of Gibraltar. Without prejudice to the competences of the Union and in full respect of the territorial integrity of its Member States as guaranteed by Article</w:t>
      </w:r>
      <w:r>
        <w:rPr>
          <w:rStyle w:val="Emphasis"/>
          <w:i w:val="0"/>
          <w:noProof/>
        </w:rPr>
        <w:t xml:space="preserve"> 4(2) of the Treaty on European Union, those separate agreements will require a prior agreement of the Kingdom of Spain". Moreover, at the same occasion, the European Council and the Commission have issued an interpretative declaration relating to the Arti</w:t>
      </w:r>
      <w:r>
        <w:rPr>
          <w:rStyle w:val="Emphasis"/>
          <w:i w:val="0"/>
          <w:noProof/>
        </w:rPr>
        <w:t>cle 184 of the Withdrawal Agreement and territorial scope of future agreements.</w:t>
      </w:r>
    </w:p>
    <w:p w:rsidR="00190E99" w:rsidRDefault="00CD4FBA">
      <w:pPr>
        <w:rPr>
          <w:noProof/>
        </w:rPr>
      </w:pPr>
      <w:r>
        <w:rPr>
          <w:noProof/>
        </w:rPr>
        <w:t>Bilateral negotiations between Spain and the United Kingdom have now concluded. A Protocol referring to these bilateral arrangements is annexed to the Withdrawal Agreement. The</w:t>
      </w:r>
      <w:r>
        <w:rPr>
          <w:noProof/>
        </w:rPr>
        <w:t xml:space="preserve"> Protocol forms a package with bilateral memoranda of understanding between Spain and the United Kingdom in respect of Gibraltar. This concerns bilateral cooperation on citizens' rights, tobacco and other products, environment, police and customs matters, </w:t>
      </w:r>
      <w:r>
        <w:rPr>
          <w:noProof/>
        </w:rPr>
        <w:t>as well as a bilateral agreement in relation to taxation and the protection of financial interests. On citizens' rights, the Protocol establishes the basis for administrative cooperation between the competent authorities for the implementation of the Withd</w:t>
      </w:r>
      <w:r>
        <w:rPr>
          <w:noProof/>
        </w:rPr>
        <w:t>rawal in relation to people living in the Gibraltar area, and in particular frontier workers. On air transport law, it establishes the possibility, in case of an agreement between Spain and United Kingdom on the use of the Gibraltar airport, to make applic</w:t>
      </w:r>
      <w:r>
        <w:rPr>
          <w:noProof/>
        </w:rPr>
        <w:t xml:space="preserve">able to Gibraltar during the transition the Union legislation previously not applicable there. On fiscal matters and protection of financial interests, the Protocol establishes the basis for administrative cooperation between the competent authorities for </w:t>
      </w:r>
      <w:r>
        <w:rPr>
          <w:noProof/>
        </w:rPr>
        <w:t>achieving full transparency in tax matters, fighting against fraud, smuggling, and money laundering. The United Kingdom also commits that international standards in this area are complied with in Gibraltar. In relation to tobacco, the United Kingdom commit</w:t>
      </w:r>
      <w:r>
        <w:rPr>
          <w:noProof/>
        </w:rPr>
        <w:t>s to ratify certain conventions in respect of Gibraltar and to put in place before 30 June 2020 a system of traceability and security measures on cigarettes. In respect of alcohol and petrol, the United Kingdom commits to ensure that a tax system which aim</w:t>
      </w:r>
      <w:r>
        <w:rPr>
          <w:noProof/>
        </w:rPr>
        <w:t>s at preventing fraud is in force in Gibraltar. On environment protection and fishing and cooperation in police and customs matters, the Protocol establishes the basis for administrative cooperation between the competent authorities. A specialised committe</w:t>
      </w:r>
      <w:r>
        <w:rPr>
          <w:noProof/>
        </w:rPr>
        <w:t>e is also established for overseeing the application of this Protocol.</w:t>
      </w:r>
    </w:p>
    <w:p w:rsidR="00190E99" w:rsidRDefault="00190E99">
      <w:pPr>
        <w:rPr>
          <w:noProof/>
          <w:szCs w:val="24"/>
        </w:rPr>
      </w:pPr>
    </w:p>
    <w:p w:rsidR="00190E99" w:rsidRDefault="00CD4FBA">
      <w:pPr>
        <w:rPr>
          <w:noProof/>
          <w:szCs w:val="24"/>
        </w:rPr>
      </w:pPr>
      <w:r>
        <w:rPr>
          <w:noProof/>
          <w:szCs w:val="24"/>
        </w:rPr>
        <w:t>The Agreement also includes the following annexes:</w:t>
      </w:r>
    </w:p>
    <w:p w:rsidR="00190E99" w:rsidRDefault="00CD4FBA">
      <w:pPr>
        <w:pStyle w:val="Bullet0"/>
        <w:numPr>
          <w:ilvl w:val="0"/>
          <w:numId w:val="9"/>
        </w:numPr>
        <w:rPr>
          <w:noProof/>
          <w:szCs w:val="24"/>
        </w:rPr>
      </w:pPr>
      <w:r>
        <w:rPr>
          <w:noProof/>
          <w:szCs w:val="24"/>
        </w:rPr>
        <w:t>Annex I on Social Security coordination</w:t>
      </w:r>
    </w:p>
    <w:p w:rsidR="00190E99" w:rsidRDefault="00CD4FBA">
      <w:pPr>
        <w:pStyle w:val="Bullet0"/>
        <w:numPr>
          <w:ilvl w:val="0"/>
          <w:numId w:val="9"/>
        </w:numPr>
        <w:rPr>
          <w:noProof/>
          <w:szCs w:val="24"/>
        </w:rPr>
      </w:pPr>
      <w:r>
        <w:rPr>
          <w:noProof/>
          <w:szCs w:val="24"/>
        </w:rPr>
        <w:t>Annex II on the provisions of Union law referred to in Article 41(4);</w:t>
      </w:r>
    </w:p>
    <w:p w:rsidR="00190E99" w:rsidRDefault="00CD4FBA">
      <w:pPr>
        <w:pStyle w:val="Bullet0"/>
        <w:rPr>
          <w:noProof/>
          <w:szCs w:val="24"/>
        </w:rPr>
      </w:pPr>
      <w:r>
        <w:rPr>
          <w:noProof/>
          <w:szCs w:val="24"/>
        </w:rPr>
        <w:t>Annex III on Time limit</w:t>
      </w:r>
      <w:r>
        <w:rPr>
          <w:noProof/>
          <w:szCs w:val="24"/>
        </w:rPr>
        <w:t>s for the situations or customs procedures referred to in Article 49 (1)</w:t>
      </w:r>
    </w:p>
    <w:p w:rsidR="00190E99" w:rsidRDefault="00CD4FBA">
      <w:pPr>
        <w:pStyle w:val="Bullet0"/>
        <w:rPr>
          <w:noProof/>
          <w:szCs w:val="24"/>
        </w:rPr>
      </w:pPr>
      <w:r>
        <w:rPr>
          <w:noProof/>
          <w:szCs w:val="24"/>
        </w:rPr>
        <w:t>Annex IV on the list of networks, information systems and databases referred in Articles 50, 53, 99 and 100;</w:t>
      </w:r>
    </w:p>
    <w:p w:rsidR="00190E99" w:rsidRDefault="00CD4FBA">
      <w:pPr>
        <w:pStyle w:val="Bullet0"/>
        <w:rPr>
          <w:noProof/>
          <w:szCs w:val="24"/>
        </w:rPr>
      </w:pPr>
      <w:r>
        <w:rPr>
          <w:noProof/>
          <w:szCs w:val="24"/>
        </w:rPr>
        <w:t>Annex V on EURATOM;</w:t>
      </w:r>
    </w:p>
    <w:p w:rsidR="00190E99" w:rsidRDefault="00CD4FBA">
      <w:pPr>
        <w:pStyle w:val="Bullet0"/>
        <w:rPr>
          <w:noProof/>
          <w:szCs w:val="24"/>
        </w:rPr>
      </w:pPr>
      <w:r>
        <w:rPr>
          <w:noProof/>
          <w:szCs w:val="24"/>
        </w:rPr>
        <w:t xml:space="preserve">Annex VI on the list of administrative cooperation </w:t>
      </w:r>
      <w:r>
        <w:rPr>
          <w:noProof/>
          <w:szCs w:val="24"/>
        </w:rPr>
        <w:t>procedures referred to in Article 98;</w:t>
      </w:r>
    </w:p>
    <w:p w:rsidR="00190E99" w:rsidRDefault="00CD4FBA">
      <w:pPr>
        <w:pStyle w:val="Bullet0"/>
        <w:rPr>
          <w:noProof/>
          <w:szCs w:val="24"/>
        </w:rPr>
      </w:pPr>
      <w:r>
        <w:rPr>
          <w:noProof/>
          <w:szCs w:val="24"/>
        </w:rPr>
        <w:t>Annex VII on the List of acts/provisions referred to in Article 128(6)</w:t>
      </w:r>
    </w:p>
    <w:p w:rsidR="00190E99" w:rsidRDefault="00CD4FBA">
      <w:pPr>
        <w:pStyle w:val="Bullet0"/>
        <w:rPr>
          <w:noProof/>
          <w:szCs w:val="24"/>
        </w:rPr>
      </w:pPr>
      <w:r>
        <w:rPr>
          <w:noProof/>
          <w:szCs w:val="24"/>
        </w:rPr>
        <w:t>Annex VIII on the rules of procedure of the Joint Committee and specialised committees</w:t>
      </w:r>
    </w:p>
    <w:p w:rsidR="00190E99" w:rsidRDefault="00CD4FBA">
      <w:pPr>
        <w:pStyle w:val="Bullet0"/>
        <w:rPr>
          <w:noProof/>
          <w:szCs w:val="24"/>
        </w:rPr>
      </w:pPr>
      <w:r>
        <w:rPr>
          <w:noProof/>
          <w:szCs w:val="24"/>
        </w:rPr>
        <w:t>Annex IX on rules of procedure for dispute settlement;</w:t>
      </w:r>
    </w:p>
    <w:p w:rsidR="00190E99" w:rsidRDefault="00CD4FBA">
      <w:pPr>
        <w:rPr>
          <w:noProof/>
          <w:szCs w:val="24"/>
        </w:rPr>
      </w:pPr>
      <w:r>
        <w:rPr>
          <w:noProof/>
          <w:szCs w:val="24"/>
        </w:rPr>
        <w:t>The A</w:t>
      </w:r>
      <w:r>
        <w:rPr>
          <w:noProof/>
          <w:szCs w:val="24"/>
        </w:rPr>
        <w:t>greement shall enter into force on 30 March 2019.</w:t>
      </w:r>
    </w:p>
    <w:p w:rsidR="00190E99" w:rsidRDefault="00190E99">
      <w:pPr>
        <w:rPr>
          <w:noProof/>
          <w:szCs w:val="24"/>
        </w:rPr>
        <w:sectPr w:rsidR="00190E99">
          <w:footerReference w:type="default" r:id="rId15"/>
          <w:footerReference w:type="first" r:id="rId16"/>
          <w:pgSz w:w="11907" w:h="16839"/>
          <w:pgMar w:top="1134" w:right="1417" w:bottom="1134" w:left="1417" w:header="709" w:footer="709" w:gutter="0"/>
          <w:cols w:space="708"/>
          <w:docGrid w:linePitch="360"/>
        </w:sectPr>
      </w:pPr>
    </w:p>
    <w:p w:rsidR="00190E99" w:rsidRDefault="00CD4FBA">
      <w:pPr>
        <w:pStyle w:val="Rfrenceinterinstitutionnelle"/>
        <w:rPr>
          <w:noProof/>
        </w:rPr>
      </w:pPr>
      <w:r>
        <w:rPr>
          <w:noProof/>
        </w:rPr>
        <w:t>2018/0426 (NLE)</w:t>
      </w:r>
    </w:p>
    <w:p w:rsidR="00190E99" w:rsidRDefault="00CD4FBA">
      <w:pPr>
        <w:pStyle w:val="Statut"/>
        <w:rPr>
          <w:noProof/>
        </w:rPr>
      </w:pPr>
      <w:r>
        <w:rPr>
          <w:noProof/>
        </w:rPr>
        <w:t>Proposal for a</w:t>
      </w:r>
    </w:p>
    <w:p w:rsidR="00190E99" w:rsidRDefault="00CD4FBA">
      <w:pPr>
        <w:pStyle w:val="Typedudocument"/>
        <w:rPr>
          <w:noProof/>
        </w:rPr>
      </w:pPr>
      <w:r>
        <w:rPr>
          <w:noProof/>
        </w:rPr>
        <w:t>COUNCIL DECISION</w:t>
      </w:r>
    </w:p>
    <w:p w:rsidR="00190E99" w:rsidRDefault="00CD4FBA">
      <w:pPr>
        <w:pStyle w:val="Titreobjet"/>
        <w:rPr>
          <w:noProof/>
        </w:rPr>
      </w:pPr>
      <w:r>
        <w:rPr>
          <w:noProof/>
        </w:rPr>
        <w:t>on the signing, on behalf of the European Union and of the European Atomic Energy Community, of the A</w:t>
      </w:r>
      <w:r>
        <w:rPr>
          <w:noProof/>
        </w:rPr>
        <w:t>greement on the withdrawal of the United Kingdom of Great Britain and Northern Ireland from the European Union and the European Atomic Energy Community</w:t>
      </w:r>
    </w:p>
    <w:p w:rsidR="00190E99" w:rsidRDefault="00CD4FBA">
      <w:pPr>
        <w:pStyle w:val="IntrtEEE"/>
        <w:rPr>
          <w:noProof/>
        </w:rPr>
      </w:pPr>
      <w:r>
        <w:rPr>
          <w:noProof/>
        </w:rPr>
        <w:t>(Text with EEA relevance)</w:t>
      </w:r>
    </w:p>
    <w:p w:rsidR="00190E99" w:rsidRDefault="00CD4FBA">
      <w:pPr>
        <w:pStyle w:val="Institutionquiagit"/>
        <w:rPr>
          <w:noProof/>
          <w:szCs w:val="24"/>
        </w:rPr>
      </w:pPr>
      <w:r>
        <w:rPr>
          <w:noProof/>
          <w:szCs w:val="24"/>
        </w:rPr>
        <w:t>THE COUNCIL OF THE EUROPEAN UNION,</w:t>
      </w:r>
    </w:p>
    <w:p w:rsidR="00190E99" w:rsidRDefault="00CD4FBA">
      <w:pPr>
        <w:rPr>
          <w:noProof/>
          <w:szCs w:val="24"/>
        </w:rPr>
      </w:pPr>
      <w:r>
        <w:rPr>
          <w:noProof/>
          <w:szCs w:val="24"/>
        </w:rPr>
        <w:t>Having regard to the Treaty on European Uni</w:t>
      </w:r>
      <w:r>
        <w:rPr>
          <w:noProof/>
          <w:szCs w:val="24"/>
        </w:rPr>
        <w:t xml:space="preserve">on, and in particular Article 50 thereof, </w:t>
      </w:r>
    </w:p>
    <w:p w:rsidR="00190E99" w:rsidRDefault="00CD4FBA">
      <w:pPr>
        <w:rPr>
          <w:noProof/>
          <w:szCs w:val="24"/>
        </w:rPr>
      </w:pPr>
      <w:r>
        <w:rPr>
          <w:noProof/>
          <w:szCs w:val="24"/>
        </w:rPr>
        <w:t xml:space="preserve">Having regard to the Treaty establishing the European Atomic Energy Community, and in particular Article 106a, </w:t>
      </w:r>
    </w:p>
    <w:p w:rsidR="00190E99" w:rsidRDefault="00CD4FBA">
      <w:pPr>
        <w:rPr>
          <w:noProof/>
          <w:szCs w:val="24"/>
        </w:rPr>
      </w:pPr>
      <w:r>
        <w:rPr>
          <w:noProof/>
          <w:szCs w:val="24"/>
        </w:rPr>
        <w:t>Having regard to the proposal from the European Commission,</w:t>
      </w:r>
    </w:p>
    <w:p w:rsidR="00190E99" w:rsidRDefault="00CD4FBA">
      <w:pPr>
        <w:rPr>
          <w:noProof/>
          <w:szCs w:val="24"/>
        </w:rPr>
      </w:pPr>
      <w:r>
        <w:rPr>
          <w:noProof/>
          <w:szCs w:val="24"/>
        </w:rPr>
        <w:t>Whereas:</w:t>
      </w:r>
    </w:p>
    <w:p w:rsidR="00190E99" w:rsidRDefault="00CD4FBA">
      <w:pPr>
        <w:pStyle w:val="ManualConsidrant"/>
        <w:rPr>
          <w:noProof/>
        </w:rPr>
      </w:pPr>
      <w:r>
        <w:t>(1)</w:t>
      </w:r>
      <w:r>
        <w:tab/>
      </w:r>
      <w:r>
        <w:rPr>
          <w:noProof/>
        </w:rPr>
        <w:t>On 29 March 2017, the United Kingdom notified the European Council of its intention to withdraw from the European Union and the European Atomic Energy Community (“Euratom”) in accordance with Article 50 of the Treaty on European Union, which applies to Eur</w:t>
      </w:r>
      <w:r>
        <w:rPr>
          <w:noProof/>
        </w:rPr>
        <w:t xml:space="preserve">atom by virtue of Article 106a of the Treaty establishing the European Atomic Energy Community. </w:t>
      </w:r>
    </w:p>
    <w:p w:rsidR="00190E99" w:rsidRDefault="00CD4FBA">
      <w:pPr>
        <w:pStyle w:val="ManualConsidrant"/>
        <w:rPr>
          <w:noProof/>
        </w:rPr>
      </w:pPr>
      <w:r>
        <w:t>(2)</w:t>
      </w:r>
      <w:r>
        <w:tab/>
      </w:r>
      <w:r>
        <w:rPr>
          <w:noProof/>
        </w:rPr>
        <w:t>On 22 May 2017, the Council authorised the Commission to open negotiations with the United Kingdom for an agreement setting out the arrangements for its wi</w:t>
      </w:r>
      <w:r>
        <w:rPr>
          <w:noProof/>
        </w:rPr>
        <w:t xml:space="preserve">thdrawal, taking account of the framework for its future relationship with the Union. </w:t>
      </w:r>
    </w:p>
    <w:p w:rsidR="00190E99" w:rsidRDefault="00CD4FBA">
      <w:pPr>
        <w:pStyle w:val="ManualConsidrant"/>
        <w:rPr>
          <w:noProof/>
        </w:rPr>
      </w:pPr>
      <w:r>
        <w:t>(3)</w:t>
      </w:r>
      <w:r>
        <w:tab/>
      </w:r>
      <w:r>
        <w:rPr>
          <w:noProof/>
        </w:rPr>
        <w:t>The negotiations have been conducted in light of the guidelines of 29 April and 15 December 2017 and of 23 March 2018 provided by the European Council with the overa</w:t>
      </w:r>
      <w:r>
        <w:rPr>
          <w:noProof/>
        </w:rPr>
        <w:t>ll objective of ensuring an orderly withdrawal of the United Kingdom from the Union and Euratom.</w:t>
      </w:r>
    </w:p>
    <w:p w:rsidR="00190E99" w:rsidRDefault="00CD4FBA">
      <w:pPr>
        <w:pStyle w:val="ManualConsidrant"/>
        <w:rPr>
          <w:noProof/>
        </w:rPr>
      </w:pPr>
      <w:r>
        <w:t>(4)</w:t>
      </w:r>
      <w:r>
        <w:tab/>
      </w:r>
      <w:r>
        <w:rPr>
          <w:noProof/>
        </w:rPr>
        <w:t>On 25 November 2018, the European Council endorsed the Agreement on the withdrawal of the United Kingdom of Great Britain and Northern Ireland from the Eur</w:t>
      </w:r>
      <w:r>
        <w:rPr>
          <w:noProof/>
        </w:rPr>
        <w:t>opean Union and the European Atomic Energy Community ("Agreement").</w:t>
      </w:r>
    </w:p>
    <w:p w:rsidR="00190E99" w:rsidRDefault="00CD4FBA">
      <w:pPr>
        <w:pStyle w:val="ManualConsidrant"/>
        <w:rPr>
          <w:noProof/>
        </w:rPr>
      </w:pPr>
      <w:r>
        <w:t>(5)</w:t>
      </w:r>
      <w:r>
        <w:tab/>
      </w:r>
      <w:r>
        <w:rPr>
          <w:noProof/>
        </w:rPr>
        <w:t>The negotiations being concluded, the Agreement should be signed on behalf of the Union, subject to the fulfilment of the procedures required for its conclusion at a later date.</w:t>
      </w:r>
    </w:p>
    <w:p w:rsidR="00190E99" w:rsidRDefault="00CD4FBA">
      <w:pPr>
        <w:pStyle w:val="ManualConsidrant"/>
        <w:rPr>
          <w:noProof/>
        </w:rPr>
      </w:pPr>
      <w:r>
        <w:t>(6)</w:t>
      </w:r>
      <w:r>
        <w:tab/>
      </w:r>
      <w:r>
        <w:rPr>
          <w:noProof/>
        </w:rPr>
        <w:t>In</w:t>
      </w:r>
      <w:r>
        <w:rPr>
          <w:noProof/>
        </w:rPr>
        <w:t xml:space="preserve"> accordance with Article 106a of the Treaty establishing the European Atomic Energy Community, Article 50 TEU applies to the European Atomic Energy Community.</w:t>
      </w:r>
    </w:p>
    <w:p w:rsidR="00190E99" w:rsidRDefault="00CD4FBA">
      <w:pPr>
        <w:pStyle w:val="ManualConsidrant"/>
        <w:rPr>
          <w:noProof/>
        </w:rPr>
      </w:pPr>
      <w:r>
        <w:t>(7)</w:t>
      </w:r>
      <w:r>
        <w:tab/>
      </w:r>
      <w:r>
        <w:rPr>
          <w:noProof/>
        </w:rPr>
        <w:t>The Agreement foresees a transition period during which – notwithstanding all consequences of</w:t>
      </w:r>
      <w:r>
        <w:rPr>
          <w:noProof/>
        </w:rPr>
        <w:t xml:space="preserve"> the United Kingdom's withdrawal from the Union as regards the United Kingdom's participation in the institutions, bodies, offices and agencies of the Union – Union law, including international agreements, will be applicable to and in the United Kingdom. T</w:t>
      </w:r>
      <w:r>
        <w:rPr>
          <w:noProof/>
        </w:rPr>
        <w:t>he Commission should therefore notify, on behalf of the Union and of Euratom, the other parties to these agreements that, during the transition period, the United Kingdom is treated as a Member State for the purposes of those agreements.</w:t>
      </w:r>
    </w:p>
    <w:p w:rsidR="00190E99" w:rsidRDefault="00CD4FBA">
      <w:pPr>
        <w:pStyle w:val="ManualConsidrant"/>
        <w:rPr>
          <w:noProof/>
          <w:szCs w:val="24"/>
        </w:rPr>
      </w:pPr>
      <w:r>
        <w:t>(8)</w:t>
      </w:r>
      <w:r>
        <w:tab/>
      </w:r>
      <w:r>
        <w:rPr>
          <w:noProof/>
          <w:szCs w:val="24"/>
        </w:rPr>
        <w:t>Paragraph 2 of</w:t>
      </w:r>
      <w:r>
        <w:rPr>
          <w:noProof/>
          <w:szCs w:val="24"/>
        </w:rPr>
        <w:t xml:space="preserve"> Article 185 of the Agreement foresees that, </w:t>
      </w:r>
      <w:r>
        <w:rPr>
          <w:noProof/>
        </w:rPr>
        <w:t>when making the written notification of the completion of the necessary internal procedures the Union, in respect of any Member State which has raised reasons related to fundamental principles of national law of</w:t>
      </w:r>
      <w:r>
        <w:rPr>
          <w:noProof/>
        </w:rPr>
        <w:t xml:space="preserve"> that Member State, may declare that, during the transition period, in addition to the grounds for non</w:t>
      </w:r>
      <w:r>
        <w:rPr>
          <w:noProof/>
        </w:rPr>
        <w:noBreakHyphen/>
        <w:t>execution of a European arrest warrant referred to in Framework Decision 2002/584/JHA, the executing judicial authorities of that Member State may refuse</w:t>
      </w:r>
      <w:r>
        <w:rPr>
          <w:noProof/>
        </w:rPr>
        <w:t xml:space="preserve"> to surrender its nationals to the United Kingdom pursuant to a European Arrest Warrant</w:t>
      </w:r>
      <w:r>
        <w:rPr>
          <w:noProof/>
          <w:szCs w:val="24"/>
        </w:rPr>
        <w:t xml:space="preserve">. It is therefore appropriate to set a time-limit for Member States wishing to avail themselves of this possibility to inform the Commission and the General Secretariat </w:t>
      </w:r>
      <w:r>
        <w:rPr>
          <w:noProof/>
          <w:szCs w:val="24"/>
        </w:rPr>
        <w:t>of the Council thereof.</w:t>
      </w:r>
    </w:p>
    <w:p w:rsidR="00190E99" w:rsidRDefault="00CD4FBA">
      <w:pPr>
        <w:pStyle w:val="ManualConsidrant"/>
        <w:rPr>
          <w:noProof/>
        </w:rPr>
      </w:pPr>
      <w:r>
        <w:t>(9)</w:t>
      </w:r>
      <w:r>
        <w:tab/>
      </w:r>
      <w:r>
        <w:rPr>
          <w:noProof/>
        </w:rPr>
        <w:t>As provided for in Article 50(4) of the Treaty on European Union, the United Kingdom has not taken part in the discussions of the Council concerning this decision nor in its adoption,</w:t>
      </w:r>
    </w:p>
    <w:p w:rsidR="00190E99" w:rsidRDefault="00CD4FBA">
      <w:pPr>
        <w:pStyle w:val="Formuledadoption"/>
        <w:rPr>
          <w:noProof/>
          <w:szCs w:val="24"/>
        </w:rPr>
      </w:pPr>
      <w:r>
        <w:rPr>
          <w:noProof/>
          <w:szCs w:val="24"/>
        </w:rPr>
        <w:t xml:space="preserve">HAS ADOPTED THIS DECISION: </w:t>
      </w:r>
    </w:p>
    <w:p w:rsidR="00190E99" w:rsidRDefault="00CD4FBA">
      <w:pPr>
        <w:pStyle w:val="Titrearticle"/>
        <w:rPr>
          <w:noProof/>
          <w:szCs w:val="24"/>
        </w:rPr>
      </w:pPr>
      <w:r>
        <w:rPr>
          <w:noProof/>
          <w:szCs w:val="24"/>
        </w:rPr>
        <w:t>Article 1</w:t>
      </w:r>
    </w:p>
    <w:p w:rsidR="00190E99" w:rsidRDefault="00CD4FBA">
      <w:pPr>
        <w:rPr>
          <w:noProof/>
          <w:szCs w:val="24"/>
        </w:rPr>
      </w:pPr>
      <w:r>
        <w:rPr>
          <w:noProof/>
          <w:szCs w:val="24"/>
        </w:rPr>
        <w:t xml:space="preserve">The </w:t>
      </w:r>
      <w:r>
        <w:rPr>
          <w:noProof/>
          <w:szCs w:val="24"/>
        </w:rPr>
        <w:t>signing, on behalf of the Union and the European Atomic Energy Community, of the Agreement on the withdrawal of the United Kingdom of Great Britain and Northern Ireland from the European Union and the European Atomic Energy Community</w:t>
      </w:r>
      <w:r>
        <w:rPr>
          <w:rFonts w:eastAsia="Calibri"/>
          <w:noProof/>
          <w:szCs w:val="24"/>
        </w:rPr>
        <w:t xml:space="preserve"> </w:t>
      </w:r>
      <w:r>
        <w:rPr>
          <w:noProof/>
          <w:szCs w:val="24"/>
        </w:rPr>
        <w:t>("Agreement") is hereb</w:t>
      </w:r>
      <w:r>
        <w:rPr>
          <w:noProof/>
          <w:szCs w:val="24"/>
        </w:rPr>
        <w:t xml:space="preserve">y authorised, subject to its conclusion. </w:t>
      </w:r>
    </w:p>
    <w:p w:rsidR="00190E99" w:rsidRDefault="00CD4FBA">
      <w:pPr>
        <w:rPr>
          <w:noProof/>
          <w:szCs w:val="24"/>
        </w:rPr>
      </w:pPr>
      <w:r>
        <w:rPr>
          <w:noProof/>
          <w:szCs w:val="24"/>
        </w:rPr>
        <w:t>The text of the Agreement is attached to this Decision.</w:t>
      </w:r>
    </w:p>
    <w:p w:rsidR="00190E99" w:rsidRDefault="00CD4FBA">
      <w:pPr>
        <w:pStyle w:val="Titrearticle"/>
        <w:rPr>
          <w:noProof/>
          <w:szCs w:val="24"/>
        </w:rPr>
      </w:pPr>
      <w:r>
        <w:rPr>
          <w:noProof/>
          <w:szCs w:val="24"/>
        </w:rPr>
        <w:t>Article 2</w:t>
      </w:r>
    </w:p>
    <w:p w:rsidR="00190E99" w:rsidRDefault="00CD4FBA">
      <w:pPr>
        <w:keepLines/>
        <w:rPr>
          <w:noProof/>
          <w:szCs w:val="24"/>
        </w:rPr>
      </w:pPr>
      <w:r>
        <w:rPr>
          <w:noProof/>
          <w:color w:val="444444"/>
          <w:szCs w:val="24"/>
        </w:rPr>
        <w:t>The President of the European Council and the President of the Commission are hereby authorised to sign the Agreement on behalf of the Union and the</w:t>
      </w:r>
      <w:r>
        <w:rPr>
          <w:noProof/>
          <w:color w:val="444444"/>
          <w:szCs w:val="24"/>
        </w:rPr>
        <w:t xml:space="preserve"> </w:t>
      </w:r>
      <w:r>
        <w:rPr>
          <w:noProof/>
          <w:szCs w:val="24"/>
        </w:rPr>
        <w:t xml:space="preserve">European Atomic Energy Community. </w:t>
      </w:r>
    </w:p>
    <w:p w:rsidR="00190E99" w:rsidRDefault="00CD4FBA">
      <w:pPr>
        <w:pStyle w:val="Titrearticle"/>
        <w:rPr>
          <w:noProof/>
          <w:szCs w:val="24"/>
        </w:rPr>
      </w:pPr>
      <w:r>
        <w:rPr>
          <w:noProof/>
          <w:szCs w:val="24"/>
        </w:rPr>
        <w:t>Article 3</w:t>
      </w:r>
    </w:p>
    <w:p w:rsidR="00190E99" w:rsidRDefault="00CD4FBA">
      <w:pPr>
        <w:rPr>
          <w:noProof/>
          <w:szCs w:val="24"/>
        </w:rPr>
      </w:pPr>
      <w:r>
        <w:rPr>
          <w:noProof/>
          <w:szCs w:val="24"/>
        </w:rPr>
        <w:t>Immediately after the signature of the Agreement, the Commission shall notify the other parties to the international agreements as referred to in Article 2(a)(iv) of the Agreement, that, subject to the entry in</w:t>
      </w:r>
      <w:r>
        <w:rPr>
          <w:noProof/>
          <w:szCs w:val="24"/>
        </w:rPr>
        <w:t xml:space="preserve">to force of the Agreement, during the transition period, the United Kingdom is treated as a Member State for the purposes of those international agreements. </w:t>
      </w:r>
    </w:p>
    <w:p w:rsidR="00190E99" w:rsidRDefault="00CD4FBA">
      <w:pPr>
        <w:pStyle w:val="Titrearticle"/>
        <w:rPr>
          <w:noProof/>
          <w:szCs w:val="24"/>
        </w:rPr>
      </w:pPr>
      <w:r>
        <w:rPr>
          <w:noProof/>
          <w:szCs w:val="24"/>
        </w:rPr>
        <w:t>Article 4</w:t>
      </w:r>
    </w:p>
    <w:p w:rsidR="00190E99" w:rsidRDefault="00CD4FBA">
      <w:pPr>
        <w:rPr>
          <w:noProof/>
          <w:szCs w:val="24"/>
        </w:rPr>
      </w:pPr>
      <w:r>
        <w:rPr>
          <w:noProof/>
        </w:rPr>
        <w:t xml:space="preserve">Those Member States that wish to avail themselves of the </w:t>
      </w:r>
      <w:r>
        <w:rPr>
          <w:noProof/>
          <w:szCs w:val="24"/>
        </w:rPr>
        <w:t>possibility foreseen in paragra</w:t>
      </w:r>
      <w:r>
        <w:rPr>
          <w:noProof/>
          <w:szCs w:val="24"/>
        </w:rPr>
        <w:t>ph 2 of Article 185 of the Agreement shall inform the Commission and the General Secretariat of the Council thereof before 15 February 2019.</w:t>
      </w:r>
    </w:p>
    <w:p w:rsidR="00190E99" w:rsidRDefault="00CD4FBA">
      <w:pPr>
        <w:pStyle w:val="Titrearticle"/>
        <w:rPr>
          <w:noProof/>
          <w:szCs w:val="24"/>
        </w:rPr>
      </w:pPr>
      <w:r>
        <w:rPr>
          <w:noProof/>
          <w:szCs w:val="24"/>
        </w:rPr>
        <w:t>Article 5</w:t>
      </w:r>
    </w:p>
    <w:p w:rsidR="00190E99" w:rsidRDefault="00CD4FBA">
      <w:pPr>
        <w:keepNext/>
        <w:keepLines/>
        <w:rPr>
          <w:noProof/>
          <w:szCs w:val="24"/>
        </w:rPr>
      </w:pPr>
      <w:r>
        <w:rPr>
          <w:noProof/>
          <w:szCs w:val="24"/>
        </w:rPr>
        <w:t xml:space="preserve">This Decision shall enter into force on the day of its adoption. </w:t>
      </w:r>
    </w:p>
    <w:p w:rsidR="00190E99" w:rsidRDefault="00CD4FBA">
      <w:pPr>
        <w:pStyle w:val="Fait"/>
        <w:rPr>
          <w:noProof/>
        </w:rPr>
      </w:pPr>
      <w:r>
        <w:t>Done at Brussels,</w:t>
      </w:r>
    </w:p>
    <w:p w:rsidR="00190E99" w:rsidRDefault="00CD4FBA">
      <w:pPr>
        <w:pStyle w:val="Institutionquisigne"/>
        <w:rPr>
          <w:noProof/>
          <w:szCs w:val="24"/>
        </w:rPr>
      </w:pPr>
      <w:r>
        <w:rPr>
          <w:noProof/>
          <w:szCs w:val="24"/>
        </w:rPr>
        <w:tab/>
        <w:t>For the Council</w:t>
      </w:r>
    </w:p>
    <w:p w:rsidR="00190E99" w:rsidRDefault="00CD4FBA">
      <w:pPr>
        <w:pStyle w:val="Personnequisigne"/>
        <w:rPr>
          <w:noProof/>
          <w:szCs w:val="24"/>
        </w:rPr>
      </w:pPr>
      <w:r>
        <w:rPr>
          <w:noProof/>
          <w:szCs w:val="24"/>
        </w:rPr>
        <w:tab/>
        <w:t>The</w:t>
      </w:r>
      <w:r>
        <w:rPr>
          <w:noProof/>
          <w:szCs w:val="24"/>
        </w:rPr>
        <w:t xml:space="preserve"> President</w:t>
      </w:r>
    </w:p>
    <w:p w:rsidR="00190E99" w:rsidRDefault="00CD4FBA">
      <w:pPr>
        <w:pStyle w:val="Fichefinanciretitre"/>
        <w:rPr>
          <w:noProof/>
        </w:rPr>
      </w:pPr>
      <w:r>
        <w:rPr>
          <w:noProof/>
        </w:rPr>
        <w:br w:type="page"/>
        <w:t>LEGISLATIVE FINANCIAL STATEMENT</w:t>
      </w:r>
    </w:p>
    <w:p w:rsidR="00190E99" w:rsidRDefault="00CD4FBA">
      <w:pPr>
        <w:pStyle w:val="ManualHeading1"/>
        <w:rPr>
          <w:noProof/>
        </w:rPr>
      </w:pPr>
      <w:r>
        <w:rPr>
          <w:noProof/>
        </w:rPr>
        <w:t>1.</w:t>
      </w:r>
      <w:r>
        <w:rPr>
          <w:noProof/>
        </w:rPr>
        <w:tab/>
        <w:t xml:space="preserve">FRAMEWORK OF THE PROPOSAL/INITIATIVE </w:t>
      </w:r>
    </w:p>
    <w:p w:rsidR="00190E99" w:rsidRDefault="00CD4FBA">
      <w:pPr>
        <w:pStyle w:val="ManualHeading2"/>
        <w:rPr>
          <w:b w:val="0"/>
          <w:noProof/>
        </w:rPr>
      </w:pPr>
      <w:r>
        <w:rPr>
          <w:noProof/>
        </w:rPr>
        <w:tab/>
      </w:r>
      <w:r>
        <w:rPr>
          <w:b w:val="0"/>
          <w:noProof/>
        </w:rPr>
        <w:t>1.1.</w:t>
      </w:r>
      <w:r>
        <w:rPr>
          <w:b w:val="0"/>
          <w:noProof/>
        </w:rPr>
        <w:tab/>
        <w:t xml:space="preserve">Title of the proposal/initiative </w:t>
      </w:r>
    </w:p>
    <w:p w:rsidR="00190E99" w:rsidRDefault="00CD4FBA">
      <w:pPr>
        <w:pStyle w:val="ManualHeading2"/>
        <w:rPr>
          <w:b w:val="0"/>
          <w:noProof/>
        </w:rPr>
      </w:pPr>
      <w:r>
        <w:rPr>
          <w:b w:val="0"/>
          <w:noProof/>
        </w:rPr>
        <w:tab/>
        <w:t>1.2.</w:t>
      </w:r>
      <w:r>
        <w:rPr>
          <w:b w:val="0"/>
          <w:noProof/>
        </w:rPr>
        <w:tab/>
        <w:t>Policy area(s) concerned</w:t>
      </w:r>
    </w:p>
    <w:p w:rsidR="00190E99" w:rsidRDefault="00CD4FBA">
      <w:pPr>
        <w:pStyle w:val="ManualHeading2"/>
        <w:rPr>
          <w:b w:val="0"/>
          <w:noProof/>
        </w:rPr>
      </w:pPr>
      <w:r>
        <w:rPr>
          <w:b w:val="0"/>
          <w:noProof/>
        </w:rPr>
        <w:tab/>
        <w:t>1.3.</w:t>
      </w:r>
      <w:r>
        <w:rPr>
          <w:b w:val="0"/>
          <w:noProof/>
        </w:rPr>
        <w:tab/>
        <w:t xml:space="preserve">The proposal/initiative relates to </w:t>
      </w:r>
    </w:p>
    <w:p w:rsidR="00190E99" w:rsidRDefault="00CD4FBA">
      <w:pPr>
        <w:pStyle w:val="ManualHeading2"/>
        <w:rPr>
          <w:b w:val="0"/>
          <w:noProof/>
        </w:rPr>
      </w:pPr>
      <w:r>
        <w:rPr>
          <w:b w:val="0"/>
          <w:noProof/>
        </w:rPr>
        <w:tab/>
        <w:t>1.4.</w:t>
      </w:r>
      <w:r>
        <w:rPr>
          <w:b w:val="0"/>
          <w:noProof/>
        </w:rPr>
        <w:tab/>
        <w:t xml:space="preserve">Objective(s) </w:t>
      </w:r>
    </w:p>
    <w:p w:rsidR="00190E99" w:rsidRDefault="00CD4FBA">
      <w:pPr>
        <w:pStyle w:val="ManualHeading3"/>
        <w:rPr>
          <w:noProof/>
        </w:rPr>
      </w:pPr>
      <w:r>
        <w:rPr>
          <w:noProof/>
        </w:rPr>
        <w:tab/>
        <w:t>1.4.1.</w:t>
      </w:r>
      <w:r>
        <w:rPr>
          <w:noProof/>
        </w:rPr>
        <w:tab/>
        <w:t>General objective(s)</w:t>
      </w:r>
    </w:p>
    <w:p w:rsidR="00190E99" w:rsidRDefault="00CD4FBA">
      <w:pPr>
        <w:pStyle w:val="ManualHeading3"/>
        <w:rPr>
          <w:noProof/>
        </w:rPr>
      </w:pPr>
      <w:r>
        <w:rPr>
          <w:noProof/>
        </w:rPr>
        <w:tab/>
        <w:t>1.4.2.</w:t>
      </w:r>
      <w:r>
        <w:rPr>
          <w:noProof/>
        </w:rPr>
        <w:tab/>
        <w:t>S</w:t>
      </w:r>
      <w:r>
        <w:rPr>
          <w:noProof/>
        </w:rPr>
        <w:t>pecific objective(s)</w:t>
      </w:r>
    </w:p>
    <w:p w:rsidR="00190E99" w:rsidRDefault="00CD4FBA">
      <w:pPr>
        <w:pStyle w:val="ManualHeading3"/>
        <w:rPr>
          <w:noProof/>
        </w:rPr>
      </w:pPr>
      <w:r>
        <w:rPr>
          <w:noProof/>
        </w:rPr>
        <w:tab/>
        <w:t>1.4.3.</w:t>
      </w:r>
      <w:r>
        <w:rPr>
          <w:noProof/>
        </w:rPr>
        <w:tab/>
        <w:t>Expected result(s) and impact</w:t>
      </w:r>
    </w:p>
    <w:p w:rsidR="00190E99" w:rsidRDefault="00CD4FBA">
      <w:pPr>
        <w:pStyle w:val="ManualHeading3"/>
        <w:rPr>
          <w:noProof/>
        </w:rPr>
      </w:pPr>
      <w:r>
        <w:rPr>
          <w:noProof/>
        </w:rPr>
        <w:tab/>
        <w:t>1.4.4.</w:t>
      </w:r>
      <w:r>
        <w:rPr>
          <w:noProof/>
        </w:rPr>
        <w:tab/>
        <w:t>Indicators of performance</w:t>
      </w:r>
    </w:p>
    <w:p w:rsidR="00190E99" w:rsidRDefault="00CD4FBA">
      <w:pPr>
        <w:pStyle w:val="ManualHeading2"/>
        <w:rPr>
          <w:b w:val="0"/>
          <w:noProof/>
        </w:rPr>
      </w:pPr>
      <w:r>
        <w:rPr>
          <w:b w:val="0"/>
          <w:noProof/>
        </w:rPr>
        <w:tab/>
        <w:t>1.5.</w:t>
      </w:r>
      <w:r>
        <w:rPr>
          <w:b w:val="0"/>
          <w:noProof/>
        </w:rPr>
        <w:tab/>
        <w:t xml:space="preserve">Grounds for the proposal/initiative </w:t>
      </w:r>
    </w:p>
    <w:p w:rsidR="00190E99" w:rsidRDefault="00CD4FBA">
      <w:pPr>
        <w:pStyle w:val="ManualHeading3"/>
        <w:rPr>
          <w:noProof/>
        </w:rPr>
      </w:pPr>
      <w:r>
        <w:rPr>
          <w:noProof/>
        </w:rPr>
        <w:tab/>
        <w:t>1.5.1.</w:t>
      </w:r>
      <w:r>
        <w:rPr>
          <w:noProof/>
        </w:rPr>
        <w:tab/>
        <w:t xml:space="preserve">Requirement(s) to be met in the short or long term including a detailed timeline for roll-out of the </w:t>
      </w:r>
      <w:r>
        <w:rPr>
          <w:noProof/>
        </w:rPr>
        <w:t>implementation of the initiative</w:t>
      </w:r>
    </w:p>
    <w:p w:rsidR="00190E99" w:rsidRDefault="00CD4FBA">
      <w:pPr>
        <w:pStyle w:val="ManualHeading3"/>
        <w:rPr>
          <w:noProof/>
        </w:rPr>
      </w:pPr>
      <w:r>
        <w:rPr>
          <w:noProof/>
        </w:rPr>
        <w:tab/>
        <w:t>1.5.2.</w:t>
      </w:r>
      <w:r>
        <w:rPr>
          <w:noProof/>
        </w:rPr>
        <w:tab/>
        <w:t>Added value of Union involvement (it may result from different factors, e.g. coordination gains, legal certainty, greater effectiveness or complementarities). For the purposes of this point 'added value of Union inv</w:t>
      </w:r>
      <w:r>
        <w:rPr>
          <w:noProof/>
        </w:rPr>
        <w:t>olvement' is the value resulting from Union intervention which is additional to the value that would have been otherwise created by Member States alone.</w:t>
      </w:r>
    </w:p>
    <w:p w:rsidR="00190E99" w:rsidRDefault="00CD4FBA">
      <w:pPr>
        <w:pStyle w:val="ManualHeading3"/>
        <w:rPr>
          <w:noProof/>
        </w:rPr>
      </w:pPr>
      <w:r>
        <w:rPr>
          <w:noProof/>
        </w:rPr>
        <w:tab/>
        <w:t>1.5.3.</w:t>
      </w:r>
      <w:r>
        <w:rPr>
          <w:noProof/>
        </w:rPr>
        <w:tab/>
        <w:t>Lessons learned from similar experiences in the past</w:t>
      </w:r>
    </w:p>
    <w:p w:rsidR="00190E99" w:rsidRDefault="00CD4FBA">
      <w:pPr>
        <w:pStyle w:val="ManualHeading3"/>
        <w:rPr>
          <w:noProof/>
        </w:rPr>
      </w:pPr>
      <w:r>
        <w:rPr>
          <w:noProof/>
        </w:rPr>
        <w:tab/>
        <w:t>1.5.4.</w:t>
      </w:r>
      <w:r>
        <w:rPr>
          <w:noProof/>
        </w:rPr>
        <w:tab/>
        <w:t>Compatibility with the Multiannual</w:t>
      </w:r>
      <w:r>
        <w:rPr>
          <w:noProof/>
        </w:rPr>
        <w:t xml:space="preserve"> Financial Framework and possible synergies with other appropriate instruments</w:t>
      </w:r>
    </w:p>
    <w:p w:rsidR="00190E99" w:rsidRDefault="00CD4FBA">
      <w:pPr>
        <w:pStyle w:val="ManualHeading3"/>
        <w:rPr>
          <w:noProof/>
        </w:rPr>
      </w:pPr>
      <w:r>
        <w:rPr>
          <w:noProof/>
        </w:rPr>
        <w:tab/>
        <w:t>1.5.5.</w:t>
      </w:r>
      <w:r>
        <w:rPr>
          <w:noProof/>
        </w:rPr>
        <w:tab/>
        <w:t>Assessment of the different available financing options, including scope for redeployment</w:t>
      </w:r>
    </w:p>
    <w:p w:rsidR="00190E99" w:rsidRDefault="00CD4FBA">
      <w:pPr>
        <w:pStyle w:val="ManualHeading2"/>
        <w:rPr>
          <w:b w:val="0"/>
          <w:noProof/>
        </w:rPr>
      </w:pPr>
      <w:r>
        <w:rPr>
          <w:b w:val="0"/>
          <w:noProof/>
        </w:rPr>
        <w:tab/>
        <w:t>1.6.</w:t>
      </w:r>
      <w:r>
        <w:rPr>
          <w:b w:val="0"/>
          <w:noProof/>
        </w:rPr>
        <w:tab/>
        <w:t>Duration and financial impact of the proposal/initiative</w:t>
      </w:r>
    </w:p>
    <w:p w:rsidR="00190E99" w:rsidRDefault="00CD4FBA">
      <w:pPr>
        <w:pStyle w:val="ManualHeading2"/>
        <w:rPr>
          <w:b w:val="0"/>
          <w:noProof/>
        </w:rPr>
        <w:sectPr w:rsidR="00190E99">
          <w:pgSz w:w="11907" w:h="16840" w:code="9"/>
          <w:pgMar w:top="1134" w:right="1418" w:bottom="1134" w:left="1418" w:header="709" w:footer="709" w:gutter="0"/>
          <w:cols w:space="708"/>
          <w:docGrid w:linePitch="360"/>
        </w:sectPr>
      </w:pPr>
      <w:r>
        <w:rPr>
          <w:b w:val="0"/>
          <w:noProof/>
        </w:rPr>
        <w:tab/>
        <w:t>1.7.</w:t>
      </w:r>
      <w:r>
        <w:rPr>
          <w:b w:val="0"/>
          <w:noProof/>
        </w:rPr>
        <w:tab/>
        <w:t>Management mode(s) planned</w:t>
      </w:r>
      <w:r>
        <w:rPr>
          <w:b w:val="0"/>
          <w:noProof/>
        </w:rPr>
        <w:tab/>
      </w:r>
    </w:p>
    <w:p w:rsidR="00190E99" w:rsidRDefault="00CD4FBA">
      <w:pPr>
        <w:pStyle w:val="ManualHeading1"/>
        <w:rPr>
          <w:noProof/>
        </w:rPr>
      </w:pPr>
      <w:r>
        <w:rPr>
          <w:noProof/>
        </w:rPr>
        <w:t>2.</w:t>
      </w:r>
      <w:r>
        <w:rPr>
          <w:noProof/>
        </w:rPr>
        <w:tab/>
        <w:t xml:space="preserve">MANAGEMENT MEASURES </w:t>
      </w:r>
    </w:p>
    <w:p w:rsidR="00190E99" w:rsidRDefault="00CD4FBA">
      <w:pPr>
        <w:pStyle w:val="ManualHeading2"/>
        <w:rPr>
          <w:b w:val="0"/>
          <w:noProof/>
        </w:rPr>
      </w:pPr>
      <w:r>
        <w:rPr>
          <w:b w:val="0"/>
          <w:noProof/>
        </w:rPr>
        <w:tab/>
        <w:t>2.1.</w:t>
      </w:r>
      <w:r>
        <w:rPr>
          <w:b w:val="0"/>
          <w:noProof/>
        </w:rPr>
        <w:tab/>
        <w:t xml:space="preserve">Monitoring and reporting rules </w:t>
      </w:r>
    </w:p>
    <w:p w:rsidR="00190E99" w:rsidRDefault="00CD4FBA">
      <w:pPr>
        <w:pStyle w:val="ManualHeading2"/>
        <w:rPr>
          <w:b w:val="0"/>
          <w:noProof/>
        </w:rPr>
      </w:pPr>
      <w:r>
        <w:rPr>
          <w:b w:val="0"/>
          <w:noProof/>
        </w:rPr>
        <w:tab/>
        <w:t>2.2.</w:t>
      </w:r>
      <w:r>
        <w:rPr>
          <w:b w:val="0"/>
          <w:noProof/>
        </w:rPr>
        <w:tab/>
        <w:t>Management and control system(s)</w:t>
      </w:r>
    </w:p>
    <w:p w:rsidR="00190E99" w:rsidRDefault="00CD4FBA">
      <w:pPr>
        <w:pStyle w:val="ManualHeading3"/>
        <w:rPr>
          <w:noProof/>
        </w:rPr>
      </w:pPr>
      <w:r>
        <w:rPr>
          <w:noProof/>
        </w:rPr>
        <w:tab/>
        <w:t>2.2.1.</w:t>
      </w:r>
      <w:r>
        <w:rPr>
          <w:noProof/>
        </w:rPr>
        <w:tab/>
        <w:t>Justification of the management mode(s), the funding implementation mechanism(s), the pay</w:t>
      </w:r>
      <w:r>
        <w:rPr>
          <w:noProof/>
        </w:rPr>
        <w:t>ment modalities and the control strategy proposed</w:t>
      </w:r>
    </w:p>
    <w:p w:rsidR="00190E99" w:rsidRDefault="00CD4FBA">
      <w:pPr>
        <w:pStyle w:val="ManualHeading3"/>
        <w:rPr>
          <w:noProof/>
        </w:rPr>
      </w:pPr>
      <w:r>
        <w:rPr>
          <w:noProof/>
        </w:rPr>
        <w:tab/>
        <w:t>2.2.2.</w:t>
      </w:r>
      <w:r>
        <w:rPr>
          <w:noProof/>
        </w:rPr>
        <w:tab/>
        <w:t>Information concerning the risks identified and the internal control system(s) set up to mitigate them</w:t>
      </w:r>
    </w:p>
    <w:p w:rsidR="00190E99" w:rsidRDefault="00CD4FBA">
      <w:pPr>
        <w:pStyle w:val="ManualHeading3"/>
        <w:rPr>
          <w:noProof/>
        </w:rPr>
      </w:pPr>
      <w:r>
        <w:rPr>
          <w:noProof/>
        </w:rPr>
        <w:tab/>
        <w:t>2.2.3.</w:t>
      </w:r>
      <w:r>
        <w:rPr>
          <w:noProof/>
        </w:rPr>
        <w:tab/>
        <w:t>Estimation and justification of the cost-effectiveness of the controls (ratio of "contr</w:t>
      </w:r>
      <w:r>
        <w:rPr>
          <w:noProof/>
        </w:rPr>
        <w:t>ol costs ÷ value of the related funds managed"), and assessment of the expected levels of risk of error (at payment &amp; at closure)</w:t>
      </w:r>
    </w:p>
    <w:p w:rsidR="00190E99" w:rsidRDefault="00CD4FBA">
      <w:pPr>
        <w:pStyle w:val="ManualHeading2"/>
        <w:rPr>
          <w:b w:val="0"/>
          <w:noProof/>
        </w:rPr>
      </w:pPr>
      <w:r>
        <w:rPr>
          <w:b w:val="0"/>
          <w:noProof/>
        </w:rPr>
        <w:tab/>
        <w:t>2.3.</w:t>
      </w:r>
      <w:r>
        <w:rPr>
          <w:b w:val="0"/>
          <w:noProof/>
        </w:rPr>
        <w:tab/>
        <w:t xml:space="preserve">Measures to prevent fraud and irregularities </w:t>
      </w:r>
    </w:p>
    <w:p w:rsidR="00190E99" w:rsidRDefault="00CD4FBA">
      <w:pPr>
        <w:pStyle w:val="ManualHeading1"/>
        <w:rPr>
          <w:noProof/>
        </w:rPr>
      </w:pPr>
      <w:r>
        <w:rPr>
          <w:noProof/>
        </w:rPr>
        <w:t>3.</w:t>
      </w:r>
      <w:r>
        <w:rPr>
          <w:noProof/>
        </w:rPr>
        <w:tab/>
        <w:t xml:space="preserve">ESTIMATED FINANCIAL IMPACT OF THE PROPOSAL/INITIATIVE </w:t>
      </w:r>
    </w:p>
    <w:p w:rsidR="00190E99" w:rsidRDefault="00CD4FBA">
      <w:pPr>
        <w:pStyle w:val="ManualHeading2"/>
        <w:rPr>
          <w:b w:val="0"/>
          <w:noProof/>
        </w:rPr>
      </w:pPr>
      <w:r>
        <w:rPr>
          <w:b w:val="0"/>
          <w:noProof/>
        </w:rPr>
        <w:tab/>
        <w:t>3.1.</w:t>
      </w:r>
      <w:r>
        <w:rPr>
          <w:b w:val="0"/>
          <w:noProof/>
        </w:rPr>
        <w:tab/>
        <w:t>Heading(s)</w:t>
      </w:r>
      <w:r>
        <w:rPr>
          <w:b w:val="0"/>
          <w:noProof/>
        </w:rPr>
        <w:t xml:space="preserve"> of the multiannual financial framework and expenditure budget line(s) affected </w:t>
      </w:r>
    </w:p>
    <w:p w:rsidR="00190E99" w:rsidRDefault="00CD4FBA">
      <w:pPr>
        <w:pStyle w:val="ManualHeading2"/>
        <w:rPr>
          <w:noProof/>
        </w:rPr>
      </w:pPr>
      <w:r>
        <w:rPr>
          <w:b w:val="0"/>
          <w:noProof/>
        </w:rPr>
        <w:tab/>
        <w:t>3.2.</w:t>
      </w:r>
      <w:r>
        <w:rPr>
          <w:b w:val="0"/>
          <w:noProof/>
        </w:rPr>
        <w:tab/>
        <w:t>Estimated financial impact of the proposal on appropriations</w:t>
      </w:r>
    </w:p>
    <w:p w:rsidR="00190E99" w:rsidRDefault="00CD4FBA">
      <w:pPr>
        <w:pStyle w:val="ManualHeading3"/>
        <w:rPr>
          <w:noProof/>
        </w:rPr>
      </w:pPr>
      <w:r>
        <w:rPr>
          <w:noProof/>
        </w:rPr>
        <w:tab/>
        <w:t>3.2.1.</w:t>
      </w:r>
      <w:r>
        <w:rPr>
          <w:noProof/>
        </w:rPr>
        <w:tab/>
        <w:t xml:space="preserve">Summary of estimated impact on operational appropriations </w:t>
      </w:r>
    </w:p>
    <w:p w:rsidR="00190E99" w:rsidRDefault="00CD4FBA">
      <w:pPr>
        <w:pStyle w:val="ManualHeading3"/>
        <w:rPr>
          <w:noProof/>
        </w:rPr>
      </w:pPr>
      <w:r>
        <w:rPr>
          <w:noProof/>
        </w:rPr>
        <w:tab/>
        <w:t>3.2.2.</w:t>
      </w:r>
      <w:r>
        <w:rPr>
          <w:noProof/>
        </w:rPr>
        <w:tab/>
        <w:t>Estimated output funded with oper</w:t>
      </w:r>
      <w:r>
        <w:rPr>
          <w:noProof/>
        </w:rPr>
        <w:t xml:space="preserve">ational appropriations </w:t>
      </w:r>
    </w:p>
    <w:p w:rsidR="00190E99" w:rsidRDefault="00CD4FBA">
      <w:pPr>
        <w:pStyle w:val="ManualHeading3"/>
        <w:rPr>
          <w:noProof/>
        </w:rPr>
      </w:pPr>
      <w:r>
        <w:rPr>
          <w:noProof/>
        </w:rPr>
        <w:tab/>
        <w:t>3.2.3.</w:t>
      </w:r>
      <w:r>
        <w:rPr>
          <w:noProof/>
        </w:rPr>
        <w:tab/>
        <w:t>Summary of estimated impact on administrative appropriations</w:t>
      </w:r>
    </w:p>
    <w:p w:rsidR="00190E99" w:rsidRDefault="00CD4FBA">
      <w:pPr>
        <w:pStyle w:val="ManualHeading3"/>
        <w:rPr>
          <w:noProof/>
        </w:rPr>
      </w:pPr>
      <w:r>
        <w:rPr>
          <w:noProof/>
        </w:rPr>
        <w:tab/>
        <w:t>3.2.4.</w:t>
      </w:r>
      <w:r>
        <w:rPr>
          <w:noProof/>
        </w:rPr>
        <w:tab/>
        <w:t>Compatibility with the current multiannual financial framework</w:t>
      </w:r>
    </w:p>
    <w:p w:rsidR="00190E99" w:rsidRDefault="00CD4FBA">
      <w:pPr>
        <w:pStyle w:val="ManualHeading3"/>
        <w:rPr>
          <w:noProof/>
        </w:rPr>
      </w:pPr>
      <w:r>
        <w:rPr>
          <w:noProof/>
        </w:rPr>
        <w:tab/>
        <w:t>3.2.5.</w:t>
      </w:r>
      <w:r>
        <w:rPr>
          <w:noProof/>
        </w:rPr>
        <w:tab/>
        <w:t xml:space="preserve">Third-party contributions </w:t>
      </w:r>
    </w:p>
    <w:p w:rsidR="00190E99" w:rsidRDefault="00CD4FBA">
      <w:pPr>
        <w:pStyle w:val="ManualHeading2"/>
        <w:jc w:val="left"/>
        <w:rPr>
          <w:b w:val="0"/>
          <w:noProof/>
        </w:rPr>
      </w:pPr>
      <w:r>
        <w:rPr>
          <w:b w:val="0"/>
          <w:noProof/>
        </w:rPr>
        <w:tab/>
        <w:t>3.3.</w:t>
      </w:r>
      <w:r>
        <w:rPr>
          <w:b w:val="0"/>
          <w:noProof/>
        </w:rPr>
        <w:tab/>
        <w:t>Estimated impact on revenue</w:t>
      </w:r>
    </w:p>
    <w:p w:rsidR="00190E99" w:rsidRDefault="00190E99">
      <w:pPr>
        <w:jc w:val="center"/>
        <w:rPr>
          <w:b/>
          <w:noProof/>
          <w:u w:val="single"/>
        </w:rPr>
        <w:sectPr w:rsidR="00190E99">
          <w:pgSz w:w="11907" w:h="16840" w:code="9"/>
          <w:pgMar w:top="1134" w:right="1418" w:bottom="1134" w:left="1418" w:header="709" w:footer="709" w:gutter="0"/>
          <w:cols w:space="708"/>
          <w:docGrid w:linePitch="360"/>
        </w:sectPr>
      </w:pPr>
    </w:p>
    <w:p w:rsidR="00190E99" w:rsidRDefault="00CD4FBA">
      <w:pPr>
        <w:jc w:val="center"/>
        <w:rPr>
          <w:b/>
          <w:noProof/>
          <w:u w:val="single"/>
        </w:rPr>
      </w:pPr>
      <w:r>
        <w:rPr>
          <w:b/>
          <w:noProof/>
          <w:u w:val="single"/>
        </w:rPr>
        <w:t>LEGISLATIVE FINANCIAL STATEMENT</w:t>
      </w:r>
    </w:p>
    <w:p w:rsidR="00190E99" w:rsidRDefault="00CD4FBA">
      <w:pPr>
        <w:pStyle w:val="ManualHeading1"/>
        <w:rPr>
          <w:noProof/>
        </w:rPr>
      </w:pPr>
      <w:bookmarkStart w:id="1" w:name="_Toc514938007"/>
      <w:bookmarkStart w:id="2" w:name="_Toc520485025"/>
      <w:r>
        <w:t>1.</w:t>
      </w:r>
      <w:r>
        <w:tab/>
      </w:r>
      <w:r>
        <w:rPr>
          <w:noProof/>
        </w:rPr>
        <w:t>FRAMEWORK OF THE PROPOSAL/INITIATIVE</w:t>
      </w:r>
      <w:bookmarkEnd w:id="1"/>
      <w:bookmarkEnd w:id="2"/>
      <w:r>
        <w:rPr>
          <w:noProof/>
        </w:rPr>
        <w:t xml:space="preserve"> </w:t>
      </w:r>
    </w:p>
    <w:p w:rsidR="00190E99" w:rsidRDefault="00CD4FBA">
      <w:pPr>
        <w:pStyle w:val="ManualHeading2"/>
        <w:rPr>
          <w:noProof/>
        </w:rPr>
      </w:pPr>
      <w:bookmarkStart w:id="3" w:name="_Toc514938008"/>
      <w:bookmarkStart w:id="4" w:name="_Toc520485026"/>
      <w:r>
        <w:t>1.1.</w:t>
      </w:r>
      <w:r>
        <w:tab/>
      </w:r>
      <w:r>
        <w:rPr>
          <w:noProof/>
        </w:rPr>
        <w:t>Title of the proposal/initiative</w:t>
      </w:r>
      <w:bookmarkEnd w:id="3"/>
      <w:bookmarkEnd w:id="4"/>
    </w:p>
    <w:p w:rsidR="00190E99" w:rsidRDefault="00CD4FBA">
      <w:pPr>
        <w:pStyle w:val="Text1"/>
        <w:pBdr>
          <w:top w:val="single" w:sz="4" w:space="1" w:color="auto"/>
          <w:left w:val="single" w:sz="4" w:space="4" w:color="auto"/>
          <w:bottom w:val="single" w:sz="4" w:space="1" w:color="auto"/>
          <w:right w:val="single" w:sz="4" w:space="4" w:color="auto"/>
        </w:pBdr>
        <w:rPr>
          <w:noProof/>
        </w:rPr>
      </w:pPr>
      <w:bookmarkStart w:id="5" w:name="_Toc514938011"/>
      <w:bookmarkStart w:id="6" w:name="_Toc520485027"/>
      <w:r>
        <w:rPr>
          <w:noProof/>
        </w:rPr>
        <w:t xml:space="preserve">Agreement on the withdrawal of the United Kingdom of Great Britain and Northern Ireland from the European Union and the European Atomic Energy </w:t>
      </w:r>
      <w:r>
        <w:rPr>
          <w:noProof/>
        </w:rPr>
        <w:t>Community</w:t>
      </w:r>
    </w:p>
    <w:p w:rsidR="00190E99" w:rsidRDefault="00CD4FBA">
      <w:pPr>
        <w:pStyle w:val="ManualHeading2"/>
        <w:rPr>
          <w:noProof/>
        </w:rPr>
      </w:pPr>
      <w:r>
        <w:t>1.2.</w:t>
      </w:r>
      <w:r>
        <w:tab/>
      </w:r>
      <w:r>
        <w:rPr>
          <w:noProof/>
        </w:rPr>
        <w:t>Policy area(s) concerned</w:t>
      </w:r>
      <w:bookmarkEnd w:id="5"/>
      <w:bookmarkEnd w:id="6"/>
      <w:r>
        <w:rPr>
          <w:i/>
          <w:noProof/>
        </w:rPr>
        <w:t xml:space="preserve"> </w:t>
      </w:r>
    </w:p>
    <w:p w:rsidR="00190E99" w:rsidRDefault="00CD4FBA">
      <w:pPr>
        <w:pStyle w:val="Text1"/>
        <w:pBdr>
          <w:top w:val="single" w:sz="4" w:space="1" w:color="auto"/>
          <w:left w:val="single" w:sz="4" w:space="4" w:color="auto"/>
          <w:bottom w:val="single" w:sz="4" w:space="1" w:color="auto"/>
          <w:right w:val="single" w:sz="4" w:space="4" w:color="auto"/>
        </w:pBdr>
        <w:rPr>
          <w:noProof/>
        </w:rPr>
      </w:pPr>
      <w:bookmarkStart w:id="7" w:name="_Toc514938014"/>
      <w:bookmarkStart w:id="8" w:name="_Toc520485028"/>
      <w:r>
        <w:rPr>
          <w:noProof/>
        </w:rPr>
        <w:t>25 – Commission's policy coordination and legal advice</w:t>
      </w:r>
    </w:p>
    <w:p w:rsidR="00190E99" w:rsidRDefault="00CD4FBA">
      <w:pPr>
        <w:pStyle w:val="ManualHeading2"/>
        <w:rPr>
          <w:bCs/>
          <w:noProof/>
          <w:szCs w:val="24"/>
        </w:rPr>
      </w:pPr>
      <w:r>
        <w:t>1.3.</w:t>
      </w:r>
      <w:r>
        <w:tab/>
      </w:r>
      <w:r>
        <w:rPr>
          <w:noProof/>
        </w:rPr>
        <w:t>The proposal/initiative relates to:</w:t>
      </w:r>
      <w:bookmarkEnd w:id="7"/>
      <w:bookmarkEnd w:id="8"/>
      <w:r>
        <w:rPr>
          <w:noProof/>
        </w:rPr>
        <w:t xml:space="preserve"> </w:t>
      </w:r>
    </w:p>
    <w:p w:rsidR="00190E99" w:rsidRDefault="00CD4FBA">
      <w:pPr>
        <w:pStyle w:val="Text1"/>
        <w:rPr>
          <w:b/>
          <w:noProof/>
          <w:sz w:val="22"/>
        </w:rPr>
      </w:pPr>
      <w:r>
        <w:rPr>
          <w:noProof/>
          <w:sz w:val="22"/>
        </w:rPr>
        <w:sym w:font="Wingdings" w:char="F0FE"/>
      </w:r>
      <w:r>
        <w:rPr>
          <w:b/>
          <w:i/>
          <w:noProof/>
          <w:sz w:val="22"/>
        </w:rPr>
        <w:t xml:space="preserve"> </w:t>
      </w:r>
      <w:r>
        <w:rPr>
          <w:b/>
          <w:noProof/>
        </w:rPr>
        <w:t>a new action</w:t>
      </w:r>
      <w:r>
        <w:rPr>
          <w:b/>
          <w:noProof/>
          <w:sz w:val="22"/>
        </w:rPr>
        <w:t xml:space="preserve"> </w:t>
      </w:r>
    </w:p>
    <w:p w:rsidR="00190E99" w:rsidRDefault="00CD4FBA">
      <w:pPr>
        <w:pStyle w:val="Text1"/>
        <w:rPr>
          <w:noProof/>
          <w:sz w:val="22"/>
        </w:rPr>
      </w:pPr>
      <w:r>
        <w:rPr>
          <w:noProof/>
          <w:sz w:val="22"/>
        </w:rPr>
        <w:sym w:font="Wingdings" w:char="F0A8"/>
      </w:r>
      <w:r>
        <w:rPr>
          <w:i/>
          <w:noProof/>
          <w:sz w:val="22"/>
        </w:rPr>
        <w:t xml:space="preserve"> </w:t>
      </w:r>
      <w:r>
        <w:rPr>
          <w:b/>
          <w:noProof/>
        </w:rPr>
        <w:t>a new action following a pilot project/preparatory action</w:t>
      </w:r>
      <w:r>
        <w:rPr>
          <w:rStyle w:val="FootnoteReference"/>
          <w:b/>
          <w:noProof/>
        </w:rPr>
        <w:footnoteReference w:id="3"/>
      </w:r>
      <w:r>
        <w:rPr>
          <w:noProof/>
          <w:sz w:val="22"/>
        </w:rPr>
        <w:t xml:space="preserve"> </w:t>
      </w:r>
    </w:p>
    <w:p w:rsidR="00190E99" w:rsidRDefault="00CD4FBA">
      <w:pPr>
        <w:pStyle w:val="Text1"/>
        <w:rPr>
          <w:noProof/>
          <w:sz w:val="22"/>
        </w:rPr>
      </w:pPr>
      <w:r>
        <w:rPr>
          <w:noProof/>
          <w:sz w:val="22"/>
        </w:rPr>
        <w:sym w:font="Wingdings" w:char="F0A8"/>
      </w:r>
      <w:r>
        <w:rPr>
          <w:i/>
          <w:noProof/>
          <w:sz w:val="22"/>
        </w:rPr>
        <w:t xml:space="preserve"> </w:t>
      </w:r>
      <w:r>
        <w:rPr>
          <w:b/>
          <w:noProof/>
        </w:rPr>
        <w:t>the extension of an existing action</w:t>
      </w:r>
      <w:r>
        <w:rPr>
          <w:noProof/>
          <w:sz w:val="22"/>
        </w:rPr>
        <w:t xml:space="preserve"> </w:t>
      </w:r>
    </w:p>
    <w:p w:rsidR="00190E99" w:rsidRDefault="00CD4FBA">
      <w:pPr>
        <w:pStyle w:val="Text1"/>
        <w:rPr>
          <w:noProof/>
        </w:rPr>
      </w:pPr>
      <w:r>
        <w:rPr>
          <w:noProof/>
          <w:sz w:val="22"/>
        </w:rPr>
        <w:sym w:font="Wingdings" w:char="F0A8"/>
      </w:r>
      <w:r>
        <w:rPr>
          <w:i/>
          <w:noProof/>
          <w:sz w:val="22"/>
        </w:rPr>
        <w:t xml:space="preserve"> </w:t>
      </w:r>
      <w:r>
        <w:rPr>
          <w:b/>
          <w:noProof/>
        </w:rPr>
        <w:t>a merger or redirection of one or more actions towards another/a new action</w:t>
      </w:r>
      <w:r>
        <w:rPr>
          <w:noProof/>
        </w:rPr>
        <w:t xml:space="preserve"> </w:t>
      </w:r>
    </w:p>
    <w:p w:rsidR="00190E99" w:rsidRDefault="00CD4FBA">
      <w:pPr>
        <w:pStyle w:val="ManualHeading2"/>
        <w:rPr>
          <w:bCs/>
          <w:noProof/>
          <w:szCs w:val="24"/>
        </w:rPr>
      </w:pPr>
      <w:bookmarkStart w:id="9" w:name="_Toc514938015"/>
      <w:bookmarkStart w:id="10" w:name="_Toc520485029"/>
      <w:r>
        <w:t>1.4.</w:t>
      </w:r>
      <w:r>
        <w:tab/>
      </w:r>
      <w:r>
        <w:rPr>
          <w:noProof/>
        </w:rPr>
        <w:t>Objective(s)</w:t>
      </w:r>
      <w:bookmarkEnd w:id="9"/>
      <w:bookmarkEnd w:id="10"/>
    </w:p>
    <w:p w:rsidR="00190E99" w:rsidRDefault="00CD4FBA">
      <w:pPr>
        <w:pStyle w:val="ManualHeading3"/>
        <w:rPr>
          <w:noProof/>
        </w:rPr>
      </w:pPr>
      <w:bookmarkStart w:id="11" w:name="_Toc514938016"/>
      <w:bookmarkStart w:id="12" w:name="_Toc520485030"/>
      <w:r>
        <w:t>1.4.1.</w:t>
      </w:r>
      <w:r>
        <w:tab/>
      </w:r>
      <w:r>
        <w:rPr>
          <w:noProof/>
        </w:rPr>
        <w:t>General objective(s)</w:t>
      </w:r>
      <w:bookmarkEnd w:id="11"/>
      <w:bookmarkEnd w:id="12"/>
    </w:p>
    <w:p w:rsidR="00190E99" w:rsidRDefault="00CD4FBA">
      <w:pPr>
        <w:pStyle w:val="Text1"/>
        <w:pBdr>
          <w:top w:val="single" w:sz="4" w:space="1" w:color="auto"/>
          <w:left w:val="single" w:sz="4" w:space="4" w:color="auto"/>
          <w:bottom w:val="single" w:sz="4" w:space="1" w:color="auto"/>
          <w:right w:val="single" w:sz="4" w:space="4" w:color="auto"/>
        </w:pBdr>
        <w:rPr>
          <w:noProof/>
        </w:rPr>
      </w:pPr>
      <w:bookmarkStart w:id="13" w:name="_Toc514938018"/>
      <w:bookmarkStart w:id="14" w:name="_Toc520485031"/>
      <w:r>
        <w:rPr>
          <w:noProof/>
        </w:rPr>
        <w:t>The agreement is based on the Article 50(2) of the TEU. In accordance with the guidelines of the European Council (Article 50) of 29</w:t>
      </w:r>
      <w:r>
        <w:rPr>
          <w:noProof/>
        </w:rPr>
        <w:t xml:space="preserve"> April 2017, the withdrawal agreement aims at</w:t>
      </w:r>
    </w:p>
    <w:p w:rsidR="00190E99" w:rsidRDefault="00CD4FBA">
      <w:pPr>
        <w:pStyle w:val="Text1"/>
        <w:pBdr>
          <w:top w:val="single" w:sz="4" w:space="1" w:color="auto"/>
          <w:left w:val="single" w:sz="4" w:space="4" w:color="auto"/>
          <w:bottom w:val="single" w:sz="4" w:space="1" w:color="auto"/>
          <w:right w:val="single" w:sz="4" w:space="4" w:color="auto"/>
        </w:pBdr>
        <w:ind w:left="1418" w:hanging="568"/>
        <w:rPr>
          <w:noProof/>
        </w:rPr>
      </w:pPr>
      <w:r>
        <w:rPr>
          <w:noProof/>
        </w:rPr>
        <w:t>•</w:t>
      </w:r>
      <w:r>
        <w:rPr>
          <w:noProof/>
        </w:rPr>
        <w:tab/>
        <w:t xml:space="preserve">providing clarity and legal certainty with respect to situations created by the United Kingdom's withdrawal from the Union for citizens but also for businesses, stakeholders and international partners, </w:t>
      </w:r>
    </w:p>
    <w:p w:rsidR="00190E99" w:rsidRDefault="00CD4FBA">
      <w:pPr>
        <w:pStyle w:val="Text1"/>
        <w:pBdr>
          <w:top w:val="single" w:sz="4" w:space="1" w:color="auto"/>
          <w:left w:val="single" w:sz="4" w:space="4" w:color="auto"/>
          <w:bottom w:val="single" w:sz="4" w:space="1" w:color="auto"/>
          <w:right w:val="single" w:sz="4" w:space="4" w:color="auto"/>
        </w:pBdr>
        <w:ind w:left="1418" w:hanging="568"/>
        <w:rPr>
          <w:noProof/>
        </w:rPr>
      </w:pPr>
      <w:r>
        <w:rPr>
          <w:noProof/>
        </w:rPr>
        <w:t>•</w:t>
      </w:r>
      <w:r>
        <w:rPr>
          <w:noProof/>
        </w:rPr>
        <w:tab/>
        <w:t>pro</w:t>
      </w:r>
      <w:r>
        <w:rPr>
          <w:noProof/>
        </w:rPr>
        <w:t>tecting citizens who have built their lives on the basis of rights flowing from the United Kingdom's membership to the Union;</w:t>
      </w:r>
    </w:p>
    <w:p w:rsidR="00190E99" w:rsidRDefault="00CD4FBA">
      <w:pPr>
        <w:pStyle w:val="Text1"/>
        <w:pBdr>
          <w:top w:val="single" w:sz="4" w:space="1" w:color="auto"/>
          <w:left w:val="single" w:sz="4" w:space="4" w:color="auto"/>
          <w:bottom w:val="single" w:sz="4" w:space="1" w:color="auto"/>
          <w:right w:val="single" w:sz="4" w:space="4" w:color="auto"/>
        </w:pBdr>
        <w:ind w:left="1418" w:hanging="568"/>
        <w:rPr>
          <w:noProof/>
        </w:rPr>
      </w:pPr>
      <w:r>
        <w:rPr>
          <w:noProof/>
        </w:rPr>
        <w:t>•</w:t>
      </w:r>
      <w:r>
        <w:rPr>
          <w:noProof/>
        </w:rPr>
        <w:tab/>
        <w:t>settling the disentanglement of the United Kingdom from the Union and from all the rights and obligations the United Kingdom der</w:t>
      </w:r>
      <w:r>
        <w:rPr>
          <w:noProof/>
        </w:rPr>
        <w:t>ives from commitments undertaken as Member State,</w:t>
      </w:r>
    </w:p>
    <w:p w:rsidR="00190E99" w:rsidRDefault="00CD4FBA">
      <w:pPr>
        <w:pStyle w:val="Text1"/>
        <w:pBdr>
          <w:top w:val="single" w:sz="4" w:space="1" w:color="auto"/>
          <w:left w:val="single" w:sz="4" w:space="4" w:color="auto"/>
          <w:bottom w:val="single" w:sz="4" w:space="1" w:color="auto"/>
          <w:right w:val="single" w:sz="4" w:space="4" w:color="auto"/>
        </w:pBdr>
        <w:ind w:left="1418" w:hanging="568"/>
        <w:rPr>
          <w:noProof/>
        </w:rPr>
      </w:pPr>
      <w:r>
        <w:rPr>
          <w:noProof/>
        </w:rPr>
        <w:t>•</w:t>
      </w:r>
      <w:r>
        <w:rPr>
          <w:noProof/>
        </w:rPr>
        <w:tab/>
        <w:t>defining time-limited transitional arrangements which are in the interest of the Union,</w:t>
      </w:r>
    </w:p>
    <w:p w:rsidR="00190E99" w:rsidRDefault="00CD4FBA">
      <w:pPr>
        <w:pStyle w:val="Text1"/>
        <w:pBdr>
          <w:top w:val="single" w:sz="4" w:space="1" w:color="auto"/>
          <w:left w:val="single" w:sz="4" w:space="4" w:color="auto"/>
          <w:bottom w:val="single" w:sz="4" w:space="1" w:color="auto"/>
          <w:right w:val="single" w:sz="4" w:space="4" w:color="auto"/>
        </w:pBdr>
        <w:ind w:left="1418" w:hanging="568"/>
        <w:rPr>
          <w:noProof/>
        </w:rPr>
      </w:pPr>
      <w:r>
        <w:rPr>
          <w:noProof/>
        </w:rPr>
        <w:t>•</w:t>
      </w:r>
      <w:r>
        <w:rPr>
          <w:noProof/>
        </w:rPr>
        <w:tab/>
        <w:t>ensuring that the Union and the United Kingdom both respect the financial obligations resulting from the whole per</w:t>
      </w:r>
      <w:r>
        <w:rPr>
          <w:noProof/>
        </w:rPr>
        <w:t>iod of the UK membership in the Union</w:t>
      </w:r>
    </w:p>
    <w:p w:rsidR="00190E99" w:rsidRDefault="00CD4FBA">
      <w:pPr>
        <w:pStyle w:val="Text1"/>
        <w:pBdr>
          <w:top w:val="single" w:sz="4" w:space="1" w:color="auto"/>
          <w:left w:val="single" w:sz="4" w:space="4" w:color="auto"/>
          <w:bottom w:val="single" w:sz="4" w:space="1" w:color="auto"/>
          <w:right w:val="single" w:sz="4" w:space="4" w:color="auto"/>
        </w:pBdr>
        <w:ind w:left="1418" w:hanging="568"/>
        <w:rPr>
          <w:noProof/>
        </w:rPr>
      </w:pPr>
      <w:r>
        <w:rPr>
          <w:noProof/>
        </w:rPr>
        <w:t>•</w:t>
      </w:r>
      <w:r>
        <w:rPr>
          <w:noProof/>
        </w:rPr>
        <w:tab/>
        <w:t>providing for effective management, implementation and enforcement of the agreement, including through institutional structures and an effective dispute settlement mechanism preserving the role of the Court of Justic</w:t>
      </w:r>
      <w:r>
        <w:rPr>
          <w:noProof/>
        </w:rPr>
        <w:t xml:space="preserve">e of the European Union as the ultimate arbiter on matters of Union law, </w:t>
      </w:r>
    </w:p>
    <w:p w:rsidR="00190E99" w:rsidRDefault="00CD4FBA">
      <w:pPr>
        <w:pStyle w:val="Text1"/>
        <w:pBdr>
          <w:top w:val="single" w:sz="4" w:space="1" w:color="auto"/>
          <w:left w:val="single" w:sz="4" w:space="4" w:color="auto"/>
          <w:bottom w:val="single" w:sz="4" w:space="1" w:color="auto"/>
          <w:right w:val="single" w:sz="4" w:space="4" w:color="auto"/>
        </w:pBdr>
        <w:ind w:left="1418" w:hanging="568"/>
        <w:rPr>
          <w:noProof/>
        </w:rPr>
      </w:pPr>
      <w:r>
        <w:rPr>
          <w:noProof/>
        </w:rPr>
        <w:t>•</w:t>
      </w:r>
      <w:r>
        <w:rPr>
          <w:noProof/>
        </w:rPr>
        <w:tab/>
        <w:t>continuing to support the goal of peace and reconciliation enshrined in the Good Friday Agreement in all its parts, and to support and protect the achievements, benefits and commit</w:t>
      </w:r>
      <w:r>
        <w:rPr>
          <w:noProof/>
        </w:rPr>
        <w:t>ments of the Peace Process in the island of Ireland</w:t>
      </w:r>
    </w:p>
    <w:p w:rsidR="00190E99" w:rsidRDefault="00CD4FBA">
      <w:pPr>
        <w:pStyle w:val="Text1"/>
        <w:pBdr>
          <w:top w:val="single" w:sz="4" w:space="1" w:color="auto"/>
          <w:left w:val="single" w:sz="4" w:space="4" w:color="auto"/>
          <w:bottom w:val="single" w:sz="4" w:space="1" w:color="auto"/>
          <w:right w:val="single" w:sz="4" w:space="4" w:color="auto"/>
        </w:pBdr>
        <w:ind w:left="1418" w:hanging="568"/>
        <w:rPr>
          <w:noProof/>
        </w:rPr>
      </w:pPr>
      <w:r>
        <w:rPr>
          <w:noProof/>
        </w:rPr>
        <w:t>•</w:t>
      </w:r>
      <w:r>
        <w:rPr>
          <w:noProof/>
        </w:rPr>
        <w:tab/>
        <w:t>protecting the interests of Cypriots who live and work in the Sovereign Base Areas and ensuring no disruption and loss of rights after the United Kingdom's withdrawal,</w:t>
      </w:r>
    </w:p>
    <w:p w:rsidR="00190E99" w:rsidRDefault="00CD4FBA">
      <w:pPr>
        <w:pStyle w:val="Text1"/>
        <w:pBdr>
          <w:top w:val="single" w:sz="4" w:space="1" w:color="auto"/>
          <w:left w:val="single" w:sz="4" w:space="4" w:color="auto"/>
          <w:bottom w:val="single" w:sz="4" w:space="1" w:color="auto"/>
          <w:right w:val="single" w:sz="4" w:space="4" w:color="auto"/>
        </w:pBdr>
        <w:ind w:left="1418" w:hanging="568"/>
        <w:rPr>
          <w:noProof/>
        </w:rPr>
      </w:pPr>
      <w:r>
        <w:rPr>
          <w:noProof/>
        </w:rPr>
        <w:t>•</w:t>
      </w:r>
      <w:r>
        <w:rPr>
          <w:noProof/>
        </w:rPr>
        <w:tab/>
        <w:t xml:space="preserve">providing for close cooperation </w:t>
      </w:r>
      <w:r>
        <w:rPr>
          <w:noProof/>
        </w:rPr>
        <w:t>between Spain and the United Kingdom in respect of Gibraltar on the implementation of the Withdrawal Agreement, and in particular the citizens' rights part, and in a number of other policy areas.</w:t>
      </w:r>
    </w:p>
    <w:p w:rsidR="00190E99" w:rsidRDefault="00CD4FBA">
      <w:pPr>
        <w:pStyle w:val="ManualHeading3"/>
        <w:rPr>
          <w:bCs/>
          <w:noProof/>
          <w:szCs w:val="24"/>
        </w:rPr>
      </w:pPr>
      <w:r>
        <w:t>1.4.2.</w:t>
      </w:r>
      <w:r>
        <w:tab/>
      </w:r>
      <w:r>
        <w:rPr>
          <w:noProof/>
        </w:rPr>
        <w:t>Specific objective(s)</w:t>
      </w:r>
      <w:bookmarkEnd w:id="13"/>
      <w:bookmarkEnd w:id="14"/>
    </w:p>
    <w:p w:rsidR="00190E99" w:rsidRDefault="00CD4FBA">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objective(s)</w:t>
      </w:r>
    </w:p>
    <w:p w:rsidR="00190E99" w:rsidRDefault="00CD4FBA">
      <w:pPr>
        <w:pStyle w:val="Text1"/>
        <w:pBdr>
          <w:top w:val="single" w:sz="4" w:space="1" w:color="auto"/>
          <w:left w:val="single" w:sz="4" w:space="4" w:color="auto"/>
          <w:bottom w:val="single" w:sz="4" w:space="1" w:color="auto"/>
          <w:right w:val="single" w:sz="4" w:space="4" w:color="auto"/>
        </w:pBdr>
        <w:rPr>
          <w:noProof/>
        </w:rPr>
      </w:pPr>
      <w:r>
        <w:rPr>
          <w:noProof/>
        </w:rPr>
        <w:t>N/a</w:t>
      </w:r>
    </w:p>
    <w:p w:rsidR="00190E99" w:rsidRDefault="00CD4FBA">
      <w:pPr>
        <w:pStyle w:val="ManualHeading3"/>
        <w:rPr>
          <w:noProof/>
        </w:rPr>
      </w:pPr>
      <w:bookmarkStart w:id="15" w:name="_Toc514938019"/>
      <w:bookmarkStart w:id="16" w:name="_Toc520485032"/>
      <w:r>
        <w:t>1.4.3</w:t>
      </w:r>
      <w:r>
        <w:t>.</w:t>
      </w:r>
      <w:r>
        <w:tab/>
      </w:r>
      <w:r>
        <w:rPr>
          <w:noProof/>
        </w:rPr>
        <w:t>Expected result(s) and impact</w:t>
      </w:r>
      <w:bookmarkEnd w:id="15"/>
      <w:bookmarkEnd w:id="16"/>
    </w:p>
    <w:p w:rsidR="00190E99" w:rsidRDefault="00CD4FBA">
      <w:pPr>
        <w:pStyle w:val="Text1"/>
        <w:rPr>
          <w:i/>
          <w:noProof/>
          <w:sz w:val="20"/>
        </w:rPr>
      </w:pPr>
      <w:r>
        <w:rPr>
          <w:i/>
          <w:noProof/>
          <w:sz w:val="20"/>
        </w:rPr>
        <w:t>Specify the effects which the proposal/initiative should have on the beneficiaries/groups targeted.</w:t>
      </w:r>
    </w:p>
    <w:p w:rsidR="00190E99" w:rsidRDefault="00CD4FBA">
      <w:pPr>
        <w:pStyle w:val="Text1"/>
        <w:pBdr>
          <w:top w:val="single" w:sz="4" w:space="1" w:color="auto"/>
          <w:left w:val="single" w:sz="4" w:space="4" w:color="auto"/>
          <w:bottom w:val="single" w:sz="4" w:space="1" w:color="auto"/>
          <w:right w:val="single" w:sz="4" w:space="4" w:color="auto"/>
        </w:pBdr>
        <w:rPr>
          <w:noProof/>
        </w:rPr>
      </w:pPr>
      <w:bookmarkStart w:id="17" w:name="_Toc514938023"/>
      <w:bookmarkStart w:id="18" w:name="_Toc520485033"/>
      <w:r>
        <w:rPr>
          <w:noProof/>
        </w:rPr>
        <w:t xml:space="preserve">The Withdrawal agreement between the Union and the UK will bring reassurance to European citizens, business and </w:t>
      </w:r>
      <w:r>
        <w:rPr>
          <w:noProof/>
        </w:rPr>
        <w:t>international partners that there will be no disorderly and uncontrolled withdrawal of the United Kingdom from the Union.</w:t>
      </w:r>
    </w:p>
    <w:p w:rsidR="00190E99" w:rsidRDefault="00CD4FBA">
      <w:pPr>
        <w:pStyle w:val="Text1"/>
        <w:pBdr>
          <w:top w:val="single" w:sz="4" w:space="1" w:color="auto"/>
          <w:left w:val="single" w:sz="4" w:space="4" w:color="auto"/>
          <w:bottom w:val="single" w:sz="4" w:space="1" w:color="auto"/>
          <w:right w:val="single" w:sz="4" w:space="4" w:color="auto"/>
        </w:pBdr>
        <w:rPr>
          <w:noProof/>
        </w:rPr>
      </w:pPr>
      <w:r>
        <w:rPr>
          <w:noProof/>
        </w:rPr>
        <w:t>The only budgetary impact of the Withdrawal agreement results from establishment of the Joint Committee, composed of representatives o</w:t>
      </w:r>
      <w:r>
        <w:rPr>
          <w:noProof/>
        </w:rPr>
        <w:t>f the Union and of the United Kingdom. The Joint Committee will supervise and facilitate the implementation and application of the Withdrawal agreement, decide on the tasks of the specialised committees and supervise their work and make amendment to the Ag</w:t>
      </w:r>
      <w:r>
        <w:rPr>
          <w:noProof/>
        </w:rPr>
        <w:t xml:space="preserve">reement where specifically provided for in the Agreement itself. The Agreement also foresees a role for the Joint Committee in dispute settlement, which is addressed in Title 3 of Part Six of the Withdrawal Agreement. </w:t>
      </w:r>
    </w:p>
    <w:p w:rsidR="00190E99" w:rsidRDefault="00CD4FBA">
      <w:pPr>
        <w:pStyle w:val="Text1"/>
        <w:pBdr>
          <w:top w:val="single" w:sz="4" w:space="1" w:color="auto"/>
          <w:left w:val="single" w:sz="4" w:space="4" w:color="auto"/>
          <w:bottom w:val="single" w:sz="4" w:space="1" w:color="auto"/>
          <w:right w:val="single" w:sz="4" w:space="4" w:color="auto"/>
        </w:pBdr>
        <w:rPr>
          <w:noProof/>
        </w:rPr>
      </w:pPr>
      <w:r>
        <w:rPr>
          <w:noProof/>
        </w:rPr>
        <w:t>The Joint Committee will meet at leas</w:t>
      </w:r>
      <w:r>
        <w:rPr>
          <w:noProof/>
        </w:rPr>
        <w:t xml:space="preserve">t once a year, at the request of either party. The following specialised committees will operate under the control of the Joint Committee, i.e. one sub-committee for each of the main parts of the Withdrawal Agreement: </w:t>
      </w:r>
    </w:p>
    <w:p w:rsidR="00190E99" w:rsidRDefault="00CD4FBA">
      <w:pPr>
        <w:pStyle w:val="Text1"/>
        <w:pBdr>
          <w:top w:val="single" w:sz="4" w:space="1" w:color="auto"/>
          <w:left w:val="single" w:sz="4" w:space="4" w:color="auto"/>
          <w:bottom w:val="single" w:sz="4" w:space="1" w:color="auto"/>
          <w:right w:val="single" w:sz="4" w:space="4" w:color="auto"/>
        </w:pBdr>
        <w:rPr>
          <w:noProof/>
        </w:rPr>
      </w:pPr>
      <w:r>
        <w:rPr>
          <w:noProof/>
        </w:rPr>
        <w:t>(a)</w:t>
      </w:r>
      <w:r>
        <w:rPr>
          <w:noProof/>
        </w:rPr>
        <w:tab/>
        <w:t>the Committee on citizens' rights</w:t>
      </w:r>
      <w:r>
        <w:rPr>
          <w:noProof/>
        </w:rPr>
        <w:t>;</w:t>
      </w:r>
    </w:p>
    <w:p w:rsidR="00190E99" w:rsidRDefault="00CD4FBA">
      <w:pPr>
        <w:pStyle w:val="Text1"/>
        <w:pBdr>
          <w:top w:val="single" w:sz="4" w:space="1" w:color="auto"/>
          <w:left w:val="single" w:sz="4" w:space="4" w:color="auto"/>
          <w:bottom w:val="single" w:sz="4" w:space="1" w:color="auto"/>
          <w:right w:val="single" w:sz="4" w:space="4" w:color="auto"/>
        </w:pBdr>
        <w:rPr>
          <w:noProof/>
        </w:rPr>
      </w:pPr>
      <w:r>
        <w:rPr>
          <w:noProof/>
        </w:rPr>
        <w:t>(b)</w:t>
      </w:r>
      <w:r>
        <w:rPr>
          <w:noProof/>
        </w:rPr>
        <w:tab/>
        <w:t>the Committee on the other separation provisions;</w:t>
      </w:r>
    </w:p>
    <w:p w:rsidR="00190E99" w:rsidRDefault="00CD4FBA">
      <w:pPr>
        <w:pStyle w:val="Text1"/>
        <w:pBdr>
          <w:top w:val="single" w:sz="4" w:space="1" w:color="auto"/>
          <w:left w:val="single" w:sz="4" w:space="4" w:color="auto"/>
          <w:bottom w:val="single" w:sz="4" w:space="1" w:color="auto"/>
          <w:right w:val="single" w:sz="4" w:space="4" w:color="auto"/>
        </w:pBdr>
        <w:rPr>
          <w:noProof/>
        </w:rPr>
      </w:pPr>
      <w:r>
        <w:rPr>
          <w:noProof/>
        </w:rPr>
        <w:t>(c)</w:t>
      </w:r>
      <w:r>
        <w:rPr>
          <w:noProof/>
        </w:rPr>
        <w:tab/>
        <w:t>the Committee on issues related to the implementation of the Protocol on Ireland/Northern Ireland;</w:t>
      </w:r>
    </w:p>
    <w:p w:rsidR="00190E99" w:rsidRDefault="00CD4FBA">
      <w:pPr>
        <w:pStyle w:val="Text1"/>
        <w:pBdr>
          <w:top w:val="single" w:sz="4" w:space="1" w:color="auto"/>
          <w:left w:val="single" w:sz="4" w:space="4" w:color="auto"/>
          <w:bottom w:val="single" w:sz="4" w:space="1" w:color="auto"/>
          <w:right w:val="single" w:sz="4" w:space="4" w:color="auto"/>
        </w:pBdr>
        <w:rPr>
          <w:noProof/>
        </w:rPr>
      </w:pPr>
      <w:r>
        <w:rPr>
          <w:noProof/>
        </w:rPr>
        <w:t>(d)</w:t>
      </w:r>
      <w:r>
        <w:rPr>
          <w:noProof/>
        </w:rPr>
        <w:tab/>
        <w:t>the Committee on issues related to the implementation of the Protocol relating to the Soverei</w:t>
      </w:r>
      <w:r>
        <w:rPr>
          <w:noProof/>
        </w:rPr>
        <w:t xml:space="preserve">gn Base Areas in Cyprus; </w:t>
      </w:r>
    </w:p>
    <w:p w:rsidR="00190E99" w:rsidRDefault="00CD4FBA">
      <w:pPr>
        <w:pStyle w:val="Text1"/>
        <w:pBdr>
          <w:top w:val="single" w:sz="4" w:space="1" w:color="auto"/>
          <w:left w:val="single" w:sz="4" w:space="4" w:color="auto"/>
          <w:bottom w:val="single" w:sz="4" w:space="1" w:color="auto"/>
          <w:right w:val="single" w:sz="4" w:space="4" w:color="auto"/>
        </w:pBdr>
        <w:rPr>
          <w:noProof/>
        </w:rPr>
      </w:pPr>
      <w:r>
        <w:rPr>
          <w:noProof/>
        </w:rPr>
        <w:t>(e)</w:t>
      </w:r>
      <w:r>
        <w:rPr>
          <w:noProof/>
        </w:rPr>
        <w:tab/>
        <w:t>the Committee on issues related to the implementation of the Protocol on Gibraltar; and</w:t>
      </w:r>
    </w:p>
    <w:p w:rsidR="00190E99" w:rsidRDefault="00CD4FBA">
      <w:pPr>
        <w:pStyle w:val="Text1"/>
        <w:pBdr>
          <w:top w:val="single" w:sz="4" w:space="1" w:color="auto"/>
          <w:left w:val="single" w:sz="4" w:space="4" w:color="auto"/>
          <w:bottom w:val="single" w:sz="4" w:space="1" w:color="auto"/>
          <w:right w:val="single" w:sz="4" w:space="4" w:color="auto"/>
        </w:pBdr>
        <w:rPr>
          <w:noProof/>
        </w:rPr>
      </w:pPr>
      <w:r>
        <w:rPr>
          <w:noProof/>
        </w:rPr>
        <w:t>(f)</w:t>
      </w:r>
      <w:r>
        <w:rPr>
          <w:noProof/>
        </w:rPr>
        <w:tab/>
        <w:t>the Committee on the financial provisions.</w:t>
      </w:r>
    </w:p>
    <w:p w:rsidR="00190E99" w:rsidRDefault="00CD4FBA">
      <w:pPr>
        <w:pStyle w:val="ManualHeading3"/>
        <w:rPr>
          <w:noProof/>
          <w:szCs w:val="24"/>
        </w:rPr>
      </w:pPr>
      <w:r>
        <w:t>1.4.4.</w:t>
      </w:r>
      <w:r>
        <w:tab/>
      </w:r>
      <w:r>
        <w:rPr>
          <w:noProof/>
        </w:rPr>
        <w:t>Indicators of performance</w:t>
      </w:r>
      <w:bookmarkEnd w:id="17"/>
      <w:bookmarkEnd w:id="18"/>
    </w:p>
    <w:p w:rsidR="00190E99" w:rsidRDefault="00CD4FBA">
      <w:pPr>
        <w:pStyle w:val="Text1"/>
        <w:rPr>
          <w:i/>
          <w:noProof/>
          <w:sz w:val="20"/>
        </w:rPr>
      </w:pPr>
      <w:r>
        <w:rPr>
          <w:i/>
          <w:noProof/>
          <w:sz w:val="20"/>
        </w:rPr>
        <w:t>Specify the indicators for monitoring progress and achieve</w:t>
      </w:r>
      <w:r>
        <w:rPr>
          <w:i/>
          <w:noProof/>
          <w:sz w:val="20"/>
        </w:rPr>
        <w:t>ments.</w:t>
      </w:r>
    </w:p>
    <w:p w:rsidR="00190E99" w:rsidRDefault="00CD4FBA">
      <w:pPr>
        <w:pStyle w:val="Text1"/>
        <w:pBdr>
          <w:top w:val="single" w:sz="4" w:space="1" w:color="auto"/>
          <w:left w:val="single" w:sz="4" w:space="4" w:color="auto"/>
          <w:bottom w:val="single" w:sz="4" w:space="1" w:color="auto"/>
          <w:right w:val="single" w:sz="4" w:space="4" w:color="auto"/>
        </w:pBdr>
        <w:rPr>
          <w:noProof/>
        </w:rPr>
      </w:pPr>
      <w:bookmarkStart w:id="19" w:name="_Toc514938025"/>
      <w:bookmarkStart w:id="20" w:name="_Toc520485034"/>
      <w:r>
        <w:rPr>
          <w:noProof/>
        </w:rPr>
        <w:t>N/a</w:t>
      </w:r>
    </w:p>
    <w:p w:rsidR="00190E99" w:rsidRDefault="00CD4FBA">
      <w:pPr>
        <w:pStyle w:val="ManualHeading2"/>
        <w:rPr>
          <w:bCs/>
          <w:noProof/>
          <w:szCs w:val="24"/>
        </w:rPr>
      </w:pPr>
      <w:r>
        <w:t>1.5.</w:t>
      </w:r>
      <w:r>
        <w:tab/>
      </w:r>
      <w:r>
        <w:rPr>
          <w:noProof/>
        </w:rPr>
        <w:t>Grounds for the proposal/initiative</w:t>
      </w:r>
      <w:bookmarkEnd w:id="19"/>
      <w:bookmarkEnd w:id="20"/>
      <w:r>
        <w:rPr>
          <w:noProof/>
        </w:rPr>
        <w:t xml:space="preserve"> </w:t>
      </w:r>
    </w:p>
    <w:p w:rsidR="00190E99" w:rsidRDefault="00CD4FBA">
      <w:pPr>
        <w:pStyle w:val="ManualHeading3"/>
        <w:rPr>
          <w:noProof/>
        </w:rPr>
      </w:pPr>
      <w:bookmarkStart w:id="21" w:name="_Toc514938026"/>
      <w:bookmarkStart w:id="22" w:name="_Toc520485035"/>
      <w:r>
        <w:t>1.5.1.</w:t>
      </w:r>
      <w:r>
        <w:tab/>
      </w:r>
      <w:r>
        <w:rPr>
          <w:noProof/>
        </w:rPr>
        <w:t>Requirement(s) to be met in the short or long term including a detailed timeline for roll-out of the implementation of the initiative</w:t>
      </w:r>
      <w:bookmarkEnd w:id="21"/>
      <w:bookmarkEnd w:id="22"/>
    </w:p>
    <w:p w:rsidR="00190E99" w:rsidRDefault="00CD4FBA">
      <w:pPr>
        <w:pStyle w:val="Text1"/>
        <w:pBdr>
          <w:top w:val="single" w:sz="4" w:space="1" w:color="auto"/>
          <w:left w:val="single" w:sz="4" w:space="4" w:color="auto"/>
          <w:bottom w:val="single" w:sz="4" w:space="1" w:color="auto"/>
          <w:right w:val="single" w:sz="4" w:space="4" w:color="auto"/>
        </w:pBdr>
        <w:rPr>
          <w:noProof/>
        </w:rPr>
      </w:pPr>
      <w:bookmarkStart w:id="23" w:name="_Toc514938029"/>
      <w:bookmarkStart w:id="24" w:name="_Toc520485036"/>
      <w:r>
        <w:rPr>
          <w:noProof/>
        </w:rPr>
        <w:t>Ensure the orderly withdrawal of the UK from the Union.</w:t>
      </w:r>
    </w:p>
    <w:p w:rsidR="00190E99" w:rsidRDefault="00CD4FBA">
      <w:pPr>
        <w:pStyle w:val="ManualHeading3"/>
        <w:rPr>
          <w:bCs/>
          <w:noProof/>
          <w:szCs w:val="24"/>
        </w:rPr>
      </w:pPr>
      <w:r>
        <w:t>1.5.2.</w:t>
      </w:r>
      <w:r>
        <w:tab/>
      </w:r>
      <w:r>
        <w:rPr>
          <w:noProof/>
        </w:rPr>
        <w:t>Added value of Union involvement (it may result from different factors, e.g. coordination gains, legal certainty, greater effectiveness or complementarities). For the purposes of this point 'added value of Union involvement' is the value resulting from Un</w:t>
      </w:r>
      <w:r>
        <w:rPr>
          <w:noProof/>
        </w:rPr>
        <w:t>ion intervention which is additional to the value that would have been otherwise created by Member States alone.</w:t>
      </w:r>
      <w:bookmarkEnd w:id="23"/>
      <w:bookmarkEnd w:id="24"/>
    </w:p>
    <w:p w:rsidR="00190E99" w:rsidRDefault="00CD4FBA">
      <w:pPr>
        <w:pStyle w:val="Text1"/>
        <w:pBdr>
          <w:top w:val="single" w:sz="4" w:space="0" w:color="auto"/>
          <w:left w:val="single" w:sz="4" w:space="4" w:color="auto"/>
          <w:bottom w:val="single" w:sz="4" w:space="1" w:color="auto"/>
          <w:right w:val="single" w:sz="4" w:space="4" w:color="auto"/>
        </w:pBdr>
        <w:rPr>
          <w:noProof/>
        </w:rPr>
      </w:pPr>
      <w:bookmarkStart w:id="25" w:name="_Toc514938030"/>
      <w:bookmarkStart w:id="26" w:name="_Toc520485037"/>
      <w:r>
        <w:rPr>
          <w:noProof/>
        </w:rPr>
        <w:t>An orderly withdrawal of the United Kingdom from the Union is in the interest of both the Union and the United Kingdom, in particular by provid</w:t>
      </w:r>
      <w:r>
        <w:rPr>
          <w:noProof/>
        </w:rPr>
        <w:t>ing legal certainty to citizens and companies on both sides of the Chanel. The Withdrawal agreement is necessary to mitigate any negative effects on the European economy and the Union budget, protect the rights of the European citizens living and working i</w:t>
      </w:r>
      <w:r>
        <w:rPr>
          <w:noProof/>
        </w:rPr>
        <w:t>n the United Kingdom, as well as safeguard the goal of peace and reconciliation in the island of Ireland, as enshrined in the Good Friday Agreement.</w:t>
      </w:r>
    </w:p>
    <w:p w:rsidR="00190E99" w:rsidRDefault="00CD4FBA">
      <w:pPr>
        <w:pStyle w:val="ManualHeading3"/>
        <w:rPr>
          <w:noProof/>
        </w:rPr>
      </w:pPr>
      <w:r>
        <w:rPr>
          <w:noProof/>
        </w:rPr>
        <w:br w:type="page"/>
      </w:r>
      <w:r>
        <w:t>1.5.3.</w:t>
      </w:r>
      <w:r>
        <w:tab/>
      </w:r>
      <w:r>
        <w:rPr>
          <w:noProof/>
        </w:rPr>
        <w:t>Lessons learned from similar experiences in the past</w:t>
      </w:r>
      <w:bookmarkEnd w:id="25"/>
      <w:bookmarkEnd w:id="26"/>
    </w:p>
    <w:p w:rsidR="00190E99" w:rsidRDefault="00CD4FBA">
      <w:pPr>
        <w:pStyle w:val="Text1"/>
        <w:pBdr>
          <w:top w:val="single" w:sz="4" w:space="1" w:color="auto"/>
          <w:left w:val="single" w:sz="4" w:space="4" w:color="auto"/>
          <w:bottom w:val="single" w:sz="4" w:space="1" w:color="auto"/>
          <w:right w:val="single" w:sz="4" w:space="4" w:color="auto"/>
        </w:pBdr>
        <w:rPr>
          <w:noProof/>
        </w:rPr>
      </w:pPr>
      <w:r>
        <w:t>N/a</w:t>
      </w:r>
    </w:p>
    <w:p w:rsidR="00190E99" w:rsidRDefault="00CD4FBA">
      <w:pPr>
        <w:pStyle w:val="ManualHeading3"/>
        <w:rPr>
          <w:noProof/>
        </w:rPr>
      </w:pPr>
      <w:bookmarkStart w:id="27" w:name="_Toc514938033"/>
      <w:bookmarkStart w:id="28" w:name="_Toc520485038"/>
      <w:r>
        <w:t>1.5.4.</w:t>
      </w:r>
      <w:r>
        <w:tab/>
      </w:r>
      <w:r>
        <w:rPr>
          <w:noProof/>
        </w:rPr>
        <w:t xml:space="preserve">Compatibility with the Multiannual </w:t>
      </w:r>
      <w:r>
        <w:rPr>
          <w:noProof/>
        </w:rPr>
        <w:t>Financial Framework and possible synergies with other appropriate instruments</w:t>
      </w:r>
      <w:bookmarkEnd w:id="27"/>
      <w:bookmarkEnd w:id="28"/>
    </w:p>
    <w:p w:rsidR="00190E99" w:rsidRDefault="00CD4FBA">
      <w:pPr>
        <w:pStyle w:val="Text1"/>
        <w:pBdr>
          <w:top w:val="single" w:sz="4" w:space="1" w:color="auto"/>
          <w:left w:val="single" w:sz="4" w:space="4" w:color="auto"/>
          <w:bottom w:val="single" w:sz="4" w:space="1" w:color="auto"/>
          <w:right w:val="single" w:sz="4" w:space="4" w:color="auto"/>
        </w:pBdr>
        <w:rPr>
          <w:noProof/>
        </w:rPr>
      </w:pPr>
      <w:bookmarkStart w:id="29" w:name="_Toc514938036"/>
      <w:bookmarkStart w:id="30" w:name="_Toc520485039"/>
      <w:r>
        <w:t>N/a</w:t>
      </w:r>
    </w:p>
    <w:p w:rsidR="00190E99" w:rsidRDefault="00CD4FBA">
      <w:pPr>
        <w:pStyle w:val="ManualHeading3"/>
        <w:rPr>
          <w:noProof/>
        </w:rPr>
      </w:pPr>
      <w:r>
        <w:t>1.5.5.</w:t>
      </w:r>
      <w:r>
        <w:tab/>
      </w:r>
      <w:r>
        <w:rPr>
          <w:noProof/>
        </w:rPr>
        <w:t>Assessment of the different available financing options, including scope for redeployment</w:t>
      </w:r>
      <w:bookmarkEnd w:id="29"/>
      <w:bookmarkEnd w:id="30"/>
    </w:p>
    <w:p w:rsidR="00190E99" w:rsidRDefault="00CD4FBA">
      <w:pPr>
        <w:pStyle w:val="Text1"/>
        <w:pBdr>
          <w:top w:val="single" w:sz="4" w:space="1" w:color="auto"/>
          <w:left w:val="single" w:sz="4" w:space="4" w:color="auto"/>
          <w:bottom w:val="single" w:sz="4" w:space="1" w:color="auto"/>
          <w:right w:val="single" w:sz="4" w:space="4" w:color="auto"/>
        </w:pBdr>
        <w:rPr>
          <w:noProof/>
        </w:rPr>
      </w:pPr>
      <w:r>
        <w:t>N/a</w:t>
      </w:r>
    </w:p>
    <w:p w:rsidR="00190E99" w:rsidRDefault="00CD4FBA">
      <w:pPr>
        <w:pStyle w:val="ManualHeading2"/>
        <w:rPr>
          <w:bCs/>
          <w:noProof/>
          <w:szCs w:val="24"/>
        </w:rPr>
      </w:pPr>
      <w:bookmarkStart w:id="31" w:name="_Toc514938039"/>
      <w:bookmarkStart w:id="32" w:name="_Toc520485040"/>
      <w:r>
        <w:t>1.6.</w:t>
      </w:r>
      <w:r>
        <w:tab/>
      </w:r>
      <w:r>
        <w:rPr>
          <w:noProof/>
        </w:rPr>
        <w:t>Duration and financial impact of the proposal/initiative</w:t>
      </w:r>
      <w:bookmarkEnd w:id="31"/>
      <w:bookmarkEnd w:id="32"/>
    </w:p>
    <w:p w:rsidR="00190E99" w:rsidRDefault="00CD4FBA">
      <w:pPr>
        <w:pStyle w:val="Text1"/>
        <w:rPr>
          <w:noProof/>
        </w:rPr>
      </w:pPr>
      <w:r>
        <w:rPr>
          <w:noProof/>
        </w:rPr>
        <w:sym w:font="Wingdings" w:char="F0A8"/>
      </w:r>
      <w:r>
        <w:rPr>
          <w:b/>
          <w:i/>
          <w:noProof/>
        </w:rPr>
        <w:t xml:space="preserve"> </w:t>
      </w:r>
      <w:r>
        <w:rPr>
          <w:b/>
          <w:noProof/>
        </w:rPr>
        <w:t>limited d</w:t>
      </w:r>
      <w:r>
        <w:rPr>
          <w:b/>
          <w:noProof/>
        </w:rPr>
        <w:t xml:space="preserve">uration </w:t>
      </w:r>
    </w:p>
    <w:p w:rsidR="00190E99" w:rsidRDefault="00CD4FBA">
      <w:pPr>
        <w:pStyle w:val="ListDash2"/>
        <w:rPr>
          <w:noProof/>
        </w:rPr>
      </w:pPr>
      <w:r>
        <w:rPr>
          <w:noProof/>
        </w:rPr>
        <w:sym w:font="Wingdings" w:char="F0A8"/>
      </w:r>
      <w:r>
        <w:rPr>
          <w:noProof/>
        </w:rPr>
        <w:tab/>
        <w:t xml:space="preserve">in effect from [DD/MM]YYYY to [DD/MM]YYYY </w:t>
      </w:r>
    </w:p>
    <w:p w:rsidR="00190E99" w:rsidRDefault="00CD4FBA">
      <w:pPr>
        <w:pStyle w:val="ListDash2"/>
        <w:rPr>
          <w:noProof/>
        </w:rPr>
      </w:pPr>
      <w:r>
        <w:rPr>
          <w:noProof/>
        </w:rPr>
        <w:sym w:font="Wingdings" w:char="F0A8"/>
      </w:r>
      <w:r>
        <w:rPr>
          <w:noProof/>
        </w:rPr>
        <w:tab/>
        <w:t xml:space="preserve">Financial impact from YYYY to YYYY for commitment appropriations and from YYYY to YYYY for payment appropriations. </w:t>
      </w:r>
    </w:p>
    <w:p w:rsidR="00190E99" w:rsidRDefault="00CD4FBA">
      <w:pPr>
        <w:pStyle w:val="Text1"/>
        <w:rPr>
          <w:noProof/>
        </w:rPr>
      </w:pPr>
      <w:r>
        <w:rPr>
          <w:noProof/>
        </w:rPr>
        <w:sym w:font="Wingdings" w:char="F0FE"/>
      </w:r>
      <w:r>
        <w:rPr>
          <w:b/>
          <w:i/>
          <w:noProof/>
        </w:rPr>
        <w:t xml:space="preserve"> </w:t>
      </w:r>
      <w:r>
        <w:rPr>
          <w:b/>
          <w:noProof/>
        </w:rPr>
        <w:t>unlimited duration</w:t>
      </w:r>
    </w:p>
    <w:p w:rsidR="00190E99" w:rsidRDefault="00CD4FBA">
      <w:pPr>
        <w:pStyle w:val="ListDash1"/>
        <w:rPr>
          <w:noProof/>
        </w:rPr>
      </w:pPr>
      <w:r>
        <w:rPr>
          <w:noProof/>
        </w:rPr>
        <w:t>Implementation with a start-up period from YYYY to YYYY,</w:t>
      </w:r>
    </w:p>
    <w:p w:rsidR="00190E99" w:rsidRDefault="00CD4FBA">
      <w:pPr>
        <w:pStyle w:val="ListDash1"/>
        <w:rPr>
          <w:noProof/>
        </w:rPr>
      </w:pPr>
      <w:r>
        <w:rPr>
          <w:noProof/>
        </w:rPr>
        <w:t>followed by full-scale operation.</w:t>
      </w:r>
    </w:p>
    <w:p w:rsidR="00190E99" w:rsidRDefault="00CD4FBA">
      <w:pPr>
        <w:pStyle w:val="ManualHeading2"/>
        <w:rPr>
          <w:bCs/>
          <w:noProof/>
          <w:szCs w:val="24"/>
        </w:rPr>
      </w:pPr>
      <w:bookmarkStart w:id="33" w:name="_Toc514938040"/>
      <w:bookmarkStart w:id="34" w:name="_Toc520485041"/>
      <w:r>
        <w:t>1.7.</w:t>
      </w:r>
      <w:r>
        <w:tab/>
      </w:r>
      <w:r>
        <w:rPr>
          <w:noProof/>
        </w:rPr>
        <w:t>Management mode(s) planned</w:t>
      </w:r>
      <w:r>
        <w:rPr>
          <w:rStyle w:val="FootnoteReference"/>
          <w:noProof/>
        </w:rPr>
        <w:footnoteReference w:id="4"/>
      </w:r>
      <w:bookmarkEnd w:id="33"/>
      <w:bookmarkEnd w:id="34"/>
      <w:r>
        <w:rPr>
          <w:rStyle w:val="FootnoteReference"/>
          <w:noProof/>
        </w:rPr>
        <w:t xml:space="preserve"> </w:t>
      </w:r>
    </w:p>
    <w:p w:rsidR="00190E99" w:rsidRDefault="00CD4FBA">
      <w:pPr>
        <w:pStyle w:val="Text1"/>
        <w:rPr>
          <w:noProof/>
        </w:rPr>
      </w:pPr>
      <w:r>
        <w:rPr>
          <w:noProof/>
        </w:rPr>
        <w:sym w:font="Wingdings" w:char="F0FE"/>
      </w:r>
      <w:r>
        <w:rPr>
          <w:i/>
          <w:noProof/>
        </w:rPr>
        <w:t xml:space="preserve"> </w:t>
      </w:r>
      <w:r>
        <w:rPr>
          <w:b/>
          <w:noProof/>
        </w:rPr>
        <w:t>Direct management</w:t>
      </w:r>
      <w:r>
        <w:rPr>
          <w:noProof/>
        </w:rPr>
        <w:t xml:space="preserve"> by the Commission</w:t>
      </w:r>
    </w:p>
    <w:p w:rsidR="00190E99" w:rsidRDefault="00CD4FBA">
      <w:pPr>
        <w:pStyle w:val="ListDash2"/>
        <w:rPr>
          <w:rFonts w:cs="EUAlbertina"/>
          <w:noProof/>
        </w:rPr>
      </w:pPr>
      <w:r>
        <w:rPr>
          <w:noProof/>
        </w:rPr>
        <w:sym w:font="Wingdings" w:char="F0FE"/>
      </w:r>
      <w:r>
        <w:rPr>
          <w:noProof/>
        </w:rPr>
        <w:tab/>
        <w:t xml:space="preserve">by its departments, including by its staff in the Union delegations; </w:t>
      </w:r>
    </w:p>
    <w:p w:rsidR="00190E99" w:rsidRDefault="00CD4FBA">
      <w:pPr>
        <w:pStyle w:val="ListDash2"/>
        <w:rPr>
          <w:noProof/>
        </w:rPr>
      </w:pPr>
      <w:r>
        <w:rPr>
          <w:noProof/>
        </w:rPr>
        <w:sym w:font="Wingdings" w:char="F0A8"/>
      </w:r>
      <w:r>
        <w:rPr>
          <w:noProof/>
        </w:rPr>
        <w:tab/>
        <w:t xml:space="preserve">by the executive agencies </w:t>
      </w:r>
    </w:p>
    <w:p w:rsidR="00190E99" w:rsidRDefault="00CD4FBA">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rsidR="00190E99" w:rsidRDefault="00CD4FBA">
      <w:pPr>
        <w:pStyle w:val="Text1"/>
        <w:rPr>
          <w:noProof/>
        </w:rPr>
      </w:pPr>
      <w:r>
        <w:rPr>
          <w:noProof/>
        </w:rPr>
        <w:sym w:font="Wingdings" w:char="F0A8"/>
      </w:r>
      <w:r>
        <w:rPr>
          <w:i/>
          <w:noProof/>
        </w:rPr>
        <w:t xml:space="preserve"> </w:t>
      </w:r>
      <w:r>
        <w:rPr>
          <w:b/>
          <w:noProof/>
        </w:rPr>
        <w:t>Indirect management</w:t>
      </w:r>
      <w:r>
        <w:rPr>
          <w:noProof/>
        </w:rPr>
        <w:t xml:space="preserve"> by entrusting budget implementation tasks to:</w:t>
      </w:r>
    </w:p>
    <w:p w:rsidR="00190E99" w:rsidRDefault="00CD4FBA">
      <w:pPr>
        <w:pStyle w:val="ListDash2"/>
        <w:rPr>
          <w:noProof/>
        </w:rPr>
      </w:pPr>
      <w:r>
        <w:rPr>
          <w:noProof/>
        </w:rPr>
        <w:sym w:font="Wingdings" w:char="F0A8"/>
      </w:r>
      <w:r>
        <w:rPr>
          <w:noProof/>
        </w:rPr>
        <w:t xml:space="preserve"> third countries or the bodies they have designated;</w:t>
      </w:r>
    </w:p>
    <w:p w:rsidR="00190E99" w:rsidRDefault="00CD4FBA">
      <w:pPr>
        <w:pStyle w:val="ListDash2"/>
        <w:rPr>
          <w:noProof/>
        </w:rPr>
      </w:pPr>
      <w:r>
        <w:rPr>
          <w:noProof/>
        </w:rPr>
        <w:sym w:font="Wingdings" w:char="F0A8"/>
      </w:r>
      <w:r>
        <w:rPr>
          <w:noProof/>
        </w:rPr>
        <w:t xml:space="preserve"> international organisations and their agencies (to be specified);</w:t>
      </w:r>
    </w:p>
    <w:p w:rsidR="00190E99" w:rsidRDefault="00CD4FBA">
      <w:pPr>
        <w:pStyle w:val="ListDash2"/>
        <w:rPr>
          <w:noProof/>
        </w:rPr>
      </w:pPr>
      <w:r>
        <w:rPr>
          <w:noProof/>
        </w:rPr>
        <w:sym w:font="Wingdings" w:char="F0A8"/>
      </w:r>
      <w:r>
        <w:rPr>
          <w:noProof/>
        </w:rPr>
        <w:t xml:space="preserve"> the EIB and the European Investment Fund;</w:t>
      </w:r>
    </w:p>
    <w:p w:rsidR="00190E99" w:rsidRDefault="00CD4FBA">
      <w:pPr>
        <w:pStyle w:val="ListDash2"/>
        <w:rPr>
          <w:noProof/>
        </w:rPr>
      </w:pPr>
      <w:r>
        <w:rPr>
          <w:noProof/>
        </w:rPr>
        <w:sym w:font="Wingdings" w:char="F0A8"/>
      </w:r>
      <w:r>
        <w:rPr>
          <w:noProof/>
        </w:rPr>
        <w:t xml:space="preserve"> bodies referred to in </w:t>
      </w:r>
      <w:r>
        <w:rPr>
          <w:noProof/>
        </w:rPr>
        <w:t>Articles 70 and 71 of the Financial Regulation;</w:t>
      </w:r>
    </w:p>
    <w:p w:rsidR="00190E99" w:rsidRDefault="00CD4FBA">
      <w:pPr>
        <w:pStyle w:val="ListDash2"/>
        <w:rPr>
          <w:noProof/>
        </w:rPr>
      </w:pPr>
      <w:r>
        <w:rPr>
          <w:noProof/>
        </w:rPr>
        <w:sym w:font="Wingdings" w:char="F0A8"/>
      </w:r>
      <w:r>
        <w:rPr>
          <w:noProof/>
        </w:rPr>
        <w:t xml:space="preserve"> public law bodies;</w:t>
      </w:r>
    </w:p>
    <w:p w:rsidR="00190E99" w:rsidRDefault="00CD4FBA">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rsidR="00190E99" w:rsidRDefault="00CD4FBA">
      <w:pPr>
        <w:pStyle w:val="ListDash2"/>
        <w:rPr>
          <w:noProof/>
        </w:rPr>
      </w:pPr>
      <w:r>
        <w:rPr>
          <w:noProof/>
        </w:rPr>
        <w:sym w:font="Wingdings" w:char="F0A8"/>
      </w:r>
      <w:r>
        <w:rPr>
          <w:noProof/>
        </w:rPr>
        <w:t xml:space="preserve"> bodies governed by the private law of a Member State that a</w:t>
      </w:r>
      <w:r>
        <w:rPr>
          <w:noProof/>
        </w:rPr>
        <w:t>re entrusted with the implementation of a public-private partnership and that provide adequate financial guarantees;</w:t>
      </w:r>
    </w:p>
    <w:p w:rsidR="00190E99" w:rsidRDefault="00CD4FBA">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w:t>
      </w:r>
      <w:r>
        <w:rPr>
          <w:noProof/>
        </w:rPr>
        <w:t>basic act.</w:t>
      </w:r>
    </w:p>
    <w:p w:rsidR="00190E99" w:rsidRDefault="00CD4FBA">
      <w:pPr>
        <w:pStyle w:val="ListDash2"/>
        <w:rPr>
          <w:i/>
          <w:noProof/>
          <w:sz w:val="18"/>
          <w:u w:val="single"/>
        </w:rPr>
      </w:pPr>
      <w:r>
        <w:rPr>
          <w:i/>
          <w:noProof/>
          <w:sz w:val="18"/>
        </w:rPr>
        <w:t>If more than one management mode is indicated, please provide details in the ‘Comments’ section.</w:t>
      </w:r>
    </w:p>
    <w:p w:rsidR="00190E99" w:rsidRDefault="00CD4FBA">
      <w:pPr>
        <w:rPr>
          <w:noProof/>
        </w:rPr>
      </w:pPr>
      <w:r>
        <w:rPr>
          <w:noProof/>
        </w:rPr>
        <w:t xml:space="preserve">Comments </w:t>
      </w:r>
    </w:p>
    <w:p w:rsidR="00190E99" w:rsidRDefault="00190E99">
      <w:pPr>
        <w:pBdr>
          <w:top w:val="single" w:sz="4" w:space="1" w:color="auto"/>
          <w:left w:val="single" w:sz="4" w:space="4" w:color="auto"/>
          <w:bottom w:val="single" w:sz="4" w:space="1" w:color="auto"/>
          <w:right w:val="single" w:sz="4" w:space="4" w:color="auto"/>
        </w:pBdr>
        <w:rPr>
          <w:noProof/>
        </w:rPr>
      </w:pPr>
    </w:p>
    <w:p w:rsidR="00190E99" w:rsidRDefault="00190E99">
      <w:pPr>
        <w:rPr>
          <w:noProof/>
        </w:rPr>
        <w:sectPr w:rsidR="00190E99">
          <w:pgSz w:w="11907" w:h="16840" w:code="9"/>
          <w:pgMar w:top="1134" w:right="1418" w:bottom="1134" w:left="1418" w:header="709" w:footer="709" w:gutter="0"/>
          <w:cols w:space="708"/>
          <w:docGrid w:linePitch="360"/>
        </w:sectPr>
      </w:pPr>
    </w:p>
    <w:p w:rsidR="00190E99" w:rsidRDefault="00CD4FBA">
      <w:pPr>
        <w:pStyle w:val="ManualHeading1"/>
        <w:rPr>
          <w:bCs/>
          <w:noProof/>
          <w:szCs w:val="24"/>
        </w:rPr>
      </w:pPr>
      <w:bookmarkStart w:id="35" w:name="_Toc514938041"/>
      <w:bookmarkStart w:id="36" w:name="_Toc520485042"/>
      <w:r>
        <w:t>2.</w:t>
      </w:r>
      <w:r>
        <w:tab/>
      </w:r>
      <w:r>
        <w:rPr>
          <w:noProof/>
        </w:rPr>
        <w:t>MANAGEMENT MEASURES</w:t>
      </w:r>
      <w:bookmarkEnd w:id="35"/>
      <w:bookmarkEnd w:id="36"/>
      <w:r>
        <w:rPr>
          <w:noProof/>
        </w:rPr>
        <w:t xml:space="preserve"> </w:t>
      </w:r>
    </w:p>
    <w:p w:rsidR="00190E99" w:rsidRDefault="00CD4FBA">
      <w:pPr>
        <w:pStyle w:val="ManualHeading2"/>
        <w:rPr>
          <w:noProof/>
        </w:rPr>
      </w:pPr>
      <w:bookmarkStart w:id="37" w:name="_Toc514938042"/>
      <w:bookmarkStart w:id="38" w:name="_Toc520485043"/>
      <w:r>
        <w:t>2.1.</w:t>
      </w:r>
      <w:r>
        <w:tab/>
      </w:r>
      <w:r>
        <w:rPr>
          <w:noProof/>
        </w:rPr>
        <w:t>Monitoring and reporting rules</w:t>
      </w:r>
      <w:bookmarkEnd w:id="37"/>
      <w:bookmarkEnd w:id="38"/>
      <w:r>
        <w:rPr>
          <w:noProof/>
        </w:rPr>
        <w:t xml:space="preserve"> </w:t>
      </w:r>
    </w:p>
    <w:p w:rsidR="00190E99" w:rsidRDefault="00CD4FBA">
      <w:pPr>
        <w:pStyle w:val="Text1"/>
        <w:rPr>
          <w:i/>
          <w:noProof/>
          <w:sz w:val="20"/>
        </w:rPr>
      </w:pPr>
      <w:r>
        <w:rPr>
          <w:i/>
          <w:noProof/>
          <w:sz w:val="20"/>
        </w:rPr>
        <w:t>Specify frequency and conditions.</w:t>
      </w:r>
    </w:p>
    <w:p w:rsidR="00190E99" w:rsidRDefault="00CD4FBA">
      <w:pPr>
        <w:pStyle w:val="Text1"/>
        <w:pBdr>
          <w:top w:val="single" w:sz="4" w:space="1" w:color="auto"/>
          <w:left w:val="single" w:sz="4" w:space="4" w:color="auto"/>
          <w:bottom w:val="single" w:sz="4" w:space="1" w:color="auto"/>
          <w:right w:val="single" w:sz="4" w:space="4" w:color="auto"/>
        </w:pBdr>
        <w:rPr>
          <w:noProof/>
        </w:rPr>
      </w:pPr>
      <w:bookmarkStart w:id="39" w:name="_Toc514938045"/>
      <w:bookmarkStart w:id="40" w:name="_Toc520485044"/>
      <w:r>
        <w:rPr>
          <w:noProof/>
        </w:rPr>
        <w:t xml:space="preserve">The Joint </w:t>
      </w:r>
      <w:r>
        <w:rPr>
          <w:noProof/>
        </w:rPr>
        <w:t>Committee will issue an annual report on the functioning of the Agreement.</w:t>
      </w:r>
    </w:p>
    <w:p w:rsidR="00190E99" w:rsidRDefault="00CD4FBA">
      <w:pPr>
        <w:pStyle w:val="ManualHeading2"/>
        <w:rPr>
          <w:bCs/>
          <w:noProof/>
          <w:szCs w:val="24"/>
        </w:rPr>
      </w:pPr>
      <w:r>
        <w:t>2.2.</w:t>
      </w:r>
      <w:r>
        <w:tab/>
      </w:r>
      <w:r>
        <w:rPr>
          <w:noProof/>
        </w:rPr>
        <w:t>Management and control system(s)</w:t>
      </w:r>
      <w:bookmarkEnd w:id="39"/>
      <w:bookmarkEnd w:id="40"/>
      <w:r>
        <w:rPr>
          <w:noProof/>
        </w:rPr>
        <w:t xml:space="preserve"> </w:t>
      </w:r>
    </w:p>
    <w:p w:rsidR="00190E99" w:rsidRDefault="00CD4FBA">
      <w:pPr>
        <w:pStyle w:val="ManualHeading3"/>
        <w:rPr>
          <w:noProof/>
        </w:rPr>
      </w:pPr>
      <w:bookmarkStart w:id="41" w:name="_Toc514938046"/>
      <w:bookmarkStart w:id="42" w:name="_Toc520485045"/>
      <w:r>
        <w:t>2.2.1.</w:t>
      </w:r>
      <w:r>
        <w:tab/>
      </w:r>
      <w:r>
        <w:rPr>
          <w:noProof/>
        </w:rPr>
        <w:t xml:space="preserve">Justification of the management mode(s), the funding implementation mechanism(s), the payment modalities and the control strategy </w:t>
      </w:r>
      <w:r>
        <w:rPr>
          <w:noProof/>
        </w:rPr>
        <w:t>proposed</w:t>
      </w:r>
      <w:bookmarkEnd w:id="41"/>
      <w:bookmarkEnd w:id="42"/>
    </w:p>
    <w:p w:rsidR="00190E99" w:rsidRDefault="00CD4FBA">
      <w:pPr>
        <w:pStyle w:val="Text1"/>
        <w:pBdr>
          <w:top w:val="single" w:sz="4" w:space="1" w:color="auto"/>
          <w:left w:val="single" w:sz="4" w:space="4" w:color="auto"/>
          <w:bottom w:val="single" w:sz="4" w:space="1" w:color="auto"/>
          <w:right w:val="single" w:sz="4" w:space="4" w:color="auto"/>
        </w:pBdr>
        <w:rPr>
          <w:noProof/>
        </w:rPr>
      </w:pPr>
      <w:r>
        <w:t>N/a</w:t>
      </w:r>
    </w:p>
    <w:p w:rsidR="00190E99" w:rsidRDefault="00CD4FBA">
      <w:pPr>
        <w:pStyle w:val="ManualHeading3"/>
        <w:rPr>
          <w:bCs/>
          <w:noProof/>
          <w:szCs w:val="24"/>
        </w:rPr>
      </w:pPr>
      <w:bookmarkStart w:id="43" w:name="_Toc514938047"/>
      <w:bookmarkStart w:id="44" w:name="_Toc520485046"/>
      <w:r>
        <w:t>2.2.2.</w:t>
      </w:r>
      <w:r>
        <w:tab/>
      </w:r>
      <w:r>
        <w:rPr>
          <w:noProof/>
        </w:rPr>
        <w:t>Information concerning the risks identified and the internal control system(s) set up to mitigate them</w:t>
      </w:r>
      <w:bookmarkEnd w:id="43"/>
      <w:bookmarkEnd w:id="44"/>
    </w:p>
    <w:p w:rsidR="00190E99" w:rsidRDefault="00CD4FBA">
      <w:pPr>
        <w:pStyle w:val="Text1"/>
        <w:pBdr>
          <w:top w:val="single" w:sz="4" w:space="1" w:color="auto"/>
          <w:left w:val="single" w:sz="4" w:space="4" w:color="auto"/>
          <w:bottom w:val="single" w:sz="4" w:space="1" w:color="auto"/>
          <w:right w:val="single" w:sz="4" w:space="4" w:color="auto"/>
        </w:pBdr>
      </w:pPr>
      <w:r>
        <w:t>N/a</w:t>
      </w:r>
    </w:p>
    <w:p w:rsidR="00190E99" w:rsidRDefault="00CD4FBA">
      <w:pPr>
        <w:pStyle w:val="ManualHeading3"/>
        <w:rPr>
          <w:noProof/>
        </w:rPr>
      </w:pPr>
      <w:bookmarkStart w:id="45" w:name="_Toc514938048"/>
      <w:bookmarkStart w:id="46" w:name="_Toc520485047"/>
      <w:r>
        <w:t>2.2.3.</w:t>
      </w:r>
      <w:r>
        <w:tab/>
      </w:r>
      <w:r>
        <w:rPr>
          <w:noProof/>
        </w:rPr>
        <w:t>Estimation and justification of the cost-effectiveness of the controls (ratio of "control costs ÷ value of the related fun</w:t>
      </w:r>
      <w:r>
        <w:rPr>
          <w:noProof/>
        </w:rPr>
        <w:t>ds managed"), and assessment of the expected levels of risk of error (at payment &amp; at closure)</w:t>
      </w:r>
      <w:bookmarkEnd w:id="45"/>
      <w:bookmarkEnd w:id="46"/>
      <w:r>
        <w:rPr>
          <w:noProof/>
        </w:rPr>
        <w:t xml:space="preserve"> </w:t>
      </w:r>
    </w:p>
    <w:p w:rsidR="00190E99" w:rsidRDefault="00CD4FBA">
      <w:pPr>
        <w:pStyle w:val="Text1"/>
        <w:pBdr>
          <w:top w:val="single" w:sz="4" w:space="1" w:color="auto"/>
          <w:left w:val="single" w:sz="4" w:space="4" w:color="auto"/>
          <w:bottom w:val="single" w:sz="4" w:space="1" w:color="auto"/>
          <w:right w:val="single" w:sz="4" w:space="4" w:color="auto"/>
        </w:pBdr>
        <w:rPr>
          <w:noProof/>
        </w:rPr>
      </w:pPr>
      <w:r>
        <w:t>N/a</w:t>
      </w:r>
    </w:p>
    <w:p w:rsidR="00190E99" w:rsidRDefault="00CD4FBA">
      <w:pPr>
        <w:pStyle w:val="ManualHeading2"/>
        <w:rPr>
          <w:bCs/>
          <w:noProof/>
          <w:szCs w:val="24"/>
        </w:rPr>
      </w:pPr>
      <w:bookmarkStart w:id="47" w:name="_Toc514938049"/>
      <w:bookmarkStart w:id="48" w:name="_Toc520485048"/>
      <w:r>
        <w:t>2.3.</w:t>
      </w:r>
      <w:r>
        <w:tab/>
      </w:r>
      <w:r>
        <w:rPr>
          <w:noProof/>
        </w:rPr>
        <w:t>Measures to prevent fraud and irregularities</w:t>
      </w:r>
      <w:bookmarkEnd w:id="47"/>
      <w:bookmarkEnd w:id="48"/>
      <w:r>
        <w:rPr>
          <w:noProof/>
        </w:rPr>
        <w:t xml:space="preserve"> </w:t>
      </w:r>
    </w:p>
    <w:p w:rsidR="00190E99" w:rsidRDefault="00CD4FBA">
      <w:pPr>
        <w:pStyle w:val="Text1"/>
        <w:rPr>
          <w:i/>
          <w:noProof/>
          <w:sz w:val="20"/>
        </w:rPr>
      </w:pPr>
      <w:r>
        <w:rPr>
          <w:i/>
          <w:noProof/>
          <w:sz w:val="20"/>
        </w:rPr>
        <w:t>Specify existing or envisaged prevention and protection measures, e.g. from the Anti-Fraud Strategy.</w:t>
      </w:r>
    </w:p>
    <w:p w:rsidR="00190E99" w:rsidRDefault="00190E99">
      <w:pPr>
        <w:pStyle w:val="Text1"/>
        <w:pBdr>
          <w:top w:val="single" w:sz="4" w:space="1" w:color="auto"/>
          <w:left w:val="single" w:sz="4" w:space="4" w:color="auto"/>
          <w:bottom w:val="single" w:sz="4" w:space="1" w:color="auto"/>
          <w:right w:val="single" w:sz="4" w:space="4" w:color="auto"/>
        </w:pBdr>
        <w:rPr>
          <w:noProof/>
        </w:rPr>
      </w:pPr>
    </w:p>
    <w:p w:rsidR="00190E99" w:rsidRDefault="00190E99">
      <w:pPr>
        <w:pStyle w:val="Text1"/>
        <w:pBdr>
          <w:top w:val="single" w:sz="4" w:space="1" w:color="auto"/>
          <w:left w:val="single" w:sz="4" w:space="4" w:color="auto"/>
          <w:bottom w:val="single" w:sz="4" w:space="1" w:color="auto"/>
          <w:right w:val="single" w:sz="4" w:space="4" w:color="auto"/>
        </w:pBdr>
        <w:rPr>
          <w:noProof/>
        </w:rPr>
      </w:pPr>
    </w:p>
    <w:p w:rsidR="00190E99" w:rsidRDefault="00190E99">
      <w:pPr>
        <w:rPr>
          <w:noProof/>
        </w:rPr>
        <w:sectPr w:rsidR="00190E99">
          <w:pgSz w:w="11907" w:h="16840" w:code="9"/>
          <w:pgMar w:top="1134" w:right="1418" w:bottom="1134" w:left="1418" w:header="709" w:footer="709" w:gutter="0"/>
          <w:cols w:space="708"/>
          <w:docGrid w:linePitch="360"/>
        </w:sectPr>
      </w:pPr>
    </w:p>
    <w:p w:rsidR="00190E99" w:rsidRDefault="00CD4FBA">
      <w:pPr>
        <w:pStyle w:val="ManualHeading1"/>
        <w:rPr>
          <w:bCs/>
          <w:noProof/>
          <w:szCs w:val="24"/>
        </w:rPr>
      </w:pPr>
      <w:bookmarkStart w:id="49" w:name="_Toc514938050"/>
      <w:bookmarkStart w:id="50" w:name="_Toc520485049"/>
      <w:r>
        <w:t>3.</w:t>
      </w:r>
      <w:r>
        <w:tab/>
      </w:r>
      <w:r>
        <w:rPr>
          <w:noProof/>
        </w:rPr>
        <w:t>ESTIMATED FINANCIAL IMPACT OF THE PROPOSAL/INITIATIVE</w:t>
      </w:r>
      <w:bookmarkEnd w:id="49"/>
      <w:bookmarkEnd w:id="50"/>
      <w:r>
        <w:rPr>
          <w:noProof/>
        </w:rPr>
        <w:t xml:space="preserve"> </w:t>
      </w:r>
    </w:p>
    <w:p w:rsidR="00190E99" w:rsidRDefault="00CD4FBA">
      <w:pPr>
        <w:pStyle w:val="ManualHeading2"/>
        <w:rPr>
          <w:noProof/>
        </w:rPr>
      </w:pPr>
      <w:bookmarkStart w:id="51" w:name="_Toc514938051"/>
      <w:bookmarkStart w:id="52" w:name="_Toc520485050"/>
      <w:r>
        <w:t>3.1.</w:t>
      </w:r>
      <w:r>
        <w:tab/>
      </w:r>
      <w:r>
        <w:rPr>
          <w:noProof/>
        </w:rPr>
        <w:t>Heading(s) of the multiannual financial framework and expenditure budget line(s) affected</w:t>
      </w:r>
      <w:bookmarkEnd w:id="51"/>
      <w:bookmarkEnd w:id="52"/>
      <w:r>
        <w:rPr>
          <w:noProof/>
        </w:rPr>
        <w:t xml:space="preserve"> </w:t>
      </w:r>
    </w:p>
    <w:p w:rsidR="00190E99" w:rsidRDefault="00CD4FBA">
      <w:pPr>
        <w:pStyle w:val="ListBullet1"/>
        <w:rPr>
          <w:noProof/>
        </w:rPr>
      </w:pPr>
      <w:r>
        <w:rPr>
          <w:noProof/>
        </w:rPr>
        <w:t xml:space="preserve">Existing budget lines </w:t>
      </w:r>
    </w:p>
    <w:p w:rsidR="00190E99" w:rsidRDefault="00CD4FBA">
      <w:pPr>
        <w:pStyle w:val="Text1"/>
        <w:rPr>
          <w:i/>
          <w:noProof/>
        </w:rPr>
      </w:pPr>
      <w:r>
        <w:rPr>
          <w:i/>
          <w:noProof/>
          <w:u w:val="single"/>
        </w:rPr>
        <w:t>In order</w:t>
      </w:r>
      <w:r>
        <w:rPr>
          <w:i/>
          <w:noProof/>
        </w:rPr>
        <w:t xml:space="preserve"> of multiannual financial framework headings a</w:t>
      </w:r>
      <w:r>
        <w:rPr>
          <w:i/>
          <w:noProof/>
        </w:rPr>
        <w:t>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190E99">
        <w:tc>
          <w:tcPr>
            <w:tcW w:w="1080" w:type="dxa"/>
            <w:vMerge w:val="restart"/>
            <w:vAlign w:val="center"/>
          </w:tcPr>
          <w:p w:rsidR="00190E99" w:rsidRDefault="00CD4FBA">
            <w:pPr>
              <w:spacing w:before="60" w:after="60"/>
              <w:jc w:val="center"/>
              <w:rPr>
                <w:noProof/>
              </w:rPr>
            </w:pPr>
            <w:r>
              <w:rPr>
                <w:noProof/>
                <w:sz w:val="18"/>
              </w:rPr>
              <w:t>Heading of multiannual financial framework</w:t>
            </w:r>
          </w:p>
        </w:tc>
        <w:tc>
          <w:tcPr>
            <w:tcW w:w="3960" w:type="dxa"/>
            <w:vAlign w:val="center"/>
          </w:tcPr>
          <w:p w:rsidR="00190E99" w:rsidRDefault="00CD4FBA">
            <w:pPr>
              <w:spacing w:before="60" w:after="60"/>
              <w:jc w:val="center"/>
              <w:rPr>
                <w:noProof/>
              </w:rPr>
            </w:pPr>
            <w:r>
              <w:rPr>
                <w:noProof/>
                <w:sz w:val="20"/>
              </w:rPr>
              <w:t>Budget line</w:t>
            </w:r>
          </w:p>
        </w:tc>
        <w:tc>
          <w:tcPr>
            <w:tcW w:w="1080" w:type="dxa"/>
            <w:vAlign w:val="center"/>
          </w:tcPr>
          <w:p w:rsidR="00190E99" w:rsidRDefault="00CD4FBA">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rsidR="00190E99" w:rsidRDefault="00CD4FBA">
            <w:pPr>
              <w:spacing w:before="60" w:after="60"/>
              <w:jc w:val="center"/>
              <w:rPr>
                <w:noProof/>
              </w:rPr>
            </w:pPr>
            <w:r>
              <w:rPr>
                <w:noProof/>
                <w:sz w:val="20"/>
              </w:rPr>
              <w:t xml:space="preserve">Contribution </w:t>
            </w:r>
          </w:p>
        </w:tc>
      </w:tr>
      <w:tr w:rsidR="00190E99">
        <w:tc>
          <w:tcPr>
            <w:tcW w:w="1080" w:type="dxa"/>
            <w:vMerge/>
            <w:vAlign w:val="center"/>
          </w:tcPr>
          <w:p w:rsidR="00190E99" w:rsidRDefault="00190E99">
            <w:pPr>
              <w:jc w:val="center"/>
              <w:rPr>
                <w:noProof/>
              </w:rPr>
            </w:pPr>
          </w:p>
        </w:tc>
        <w:tc>
          <w:tcPr>
            <w:tcW w:w="3960" w:type="dxa"/>
            <w:vAlign w:val="center"/>
          </w:tcPr>
          <w:p w:rsidR="00190E99" w:rsidRDefault="00CD4FBA">
            <w:pPr>
              <w:rPr>
                <w:noProof/>
              </w:rPr>
            </w:pPr>
            <w:r>
              <w:rPr>
                <w:noProof/>
                <w:sz w:val="20"/>
              </w:rPr>
              <w:t xml:space="preserve">Number </w:t>
            </w:r>
            <w:r>
              <w:rPr>
                <w:noProof/>
                <w:sz w:val="22"/>
              </w:rPr>
              <w:br/>
            </w:r>
            <w:r>
              <w:rPr>
                <w:noProof/>
                <w:sz w:val="20"/>
              </w:rPr>
              <w:t>5</w:t>
            </w:r>
            <w:r>
              <w:rPr>
                <w:noProof/>
              </w:rPr>
              <w:br/>
            </w:r>
            <w:r>
              <w:rPr>
                <w:noProof/>
                <w:sz w:val="20"/>
              </w:rPr>
              <w:t>[Heading Administration]</w:t>
            </w:r>
          </w:p>
        </w:tc>
        <w:tc>
          <w:tcPr>
            <w:tcW w:w="1080" w:type="dxa"/>
            <w:vAlign w:val="center"/>
          </w:tcPr>
          <w:p w:rsidR="00190E99" w:rsidRDefault="00CD4FBA">
            <w:pPr>
              <w:jc w:val="center"/>
              <w:rPr>
                <w:noProof/>
              </w:rPr>
            </w:pPr>
            <w:r>
              <w:rPr>
                <w:noProof/>
                <w:sz w:val="18"/>
              </w:rPr>
              <w:t>Diff./Non-diff.</w:t>
            </w:r>
            <w:r>
              <w:rPr>
                <w:rStyle w:val="FootnoteReference"/>
                <w:noProof/>
                <w:sz w:val="18"/>
              </w:rPr>
              <w:footnoteReference w:id="5"/>
            </w:r>
          </w:p>
        </w:tc>
        <w:tc>
          <w:tcPr>
            <w:tcW w:w="956" w:type="dxa"/>
            <w:vAlign w:val="center"/>
          </w:tcPr>
          <w:p w:rsidR="00190E99" w:rsidRDefault="00CD4FBA">
            <w:pPr>
              <w:jc w:val="center"/>
              <w:rPr>
                <w:noProof/>
              </w:rPr>
            </w:pPr>
            <w:r>
              <w:rPr>
                <w:noProof/>
                <w:sz w:val="18"/>
              </w:rPr>
              <w:t>from EFTA countries</w:t>
            </w:r>
            <w:r>
              <w:rPr>
                <w:rStyle w:val="FootnoteReference"/>
                <w:noProof/>
                <w:sz w:val="18"/>
              </w:rPr>
              <w:footnoteReference w:id="6"/>
            </w:r>
          </w:p>
          <w:p w:rsidR="00190E99" w:rsidRDefault="00190E99">
            <w:pPr>
              <w:spacing w:before="0" w:after="0"/>
              <w:jc w:val="center"/>
              <w:rPr>
                <w:b/>
                <w:noProof/>
                <w:sz w:val="18"/>
              </w:rPr>
            </w:pPr>
          </w:p>
        </w:tc>
        <w:tc>
          <w:tcPr>
            <w:tcW w:w="1080" w:type="dxa"/>
            <w:vAlign w:val="center"/>
          </w:tcPr>
          <w:p w:rsidR="00190E99" w:rsidRDefault="00CD4FBA">
            <w:pPr>
              <w:jc w:val="center"/>
              <w:rPr>
                <w:noProof/>
              </w:rPr>
            </w:pPr>
            <w:r>
              <w:rPr>
                <w:noProof/>
                <w:sz w:val="18"/>
              </w:rPr>
              <w:t>from candidate countries</w:t>
            </w:r>
            <w:r>
              <w:rPr>
                <w:rStyle w:val="FootnoteReference"/>
                <w:noProof/>
                <w:sz w:val="18"/>
              </w:rPr>
              <w:footnoteReference w:id="7"/>
            </w:r>
          </w:p>
          <w:p w:rsidR="00190E99" w:rsidRDefault="00190E99">
            <w:pPr>
              <w:spacing w:before="0" w:after="0"/>
              <w:jc w:val="center"/>
              <w:rPr>
                <w:noProof/>
                <w:sz w:val="18"/>
              </w:rPr>
            </w:pPr>
          </w:p>
        </w:tc>
        <w:tc>
          <w:tcPr>
            <w:tcW w:w="956" w:type="dxa"/>
            <w:vAlign w:val="center"/>
          </w:tcPr>
          <w:p w:rsidR="00190E99" w:rsidRDefault="00CD4FBA">
            <w:pPr>
              <w:jc w:val="center"/>
              <w:rPr>
                <w:noProof/>
                <w:sz w:val="18"/>
              </w:rPr>
            </w:pPr>
            <w:r>
              <w:rPr>
                <w:noProof/>
                <w:sz w:val="18"/>
              </w:rPr>
              <w:t>from third countries</w:t>
            </w:r>
          </w:p>
        </w:tc>
        <w:tc>
          <w:tcPr>
            <w:tcW w:w="1448" w:type="dxa"/>
            <w:vAlign w:val="center"/>
          </w:tcPr>
          <w:p w:rsidR="00190E99" w:rsidRDefault="00CD4FBA">
            <w:pPr>
              <w:jc w:val="center"/>
              <w:rPr>
                <w:noProof/>
              </w:rPr>
            </w:pPr>
            <w:r>
              <w:rPr>
                <w:noProof/>
                <w:sz w:val="16"/>
              </w:rPr>
              <w:t xml:space="preserve">within the meaning of Article 21(2)(b) of the Financial Regulation </w:t>
            </w:r>
          </w:p>
        </w:tc>
      </w:tr>
      <w:tr w:rsidR="00190E99">
        <w:tc>
          <w:tcPr>
            <w:tcW w:w="1080" w:type="dxa"/>
            <w:vAlign w:val="center"/>
          </w:tcPr>
          <w:p w:rsidR="00190E99" w:rsidRDefault="00190E99">
            <w:pPr>
              <w:jc w:val="center"/>
              <w:rPr>
                <w:noProof/>
                <w:color w:val="0000FF"/>
              </w:rPr>
            </w:pPr>
          </w:p>
        </w:tc>
        <w:tc>
          <w:tcPr>
            <w:tcW w:w="3960" w:type="dxa"/>
            <w:vAlign w:val="center"/>
          </w:tcPr>
          <w:p w:rsidR="00190E99" w:rsidRDefault="00CD4FBA">
            <w:pPr>
              <w:spacing w:before="60"/>
              <w:rPr>
                <w:noProof/>
              </w:rPr>
            </w:pPr>
            <w:r>
              <w:rPr>
                <w:noProof/>
              </w:rPr>
              <w:t>XX 01 01 01 Expenditure related to officials and temporary staff working with the Institution.</w:t>
            </w:r>
          </w:p>
        </w:tc>
        <w:tc>
          <w:tcPr>
            <w:tcW w:w="1080" w:type="dxa"/>
            <w:vAlign w:val="center"/>
          </w:tcPr>
          <w:p w:rsidR="00190E99" w:rsidRDefault="00CD4FBA">
            <w:pPr>
              <w:jc w:val="center"/>
              <w:rPr>
                <w:noProof/>
              </w:rPr>
            </w:pPr>
            <w:r>
              <w:rPr>
                <w:noProof/>
              </w:rPr>
              <w:t>Non-diff.</w:t>
            </w:r>
          </w:p>
        </w:tc>
        <w:tc>
          <w:tcPr>
            <w:tcW w:w="956" w:type="dxa"/>
            <w:vAlign w:val="center"/>
          </w:tcPr>
          <w:p w:rsidR="00190E99" w:rsidRDefault="00CD4FBA">
            <w:pPr>
              <w:jc w:val="center"/>
              <w:rPr>
                <w:noProof/>
              </w:rPr>
            </w:pPr>
            <w:r>
              <w:rPr>
                <w:noProof/>
              </w:rPr>
              <w:t>NO</w:t>
            </w:r>
          </w:p>
        </w:tc>
        <w:tc>
          <w:tcPr>
            <w:tcW w:w="1080" w:type="dxa"/>
            <w:vAlign w:val="center"/>
          </w:tcPr>
          <w:p w:rsidR="00190E99" w:rsidRDefault="00CD4FBA">
            <w:pPr>
              <w:jc w:val="center"/>
              <w:rPr>
                <w:noProof/>
              </w:rPr>
            </w:pPr>
            <w:r>
              <w:rPr>
                <w:noProof/>
              </w:rPr>
              <w:t>NO</w:t>
            </w:r>
          </w:p>
        </w:tc>
        <w:tc>
          <w:tcPr>
            <w:tcW w:w="956" w:type="dxa"/>
            <w:vAlign w:val="center"/>
          </w:tcPr>
          <w:p w:rsidR="00190E99" w:rsidRDefault="00CD4FBA">
            <w:pPr>
              <w:jc w:val="center"/>
              <w:rPr>
                <w:noProof/>
              </w:rPr>
            </w:pPr>
            <w:r>
              <w:rPr>
                <w:noProof/>
              </w:rPr>
              <w:t>NO</w:t>
            </w:r>
          </w:p>
        </w:tc>
        <w:tc>
          <w:tcPr>
            <w:tcW w:w="1448" w:type="dxa"/>
            <w:vAlign w:val="center"/>
          </w:tcPr>
          <w:p w:rsidR="00190E99" w:rsidRDefault="00CD4FBA">
            <w:pPr>
              <w:jc w:val="center"/>
              <w:rPr>
                <w:noProof/>
              </w:rPr>
            </w:pPr>
            <w:r>
              <w:rPr>
                <w:noProof/>
              </w:rPr>
              <w:t>NO</w:t>
            </w:r>
          </w:p>
        </w:tc>
      </w:tr>
      <w:tr w:rsidR="00190E99">
        <w:tc>
          <w:tcPr>
            <w:tcW w:w="1080" w:type="dxa"/>
            <w:vAlign w:val="center"/>
          </w:tcPr>
          <w:p w:rsidR="00190E99" w:rsidRDefault="00190E99">
            <w:pPr>
              <w:jc w:val="center"/>
              <w:rPr>
                <w:noProof/>
                <w:color w:val="0000FF"/>
              </w:rPr>
            </w:pPr>
          </w:p>
        </w:tc>
        <w:tc>
          <w:tcPr>
            <w:tcW w:w="3960" w:type="dxa"/>
            <w:vAlign w:val="center"/>
          </w:tcPr>
          <w:p w:rsidR="00190E99" w:rsidRDefault="00CD4FBA">
            <w:pPr>
              <w:spacing w:before="60"/>
            </w:pPr>
            <w:r>
              <w:rPr>
                <w:noProof/>
              </w:rPr>
              <w:t>XX 01 02 11 01 Mission and representation expenses</w:t>
            </w:r>
          </w:p>
        </w:tc>
        <w:tc>
          <w:tcPr>
            <w:tcW w:w="1080" w:type="dxa"/>
            <w:vAlign w:val="center"/>
          </w:tcPr>
          <w:p w:rsidR="00190E99" w:rsidRDefault="00CD4FBA">
            <w:pPr>
              <w:jc w:val="center"/>
              <w:rPr>
                <w:noProof/>
              </w:rPr>
            </w:pPr>
            <w:r>
              <w:rPr>
                <w:noProof/>
              </w:rPr>
              <w:t>Non-diff.</w:t>
            </w:r>
          </w:p>
        </w:tc>
        <w:tc>
          <w:tcPr>
            <w:tcW w:w="956" w:type="dxa"/>
            <w:vAlign w:val="center"/>
          </w:tcPr>
          <w:p w:rsidR="00190E99" w:rsidRDefault="00CD4FBA">
            <w:pPr>
              <w:jc w:val="center"/>
              <w:rPr>
                <w:noProof/>
              </w:rPr>
            </w:pPr>
            <w:r>
              <w:rPr>
                <w:noProof/>
              </w:rPr>
              <w:t>NO</w:t>
            </w:r>
          </w:p>
        </w:tc>
        <w:tc>
          <w:tcPr>
            <w:tcW w:w="1080" w:type="dxa"/>
            <w:vAlign w:val="center"/>
          </w:tcPr>
          <w:p w:rsidR="00190E99" w:rsidRDefault="00CD4FBA">
            <w:pPr>
              <w:jc w:val="center"/>
              <w:rPr>
                <w:noProof/>
              </w:rPr>
            </w:pPr>
            <w:r>
              <w:rPr>
                <w:noProof/>
              </w:rPr>
              <w:t>NO</w:t>
            </w:r>
          </w:p>
        </w:tc>
        <w:tc>
          <w:tcPr>
            <w:tcW w:w="956" w:type="dxa"/>
            <w:vAlign w:val="center"/>
          </w:tcPr>
          <w:p w:rsidR="00190E99" w:rsidRDefault="00CD4FBA">
            <w:pPr>
              <w:jc w:val="center"/>
              <w:rPr>
                <w:noProof/>
              </w:rPr>
            </w:pPr>
            <w:r>
              <w:rPr>
                <w:noProof/>
              </w:rPr>
              <w:t>NO</w:t>
            </w:r>
          </w:p>
        </w:tc>
        <w:tc>
          <w:tcPr>
            <w:tcW w:w="1448" w:type="dxa"/>
            <w:vAlign w:val="center"/>
          </w:tcPr>
          <w:p w:rsidR="00190E99" w:rsidRDefault="00CD4FBA">
            <w:pPr>
              <w:jc w:val="center"/>
              <w:rPr>
                <w:noProof/>
              </w:rPr>
            </w:pPr>
            <w:r>
              <w:rPr>
                <w:noProof/>
              </w:rPr>
              <w:t>NO</w:t>
            </w:r>
          </w:p>
        </w:tc>
      </w:tr>
    </w:tbl>
    <w:p w:rsidR="00190E99" w:rsidRDefault="00CD4FBA">
      <w:pPr>
        <w:pStyle w:val="ListBullet1"/>
        <w:rPr>
          <w:noProof/>
        </w:rPr>
      </w:pPr>
      <w:r>
        <w:rPr>
          <w:noProof/>
        </w:rPr>
        <w:t xml:space="preserve">New budget lines requested </w:t>
      </w:r>
    </w:p>
    <w:p w:rsidR="00190E99" w:rsidRDefault="00CD4FBA">
      <w:pPr>
        <w:pStyle w:val="Text1"/>
        <w:rPr>
          <w:i/>
          <w:noProof/>
          <w:sz w:val="20"/>
        </w:rPr>
      </w:pPr>
      <w:r>
        <w:rPr>
          <w:i/>
          <w:noProof/>
          <w:u w:val="single"/>
        </w:rPr>
        <w:t>In order</w:t>
      </w:r>
      <w:r>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190E99">
        <w:tc>
          <w:tcPr>
            <w:tcW w:w="1080" w:type="dxa"/>
            <w:vMerge w:val="restart"/>
            <w:vAlign w:val="center"/>
          </w:tcPr>
          <w:p w:rsidR="00190E99" w:rsidRDefault="00CD4FBA">
            <w:pPr>
              <w:spacing w:before="60" w:after="60"/>
              <w:jc w:val="center"/>
              <w:rPr>
                <w:noProof/>
                <w:sz w:val="18"/>
                <w:szCs w:val="18"/>
              </w:rPr>
            </w:pPr>
            <w:r>
              <w:rPr>
                <w:noProof/>
                <w:sz w:val="18"/>
              </w:rPr>
              <w:t>Heading of multiannual financial framework</w:t>
            </w:r>
          </w:p>
        </w:tc>
        <w:tc>
          <w:tcPr>
            <w:tcW w:w="3960" w:type="dxa"/>
            <w:vAlign w:val="center"/>
          </w:tcPr>
          <w:p w:rsidR="00190E99" w:rsidRDefault="00CD4FBA">
            <w:pPr>
              <w:spacing w:before="60" w:after="60"/>
              <w:jc w:val="center"/>
              <w:rPr>
                <w:noProof/>
              </w:rPr>
            </w:pPr>
            <w:r>
              <w:rPr>
                <w:noProof/>
                <w:sz w:val="20"/>
              </w:rPr>
              <w:t>Budget line</w:t>
            </w:r>
          </w:p>
        </w:tc>
        <w:tc>
          <w:tcPr>
            <w:tcW w:w="1080" w:type="dxa"/>
            <w:vAlign w:val="center"/>
          </w:tcPr>
          <w:p w:rsidR="00190E99" w:rsidRDefault="00CD4FBA">
            <w:pPr>
              <w:spacing w:before="60" w:after="60"/>
              <w:jc w:val="center"/>
              <w:rPr>
                <w:noProof/>
              </w:rPr>
            </w:pPr>
            <w:r>
              <w:rPr>
                <w:noProof/>
                <w:sz w:val="18"/>
              </w:rPr>
              <w:t>Type of</w:t>
            </w:r>
            <w:r>
              <w:rPr>
                <w:noProof/>
                <w:sz w:val="22"/>
              </w:rPr>
              <w:br/>
            </w:r>
            <w:r>
              <w:rPr>
                <w:noProof/>
                <w:sz w:val="18"/>
              </w:rPr>
              <w:t>expenditure</w:t>
            </w:r>
          </w:p>
        </w:tc>
        <w:tc>
          <w:tcPr>
            <w:tcW w:w="4440" w:type="dxa"/>
            <w:gridSpan w:val="4"/>
            <w:vAlign w:val="center"/>
          </w:tcPr>
          <w:p w:rsidR="00190E99" w:rsidRDefault="00CD4FBA">
            <w:pPr>
              <w:spacing w:before="60" w:after="60"/>
              <w:jc w:val="center"/>
              <w:rPr>
                <w:noProof/>
              </w:rPr>
            </w:pPr>
            <w:r>
              <w:rPr>
                <w:noProof/>
                <w:sz w:val="20"/>
              </w:rPr>
              <w:t xml:space="preserve">Contribution </w:t>
            </w:r>
          </w:p>
        </w:tc>
      </w:tr>
      <w:tr w:rsidR="00190E99">
        <w:tc>
          <w:tcPr>
            <w:tcW w:w="1080" w:type="dxa"/>
            <w:vMerge/>
            <w:vAlign w:val="center"/>
          </w:tcPr>
          <w:p w:rsidR="00190E99" w:rsidRDefault="00190E99">
            <w:pPr>
              <w:jc w:val="center"/>
              <w:rPr>
                <w:noProof/>
              </w:rPr>
            </w:pPr>
          </w:p>
        </w:tc>
        <w:tc>
          <w:tcPr>
            <w:tcW w:w="3960" w:type="dxa"/>
            <w:vAlign w:val="center"/>
          </w:tcPr>
          <w:p w:rsidR="00190E99" w:rsidRDefault="00CD4FBA">
            <w:pPr>
              <w:rPr>
                <w:noProof/>
              </w:rPr>
            </w:pPr>
            <w:r>
              <w:rPr>
                <w:noProof/>
                <w:sz w:val="20"/>
              </w:rPr>
              <w:t xml:space="preserve">Number </w:t>
            </w:r>
            <w:r>
              <w:rPr>
                <w:noProof/>
              </w:rPr>
              <w:br/>
              <w:t>[…]</w:t>
            </w:r>
            <w:r>
              <w:rPr>
                <w:noProof/>
                <w:sz w:val="20"/>
              </w:rPr>
              <w:t>[Heading………………………………………]</w:t>
            </w:r>
          </w:p>
        </w:tc>
        <w:tc>
          <w:tcPr>
            <w:tcW w:w="1080" w:type="dxa"/>
            <w:vAlign w:val="center"/>
          </w:tcPr>
          <w:p w:rsidR="00190E99" w:rsidRDefault="00CD4FBA">
            <w:pPr>
              <w:jc w:val="center"/>
              <w:rPr>
                <w:noProof/>
              </w:rPr>
            </w:pPr>
            <w:r>
              <w:rPr>
                <w:noProof/>
                <w:sz w:val="18"/>
              </w:rPr>
              <w:t>Diff./Non-diff.</w:t>
            </w:r>
          </w:p>
        </w:tc>
        <w:tc>
          <w:tcPr>
            <w:tcW w:w="956" w:type="dxa"/>
            <w:vAlign w:val="center"/>
          </w:tcPr>
          <w:p w:rsidR="00190E99" w:rsidRDefault="00CD4FBA">
            <w:pPr>
              <w:jc w:val="center"/>
              <w:rPr>
                <w:noProof/>
                <w:sz w:val="18"/>
              </w:rPr>
            </w:pPr>
            <w:r>
              <w:rPr>
                <w:noProof/>
                <w:sz w:val="18"/>
              </w:rPr>
              <w:t xml:space="preserve">from </w:t>
            </w:r>
            <w:r>
              <w:rPr>
                <w:noProof/>
                <w:sz w:val="18"/>
              </w:rPr>
              <w:t>EFTA countries</w:t>
            </w:r>
          </w:p>
        </w:tc>
        <w:tc>
          <w:tcPr>
            <w:tcW w:w="1080" w:type="dxa"/>
            <w:vAlign w:val="center"/>
          </w:tcPr>
          <w:p w:rsidR="00190E99" w:rsidRDefault="00CD4FBA">
            <w:pPr>
              <w:jc w:val="center"/>
              <w:rPr>
                <w:noProof/>
                <w:sz w:val="18"/>
              </w:rPr>
            </w:pPr>
            <w:r>
              <w:rPr>
                <w:noProof/>
                <w:sz w:val="18"/>
              </w:rPr>
              <w:t>from candidate countries</w:t>
            </w:r>
          </w:p>
        </w:tc>
        <w:tc>
          <w:tcPr>
            <w:tcW w:w="956" w:type="dxa"/>
            <w:vAlign w:val="center"/>
          </w:tcPr>
          <w:p w:rsidR="00190E99" w:rsidRDefault="00CD4FBA">
            <w:pPr>
              <w:jc w:val="center"/>
              <w:rPr>
                <w:noProof/>
                <w:sz w:val="18"/>
              </w:rPr>
            </w:pPr>
            <w:r>
              <w:rPr>
                <w:noProof/>
                <w:sz w:val="18"/>
              </w:rPr>
              <w:t>from third countries</w:t>
            </w:r>
          </w:p>
        </w:tc>
        <w:tc>
          <w:tcPr>
            <w:tcW w:w="1448" w:type="dxa"/>
            <w:vAlign w:val="center"/>
          </w:tcPr>
          <w:p w:rsidR="00190E99" w:rsidRDefault="00CD4FBA">
            <w:pPr>
              <w:jc w:val="center"/>
              <w:rPr>
                <w:noProof/>
              </w:rPr>
            </w:pPr>
            <w:r>
              <w:rPr>
                <w:noProof/>
                <w:sz w:val="16"/>
              </w:rPr>
              <w:t xml:space="preserve">within the meaning of Article 21(2)(b) of the Financial Regulation </w:t>
            </w:r>
          </w:p>
        </w:tc>
      </w:tr>
      <w:tr w:rsidR="00190E99">
        <w:tc>
          <w:tcPr>
            <w:tcW w:w="1080" w:type="dxa"/>
            <w:vAlign w:val="center"/>
          </w:tcPr>
          <w:p w:rsidR="00190E99" w:rsidRDefault="00190E99">
            <w:pPr>
              <w:jc w:val="center"/>
              <w:rPr>
                <w:noProof/>
                <w:color w:val="0000FF"/>
              </w:rPr>
            </w:pPr>
          </w:p>
        </w:tc>
        <w:tc>
          <w:tcPr>
            <w:tcW w:w="3960" w:type="dxa"/>
            <w:vAlign w:val="center"/>
          </w:tcPr>
          <w:p w:rsidR="00190E99" w:rsidRDefault="00CD4FBA">
            <w:pPr>
              <w:spacing w:before="60"/>
              <w:rPr>
                <w:noProof/>
              </w:rPr>
            </w:pPr>
            <w:r>
              <w:rPr>
                <w:noProof/>
              </w:rPr>
              <w:t>[…][XX.YY.YY.YY]</w:t>
            </w:r>
          </w:p>
          <w:p w:rsidR="00190E99" w:rsidRDefault="00190E99">
            <w:pPr>
              <w:spacing w:after="60"/>
              <w:rPr>
                <w:noProof/>
              </w:rPr>
            </w:pPr>
          </w:p>
        </w:tc>
        <w:tc>
          <w:tcPr>
            <w:tcW w:w="1080" w:type="dxa"/>
            <w:vAlign w:val="center"/>
          </w:tcPr>
          <w:p w:rsidR="00190E99" w:rsidRDefault="00190E99">
            <w:pPr>
              <w:jc w:val="center"/>
              <w:rPr>
                <w:noProof/>
              </w:rPr>
            </w:pPr>
          </w:p>
        </w:tc>
        <w:tc>
          <w:tcPr>
            <w:tcW w:w="956" w:type="dxa"/>
            <w:vAlign w:val="center"/>
          </w:tcPr>
          <w:p w:rsidR="00190E99" w:rsidRDefault="00CD4FBA">
            <w:pPr>
              <w:jc w:val="center"/>
              <w:rPr>
                <w:noProof/>
              </w:rPr>
            </w:pPr>
            <w:r>
              <w:rPr>
                <w:noProof/>
              </w:rPr>
              <w:t>YES/NO</w:t>
            </w:r>
          </w:p>
        </w:tc>
        <w:tc>
          <w:tcPr>
            <w:tcW w:w="1080" w:type="dxa"/>
            <w:vAlign w:val="center"/>
          </w:tcPr>
          <w:p w:rsidR="00190E99" w:rsidRDefault="00CD4FBA">
            <w:pPr>
              <w:jc w:val="center"/>
              <w:rPr>
                <w:noProof/>
                <w:sz w:val="18"/>
              </w:rPr>
            </w:pPr>
            <w:r>
              <w:rPr>
                <w:noProof/>
              </w:rPr>
              <w:t>YES/NO</w:t>
            </w:r>
          </w:p>
        </w:tc>
        <w:tc>
          <w:tcPr>
            <w:tcW w:w="956" w:type="dxa"/>
            <w:vAlign w:val="center"/>
          </w:tcPr>
          <w:p w:rsidR="00190E99" w:rsidRDefault="00CD4FBA">
            <w:pPr>
              <w:jc w:val="center"/>
              <w:rPr>
                <w:noProof/>
                <w:sz w:val="18"/>
              </w:rPr>
            </w:pPr>
            <w:r>
              <w:rPr>
                <w:noProof/>
              </w:rPr>
              <w:t>YES/NO</w:t>
            </w:r>
          </w:p>
        </w:tc>
        <w:tc>
          <w:tcPr>
            <w:tcW w:w="1448" w:type="dxa"/>
            <w:vAlign w:val="center"/>
          </w:tcPr>
          <w:p w:rsidR="00190E99" w:rsidRDefault="00CD4FBA">
            <w:pPr>
              <w:jc w:val="center"/>
              <w:rPr>
                <w:noProof/>
              </w:rPr>
            </w:pPr>
            <w:r>
              <w:rPr>
                <w:noProof/>
              </w:rPr>
              <w:t>YES/NO</w:t>
            </w:r>
          </w:p>
        </w:tc>
      </w:tr>
    </w:tbl>
    <w:p w:rsidR="00190E99" w:rsidRDefault="00190E99">
      <w:pPr>
        <w:rPr>
          <w:noProof/>
        </w:rPr>
        <w:sectPr w:rsidR="00190E99">
          <w:pgSz w:w="11907" w:h="16840" w:code="1"/>
          <w:pgMar w:top="1134" w:right="1418" w:bottom="1134" w:left="1418" w:header="709" w:footer="709" w:gutter="0"/>
          <w:cols w:space="708"/>
          <w:docGrid w:linePitch="360"/>
        </w:sectPr>
      </w:pPr>
    </w:p>
    <w:p w:rsidR="00190E99" w:rsidRDefault="00CD4FBA">
      <w:pPr>
        <w:pStyle w:val="ManualHeading2"/>
        <w:rPr>
          <w:bCs/>
          <w:noProof/>
          <w:szCs w:val="24"/>
        </w:rPr>
      </w:pPr>
      <w:bookmarkStart w:id="53" w:name="_Toc514938052"/>
      <w:bookmarkStart w:id="54" w:name="_Toc520485051"/>
      <w:r>
        <w:t>3.2.</w:t>
      </w:r>
      <w:r>
        <w:tab/>
      </w:r>
      <w:r>
        <w:rPr>
          <w:noProof/>
        </w:rPr>
        <w:t xml:space="preserve">Estimated financial impact of the proposal on </w:t>
      </w:r>
      <w:r>
        <w:rPr>
          <w:noProof/>
        </w:rPr>
        <w:t>appropriations</w:t>
      </w:r>
      <w:bookmarkEnd w:id="53"/>
      <w:bookmarkEnd w:id="54"/>
      <w:r>
        <w:rPr>
          <w:noProof/>
        </w:rPr>
        <w:t xml:space="preserve"> </w:t>
      </w:r>
    </w:p>
    <w:p w:rsidR="00190E99" w:rsidRDefault="00CD4FBA">
      <w:pPr>
        <w:pStyle w:val="ManualHeading3"/>
        <w:rPr>
          <w:noProof/>
        </w:rPr>
      </w:pPr>
      <w:bookmarkStart w:id="55" w:name="_Toc514938053"/>
      <w:bookmarkStart w:id="56" w:name="_Toc520485052"/>
      <w:r>
        <w:t>3.2.1.</w:t>
      </w:r>
      <w:r>
        <w:tab/>
      </w:r>
      <w:r>
        <w:rPr>
          <w:noProof/>
        </w:rPr>
        <w:t>Summary of estimated impact on operational appropriations</w:t>
      </w:r>
      <w:bookmarkEnd w:id="55"/>
      <w:bookmarkEnd w:id="56"/>
      <w:r>
        <w:rPr>
          <w:noProof/>
        </w:rPr>
        <w:t xml:space="preserve"> </w:t>
      </w:r>
    </w:p>
    <w:p w:rsidR="00190E99" w:rsidRDefault="00CD4FBA">
      <w:pPr>
        <w:pStyle w:val="ListDash1"/>
        <w:rPr>
          <w:noProof/>
        </w:rPr>
      </w:pPr>
      <w:r>
        <w:rPr>
          <w:noProof/>
        </w:rPr>
        <w:sym w:font="Wingdings" w:char="F0A8"/>
      </w:r>
      <w:r>
        <w:rPr>
          <w:noProof/>
        </w:rPr>
        <w:tab/>
        <w:t xml:space="preserve">The proposal/initiative does not require the use of operational appropriations </w:t>
      </w:r>
    </w:p>
    <w:p w:rsidR="00190E99" w:rsidRDefault="00CD4FBA">
      <w:pPr>
        <w:pStyle w:val="ListDash1"/>
        <w:rPr>
          <w:noProof/>
        </w:rPr>
      </w:pPr>
      <w:r>
        <w:rPr>
          <w:noProof/>
        </w:rPr>
        <w:sym w:font="Wingdings" w:char="F0A8"/>
      </w:r>
      <w:r>
        <w:rPr>
          <w:noProof/>
        </w:rPr>
        <w:tab/>
        <w:t>The proposal/initiative requires the use of operational appropriations, as explained below</w:t>
      </w:r>
      <w:r>
        <w:rPr>
          <w:noProof/>
        </w:rPr>
        <w:t>:</w:t>
      </w:r>
    </w:p>
    <w:p w:rsidR="00190E99" w:rsidRDefault="00CD4FBA">
      <w:pPr>
        <w:jc w:val="right"/>
        <w:rPr>
          <w:noProof/>
          <w:sz w:val="18"/>
          <w:szCs w:val="18"/>
        </w:rPr>
      </w:pPr>
      <w:r>
        <w:rPr>
          <w:noProof/>
          <w:sz w:val="18"/>
          <w:szCs w:val="18"/>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90E99">
        <w:trPr>
          <w:jc w:val="center"/>
        </w:trPr>
        <w:tc>
          <w:tcPr>
            <w:tcW w:w="4744" w:type="dxa"/>
            <w:shd w:val="thinDiagStripe" w:color="C0C0C0" w:fill="auto"/>
            <w:vAlign w:val="center"/>
          </w:tcPr>
          <w:p w:rsidR="00190E99" w:rsidRDefault="00CD4FBA">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rsidR="00190E99" w:rsidRDefault="00CD4FBA">
            <w:pPr>
              <w:spacing w:before="60" w:after="60"/>
              <w:jc w:val="center"/>
              <w:rPr>
                <w:noProof/>
              </w:rPr>
            </w:pPr>
            <w:r>
              <w:rPr>
                <w:noProof/>
                <w:sz w:val="22"/>
              </w:rPr>
              <w:t>Number</w:t>
            </w:r>
          </w:p>
        </w:tc>
        <w:tc>
          <w:tcPr>
            <w:tcW w:w="7817" w:type="dxa"/>
            <w:vAlign w:val="center"/>
          </w:tcPr>
          <w:p w:rsidR="00190E99" w:rsidRDefault="00190E99">
            <w:pPr>
              <w:spacing w:before="60" w:after="60"/>
              <w:rPr>
                <w:noProof/>
              </w:rPr>
            </w:pPr>
          </w:p>
        </w:tc>
      </w:tr>
    </w:tbl>
    <w:p w:rsidR="00190E99" w:rsidRDefault="00190E99">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190E99">
        <w:tc>
          <w:tcPr>
            <w:tcW w:w="3960" w:type="dxa"/>
            <w:vAlign w:val="center"/>
          </w:tcPr>
          <w:p w:rsidR="00190E99" w:rsidRDefault="00CD4FBA">
            <w:pPr>
              <w:jc w:val="center"/>
              <w:rPr>
                <w:noProof/>
              </w:rPr>
            </w:pPr>
            <w:r>
              <w:rPr>
                <w:noProof/>
                <w:sz w:val="22"/>
              </w:rPr>
              <w:t>DG: &lt;…….&gt;</w:t>
            </w:r>
          </w:p>
        </w:tc>
        <w:tc>
          <w:tcPr>
            <w:tcW w:w="1560" w:type="dxa"/>
            <w:gridSpan w:val="2"/>
          </w:tcPr>
          <w:p w:rsidR="00190E99" w:rsidRDefault="00190E99">
            <w:pPr>
              <w:rPr>
                <w:noProof/>
                <w:sz w:val="20"/>
              </w:rPr>
            </w:pPr>
          </w:p>
        </w:tc>
        <w:tc>
          <w:tcPr>
            <w:tcW w:w="534" w:type="dxa"/>
          </w:tcPr>
          <w:p w:rsidR="00190E99" w:rsidRDefault="00190E99">
            <w:pPr>
              <w:jc w:val="center"/>
              <w:rPr>
                <w:noProof/>
                <w:sz w:val="20"/>
              </w:rPr>
            </w:pPr>
          </w:p>
        </w:tc>
        <w:tc>
          <w:tcPr>
            <w:tcW w:w="868" w:type="dxa"/>
            <w:vAlign w:val="center"/>
          </w:tcPr>
          <w:p w:rsidR="00190E99" w:rsidRDefault="00CD4FBA">
            <w:pPr>
              <w:jc w:val="center"/>
              <w:rPr>
                <w:noProof/>
                <w:sz w:val="20"/>
              </w:rPr>
            </w:pPr>
            <w:r>
              <w:rPr>
                <w:noProof/>
                <w:sz w:val="20"/>
              </w:rPr>
              <w:t>Year</w:t>
            </w:r>
            <w:r>
              <w:rPr>
                <w:noProof/>
                <w:sz w:val="22"/>
              </w:rPr>
              <w:br/>
            </w:r>
            <w:r>
              <w:rPr>
                <w:b/>
                <w:noProof/>
                <w:sz w:val="20"/>
              </w:rPr>
              <w:t>N</w:t>
            </w:r>
            <w:r>
              <w:rPr>
                <w:rStyle w:val="FootnoteReference"/>
                <w:b/>
                <w:noProof/>
                <w:sz w:val="20"/>
              </w:rPr>
              <w:footnoteReference w:id="8"/>
            </w:r>
          </w:p>
        </w:tc>
        <w:tc>
          <w:tcPr>
            <w:tcW w:w="868" w:type="dxa"/>
            <w:vAlign w:val="center"/>
          </w:tcPr>
          <w:p w:rsidR="00190E99" w:rsidRDefault="00CD4FBA">
            <w:pPr>
              <w:jc w:val="center"/>
              <w:rPr>
                <w:noProof/>
                <w:sz w:val="20"/>
              </w:rPr>
            </w:pPr>
            <w:r>
              <w:rPr>
                <w:noProof/>
                <w:sz w:val="20"/>
              </w:rPr>
              <w:t>Year</w:t>
            </w:r>
            <w:r>
              <w:rPr>
                <w:noProof/>
                <w:sz w:val="22"/>
              </w:rPr>
              <w:br/>
            </w:r>
            <w:r>
              <w:rPr>
                <w:b/>
                <w:noProof/>
                <w:sz w:val="20"/>
              </w:rPr>
              <w:t>N+1</w:t>
            </w:r>
          </w:p>
        </w:tc>
        <w:tc>
          <w:tcPr>
            <w:tcW w:w="868" w:type="dxa"/>
            <w:vAlign w:val="center"/>
          </w:tcPr>
          <w:p w:rsidR="00190E99" w:rsidRDefault="00CD4FBA">
            <w:pPr>
              <w:jc w:val="center"/>
              <w:rPr>
                <w:noProof/>
                <w:sz w:val="20"/>
              </w:rPr>
            </w:pPr>
            <w:r>
              <w:rPr>
                <w:noProof/>
                <w:sz w:val="20"/>
              </w:rPr>
              <w:t>Year</w:t>
            </w:r>
            <w:r>
              <w:rPr>
                <w:noProof/>
                <w:sz w:val="22"/>
              </w:rPr>
              <w:br/>
            </w:r>
            <w:r>
              <w:rPr>
                <w:b/>
                <w:noProof/>
                <w:sz w:val="20"/>
              </w:rPr>
              <w:t>N+2</w:t>
            </w:r>
          </w:p>
        </w:tc>
        <w:tc>
          <w:tcPr>
            <w:tcW w:w="868" w:type="dxa"/>
            <w:vAlign w:val="center"/>
          </w:tcPr>
          <w:p w:rsidR="00190E99" w:rsidRDefault="00CD4FBA">
            <w:pPr>
              <w:jc w:val="center"/>
              <w:rPr>
                <w:noProof/>
                <w:sz w:val="20"/>
              </w:rPr>
            </w:pPr>
            <w:r>
              <w:rPr>
                <w:noProof/>
                <w:sz w:val="20"/>
              </w:rPr>
              <w:t>Year</w:t>
            </w:r>
            <w:r>
              <w:rPr>
                <w:noProof/>
                <w:sz w:val="22"/>
              </w:rPr>
              <w:br/>
            </w:r>
            <w:r>
              <w:rPr>
                <w:b/>
                <w:noProof/>
                <w:sz w:val="20"/>
              </w:rPr>
              <w:t>N+3</w:t>
            </w:r>
          </w:p>
        </w:tc>
        <w:tc>
          <w:tcPr>
            <w:tcW w:w="2604" w:type="dxa"/>
            <w:gridSpan w:val="3"/>
            <w:vAlign w:val="center"/>
          </w:tcPr>
          <w:p w:rsidR="00190E99" w:rsidRDefault="00CD4FBA">
            <w:pPr>
              <w:jc w:val="center"/>
              <w:rPr>
                <w:b/>
                <w:noProof/>
                <w:sz w:val="18"/>
              </w:rPr>
            </w:pPr>
            <w:r>
              <w:rPr>
                <w:noProof/>
                <w:sz w:val="18"/>
              </w:rPr>
              <w:t>Enter as many years as necessary to show the duration of the impact (see point 1.6)</w:t>
            </w:r>
          </w:p>
        </w:tc>
        <w:tc>
          <w:tcPr>
            <w:tcW w:w="1777" w:type="dxa"/>
            <w:vAlign w:val="center"/>
          </w:tcPr>
          <w:p w:rsidR="00190E99" w:rsidRDefault="00CD4FBA">
            <w:pPr>
              <w:jc w:val="center"/>
              <w:rPr>
                <w:b/>
                <w:noProof/>
                <w:sz w:val="20"/>
              </w:rPr>
            </w:pPr>
            <w:r>
              <w:rPr>
                <w:b/>
                <w:noProof/>
                <w:sz w:val="20"/>
              </w:rPr>
              <w:t>TOTAL</w:t>
            </w:r>
          </w:p>
        </w:tc>
      </w:tr>
      <w:tr w:rsidR="00190E99">
        <w:trPr>
          <w:trHeight w:val="213"/>
        </w:trPr>
        <w:tc>
          <w:tcPr>
            <w:tcW w:w="6054" w:type="dxa"/>
            <w:gridSpan w:val="4"/>
            <w:vAlign w:val="center"/>
          </w:tcPr>
          <w:p w:rsidR="00190E99" w:rsidRDefault="00CD4FBA">
            <w:pPr>
              <w:spacing w:before="20" w:after="20"/>
              <w:rPr>
                <w:noProof/>
                <w:sz w:val="21"/>
              </w:rPr>
            </w:pPr>
            <w:r>
              <w:rPr>
                <w:noProof/>
                <w:sz w:val="21"/>
              </w:rPr>
              <w:sym w:font="Wingdings" w:char="F09F"/>
            </w:r>
            <w:r>
              <w:rPr>
                <w:noProof/>
                <w:sz w:val="21"/>
              </w:rPr>
              <w:t xml:space="preserve"> Operational appropriations </w:t>
            </w:r>
          </w:p>
        </w:tc>
        <w:tc>
          <w:tcPr>
            <w:tcW w:w="868" w:type="dxa"/>
            <w:vAlign w:val="center"/>
          </w:tcPr>
          <w:p w:rsidR="00190E99" w:rsidRDefault="00190E99">
            <w:pPr>
              <w:rPr>
                <w:noProof/>
                <w:sz w:val="20"/>
              </w:rPr>
            </w:pPr>
          </w:p>
        </w:tc>
        <w:tc>
          <w:tcPr>
            <w:tcW w:w="868" w:type="dxa"/>
            <w:vAlign w:val="center"/>
          </w:tcPr>
          <w:p w:rsidR="00190E99" w:rsidRDefault="00190E99">
            <w:pPr>
              <w:rPr>
                <w:noProof/>
                <w:sz w:val="20"/>
              </w:rPr>
            </w:pPr>
          </w:p>
        </w:tc>
        <w:tc>
          <w:tcPr>
            <w:tcW w:w="868" w:type="dxa"/>
            <w:vAlign w:val="center"/>
          </w:tcPr>
          <w:p w:rsidR="00190E99" w:rsidRDefault="00190E99">
            <w:pPr>
              <w:rPr>
                <w:noProof/>
                <w:sz w:val="20"/>
              </w:rPr>
            </w:pPr>
          </w:p>
        </w:tc>
        <w:tc>
          <w:tcPr>
            <w:tcW w:w="868" w:type="dxa"/>
            <w:vAlign w:val="center"/>
          </w:tcPr>
          <w:p w:rsidR="00190E99" w:rsidRDefault="00190E99">
            <w:pPr>
              <w:rPr>
                <w:noProof/>
                <w:sz w:val="20"/>
              </w:rPr>
            </w:pPr>
          </w:p>
        </w:tc>
        <w:tc>
          <w:tcPr>
            <w:tcW w:w="868" w:type="dxa"/>
            <w:vAlign w:val="center"/>
          </w:tcPr>
          <w:p w:rsidR="00190E99" w:rsidRDefault="00190E99">
            <w:pPr>
              <w:rPr>
                <w:noProof/>
                <w:sz w:val="20"/>
              </w:rPr>
            </w:pPr>
          </w:p>
        </w:tc>
        <w:tc>
          <w:tcPr>
            <w:tcW w:w="868" w:type="dxa"/>
            <w:vAlign w:val="center"/>
          </w:tcPr>
          <w:p w:rsidR="00190E99" w:rsidRDefault="00190E99">
            <w:pPr>
              <w:rPr>
                <w:noProof/>
                <w:sz w:val="20"/>
              </w:rPr>
            </w:pPr>
          </w:p>
        </w:tc>
        <w:tc>
          <w:tcPr>
            <w:tcW w:w="868" w:type="dxa"/>
            <w:vAlign w:val="center"/>
          </w:tcPr>
          <w:p w:rsidR="00190E99" w:rsidRDefault="00190E99">
            <w:pPr>
              <w:rPr>
                <w:b/>
                <w:noProof/>
                <w:sz w:val="20"/>
              </w:rPr>
            </w:pPr>
          </w:p>
        </w:tc>
        <w:tc>
          <w:tcPr>
            <w:tcW w:w="1777" w:type="dxa"/>
            <w:vAlign w:val="center"/>
          </w:tcPr>
          <w:p w:rsidR="00190E99" w:rsidRDefault="00190E99">
            <w:pPr>
              <w:rPr>
                <w:b/>
                <w:noProof/>
                <w:sz w:val="20"/>
              </w:rPr>
            </w:pPr>
          </w:p>
        </w:tc>
      </w:tr>
      <w:tr w:rsidR="00190E99">
        <w:trPr>
          <w:trHeight w:val="277"/>
        </w:trPr>
        <w:tc>
          <w:tcPr>
            <w:tcW w:w="3960" w:type="dxa"/>
            <w:vMerge w:val="restart"/>
            <w:vAlign w:val="center"/>
          </w:tcPr>
          <w:p w:rsidR="00190E99" w:rsidRDefault="00CD4FBA">
            <w:pPr>
              <w:rPr>
                <w:noProof/>
              </w:rPr>
            </w:pPr>
            <w:r>
              <w:rPr>
                <w:noProof/>
                <w:sz w:val="20"/>
              </w:rPr>
              <w:t>Budget line</w:t>
            </w:r>
            <w:r>
              <w:rPr>
                <w:rStyle w:val="FootnoteReference"/>
                <w:noProof/>
                <w:sz w:val="20"/>
              </w:rPr>
              <w:footnoteReference w:id="9"/>
            </w:r>
          </w:p>
        </w:tc>
        <w:tc>
          <w:tcPr>
            <w:tcW w:w="1440" w:type="dxa"/>
            <w:vAlign w:val="center"/>
          </w:tcPr>
          <w:p w:rsidR="00190E99" w:rsidRDefault="00CD4FBA">
            <w:pPr>
              <w:spacing w:before="20" w:after="20"/>
              <w:rPr>
                <w:noProof/>
                <w:sz w:val="18"/>
              </w:rPr>
            </w:pPr>
            <w:r>
              <w:rPr>
                <w:noProof/>
                <w:sz w:val="18"/>
              </w:rPr>
              <w:t>Commitments</w:t>
            </w:r>
          </w:p>
        </w:tc>
        <w:tc>
          <w:tcPr>
            <w:tcW w:w="654" w:type="dxa"/>
            <w:gridSpan w:val="2"/>
            <w:vAlign w:val="center"/>
          </w:tcPr>
          <w:p w:rsidR="00190E99" w:rsidRDefault="00CD4FBA">
            <w:pPr>
              <w:spacing w:before="20" w:after="20"/>
              <w:jc w:val="center"/>
              <w:rPr>
                <w:noProof/>
                <w:sz w:val="14"/>
              </w:rPr>
            </w:pPr>
            <w:r>
              <w:rPr>
                <w:noProof/>
                <w:sz w:val="14"/>
              </w:rPr>
              <w:t>(1a)</w:t>
            </w: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b/>
                <w:noProof/>
                <w:sz w:val="20"/>
              </w:rPr>
            </w:pPr>
          </w:p>
        </w:tc>
        <w:tc>
          <w:tcPr>
            <w:tcW w:w="1777" w:type="dxa"/>
            <w:vAlign w:val="center"/>
          </w:tcPr>
          <w:p w:rsidR="00190E99" w:rsidRDefault="00190E99">
            <w:pPr>
              <w:spacing w:before="20" w:after="20"/>
              <w:jc w:val="right"/>
              <w:rPr>
                <w:b/>
                <w:noProof/>
                <w:sz w:val="20"/>
              </w:rPr>
            </w:pPr>
          </w:p>
        </w:tc>
      </w:tr>
      <w:tr w:rsidR="00190E99">
        <w:tc>
          <w:tcPr>
            <w:tcW w:w="3960" w:type="dxa"/>
            <w:vMerge/>
          </w:tcPr>
          <w:p w:rsidR="00190E99" w:rsidRDefault="00190E99">
            <w:pPr>
              <w:jc w:val="center"/>
              <w:rPr>
                <w:noProof/>
                <w:sz w:val="20"/>
              </w:rPr>
            </w:pPr>
          </w:p>
        </w:tc>
        <w:tc>
          <w:tcPr>
            <w:tcW w:w="1440" w:type="dxa"/>
            <w:vAlign w:val="center"/>
          </w:tcPr>
          <w:p w:rsidR="00190E99" w:rsidRDefault="00CD4FBA">
            <w:pPr>
              <w:spacing w:before="20" w:after="20"/>
              <w:rPr>
                <w:noProof/>
                <w:sz w:val="18"/>
              </w:rPr>
            </w:pPr>
            <w:r>
              <w:rPr>
                <w:noProof/>
                <w:sz w:val="18"/>
              </w:rPr>
              <w:t>Payments</w:t>
            </w:r>
          </w:p>
        </w:tc>
        <w:tc>
          <w:tcPr>
            <w:tcW w:w="654" w:type="dxa"/>
            <w:gridSpan w:val="2"/>
            <w:vAlign w:val="center"/>
          </w:tcPr>
          <w:p w:rsidR="00190E99" w:rsidRDefault="00CD4FBA">
            <w:pPr>
              <w:spacing w:before="20" w:after="20"/>
              <w:jc w:val="center"/>
              <w:rPr>
                <w:noProof/>
                <w:sz w:val="14"/>
              </w:rPr>
            </w:pPr>
            <w:r>
              <w:rPr>
                <w:noProof/>
                <w:sz w:val="14"/>
              </w:rPr>
              <w:t>(2a)</w:t>
            </w: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b/>
                <w:noProof/>
                <w:sz w:val="20"/>
              </w:rPr>
            </w:pPr>
          </w:p>
        </w:tc>
        <w:tc>
          <w:tcPr>
            <w:tcW w:w="1777" w:type="dxa"/>
            <w:vAlign w:val="center"/>
          </w:tcPr>
          <w:p w:rsidR="00190E99" w:rsidRDefault="00190E99">
            <w:pPr>
              <w:spacing w:before="20" w:after="20"/>
              <w:jc w:val="right"/>
              <w:rPr>
                <w:b/>
                <w:noProof/>
                <w:sz w:val="20"/>
              </w:rPr>
            </w:pPr>
          </w:p>
        </w:tc>
      </w:tr>
      <w:tr w:rsidR="00190E99">
        <w:tc>
          <w:tcPr>
            <w:tcW w:w="3960" w:type="dxa"/>
            <w:vMerge w:val="restart"/>
            <w:vAlign w:val="center"/>
          </w:tcPr>
          <w:p w:rsidR="00190E99" w:rsidRDefault="00CD4FBA">
            <w:pPr>
              <w:rPr>
                <w:noProof/>
              </w:rPr>
            </w:pPr>
            <w:r>
              <w:rPr>
                <w:noProof/>
                <w:sz w:val="20"/>
              </w:rPr>
              <w:t>Budget line</w:t>
            </w:r>
          </w:p>
        </w:tc>
        <w:tc>
          <w:tcPr>
            <w:tcW w:w="1440" w:type="dxa"/>
            <w:vAlign w:val="center"/>
          </w:tcPr>
          <w:p w:rsidR="00190E99" w:rsidRDefault="00CD4FBA">
            <w:pPr>
              <w:spacing w:before="20" w:after="20"/>
              <w:rPr>
                <w:noProof/>
                <w:sz w:val="18"/>
              </w:rPr>
            </w:pPr>
            <w:r>
              <w:rPr>
                <w:noProof/>
                <w:sz w:val="18"/>
              </w:rPr>
              <w:t>Commitments</w:t>
            </w:r>
          </w:p>
        </w:tc>
        <w:tc>
          <w:tcPr>
            <w:tcW w:w="654" w:type="dxa"/>
            <w:gridSpan w:val="2"/>
            <w:vAlign w:val="center"/>
          </w:tcPr>
          <w:p w:rsidR="00190E99" w:rsidRDefault="00CD4FBA">
            <w:pPr>
              <w:spacing w:before="20" w:after="20"/>
              <w:jc w:val="center"/>
              <w:rPr>
                <w:noProof/>
                <w:sz w:val="14"/>
              </w:rPr>
            </w:pPr>
            <w:r>
              <w:rPr>
                <w:noProof/>
                <w:sz w:val="14"/>
              </w:rPr>
              <w:t>(1b)</w:t>
            </w: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b/>
                <w:noProof/>
                <w:sz w:val="20"/>
              </w:rPr>
            </w:pPr>
          </w:p>
        </w:tc>
        <w:tc>
          <w:tcPr>
            <w:tcW w:w="1777" w:type="dxa"/>
            <w:vAlign w:val="center"/>
          </w:tcPr>
          <w:p w:rsidR="00190E99" w:rsidRDefault="00190E99">
            <w:pPr>
              <w:spacing w:before="20" w:after="20"/>
              <w:jc w:val="right"/>
              <w:rPr>
                <w:b/>
                <w:noProof/>
                <w:sz w:val="20"/>
              </w:rPr>
            </w:pPr>
          </w:p>
        </w:tc>
      </w:tr>
      <w:tr w:rsidR="00190E99">
        <w:tc>
          <w:tcPr>
            <w:tcW w:w="3960" w:type="dxa"/>
            <w:vMerge/>
          </w:tcPr>
          <w:p w:rsidR="00190E99" w:rsidRDefault="00190E99">
            <w:pPr>
              <w:jc w:val="center"/>
              <w:rPr>
                <w:noProof/>
                <w:sz w:val="20"/>
              </w:rPr>
            </w:pPr>
          </w:p>
        </w:tc>
        <w:tc>
          <w:tcPr>
            <w:tcW w:w="1440" w:type="dxa"/>
            <w:vAlign w:val="center"/>
          </w:tcPr>
          <w:p w:rsidR="00190E99" w:rsidRDefault="00CD4FBA">
            <w:pPr>
              <w:spacing w:before="20" w:after="20"/>
              <w:rPr>
                <w:noProof/>
                <w:sz w:val="18"/>
              </w:rPr>
            </w:pPr>
            <w:r>
              <w:rPr>
                <w:noProof/>
                <w:sz w:val="18"/>
              </w:rPr>
              <w:t>Payments</w:t>
            </w:r>
          </w:p>
        </w:tc>
        <w:tc>
          <w:tcPr>
            <w:tcW w:w="654" w:type="dxa"/>
            <w:gridSpan w:val="2"/>
            <w:vAlign w:val="center"/>
          </w:tcPr>
          <w:p w:rsidR="00190E99" w:rsidRDefault="00CD4FBA">
            <w:pPr>
              <w:spacing w:before="20" w:after="20"/>
              <w:jc w:val="center"/>
              <w:rPr>
                <w:noProof/>
                <w:sz w:val="14"/>
              </w:rPr>
            </w:pPr>
            <w:r>
              <w:rPr>
                <w:noProof/>
                <w:sz w:val="14"/>
              </w:rPr>
              <w:t>(2b)</w:t>
            </w: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b/>
                <w:noProof/>
                <w:sz w:val="20"/>
              </w:rPr>
            </w:pPr>
          </w:p>
        </w:tc>
        <w:tc>
          <w:tcPr>
            <w:tcW w:w="1777" w:type="dxa"/>
            <w:vAlign w:val="center"/>
          </w:tcPr>
          <w:p w:rsidR="00190E99" w:rsidRDefault="00190E99">
            <w:pPr>
              <w:spacing w:before="20" w:after="20"/>
              <w:jc w:val="right"/>
              <w:rPr>
                <w:b/>
                <w:noProof/>
                <w:sz w:val="20"/>
              </w:rPr>
            </w:pPr>
          </w:p>
        </w:tc>
      </w:tr>
      <w:tr w:rsidR="00190E99">
        <w:trPr>
          <w:trHeight w:val="231"/>
        </w:trPr>
        <w:tc>
          <w:tcPr>
            <w:tcW w:w="6054" w:type="dxa"/>
            <w:gridSpan w:val="4"/>
            <w:vAlign w:val="center"/>
          </w:tcPr>
          <w:p w:rsidR="00190E99" w:rsidRDefault="00CD4FBA">
            <w:pPr>
              <w:spacing w:before="20" w:after="20"/>
              <w:rPr>
                <w:noProof/>
              </w:rPr>
            </w:pPr>
            <w:r>
              <w:rPr>
                <w:noProof/>
                <w:sz w:val="21"/>
              </w:rPr>
              <w:t>Appropriations of an administrative nature financed from the envelope of specific programmes</w:t>
            </w:r>
            <w:r>
              <w:rPr>
                <w:rStyle w:val="FootnoteReference"/>
                <w:noProof/>
                <w:sz w:val="21"/>
              </w:rPr>
              <w:footnoteReference w:id="10"/>
            </w:r>
            <w:r>
              <w:rPr>
                <w:noProof/>
                <w:sz w:val="21"/>
              </w:rPr>
              <w:t xml:space="preserve"> </w:t>
            </w:r>
          </w:p>
          <w:p w:rsidR="00190E99" w:rsidRDefault="00190E99">
            <w:pPr>
              <w:spacing w:before="0" w:after="0"/>
              <w:rPr>
                <w:noProof/>
              </w:rPr>
            </w:pPr>
          </w:p>
        </w:tc>
        <w:tc>
          <w:tcPr>
            <w:tcW w:w="868" w:type="dxa"/>
            <w:vAlign w:val="center"/>
          </w:tcPr>
          <w:p w:rsidR="00190E99" w:rsidRDefault="00190E99">
            <w:pPr>
              <w:rPr>
                <w:b/>
                <w:noProof/>
                <w:sz w:val="20"/>
              </w:rPr>
            </w:pPr>
          </w:p>
        </w:tc>
        <w:tc>
          <w:tcPr>
            <w:tcW w:w="868" w:type="dxa"/>
            <w:vAlign w:val="center"/>
          </w:tcPr>
          <w:p w:rsidR="00190E99" w:rsidRDefault="00190E99">
            <w:pPr>
              <w:rPr>
                <w:b/>
                <w:noProof/>
                <w:sz w:val="20"/>
              </w:rPr>
            </w:pPr>
          </w:p>
        </w:tc>
        <w:tc>
          <w:tcPr>
            <w:tcW w:w="868" w:type="dxa"/>
            <w:vAlign w:val="center"/>
          </w:tcPr>
          <w:p w:rsidR="00190E99" w:rsidRDefault="00190E99">
            <w:pPr>
              <w:rPr>
                <w:b/>
                <w:noProof/>
                <w:sz w:val="20"/>
              </w:rPr>
            </w:pPr>
          </w:p>
        </w:tc>
        <w:tc>
          <w:tcPr>
            <w:tcW w:w="868" w:type="dxa"/>
            <w:vAlign w:val="center"/>
          </w:tcPr>
          <w:p w:rsidR="00190E99" w:rsidRDefault="00190E99">
            <w:pPr>
              <w:rPr>
                <w:b/>
                <w:noProof/>
                <w:sz w:val="20"/>
              </w:rPr>
            </w:pPr>
          </w:p>
        </w:tc>
        <w:tc>
          <w:tcPr>
            <w:tcW w:w="868" w:type="dxa"/>
            <w:vAlign w:val="center"/>
          </w:tcPr>
          <w:p w:rsidR="00190E99" w:rsidRDefault="00190E99">
            <w:pPr>
              <w:rPr>
                <w:b/>
                <w:noProof/>
                <w:sz w:val="20"/>
              </w:rPr>
            </w:pPr>
          </w:p>
        </w:tc>
        <w:tc>
          <w:tcPr>
            <w:tcW w:w="868" w:type="dxa"/>
            <w:vAlign w:val="center"/>
          </w:tcPr>
          <w:p w:rsidR="00190E99" w:rsidRDefault="00190E99">
            <w:pPr>
              <w:rPr>
                <w:b/>
                <w:noProof/>
                <w:sz w:val="20"/>
              </w:rPr>
            </w:pPr>
          </w:p>
        </w:tc>
        <w:tc>
          <w:tcPr>
            <w:tcW w:w="868" w:type="dxa"/>
            <w:vAlign w:val="center"/>
          </w:tcPr>
          <w:p w:rsidR="00190E99" w:rsidRDefault="00190E99">
            <w:pPr>
              <w:rPr>
                <w:b/>
                <w:noProof/>
                <w:sz w:val="20"/>
              </w:rPr>
            </w:pPr>
          </w:p>
        </w:tc>
        <w:tc>
          <w:tcPr>
            <w:tcW w:w="1777" w:type="dxa"/>
            <w:vAlign w:val="center"/>
          </w:tcPr>
          <w:p w:rsidR="00190E99" w:rsidRDefault="00190E99">
            <w:pPr>
              <w:rPr>
                <w:b/>
                <w:noProof/>
                <w:sz w:val="20"/>
              </w:rPr>
            </w:pPr>
          </w:p>
        </w:tc>
      </w:tr>
      <w:tr w:rsidR="00190E99">
        <w:trPr>
          <w:trHeight w:val="319"/>
        </w:trPr>
        <w:tc>
          <w:tcPr>
            <w:tcW w:w="3960" w:type="dxa"/>
            <w:vAlign w:val="center"/>
          </w:tcPr>
          <w:p w:rsidR="00190E99" w:rsidRDefault="00CD4FBA">
            <w:pPr>
              <w:spacing w:before="60" w:after="60"/>
              <w:rPr>
                <w:noProof/>
              </w:rPr>
            </w:pPr>
            <w:r>
              <w:rPr>
                <w:noProof/>
                <w:sz w:val="20"/>
              </w:rPr>
              <w:t>Budget line</w:t>
            </w:r>
          </w:p>
        </w:tc>
        <w:tc>
          <w:tcPr>
            <w:tcW w:w="1440" w:type="dxa"/>
            <w:vAlign w:val="center"/>
          </w:tcPr>
          <w:p w:rsidR="00190E99" w:rsidRDefault="00190E99">
            <w:pPr>
              <w:spacing w:before="40" w:after="40"/>
              <w:jc w:val="right"/>
              <w:rPr>
                <w:noProof/>
                <w:sz w:val="18"/>
              </w:rPr>
            </w:pPr>
          </w:p>
        </w:tc>
        <w:tc>
          <w:tcPr>
            <w:tcW w:w="654" w:type="dxa"/>
            <w:gridSpan w:val="2"/>
            <w:vAlign w:val="center"/>
          </w:tcPr>
          <w:p w:rsidR="00190E99" w:rsidRDefault="00CD4FBA">
            <w:pPr>
              <w:spacing w:before="40" w:after="40"/>
              <w:jc w:val="center"/>
              <w:rPr>
                <w:noProof/>
                <w:sz w:val="14"/>
              </w:rPr>
            </w:pPr>
            <w:r>
              <w:rPr>
                <w:noProof/>
                <w:sz w:val="14"/>
              </w:rPr>
              <w:t>(3)</w:t>
            </w:r>
          </w:p>
        </w:tc>
        <w:tc>
          <w:tcPr>
            <w:tcW w:w="868" w:type="dxa"/>
            <w:vAlign w:val="center"/>
          </w:tcPr>
          <w:p w:rsidR="00190E99" w:rsidRDefault="00190E99">
            <w:pPr>
              <w:spacing w:before="40" w:after="40"/>
              <w:jc w:val="right"/>
              <w:rPr>
                <w:b/>
                <w:noProof/>
                <w:sz w:val="20"/>
              </w:rPr>
            </w:pPr>
          </w:p>
        </w:tc>
        <w:tc>
          <w:tcPr>
            <w:tcW w:w="868" w:type="dxa"/>
            <w:vAlign w:val="center"/>
          </w:tcPr>
          <w:p w:rsidR="00190E99" w:rsidRDefault="00190E99">
            <w:pPr>
              <w:spacing w:before="40" w:after="40"/>
              <w:jc w:val="right"/>
              <w:rPr>
                <w:b/>
                <w:noProof/>
                <w:sz w:val="20"/>
              </w:rPr>
            </w:pPr>
          </w:p>
        </w:tc>
        <w:tc>
          <w:tcPr>
            <w:tcW w:w="868" w:type="dxa"/>
            <w:vAlign w:val="center"/>
          </w:tcPr>
          <w:p w:rsidR="00190E99" w:rsidRDefault="00190E99">
            <w:pPr>
              <w:spacing w:before="40" w:after="40"/>
              <w:jc w:val="right"/>
              <w:rPr>
                <w:b/>
                <w:noProof/>
                <w:sz w:val="20"/>
              </w:rPr>
            </w:pPr>
          </w:p>
        </w:tc>
        <w:tc>
          <w:tcPr>
            <w:tcW w:w="868" w:type="dxa"/>
            <w:vAlign w:val="center"/>
          </w:tcPr>
          <w:p w:rsidR="00190E99" w:rsidRDefault="00190E99">
            <w:pPr>
              <w:spacing w:before="40" w:after="40"/>
              <w:jc w:val="right"/>
              <w:rPr>
                <w:b/>
                <w:noProof/>
                <w:sz w:val="20"/>
              </w:rPr>
            </w:pPr>
          </w:p>
        </w:tc>
        <w:tc>
          <w:tcPr>
            <w:tcW w:w="868" w:type="dxa"/>
            <w:vAlign w:val="center"/>
          </w:tcPr>
          <w:p w:rsidR="00190E99" w:rsidRDefault="00190E99">
            <w:pPr>
              <w:spacing w:before="40" w:after="40"/>
              <w:jc w:val="right"/>
              <w:rPr>
                <w:b/>
                <w:noProof/>
                <w:sz w:val="20"/>
              </w:rPr>
            </w:pPr>
          </w:p>
        </w:tc>
        <w:tc>
          <w:tcPr>
            <w:tcW w:w="868" w:type="dxa"/>
            <w:vAlign w:val="center"/>
          </w:tcPr>
          <w:p w:rsidR="00190E99" w:rsidRDefault="00190E99">
            <w:pPr>
              <w:spacing w:before="40" w:after="40"/>
              <w:jc w:val="right"/>
              <w:rPr>
                <w:b/>
                <w:noProof/>
                <w:sz w:val="20"/>
              </w:rPr>
            </w:pPr>
          </w:p>
        </w:tc>
        <w:tc>
          <w:tcPr>
            <w:tcW w:w="868" w:type="dxa"/>
            <w:vAlign w:val="center"/>
          </w:tcPr>
          <w:p w:rsidR="00190E99" w:rsidRDefault="00190E99">
            <w:pPr>
              <w:spacing w:before="40" w:after="40"/>
              <w:jc w:val="right"/>
              <w:rPr>
                <w:b/>
                <w:noProof/>
                <w:sz w:val="20"/>
              </w:rPr>
            </w:pPr>
          </w:p>
        </w:tc>
        <w:tc>
          <w:tcPr>
            <w:tcW w:w="1777" w:type="dxa"/>
            <w:vAlign w:val="center"/>
          </w:tcPr>
          <w:p w:rsidR="00190E99" w:rsidRDefault="00190E99">
            <w:pPr>
              <w:spacing w:before="40" w:after="40"/>
              <w:jc w:val="right"/>
              <w:rPr>
                <w:b/>
                <w:noProof/>
                <w:sz w:val="20"/>
              </w:rPr>
            </w:pPr>
          </w:p>
        </w:tc>
      </w:tr>
      <w:tr w:rsidR="00190E99">
        <w:tc>
          <w:tcPr>
            <w:tcW w:w="3960" w:type="dxa"/>
            <w:vMerge w:val="restart"/>
            <w:vAlign w:val="center"/>
          </w:tcPr>
          <w:p w:rsidR="00190E99" w:rsidRDefault="00CD4FBA">
            <w:pPr>
              <w:jc w:val="center"/>
              <w:rPr>
                <w:b/>
                <w:noProof/>
              </w:rPr>
            </w:pPr>
            <w:r>
              <w:rPr>
                <w:b/>
                <w:noProof/>
                <w:sz w:val="22"/>
              </w:rPr>
              <w:t>TOTAL appropriations</w:t>
            </w:r>
            <w:r>
              <w:rPr>
                <w:noProof/>
                <w:sz w:val="22"/>
              </w:rPr>
              <w:br/>
            </w:r>
            <w:r>
              <w:rPr>
                <w:b/>
                <w:noProof/>
                <w:sz w:val="22"/>
              </w:rPr>
              <w:t xml:space="preserve">for DG </w:t>
            </w:r>
            <w:r>
              <w:rPr>
                <w:noProof/>
                <w:sz w:val="22"/>
              </w:rPr>
              <w:t>&lt;…….&gt;</w:t>
            </w:r>
          </w:p>
        </w:tc>
        <w:tc>
          <w:tcPr>
            <w:tcW w:w="1440" w:type="dxa"/>
            <w:vAlign w:val="center"/>
          </w:tcPr>
          <w:p w:rsidR="00190E99" w:rsidRDefault="00CD4FBA">
            <w:pPr>
              <w:rPr>
                <w:noProof/>
                <w:sz w:val="18"/>
              </w:rPr>
            </w:pPr>
            <w:r>
              <w:rPr>
                <w:noProof/>
                <w:sz w:val="18"/>
              </w:rPr>
              <w:t>Commitments</w:t>
            </w:r>
          </w:p>
        </w:tc>
        <w:tc>
          <w:tcPr>
            <w:tcW w:w="654" w:type="dxa"/>
            <w:gridSpan w:val="2"/>
            <w:vAlign w:val="center"/>
          </w:tcPr>
          <w:p w:rsidR="00190E99" w:rsidRDefault="00CD4FBA">
            <w:pPr>
              <w:jc w:val="center"/>
              <w:rPr>
                <w:noProof/>
                <w:sz w:val="14"/>
              </w:rPr>
            </w:pPr>
            <w:r>
              <w:rPr>
                <w:noProof/>
                <w:sz w:val="14"/>
              </w:rPr>
              <w:t>=1a+1b +3</w:t>
            </w: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b/>
                <w:noProof/>
                <w:sz w:val="20"/>
              </w:rPr>
            </w:pPr>
          </w:p>
        </w:tc>
        <w:tc>
          <w:tcPr>
            <w:tcW w:w="1777" w:type="dxa"/>
            <w:vAlign w:val="center"/>
          </w:tcPr>
          <w:p w:rsidR="00190E99" w:rsidRDefault="00190E99">
            <w:pPr>
              <w:spacing w:before="20" w:after="20"/>
              <w:jc w:val="right"/>
              <w:rPr>
                <w:b/>
                <w:noProof/>
                <w:sz w:val="20"/>
              </w:rPr>
            </w:pPr>
          </w:p>
        </w:tc>
      </w:tr>
      <w:tr w:rsidR="00190E99">
        <w:tc>
          <w:tcPr>
            <w:tcW w:w="3960" w:type="dxa"/>
            <w:vMerge/>
          </w:tcPr>
          <w:p w:rsidR="00190E99" w:rsidRDefault="00190E99">
            <w:pPr>
              <w:rPr>
                <w:noProof/>
                <w:sz w:val="20"/>
              </w:rPr>
            </w:pPr>
          </w:p>
        </w:tc>
        <w:tc>
          <w:tcPr>
            <w:tcW w:w="1440" w:type="dxa"/>
            <w:vAlign w:val="center"/>
          </w:tcPr>
          <w:p w:rsidR="00190E99" w:rsidRDefault="00CD4FBA">
            <w:pPr>
              <w:rPr>
                <w:noProof/>
                <w:sz w:val="18"/>
              </w:rPr>
            </w:pPr>
            <w:r>
              <w:rPr>
                <w:noProof/>
                <w:sz w:val="18"/>
              </w:rPr>
              <w:t>Payments</w:t>
            </w:r>
          </w:p>
        </w:tc>
        <w:tc>
          <w:tcPr>
            <w:tcW w:w="654" w:type="dxa"/>
            <w:gridSpan w:val="2"/>
            <w:vAlign w:val="center"/>
          </w:tcPr>
          <w:p w:rsidR="00190E99" w:rsidRDefault="00CD4FBA">
            <w:pPr>
              <w:jc w:val="center"/>
              <w:rPr>
                <w:noProof/>
                <w:sz w:val="14"/>
              </w:rPr>
            </w:pPr>
            <w:r>
              <w:rPr>
                <w:noProof/>
                <w:sz w:val="14"/>
              </w:rPr>
              <w:t>=2a+2b</w:t>
            </w:r>
          </w:p>
          <w:p w:rsidR="00190E99" w:rsidRDefault="00CD4FBA">
            <w:pPr>
              <w:jc w:val="center"/>
              <w:rPr>
                <w:noProof/>
                <w:sz w:val="14"/>
              </w:rPr>
            </w:pPr>
            <w:r>
              <w:rPr>
                <w:noProof/>
                <w:sz w:val="14"/>
              </w:rPr>
              <w:t>+3</w:t>
            </w: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b/>
                <w:noProof/>
                <w:sz w:val="20"/>
              </w:rPr>
            </w:pPr>
          </w:p>
        </w:tc>
        <w:tc>
          <w:tcPr>
            <w:tcW w:w="1777" w:type="dxa"/>
            <w:vAlign w:val="center"/>
          </w:tcPr>
          <w:p w:rsidR="00190E99" w:rsidRDefault="00190E99">
            <w:pPr>
              <w:spacing w:before="20" w:after="20"/>
              <w:jc w:val="right"/>
              <w:rPr>
                <w:b/>
                <w:noProof/>
                <w:sz w:val="20"/>
              </w:rPr>
            </w:pPr>
          </w:p>
        </w:tc>
      </w:tr>
    </w:tbl>
    <w:p w:rsidR="00190E99" w:rsidRDefault="00CD4FBA">
      <w:pPr>
        <w:rPr>
          <w:noProof/>
        </w:rPr>
      </w:pP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190E99">
        <w:trPr>
          <w:trHeight w:val="277"/>
        </w:trPr>
        <w:tc>
          <w:tcPr>
            <w:tcW w:w="3960" w:type="dxa"/>
            <w:vMerge w:val="restart"/>
            <w:vAlign w:val="center"/>
          </w:tcPr>
          <w:p w:rsidR="00190E99" w:rsidRDefault="00CD4FBA">
            <w:pPr>
              <w:spacing w:before="20" w:after="20"/>
              <w:rPr>
                <w:noProof/>
              </w:rPr>
            </w:pPr>
            <w:r>
              <w:rPr>
                <w:noProof/>
                <w:sz w:val="22"/>
              </w:rPr>
              <w:br w:type="page"/>
            </w:r>
            <w:r>
              <w:rPr>
                <w:noProof/>
                <w:sz w:val="21"/>
              </w:rPr>
              <w:sym w:font="Wingdings" w:char="F09F"/>
            </w:r>
            <w:r>
              <w:rPr>
                <w:noProof/>
                <w:sz w:val="21"/>
              </w:rPr>
              <w:t xml:space="preserve"> TOTAL operational appropriations </w:t>
            </w:r>
          </w:p>
        </w:tc>
        <w:tc>
          <w:tcPr>
            <w:tcW w:w="1440" w:type="dxa"/>
            <w:vAlign w:val="center"/>
          </w:tcPr>
          <w:p w:rsidR="00190E99" w:rsidRDefault="00CD4FBA">
            <w:pPr>
              <w:spacing w:beforeLines="20" w:before="48" w:afterLines="20" w:after="48"/>
              <w:rPr>
                <w:noProof/>
                <w:sz w:val="18"/>
              </w:rPr>
            </w:pPr>
            <w:r>
              <w:rPr>
                <w:noProof/>
                <w:sz w:val="18"/>
              </w:rPr>
              <w:t>Commitments</w:t>
            </w:r>
          </w:p>
        </w:tc>
        <w:tc>
          <w:tcPr>
            <w:tcW w:w="654" w:type="dxa"/>
            <w:vAlign w:val="center"/>
          </w:tcPr>
          <w:p w:rsidR="00190E99" w:rsidRDefault="00CD4FBA">
            <w:pPr>
              <w:spacing w:beforeLines="20" w:before="48" w:afterLines="20" w:after="48"/>
              <w:jc w:val="center"/>
              <w:rPr>
                <w:noProof/>
                <w:sz w:val="14"/>
              </w:rPr>
            </w:pPr>
            <w:r>
              <w:rPr>
                <w:noProof/>
                <w:sz w:val="14"/>
              </w:rPr>
              <w:t>(4)</w:t>
            </w: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b/>
                <w:noProof/>
                <w:sz w:val="20"/>
              </w:rPr>
            </w:pPr>
          </w:p>
        </w:tc>
        <w:tc>
          <w:tcPr>
            <w:tcW w:w="1777" w:type="dxa"/>
            <w:vAlign w:val="center"/>
          </w:tcPr>
          <w:p w:rsidR="00190E99" w:rsidRDefault="00190E99">
            <w:pPr>
              <w:spacing w:before="20" w:after="20"/>
              <w:jc w:val="right"/>
              <w:rPr>
                <w:b/>
                <w:noProof/>
                <w:sz w:val="20"/>
              </w:rPr>
            </w:pPr>
          </w:p>
        </w:tc>
      </w:tr>
      <w:tr w:rsidR="00190E99">
        <w:tc>
          <w:tcPr>
            <w:tcW w:w="3960" w:type="dxa"/>
            <w:vMerge/>
          </w:tcPr>
          <w:p w:rsidR="00190E99" w:rsidRDefault="00190E99">
            <w:pPr>
              <w:jc w:val="center"/>
              <w:rPr>
                <w:noProof/>
                <w:sz w:val="20"/>
              </w:rPr>
            </w:pPr>
          </w:p>
        </w:tc>
        <w:tc>
          <w:tcPr>
            <w:tcW w:w="1440" w:type="dxa"/>
            <w:vAlign w:val="center"/>
          </w:tcPr>
          <w:p w:rsidR="00190E99" w:rsidRDefault="00CD4FBA">
            <w:pPr>
              <w:spacing w:beforeLines="20" w:before="48" w:afterLines="20" w:after="48"/>
              <w:rPr>
                <w:noProof/>
                <w:sz w:val="18"/>
              </w:rPr>
            </w:pPr>
            <w:r>
              <w:rPr>
                <w:noProof/>
                <w:sz w:val="18"/>
              </w:rPr>
              <w:t>Payments</w:t>
            </w:r>
          </w:p>
        </w:tc>
        <w:tc>
          <w:tcPr>
            <w:tcW w:w="654" w:type="dxa"/>
            <w:vAlign w:val="center"/>
          </w:tcPr>
          <w:p w:rsidR="00190E99" w:rsidRDefault="00CD4FBA">
            <w:pPr>
              <w:spacing w:beforeLines="20" w:before="48" w:afterLines="20" w:after="48"/>
              <w:jc w:val="center"/>
              <w:rPr>
                <w:noProof/>
                <w:sz w:val="14"/>
              </w:rPr>
            </w:pPr>
            <w:r>
              <w:rPr>
                <w:noProof/>
                <w:sz w:val="14"/>
              </w:rPr>
              <w:t>(5)</w:t>
            </w: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b/>
                <w:noProof/>
                <w:sz w:val="20"/>
              </w:rPr>
            </w:pPr>
          </w:p>
        </w:tc>
        <w:tc>
          <w:tcPr>
            <w:tcW w:w="1777" w:type="dxa"/>
            <w:vAlign w:val="center"/>
          </w:tcPr>
          <w:p w:rsidR="00190E99" w:rsidRDefault="00190E99">
            <w:pPr>
              <w:spacing w:before="20" w:after="20"/>
              <w:jc w:val="right"/>
              <w:rPr>
                <w:b/>
                <w:noProof/>
                <w:sz w:val="20"/>
              </w:rPr>
            </w:pPr>
          </w:p>
        </w:tc>
      </w:tr>
      <w:tr w:rsidR="00190E99">
        <w:trPr>
          <w:trHeight w:val="533"/>
        </w:trPr>
        <w:tc>
          <w:tcPr>
            <w:tcW w:w="5400" w:type="dxa"/>
            <w:gridSpan w:val="2"/>
            <w:vAlign w:val="center"/>
          </w:tcPr>
          <w:p w:rsidR="00190E99" w:rsidRDefault="00CD4FBA">
            <w:pPr>
              <w:spacing w:beforeLines="20" w:before="48" w:afterLines="20" w:after="48"/>
              <w:rPr>
                <w:noProof/>
              </w:rPr>
            </w:pPr>
            <w:r>
              <w:rPr>
                <w:noProof/>
                <w:sz w:val="21"/>
              </w:rPr>
              <w:sym w:font="Wingdings" w:char="F09F"/>
            </w:r>
            <w:r>
              <w:rPr>
                <w:noProof/>
                <w:sz w:val="21"/>
              </w:rPr>
              <w:t xml:space="preserve"> TOTAL appropriations of an administrative nature financed from the envelope for specific programmes </w:t>
            </w:r>
          </w:p>
        </w:tc>
        <w:tc>
          <w:tcPr>
            <w:tcW w:w="654" w:type="dxa"/>
            <w:vAlign w:val="center"/>
          </w:tcPr>
          <w:p w:rsidR="00190E99" w:rsidRDefault="00CD4FBA">
            <w:pPr>
              <w:spacing w:beforeLines="20" w:before="48" w:afterLines="20" w:after="48"/>
              <w:jc w:val="center"/>
              <w:rPr>
                <w:noProof/>
                <w:sz w:val="14"/>
              </w:rPr>
            </w:pPr>
            <w:r>
              <w:rPr>
                <w:noProof/>
                <w:sz w:val="14"/>
              </w:rPr>
              <w:t>(6)</w:t>
            </w:r>
          </w:p>
        </w:tc>
        <w:tc>
          <w:tcPr>
            <w:tcW w:w="868" w:type="dxa"/>
            <w:vAlign w:val="center"/>
          </w:tcPr>
          <w:p w:rsidR="00190E99" w:rsidRDefault="00190E99">
            <w:pPr>
              <w:spacing w:before="20" w:after="20"/>
              <w:jc w:val="right"/>
              <w:rPr>
                <w:b/>
                <w:noProof/>
                <w:sz w:val="20"/>
              </w:rPr>
            </w:pPr>
          </w:p>
        </w:tc>
        <w:tc>
          <w:tcPr>
            <w:tcW w:w="868" w:type="dxa"/>
            <w:vAlign w:val="center"/>
          </w:tcPr>
          <w:p w:rsidR="00190E99" w:rsidRDefault="00190E99">
            <w:pPr>
              <w:spacing w:before="20" w:after="20"/>
              <w:jc w:val="right"/>
              <w:rPr>
                <w:b/>
                <w:noProof/>
                <w:sz w:val="20"/>
              </w:rPr>
            </w:pPr>
          </w:p>
        </w:tc>
        <w:tc>
          <w:tcPr>
            <w:tcW w:w="868" w:type="dxa"/>
            <w:vAlign w:val="center"/>
          </w:tcPr>
          <w:p w:rsidR="00190E99" w:rsidRDefault="00190E99">
            <w:pPr>
              <w:spacing w:before="20" w:after="20"/>
              <w:jc w:val="right"/>
              <w:rPr>
                <w:b/>
                <w:noProof/>
                <w:sz w:val="20"/>
              </w:rPr>
            </w:pPr>
          </w:p>
        </w:tc>
        <w:tc>
          <w:tcPr>
            <w:tcW w:w="868" w:type="dxa"/>
            <w:vAlign w:val="center"/>
          </w:tcPr>
          <w:p w:rsidR="00190E99" w:rsidRDefault="00190E99">
            <w:pPr>
              <w:spacing w:before="20" w:after="20"/>
              <w:jc w:val="right"/>
              <w:rPr>
                <w:b/>
                <w:noProof/>
                <w:sz w:val="20"/>
              </w:rPr>
            </w:pPr>
          </w:p>
        </w:tc>
        <w:tc>
          <w:tcPr>
            <w:tcW w:w="868" w:type="dxa"/>
            <w:vAlign w:val="center"/>
          </w:tcPr>
          <w:p w:rsidR="00190E99" w:rsidRDefault="00190E99">
            <w:pPr>
              <w:spacing w:before="20" w:after="20"/>
              <w:jc w:val="right"/>
              <w:rPr>
                <w:b/>
                <w:noProof/>
                <w:sz w:val="20"/>
              </w:rPr>
            </w:pPr>
          </w:p>
        </w:tc>
        <w:tc>
          <w:tcPr>
            <w:tcW w:w="868" w:type="dxa"/>
            <w:vAlign w:val="center"/>
          </w:tcPr>
          <w:p w:rsidR="00190E99" w:rsidRDefault="00190E99">
            <w:pPr>
              <w:spacing w:before="20" w:after="20"/>
              <w:jc w:val="right"/>
              <w:rPr>
                <w:b/>
                <w:noProof/>
                <w:sz w:val="20"/>
              </w:rPr>
            </w:pPr>
          </w:p>
        </w:tc>
        <w:tc>
          <w:tcPr>
            <w:tcW w:w="868" w:type="dxa"/>
            <w:vAlign w:val="center"/>
          </w:tcPr>
          <w:p w:rsidR="00190E99" w:rsidRDefault="00190E99">
            <w:pPr>
              <w:spacing w:before="20" w:after="20"/>
              <w:jc w:val="right"/>
              <w:rPr>
                <w:b/>
                <w:noProof/>
                <w:sz w:val="20"/>
              </w:rPr>
            </w:pPr>
          </w:p>
        </w:tc>
        <w:tc>
          <w:tcPr>
            <w:tcW w:w="1777" w:type="dxa"/>
            <w:vAlign w:val="center"/>
          </w:tcPr>
          <w:p w:rsidR="00190E99" w:rsidRDefault="00190E99">
            <w:pPr>
              <w:spacing w:before="20" w:after="20"/>
              <w:jc w:val="right"/>
              <w:rPr>
                <w:b/>
                <w:noProof/>
                <w:sz w:val="20"/>
              </w:rPr>
            </w:pPr>
          </w:p>
        </w:tc>
      </w:tr>
      <w:tr w:rsidR="00190E99">
        <w:tc>
          <w:tcPr>
            <w:tcW w:w="3960" w:type="dxa"/>
            <w:vMerge w:val="restart"/>
            <w:shd w:val="thinDiagStripe" w:color="C0C0C0" w:fill="auto"/>
            <w:vAlign w:val="center"/>
          </w:tcPr>
          <w:p w:rsidR="00190E99" w:rsidRDefault="00CD4FBA">
            <w:pPr>
              <w:jc w:val="center"/>
              <w:rPr>
                <w:b/>
                <w:noProof/>
              </w:rPr>
            </w:pPr>
            <w:r>
              <w:rPr>
                <w:b/>
                <w:noProof/>
                <w:sz w:val="22"/>
              </w:rPr>
              <w:t xml:space="preserve">TOTAL appropriations </w:t>
            </w:r>
            <w:r>
              <w:rPr>
                <w:noProof/>
                <w:sz w:val="22"/>
              </w:rPr>
              <w:br/>
            </w:r>
            <w:r>
              <w:rPr>
                <w:b/>
                <w:noProof/>
                <w:sz w:val="22"/>
              </w:rPr>
              <w:t>under HEADING &lt;….&gt;</w:t>
            </w:r>
            <w:r>
              <w:rPr>
                <w:noProof/>
                <w:sz w:val="22"/>
              </w:rPr>
              <w:br/>
              <w:t>of the multiannual financial framework</w:t>
            </w:r>
          </w:p>
        </w:tc>
        <w:tc>
          <w:tcPr>
            <w:tcW w:w="1440" w:type="dxa"/>
            <w:vAlign w:val="center"/>
          </w:tcPr>
          <w:p w:rsidR="00190E99" w:rsidRDefault="00CD4FBA">
            <w:pPr>
              <w:rPr>
                <w:noProof/>
                <w:sz w:val="18"/>
              </w:rPr>
            </w:pPr>
            <w:r>
              <w:rPr>
                <w:noProof/>
                <w:sz w:val="18"/>
              </w:rPr>
              <w:t>Commitments</w:t>
            </w:r>
          </w:p>
        </w:tc>
        <w:tc>
          <w:tcPr>
            <w:tcW w:w="654" w:type="dxa"/>
            <w:vAlign w:val="center"/>
          </w:tcPr>
          <w:p w:rsidR="00190E99" w:rsidRDefault="00CD4FBA">
            <w:pPr>
              <w:jc w:val="center"/>
              <w:rPr>
                <w:noProof/>
                <w:sz w:val="14"/>
              </w:rPr>
            </w:pPr>
            <w:r>
              <w:rPr>
                <w:noProof/>
                <w:sz w:val="14"/>
              </w:rPr>
              <w:t>=4+ 6</w:t>
            </w: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b/>
                <w:noProof/>
                <w:sz w:val="20"/>
              </w:rPr>
            </w:pPr>
          </w:p>
        </w:tc>
        <w:tc>
          <w:tcPr>
            <w:tcW w:w="1777" w:type="dxa"/>
            <w:vAlign w:val="center"/>
          </w:tcPr>
          <w:p w:rsidR="00190E99" w:rsidRDefault="00190E99">
            <w:pPr>
              <w:spacing w:before="20" w:after="20"/>
              <w:jc w:val="right"/>
              <w:rPr>
                <w:b/>
                <w:noProof/>
                <w:sz w:val="20"/>
              </w:rPr>
            </w:pPr>
          </w:p>
        </w:tc>
      </w:tr>
      <w:tr w:rsidR="00190E99">
        <w:tc>
          <w:tcPr>
            <w:tcW w:w="3960" w:type="dxa"/>
            <w:vMerge/>
            <w:shd w:val="thinDiagStripe" w:color="C0C0C0" w:fill="auto"/>
          </w:tcPr>
          <w:p w:rsidR="00190E99" w:rsidRDefault="00190E99">
            <w:pPr>
              <w:rPr>
                <w:noProof/>
                <w:sz w:val="20"/>
              </w:rPr>
            </w:pPr>
          </w:p>
        </w:tc>
        <w:tc>
          <w:tcPr>
            <w:tcW w:w="1440" w:type="dxa"/>
            <w:vAlign w:val="center"/>
          </w:tcPr>
          <w:p w:rsidR="00190E99" w:rsidRDefault="00CD4FBA">
            <w:pPr>
              <w:rPr>
                <w:noProof/>
                <w:sz w:val="18"/>
              </w:rPr>
            </w:pPr>
            <w:r>
              <w:rPr>
                <w:noProof/>
                <w:sz w:val="18"/>
              </w:rPr>
              <w:t>Payments</w:t>
            </w:r>
          </w:p>
        </w:tc>
        <w:tc>
          <w:tcPr>
            <w:tcW w:w="654" w:type="dxa"/>
            <w:vAlign w:val="center"/>
          </w:tcPr>
          <w:p w:rsidR="00190E99" w:rsidRDefault="00CD4FBA">
            <w:pPr>
              <w:jc w:val="center"/>
              <w:rPr>
                <w:noProof/>
                <w:sz w:val="14"/>
              </w:rPr>
            </w:pPr>
            <w:r>
              <w:rPr>
                <w:noProof/>
                <w:sz w:val="14"/>
              </w:rPr>
              <w:t>=5+ 6</w:t>
            </w: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b/>
                <w:noProof/>
                <w:sz w:val="20"/>
              </w:rPr>
            </w:pPr>
          </w:p>
        </w:tc>
        <w:tc>
          <w:tcPr>
            <w:tcW w:w="1777" w:type="dxa"/>
            <w:vAlign w:val="center"/>
          </w:tcPr>
          <w:p w:rsidR="00190E99" w:rsidRDefault="00190E99">
            <w:pPr>
              <w:spacing w:before="20" w:after="20"/>
              <w:jc w:val="right"/>
              <w:rPr>
                <w:b/>
                <w:noProof/>
                <w:sz w:val="20"/>
              </w:rPr>
            </w:pPr>
          </w:p>
        </w:tc>
      </w:tr>
    </w:tbl>
    <w:p w:rsidR="00190E99" w:rsidRDefault="00CD4FBA">
      <w:pPr>
        <w:spacing w:after="40"/>
        <w:rPr>
          <w:b/>
          <w:noProof/>
          <w:sz w:val="22"/>
          <w:u w:val="single"/>
        </w:rPr>
      </w:pPr>
      <w:r>
        <w:rPr>
          <w:b/>
          <w:noProof/>
          <w:sz w:val="22"/>
          <w:u w:val="single"/>
        </w:rPr>
        <w:t xml:space="preserve">If more </w:t>
      </w:r>
      <w:r>
        <w:rPr>
          <w:b/>
          <w:noProof/>
          <w:sz w:val="22"/>
          <w:u w:val="single"/>
        </w:rPr>
        <w:t>than one operational heading is affected by the proposal / initiative, repeat the section above: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190E99">
        <w:trPr>
          <w:trHeight w:val="277"/>
        </w:trPr>
        <w:tc>
          <w:tcPr>
            <w:tcW w:w="3960" w:type="dxa"/>
            <w:vMerge w:val="restart"/>
            <w:tcBorders>
              <w:top w:val="single" w:sz="4" w:space="0" w:color="auto"/>
              <w:left w:val="single" w:sz="4" w:space="0" w:color="auto"/>
              <w:bottom w:val="single" w:sz="4" w:space="0" w:color="FF0000"/>
            </w:tcBorders>
            <w:vAlign w:val="center"/>
          </w:tcPr>
          <w:p w:rsidR="00190E99" w:rsidRDefault="00CD4FBA">
            <w:pPr>
              <w:spacing w:before="20" w:after="20"/>
              <w:rPr>
                <w:noProof/>
              </w:rPr>
            </w:pPr>
            <w:r>
              <w:rPr>
                <w:noProof/>
                <w:sz w:val="21"/>
              </w:rPr>
              <w:sym w:font="Wingdings" w:char="F09F"/>
            </w:r>
            <w:r>
              <w:rPr>
                <w:noProof/>
                <w:sz w:val="21"/>
              </w:rPr>
              <w:t xml:space="preserve"> TOTAL operational appropriations (all operational headings)</w:t>
            </w:r>
          </w:p>
        </w:tc>
        <w:tc>
          <w:tcPr>
            <w:tcW w:w="1440" w:type="dxa"/>
            <w:tcBorders>
              <w:top w:val="single" w:sz="4" w:space="0" w:color="auto"/>
            </w:tcBorders>
            <w:vAlign w:val="center"/>
          </w:tcPr>
          <w:p w:rsidR="00190E99" w:rsidRDefault="00CD4FBA">
            <w:pPr>
              <w:spacing w:beforeLines="20" w:before="48" w:afterLines="20" w:after="48"/>
              <w:rPr>
                <w:noProof/>
                <w:sz w:val="18"/>
              </w:rPr>
            </w:pPr>
            <w:r>
              <w:rPr>
                <w:noProof/>
                <w:sz w:val="18"/>
              </w:rPr>
              <w:t>Commitments</w:t>
            </w:r>
          </w:p>
        </w:tc>
        <w:tc>
          <w:tcPr>
            <w:tcW w:w="654" w:type="dxa"/>
            <w:tcBorders>
              <w:top w:val="single" w:sz="4" w:space="0" w:color="auto"/>
            </w:tcBorders>
            <w:vAlign w:val="center"/>
          </w:tcPr>
          <w:p w:rsidR="00190E99" w:rsidRDefault="00CD4FBA">
            <w:pPr>
              <w:spacing w:beforeLines="20" w:before="48" w:afterLines="20" w:after="48"/>
              <w:jc w:val="center"/>
              <w:rPr>
                <w:noProof/>
                <w:sz w:val="14"/>
              </w:rPr>
            </w:pPr>
            <w:r>
              <w:rPr>
                <w:noProof/>
                <w:sz w:val="14"/>
              </w:rPr>
              <w:t>(4)</w:t>
            </w:r>
          </w:p>
        </w:tc>
        <w:tc>
          <w:tcPr>
            <w:tcW w:w="868" w:type="dxa"/>
            <w:tcBorders>
              <w:top w:val="single" w:sz="4" w:space="0" w:color="auto"/>
            </w:tcBorders>
            <w:vAlign w:val="center"/>
          </w:tcPr>
          <w:p w:rsidR="00190E99" w:rsidRDefault="00190E99">
            <w:pPr>
              <w:spacing w:before="20" w:after="20"/>
              <w:jc w:val="right"/>
              <w:rPr>
                <w:noProof/>
                <w:sz w:val="20"/>
              </w:rPr>
            </w:pPr>
          </w:p>
        </w:tc>
        <w:tc>
          <w:tcPr>
            <w:tcW w:w="868" w:type="dxa"/>
            <w:tcBorders>
              <w:top w:val="single" w:sz="4" w:space="0" w:color="auto"/>
            </w:tcBorders>
            <w:vAlign w:val="center"/>
          </w:tcPr>
          <w:p w:rsidR="00190E99" w:rsidRDefault="00190E99">
            <w:pPr>
              <w:spacing w:before="20" w:after="20"/>
              <w:jc w:val="right"/>
              <w:rPr>
                <w:noProof/>
                <w:sz w:val="20"/>
              </w:rPr>
            </w:pPr>
          </w:p>
        </w:tc>
        <w:tc>
          <w:tcPr>
            <w:tcW w:w="868" w:type="dxa"/>
            <w:tcBorders>
              <w:top w:val="single" w:sz="4" w:space="0" w:color="auto"/>
            </w:tcBorders>
            <w:vAlign w:val="center"/>
          </w:tcPr>
          <w:p w:rsidR="00190E99" w:rsidRDefault="00190E99">
            <w:pPr>
              <w:spacing w:before="20" w:after="20"/>
              <w:jc w:val="right"/>
              <w:rPr>
                <w:noProof/>
                <w:sz w:val="20"/>
              </w:rPr>
            </w:pPr>
          </w:p>
        </w:tc>
        <w:tc>
          <w:tcPr>
            <w:tcW w:w="868" w:type="dxa"/>
            <w:tcBorders>
              <w:top w:val="single" w:sz="4" w:space="0" w:color="auto"/>
            </w:tcBorders>
            <w:vAlign w:val="center"/>
          </w:tcPr>
          <w:p w:rsidR="00190E99" w:rsidRDefault="00190E99">
            <w:pPr>
              <w:spacing w:before="20" w:after="20"/>
              <w:jc w:val="right"/>
              <w:rPr>
                <w:noProof/>
                <w:sz w:val="20"/>
              </w:rPr>
            </w:pPr>
          </w:p>
        </w:tc>
        <w:tc>
          <w:tcPr>
            <w:tcW w:w="868" w:type="dxa"/>
            <w:tcBorders>
              <w:top w:val="single" w:sz="4" w:space="0" w:color="auto"/>
            </w:tcBorders>
            <w:vAlign w:val="center"/>
          </w:tcPr>
          <w:p w:rsidR="00190E99" w:rsidRDefault="00190E99">
            <w:pPr>
              <w:spacing w:before="20" w:after="20"/>
              <w:jc w:val="right"/>
              <w:rPr>
                <w:noProof/>
                <w:sz w:val="20"/>
              </w:rPr>
            </w:pPr>
          </w:p>
        </w:tc>
        <w:tc>
          <w:tcPr>
            <w:tcW w:w="868" w:type="dxa"/>
            <w:tcBorders>
              <w:top w:val="single" w:sz="4" w:space="0" w:color="auto"/>
            </w:tcBorders>
            <w:vAlign w:val="center"/>
          </w:tcPr>
          <w:p w:rsidR="00190E99" w:rsidRDefault="00190E99">
            <w:pPr>
              <w:spacing w:before="20" w:after="20"/>
              <w:jc w:val="right"/>
              <w:rPr>
                <w:noProof/>
                <w:sz w:val="20"/>
              </w:rPr>
            </w:pPr>
          </w:p>
        </w:tc>
        <w:tc>
          <w:tcPr>
            <w:tcW w:w="868" w:type="dxa"/>
            <w:tcBorders>
              <w:top w:val="single" w:sz="4" w:space="0" w:color="auto"/>
            </w:tcBorders>
            <w:vAlign w:val="center"/>
          </w:tcPr>
          <w:p w:rsidR="00190E99" w:rsidRDefault="00190E99">
            <w:pPr>
              <w:spacing w:before="20" w:after="20"/>
              <w:jc w:val="right"/>
              <w:rPr>
                <w:b/>
                <w:noProof/>
                <w:sz w:val="20"/>
              </w:rPr>
            </w:pPr>
          </w:p>
        </w:tc>
        <w:tc>
          <w:tcPr>
            <w:tcW w:w="1777" w:type="dxa"/>
            <w:tcBorders>
              <w:top w:val="single" w:sz="4" w:space="0" w:color="auto"/>
              <w:right w:val="single" w:sz="4" w:space="0" w:color="auto"/>
            </w:tcBorders>
            <w:vAlign w:val="center"/>
          </w:tcPr>
          <w:p w:rsidR="00190E99" w:rsidRDefault="00190E99">
            <w:pPr>
              <w:spacing w:before="20" w:after="20"/>
              <w:jc w:val="right"/>
              <w:rPr>
                <w:b/>
                <w:noProof/>
                <w:sz w:val="20"/>
              </w:rPr>
            </w:pPr>
          </w:p>
        </w:tc>
      </w:tr>
      <w:tr w:rsidR="00190E99">
        <w:tc>
          <w:tcPr>
            <w:tcW w:w="3960" w:type="dxa"/>
            <w:vMerge/>
            <w:tcBorders>
              <w:top w:val="single" w:sz="4" w:space="0" w:color="FF0000"/>
              <w:left w:val="single" w:sz="4" w:space="0" w:color="auto"/>
              <w:bottom w:val="single" w:sz="4" w:space="0" w:color="FF0000"/>
            </w:tcBorders>
          </w:tcPr>
          <w:p w:rsidR="00190E99" w:rsidRDefault="00190E99">
            <w:pPr>
              <w:jc w:val="center"/>
              <w:rPr>
                <w:noProof/>
                <w:sz w:val="20"/>
              </w:rPr>
            </w:pPr>
          </w:p>
        </w:tc>
        <w:tc>
          <w:tcPr>
            <w:tcW w:w="1440" w:type="dxa"/>
            <w:vAlign w:val="center"/>
          </w:tcPr>
          <w:p w:rsidR="00190E99" w:rsidRDefault="00CD4FBA">
            <w:pPr>
              <w:spacing w:beforeLines="20" w:before="48" w:afterLines="20" w:after="48"/>
              <w:rPr>
                <w:noProof/>
                <w:sz w:val="18"/>
              </w:rPr>
            </w:pPr>
            <w:r>
              <w:rPr>
                <w:noProof/>
                <w:sz w:val="18"/>
              </w:rPr>
              <w:t>Payments</w:t>
            </w:r>
          </w:p>
        </w:tc>
        <w:tc>
          <w:tcPr>
            <w:tcW w:w="654" w:type="dxa"/>
            <w:vAlign w:val="center"/>
          </w:tcPr>
          <w:p w:rsidR="00190E99" w:rsidRDefault="00CD4FBA">
            <w:pPr>
              <w:spacing w:beforeLines="20" w:before="48" w:afterLines="20" w:after="48"/>
              <w:jc w:val="center"/>
              <w:rPr>
                <w:noProof/>
                <w:sz w:val="14"/>
              </w:rPr>
            </w:pPr>
            <w:r>
              <w:rPr>
                <w:noProof/>
                <w:sz w:val="14"/>
              </w:rPr>
              <w:t>(5)</w:t>
            </w: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b/>
                <w:noProof/>
                <w:sz w:val="20"/>
              </w:rPr>
            </w:pPr>
          </w:p>
        </w:tc>
        <w:tc>
          <w:tcPr>
            <w:tcW w:w="1777" w:type="dxa"/>
            <w:tcBorders>
              <w:right w:val="single" w:sz="4" w:space="0" w:color="auto"/>
            </w:tcBorders>
            <w:vAlign w:val="center"/>
          </w:tcPr>
          <w:p w:rsidR="00190E99" w:rsidRDefault="00190E99">
            <w:pPr>
              <w:spacing w:before="20" w:after="20"/>
              <w:jc w:val="right"/>
              <w:rPr>
                <w:b/>
                <w:noProof/>
                <w:sz w:val="20"/>
              </w:rPr>
            </w:pPr>
          </w:p>
        </w:tc>
      </w:tr>
      <w:tr w:rsidR="00190E99">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rsidR="00190E99" w:rsidRDefault="00CD4FBA">
            <w:pPr>
              <w:spacing w:beforeLines="20" w:before="48" w:afterLines="20" w:after="48"/>
              <w:rPr>
                <w:noProof/>
              </w:rPr>
            </w:pPr>
            <w:r>
              <w:rPr>
                <w:noProof/>
                <w:sz w:val="21"/>
              </w:rPr>
              <w:t xml:space="preserve"> TOTAL appropriations of an administrative nature financed from the envelope for specific programmes (all operational headings)</w:t>
            </w:r>
          </w:p>
        </w:tc>
        <w:tc>
          <w:tcPr>
            <w:tcW w:w="654" w:type="dxa"/>
            <w:vAlign w:val="center"/>
          </w:tcPr>
          <w:p w:rsidR="00190E99" w:rsidRDefault="00190E99">
            <w:pPr>
              <w:rPr>
                <w:noProof/>
              </w:rPr>
            </w:pPr>
          </w:p>
          <w:p w:rsidR="00190E99" w:rsidRDefault="00CD4FBA">
            <w:pPr>
              <w:spacing w:beforeLines="20" w:before="48" w:afterLines="20" w:after="48"/>
              <w:jc w:val="center"/>
              <w:rPr>
                <w:noProof/>
                <w:sz w:val="14"/>
              </w:rPr>
            </w:pPr>
            <w:r>
              <w:rPr>
                <w:noProof/>
                <w:sz w:val="14"/>
              </w:rPr>
              <w:t>(6)</w:t>
            </w:r>
          </w:p>
        </w:tc>
        <w:tc>
          <w:tcPr>
            <w:tcW w:w="868" w:type="dxa"/>
            <w:vAlign w:val="center"/>
          </w:tcPr>
          <w:p w:rsidR="00190E99" w:rsidRDefault="00190E99">
            <w:pPr>
              <w:spacing w:before="20" w:after="20"/>
              <w:jc w:val="right"/>
              <w:rPr>
                <w:b/>
                <w:noProof/>
                <w:sz w:val="20"/>
              </w:rPr>
            </w:pPr>
          </w:p>
        </w:tc>
        <w:tc>
          <w:tcPr>
            <w:tcW w:w="868" w:type="dxa"/>
            <w:vAlign w:val="center"/>
          </w:tcPr>
          <w:p w:rsidR="00190E99" w:rsidRDefault="00190E99">
            <w:pPr>
              <w:spacing w:before="20" w:after="20"/>
              <w:jc w:val="right"/>
              <w:rPr>
                <w:b/>
                <w:noProof/>
                <w:sz w:val="20"/>
              </w:rPr>
            </w:pPr>
          </w:p>
        </w:tc>
        <w:tc>
          <w:tcPr>
            <w:tcW w:w="868" w:type="dxa"/>
            <w:vAlign w:val="center"/>
          </w:tcPr>
          <w:p w:rsidR="00190E99" w:rsidRDefault="00190E99">
            <w:pPr>
              <w:spacing w:before="20" w:after="20"/>
              <w:jc w:val="right"/>
              <w:rPr>
                <w:b/>
                <w:noProof/>
                <w:sz w:val="20"/>
              </w:rPr>
            </w:pPr>
          </w:p>
        </w:tc>
        <w:tc>
          <w:tcPr>
            <w:tcW w:w="868" w:type="dxa"/>
            <w:vAlign w:val="center"/>
          </w:tcPr>
          <w:p w:rsidR="00190E99" w:rsidRDefault="00190E99">
            <w:pPr>
              <w:spacing w:before="20" w:after="20"/>
              <w:jc w:val="right"/>
              <w:rPr>
                <w:b/>
                <w:noProof/>
                <w:sz w:val="20"/>
              </w:rPr>
            </w:pPr>
          </w:p>
        </w:tc>
        <w:tc>
          <w:tcPr>
            <w:tcW w:w="868" w:type="dxa"/>
            <w:vAlign w:val="center"/>
          </w:tcPr>
          <w:p w:rsidR="00190E99" w:rsidRDefault="00190E99">
            <w:pPr>
              <w:spacing w:before="20" w:after="20"/>
              <w:jc w:val="right"/>
              <w:rPr>
                <w:b/>
                <w:noProof/>
                <w:sz w:val="20"/>
              </w:rPr>
            </w:pPr>
          </w:p>
        </w:tc>
        <w:tc>
          <w:tcPr>
            <w:tcW w:w="868" w:type="dxa"/>
            <w:vAlign w:val="center"/>
          </w:tcPr>
          <w:p w:rsidR="00190E99" w:rsidRDefault="00190E99">
            <w:pPr>
              <w:spacing w:before="20" w:after="20"/>
              <w:jc w:val="right"/>
              <w:rPr>
                <w:b/>
                <w:noProof/>
                <w:sz w:val="20"/>
              </w:rPr>
            </w:pPr>
          </w:p>
        </w:tc>
        <w:tc>
          <w:tcPr>
            <w:tcW w:w="868" w:type="dxa"/>
            <w:vAlign w:val="center"/>
          </w:tcPr>
          <w:p w:rsidR="00190E99" w:rsidRDefault="00190E99">
            <w:pPr>
              <w:spacing w:before="20" w:after="20"/>
              <w:jc w:val="right"/>
              <w:rPr>
                <w:b/>
                <w:noProof/>
                <w:sz w:val="20"/>
              </w:rPr>
            </w:pPr>
          </w:p>
        </w:tc>
        <w:tc>
          <w:tcPr>
            <w:tcW w:w="1777" w:type="dxa"/>
            <w:vAlign w:val="center"/>
          </w:tcPr>
          <w:p w:rsidR="00190E99" w:rsidRDefault="00190E99">
            <w:pPr>
              <w:spacing w:before="20" w:after="20"/>
              <w:jc w:val="right"/>
              <w:rPr>
                <w:b/>
                <w:noProof/>
                <w:sz w:val="20"/>
              </w:rPr>
            </w:pPr>
          </w:p>
        </w:tc>
      </w:tr>
      <w:tr w:rsidR="00190E99">
        <w:tc>
          <w:tcPr>
            <w:tcW w:w="3960" w:type="dxa"/>
            <w:vMerge w:val="restart"/>
            <w:tcBorders>
              <w:top w:val="single" w:sz="4" w:space="0" w:color="FF0000"/>
              <w:left w:val="single" w:sz="4" w:space="0" w:color="auto"/>
              <w:bottom w:val="single" w:sz="4" w:space="0" w:color="FF0000"/>
            </w:tcBorders>
            <w:shd w:val="thinDiagStripe" w:color="C0C0C0" w:fill="auto"/>
            <w:vAlign w:val="center"/>
          </w:tcPr>
          <w:p w:rsidR="00190E99" w:rsidRDefault="00CD4FBA">
            <w:pPr>
              <w:jc w:val="center"/>
              <w:rPr>
                <w:b/>
                <w:noProof/>
              </w:rPr>
            </w:pPr>
            <w:r>
              <w:rPr>
                <w:b/>
                <w:noProof/>
                <w:sz w:val="22"/>
              </w:rPr>
              <w:t xml:space="preserve">TOTAL appropriations </w:t>
            </w:r>
            <w:r>
              <w:rPr>
                <w:noProof/>
                <w:sz w:val="22"/>
              </w:rPr>
              <w:br/>
            </w:r>
            <w:r>
              <w:rPr>
                <w:b/>
                <w:noProof/>
                <w:sz w:val="22"/>
              </w:rPr>
              <w:t>under HEADINGS 1 to 4</w:t>
            </w:r>
            <w:r>
              <w:rPr>
                <w:noProof/>
                <w:sz w:val="22"/>
              </w:rPr>
              <w:br/>
              <w:t>of the multiannual financial framework</w:t>
            </w:r>
            <w:r>
              <w:rPr>
                <w:noProof/>
                <w:sz w:val="22"/>
              </w:rPr>
              <w:br/>
            </w:r>
            <w:r>
              <w:rPr>
                <w:noProof/>
                <w:sz w:val="20"/>
              </w:rPr>
              <w:t>(Reference amount)</w:t>
            </w:r>
          </w:p>
        </w:tc>
        <w:tc>
          <w:tcPr>
            <w:tcW w:w="1440" w:type="dxa"/>
            <w:vAlign w:val="center"/>
          </w:tcPr>
          <w:p w:rsidR="00190E99" w:rsidRDefault="00CD4FBA">
            <w:pPr>
              <w:rPr>
                <w:noProof/>
                <w:sz w:val="18"/>
              </w:rPr>
            </w:pPr>
            <w:r>
              <w:rPr>
                <w:noProof/>
                <w:sz w:val="18"/>
              </w:rPr>
              <w:t>Commitments</w:t>
            </w:r>
          </w:p>
        </w:tc>
        <w:tc>
          <w:tcPr>
            <w:tcW w:w="654" w:type="dxa"/>
            <w:vAlign w:val="center"/>
          </w:tcPr>
          <w:p w:rsidR="00190E99" w:rsidRDefault="00CD4FBA">
            <w:pPr>
              <w:jc w:val="center"/>
              <w:rPr>
                <w:noProof/>
                <w:sz w:val="14"/>
              </w:rPr>
            </w:pPr>
            <w:r>
              <w:rPr>
                <w:noProof/>
                <w:sz w:val="14"/>
              </w:rPr>
              <w:t>=4+ 6</w:t>
            </w: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b/>
                <w:noProof/>
                <w:sz w:val="20"/>
              </w:rPr>
            </w:pPr>
          </w:p>
        </w:tc>
        <w:tc>
          <w:tcPr>
            <w:tcW w:w="1777" w:type="dxa"/>
            <w:tcBorders>
              <w:right w:val="single" w:sz="4" w:space="0" w:color="auto"/>
            </w:tcBorders>
            <w:vAlign w:val="center"/>
          </w:tcPr>
          <w:p w:rsidR="00190E99" w:rsidRDefault="00190E99">
            <w:pPr>
              <w:spacing w:before="20" w:after="20"/>
              <w:jc w:val="right"/>
              <w:rPr>
                <w:b/>
                <w:noProof/>
                <w:sz w:val="20"/>
              </w:rPr>
            </w:pPr>
          </w:p>
        </w:tc>
      </w:tr>
      <w:tr w:rsidR="00190E99">
        <w:tc>
          <w:tcPr>
            <w:tcW w:w="3960" w:type="dxa"/>
            <w:vMerge/>
            <w:tcBorders>
              <w:top w:val="single" w:sz="4" w:space="0" w:color="FF0000"/>
              <w:left w:val="single" w:sz="4" w:space="0" w:color="auto"/>
              <w:bottom w:val="single" w:sz="4" w:space="0" w:color="auto"/>
            </w:tcBorders>
            <w:shd w:val="thinDiagStripe" w:color="C0C0C0" w:fill="auto"/>
          </w:tcPr>
          <w:p w:rsidR="00190E99" w:rsidRDefault="00190E99">
            <w:pPr>
              <w:rPr>
                <w:noProof/>
                <w:sz w:val="20"/>
              </w:rPr>
            </w:pPr>
          </w:p>
        </w:tc>
        <w:tc>
          <w:tcPr>
            <w:tcW w:w="1440" w:type="dxa"/>
            <w:tcBorders>
              <w:bottom w:val="single" w:sz="4" w:space="0" w:color="auto"/>
            </w:tcBorders>
            <w:vAlign w:val="center"/>
          </w:tcPr>
          <w:p w:rsidR="00190E99" w:rsidRDefault="00CD4FBA">
            <w:pPr>
              <w:rPr>
                <w:noProof/>
                <w:sz w:val="18"/>
              </w:rPr>
            </w:pPr>
            <w:r>
              <w:rPr>
                <w:noProof/>
                <w:sz w:val="18"/>
              </w:rPr>
              <w:t>Payments</w:t>
            </w:r>
          </w:p>
        </w:tc>
        <w:tc>
          <w:tcPr>
            <w:tcW w:w="654" w:type="dxa"/>
            <w:tcBorders>
              <w:bottom w:val="single" w:sz="4" w:space="0" w:color="auto"/>
            </w:tcBorders>
            <w:vAlign w:val="center"/>
          </w:tcPr>
          <w:p w:rsidR="00190E99" w:rsidRDefault="00CD4FBA">
            <w:pPr>
              <w:jc w:val="center"/>
              <w:rPr>
                <w:noProof/>
                <w:sz w:val="14"/>
              </w:rPr>
            </w:pPr>
            <w:r>
              <w:rPr>
                <w:noProof/>
                <w:sz w:val="14"/>
              </w:rPr>
              <w:t>=5+ 6</w:t>
            </w:r>
          </w:p>
        </w:tc>
        <w:tc>
          <w:tcPr>
            <w:tcW w:w="868" w:type="dxa"/>
            <w:tcBorders>
              <w:bottom w:val="single" w:sz="4" w:space="0" w:color="auto"/>
            </w:tcBorders>
            <w:vAlign w:val="center"/>
          </w:tcPr>
          <w:p w:rsidR="00190E99" w:rsidRDefault="00190E99">
            <w:pPr>
              <w:spacing w:before="20" w:after="20"/>
              <w:jc w:val="right"/>
              <w:rPr>
                <w:noProof/>
                <w:sz w:val="20"/>
              </w:rPr>
            </w:pPr>
          </w:p>
        </w:tc>
        <w:tc>
          <w:tcPr>
            <w:tcW w:w="868" w:type="dxa"/>
            <w:tcBorders>
              <w:bottom w:val="single" w:sz="4" w:space="0" w:color="auto"/>
            </w:tcBorders>
            <w:vAlign w:val="center"/>
          </w:tcPr>
          <w:p w:rsidR="00190E99" w:rsidRDefault="00190E99">
            <w:pPr>
              <w:spacing w:before="20" w:after="20"/>
              <w:jc w:val="right"/>
              <w:rPr>
                <w:noProof/>
                <w:sz w:val="20"/>
              </w:rPr>
            </w:pPr>
          </w:p>
        </w:tc>
        <w:tc>
          <w:tcPr>
            <w:tcW w:w="868" w:type="dxa"/>
            <w:tcBorders>
              <w:bottom w:val="single" w:sz="4" w:space="0" w:color="auto"/>
            </w:tcBorders>
            <w:vAlign w:val="center"/>
          </w:tcPr>
          <w:p w:rsidR="00190E99" w:rsidRDefault="00190E99">
            <w:pPr>
              <w:spacing w:before="20" w:after="20"/>
              <w:jc w:val="right"/>
              <w:rPr>
                <w:noProof/>
                <w:sz w:val="20"/>
              </w:rPr>
            </w:pPr>
          </w:p>
        </w:tc>
        <w:tc>
          <w:tcPr>
            <w:tcW w:w="868" w:type="dxa"/>
            <w:tcBorders>
              <w:bottom w:val="single" w:sz="4" w:space="0" w:color="auto"/>
            </w:tcBorders>
            <w:vAlign w:val="center"/>
          </w:tcPr>
          <w:p w:rsidR="00190E99" w:rsidRDefault="00190E99">
            <w:pPr>
              <w:spacing w:before="20" w:after="20"/>
              <w:jc w:val="right"/>
              <w:rPr>
                <w:noProof/>
                <w:sz w:val="20"/>
              </w:rPr>
            </w:pPr>
          </w:p>
        </w:tc>
        <w:tc>
          <w:tcPr>
            <w:tcW w:w="868" w:type="dxa"/>
            <w:tcBorders>
              <w:bottom w:val="single" w:sz="4" w:space="0" w:color="auto"/>
            </w:tcBorders>
            <w:vAlign w:val="center"/>
          </w:tcPr>
          <w:p w:rsidR="00190E99" w:rsidRDefault="00190E99">
            <w:pPr>
              <w:spacing w:before="20" w:after="20"/>
              <w:jc w:val="right"/>
              <w:rPr>
                <w:noProof/>
                <w:sz w:val="20"/>
              </w:rPr>
            </w:pPr>
          </w:p>
        </w:tc>
        <w:tc>
          <w:tcPr>
            <w:tcW w:w="868" w:type="dxa"/>
            <w:tcBorders>
              <w:bottom w:val="single" w:sz="4" w:space="0" w:color="auto"/>
            </w:tcBorders>
            <w:vAlign w:val="center"/>
          </w:tcPr>
          <w:p w:rsidR="00190E99" w:rsidRDefault="00190E99">
            <w:pPr>
              <w:spacing w:before="20" w:after="20"/>
              <w:jc w:val="right"/>
              <w:rPr>
                <w:noProof/>
                <w:sz w:val="20"/>
              </w:rPr>
            </w:pPr>
          </w:p>
        </w:tc>
        <w:tc>
          <w:tcPr>
            <w:tcW w:w="868" w:type="dxa"/>
            <w:tcBorders>
              <w:bottom w:val="single" w:sz="4" w:space="0" w:color="auto"/>
            </w:tcBorders>
            <w:vAlign w:val="center"/>
          </w:tcPr>
          <w:p w:rsidR="00190E99" w:rsidRDefault="00190E99">
            <w:pPr>
              <w:spacing w:before="20" w:after="20"/>
              <w:jc w:val="right"/>
              <w:rPr>
                <w:b/>
                <w:noProof/>
                <w:sz w:val="20"/>
              </w:rPr>
            </w:pPr>
          </w:p>
        </w:tc>
        <w:tc>
          <w:tcPr>
            <w:tcW w:w="1777" w:type="dxa"/>
            <w:tcBorders>
              <w:bottom w:val="single" w:sz="4" w:space="0" w:color="auto"/>
              <w:right w:val="single" w:sz="4" w:space="0" w:color="auto"/>
            </w:tcBorders>
            <w:vAlign w:val="center"/>
          </w:tcPr>
          <w:p w:rsidR="00190E99" w:rsidRDefault="00190E99">
            <w:pPr>
              <w:spacing w:before="20" w:after="20"/>
              <w:jc w:val="right"/>
              <w:rPr>
                <w:b/>
                <w:noProof/>
                <w:sz w:val="20"/>
              </w:rPr>
            </w:pPr>
          </w:p>
        </w:tc>
      </w:tr>
    </w:tbl>
    <w:p w:rsidR="00190E99" w:rsidRDefault="00190E99">
      <w:pPr>
        <w:rPr>
          <w:noProof/>
        </w:rPr>
      </w:pPr>
    </w:p>
    <w:p w:rsidR="00190E99" w:rsidRDefault="00CD4FBA">
      <w:pPr>
        <w:spacing w:before="0" w:after="0"/>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90E99">
        <w:trPr>
          <w:jc w:val="center"/>
        </w:trPr>
        <w:tc>
          <w:tcPr>
            <w:tcW w:w="4744" w:type="dxa"/>
            <w:shd w:val="thinDiagStripe" w:color="C0C0C0" w:fill="auto"/>
            <w:vAlign w:val="center"/>
          </w:tcPr>
          <w:p w:rsidR="00190E99" w:rsidRDefault="00CD4FBA">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rsidR="00190E99" w:rsidRDefault="00CD4FBA">
            <w:pPr>
              <w:spacing w:before="60" w:after="60"/>
              <w:jc w:val="center"/>
              <w:rPr>
                <w:noProof/>
              </w:rPr>
            </w:pPr>
            <w:r>
              <w:rPr>
                <w:b/>
                <w:noProof/>
                <w:sz w:val="22"/>
              </w:rPr>
              <w:t>5</w:t>
            </w:r>
          </w:p>
        </w:tc>
        <w:tc>
          <w:tcPr>
            <w:tcW w:w="7817" w:type="dxa"/>
            <w:vAlign w:val="center"/>
          </w:tcPr>
          <w:p w:rsidR="00190E99" w:rsidRDefault="00CD4FBA">
            <w:pPr>
              <w:spacing w:before="60" w:after="60"/>
              <w:rPr>
                <w:noProof/>
              </w:rPr>
            </w:pPr>
            <w:r>
              <w:rPr>
                <w:noProof/>
                <w:sz w:val="22"/>
              </w:rPr>
              <w:t>‘Administrative expenditure’</w:t>
            </w:r>
          </w:p>
        </w:tc>
      </w:tr>
    </w:tbl>
    <w:p w:rsidR="00190E99" w:rsidRDefault="00CD4FBA">
      <w:pPr>
        <w:jc w:val="left"/>
        <w:rPr>
          <w:noProof/>
          <w:sz w:val="20"/>
        </w:rPr>
      </w:pPr>
      <w:r>
        <w:rPr>
          <w:noProof/>
        </w:rPr>
        <w:t xml:space="preserve">This section should be filled in using the 'budget data of an administrative nature' to be firstly introduced in the </w:t>
      </w:r>
      <w:hyperlink r:id="rId17" w:history="1">
        <w:r>
          <w:rPr>
            <w:rStyle w:val="Hyperlink"/>
            <w:noProof/>
          </w:rPr>
          <w:t>Annex to the Legislative Financial Statement</w:t>
        </w:r>
      </w:hyperlink>
      <w:r>
        <w:rPr>
          <w:noProof/>
        </w:rPr>
        <w:t xml:space="preserve"> (Annex V to the internal rules), which is uploaded to DECIDE for interservice c</w:t>
      </w:r>
      <w:r>
        <w:rPr>
          <w:noProof/>
        </w:rPr>
        <w:t>onsultation purposes.</w:t>
      </w:r>
    </w:p>
    <w:p w:rsidR="00190E99" w:rsidRDefault="00CD4FBA">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190E99">
        <w:tc>
          <w:tcPr>
            <w:tcW w:w="3960" w:type="dxa"/>
            <w:tcBorders>
              <w:top w:val="nil"/>
              <w:left w:val="nil"/>
              <w:right w:val="nil"/>
            </w:tcBorders>
            <w:vAlign w:val="center"/>
          </w:tcPr>
          <w:p w:rsidR="00190E99" w:rsidRDefault="00190E99">
            <w:pPr>
              <w:jc w:val="center"/>
              <w:rPr>
                <w:noProof/>
              </w:rPr>
            </w:pPr>
          </w:p>
        </w:tc>
        <w:tc>
          <w:tcPr>
            <w:tcW w:w="1560" w:type="dxa"/>
            <w:tcBorders>
              <w:top w:val="nil"/>
              <w:left w:val="nil"/>
              <w:right w:val="nil"/>
            </w:tcBorders>
          </w:tcPr>
          <w:p w:rsidR="00190E99" w:rsidRDefault="00190E99">
            <w:pPr>
              <w:rPr>
                <w:noProof/>
                <w:sz w:val="20"/>
              </w:rPr>
            </w:pPr>
          </w:p>
        </w:tc>
        <w:tc>
          <w:tcPr>
            <w:tcW w:w="534" w:type="dxa"/>
            <w:tcBorders>
              <w:top w:val="nil"/>
              <w:left w:val="nil"/>
            </w:tcBorders>
          </w:tcPr>
          <w:p w:rsidR="00190E99" w:rsidRDefault="00190E99">
            <w:pPr>
              <w:jc w:val="center"/>
              <w:rPr>
                <w:noProof/>
                <w:sz w:val="20"/>
              </w:rPr>
            </w:pPr>
          </w:p>
        </w:tc>
        <w:tc>
          <w:tcPr>
            <w:tcW w:w="868" w:type="dxa"/>
            <w:vAlign w:val="center"/>
          </w:tcPr>
          <w:p w:rsidR="00190E99" w:rsidRDefault="00CD4FBA">
            <w:pPr>
              <w:jc w:val="center"/>
              <w:rPr>
                <w:noProof/>
                <w:sz w:val="20"/>
              </w:rPr>
            </w:pPr>
            <w:r>
              <w:rPr>
                <w:noProof/>
                <w:sz w:val="20"/>
              </w:rPr>
              <w:t>Year</w:t>
            </w:r>
            <w:r>
              <w:rPr>
                <w:noProof/>
                <w:sz w:val="22"/>
              </w:rPr>
              <w:br/>
            </w:r>
            <w:r>
              <w:rPr>
                <w:b/>
                <w:noProof/>
                <w:sz w:val="20"/>
              </w:rPr>
              <w:t>N</w:t>
            </w:r>
          </w:p>
        </w:tc>
        <w:tc>
          <w:tcPr>
            <w:tcW w:w="868" w:type="dxa"/>
            <w:vAlign w:val="center"/>
          </w:tcPr>
          <w:p w:rsidR="00190E99" w:rsidRDefault="00CD4FBA">
            <w:pPr>
              <w:jc w:val="center"/>
              <w:rPr>
                <w:noProof/>
                <w:sz w:val="20"/>
              </w:rPr>
            </w:pPr>
            <w:r>
              <w:rPr>
                <w:noProof/>
                <w:sz w:val="20"/>
              </w:rPr>
              <w:t>Year</w:t>
            </w:r>
            <w:r>
              <w:rPr>
                <w:noProof/>
                <w:sz w:val="22"/>
              </w:rPr>
              <w:br/>
            </w:r>
            <w:r>
              <w:rPr>
                <w:b/>
                <w:noProof/>
                <w:sz w:val="20"/>
              </w:rPr>
              <w:t>N+1</w:t>
            </w:r>
          </w:p>
        </w:tc>
        <w:tc>
          <w:tcPr>
            <w:tcW w:w="868" w:type="dxa"/>
            <w:vAlign w:val="center"/>
          </w:tcPr>
          <w:p w:rsidR="00190E99" w:rsidRDefault="00CD4FBA">
            <w:pPr>
              <w:jc w:val="center"/>
              <w:rPr>
                <w:noProof/>
                <w:sz w:val="20"/>
              </w:rPr>
            </w:pPr>
            <w:r>
              <w:rPr>
                <w:noProof/>
                <w:sz w:val="20"/>
              </w:rPr>
              <w:t>Year</w:t>
            </w:r>
            <w:r>
              <w:rPr>
                <w:noProof/>
                <w:sz w:val="22"/>
              </w:rPr>
              <w:br/>
            </w:r>
            <w:r>
              <w:rPr>
                <w:b/>
                <w:noProof/>
                <w:sz w:val="20"/>
              </w:rPr>
              <w:t>N+2</w:t>
            </w:r>
          </w:p>
        </w:tc>
        <w:tc>
          <w:tcPr>
            <w:tcW w:w="868" w:type="dxa"/>
            <w:vAlign w:val="center"/>
          </w:tcPr>
          <w:p w:rsidR="00190E99" w:rsidRDefault="00CD4FBA">
            <w:pPr>
              <w:jc w:val="center"/>
              <w:rPr>
                <w:noProof/>
                <w:sz w:val="20"/>
              </w:rPr>
            </w:pPr>
            <w:r>
              <w:rPr>
                <w:noProof/>
                <w:sz w:val="20"/>
              </w:rPr>
              <w:t>Year</w:t>
            </w:r>
            <w:r>
              <w:rPr>
                <w:noProof/>
                <w:sz w:val="22"/>
              </w:rPr>
              <w:br/>
            </w:r>
            <w:r>
              <w:rPr>
                <w:b/>
                <w:noProof/>
                <w:sz w:val="20"/>
              </w:rPr>
              <w:t>N+3</w:t>
            </w:r>
          </w:p>
        </w:tc>
        <w:tc>
          <w:tcPr>
            <w:tcW w:w="2604" w:type="dxa"/>
            <w:gridSpan w:val="3"/>
            <w:vAlign w:val="center"/>
          </w:tcPr>
          <w:p w:rsidR="00190E99" w:rsidRDefault="00CD4FBA">
            <w:pPr>
              <w:jc w:val="center"/>
              <w:rPr>
                <w:b/>
                <w:noProof/>
                <w:sz w:val="18"/>
              </w:rPr>
            </w:pPr>
            <w:r>
              <w:rPr>
                <w:noProof/>
                <w:sz w:val="18"/>
              </w:rPr>
              <w:t xml:space="preserve">Enter as many years as necessary to show the duration of the impact (see point 1.6) </w:t>
            </w:r>
          </w:p>
        </w:tc>
        <w:tc>
          <w:tcPr>
            <w:tcW w:w="1777" w:type="dxa"/>
            <w:vAlign w:val="center"/>
          </w:tcPr>
          <w:p w:rsidR="00190E99" w:rsidRDefault="00CD4FBA">
            <w:pPr>
              <w:jc w:val="center"/>
              <w:rPr>
                <w:b/>
                <w:noProof/>
                <w:sz w:val="20"/>
              </w:rPr>
            </w:pPr>
            <w:r>
              <w:rPr>
                <w:b/>
                <w:noProof/>
                <w:sz w:val="20"/>
              </w:rPr>
              <w:t>TOTAL</w:t>
            </w:r>
          </w:p>
        </w:tc>
      </w:tr>
      <w:tr w:rsidR="00190E99">
        <w:trPr>
          <w:gridAfter w:val="10"/>
          <w:wAfter w:w="9947" w:type="dxa"/>
        </w:trPr>
        <w:tc>
          <w:tcPr>
            <w:tcW w:w="3960" w:type="dxa"/>
            <w:vAlign w:val="center"/>
          </w:tcPr>
          <w:p w:rsidR="00190E99" w:rsidRDefault="00CD4FBA">
            <w:pPr>
              <w:spacing w:before="60" w:after="60"/>
              <w:jc w:val="center"/>
              <w:rPr>
                <w:noProof/>
              </w:rPr>
            </w:pPr>
            <w:r>
              <w:rPr>
                <w:noProof/>
                <w:sz w:val="22"/>
              </w:rPr>
              <w:t>DG: SG (and potentially SJ, …)</w:t>
            </w:r>
          </w:p>
        </w:tc>
      </w:tr>
      <w:tr w:rsidR="00190E99">
        <w:trPr>
          <w:trHeight w:val="313"/>
        </w:trPr>
        <w:tc>
          <w:tcPr>
            <w:tcW w:w="6054" w:type="dxa"/>
            <w:gridSpan w:val="3"/>
            <w:vAlign w:val="center"/>
          </w:tcPr>
          <w:p w:rsidR="00190E99" w:rsidRDefault="00CD4FBA">
            <w:pPr>
              <w:spacing w:before="20" w:after="20"/>
              <w:rPr>
                <w:noProof/>
              </w:rPr>
            </w:pPr>
            <w:r>
              <w:rPr>
                <w:noProof/>
                <w:sz w:val="22"/>
              </w:rPr>
              <w:sym w:font="Wingdings" w:char="F09F"/>
            </w:r>
            <w:r>
              <w:rPr>
                <w:noProof/>
                <w:sz w:val="22"/>
              </w:rPr>
              <w:t xml:space="preserve"> Human resources </w:t>
            </w:r>
          </w:p>
        </w:tc>
        <w:tc>
          <w:tcPr>
            <w:tcW w:w="868" w:type="dxa"/>
            <w:vAlign w:val="center"/>
          </w:tcPr>
          <w:p w:rsidR="00190E99" w:rsidRDefault="00CD4FBA">
            <w:pPr>
              <w:spacing w:before="20" w:after="20"/>
              <w:jc w:val="right"/>
              <w:rPr>
                <w:noProof/>
                <w:sz w:val="18"/>
                <w:szCs w:val="18"/>
              </w:rPr>
            </w:pPr>
            <w:r>
              <w:rPr>
                <w:noProof/>
                <w:sz w:val="18"/>
                <w:szCs w:val="18"/>
              </w:rPr>
              <w:t>286 000</w:t>
            </w:r>
          </w:p>
        </w:tc>
        <w:tc>
          <w:tcPr>
            <w:tcW w:w="868" w:type="dxa"/>
            <w:vAlign w:val="center"/>
          </w:tcPr>
          <w:p w:rsidR="00190E99" w:rsidRDefault="00CD4FBA">
            <w:pPr>
              <w:spacing w:before="20" w:after="20"/>
              <w:jc w:val="right"/>
              <w:rPr>
                <w:noProof/>
                <w:sz w:val="18"/>
                <w:szCs w:val="18"/>
              </w:rPr>
            </w:pPr>
            <w:r>
              <w:rPr>
                <w:noProof/>
                <w:sz w:val="18"/>
                <w:szCs w:val="18"/>
              </w:rPr>
              <w:t>286 000</w:t>
            </w:r>
          </w:p>
        </w:tc>
        <w:tc>
          <w:tcPr>
            <w:tcW w:w="868" w:type="dxa"/>
            <w:vAlign w:val="center"/>
          </w:tcPr>
          <w:p w:rsidR="00190E99" w:rsidRDefault="00CD4FBA">
            <w:pPr>
              <w:spacing w:before="20" w:after="20"/>
              <w:jc w:val="right"/>
              <w:rPr>
                <w:noProof/>
                <w:sz w:val="18"/>
                <w:szCs w:val="18"/>
              </w:rPr>
            </w:pPr>
            <w:r>
              <w:rPr>
                <w:noProof/>
                <w:sz w:val="18"/>
                <w:szCs w:val="18"/>
              </w:rPr>
              <w:t>286 000</w:t>
            </w:r>
          </w:p>
        </w:tc>
        <w:tc>
          <w:tcPr>
            <w:tcW w:w="868" w:type="dxa"/>
            <w:vAlign w:val="center"/>
          </w:tcPr>
          <w:p w:rsidR="00190E99" w:rsidRDefault="00CD4FBA">
            <w:pPr>
              <w:spacing w:before="20" w:after="20"/>
              <w:jc w:val="right"/>
              <w:rPr>
                <w:noProof/>
                <w:sz w:val="18"/>
                <w:szCs w:val="18"/>
              </w:rPr>
            </w:pPr>
            <w:r>
              <w:rPr>
                <w:noProof/>
                <w:sz w:val="18"/>
                <w:szCs w:val="18"/>
              </w:rPr>
              <w:t>286 000</w:t>
            </w: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b/>
                <w:noProof/>
                <w:sz w:val="20"/>
              </w:rPr>
            </w:pPr>
          </w:p>
        </w:tc>
        <w:tc>
          <w:tcPr>
            <w:tcW w:w="1777" w:type="dxa"/>
            <w:vAlign w:val="center"/>
          </w:tcPr>
          <w:p w:rsidR="00190E99" w:rsidRDefault="00190E99">
            <w:pPr>
              <w:spacing w:before="20" w:after="20"/>
              <w:jc w:val="right"/>
              <w:rPr>
                <w:b/>
                <w:noProof/>
                <w:sz w:val="20"/>
              </w:rPr>
            </w:pPr>
          </w:p>
        </w:tc>
      </w:tr>
      <w:tr w:rsidR="00190E99">
        <w:trPr>
          <w:trHeight w:val="351"/>
        </w:trPr>
        <w:tc>
          <w:tcPr>
            <w:tcW w:w="6054" w:type="dxa"/>
            <w:gridSpan w:val="3"/>
            <w:vAlign w:val="center"/>
          </w:tcPr>
          <w:p w:rsidR="00190E99" w:rsidRDefault="00CD4FBA">
            <w:pPr>
              <w:spacing w:before="20" w:after="20"/>
              <w:rPr>
                <w:noProof/>
              </w:rPr>
            </w:pPr>
            <w:r>
              <w:rPr>
                <w:noProof/>
                <w:sz w:val="22"/>
              </w:rPr>
              <w:sym w:font="Wingdings" w:char="F09F"/>
            </w:r>
            <w:r>
              <w:rPr>
                <w:noProof/>
                <w:sz w:val="22"/>
              </w:rPr>
              <w:t xml:space="preserve"> Other administrative expenditure </w:t>
            </w:r>
          </w:p>
        </w:tc>
        <w:tc>
          <w:tcPr>
            <w:tcW w:w="868" w:type="dxa"/>
            <w:vAlign w:val="center"/>
          </w:tcPr>
          <w:p w:rsidR="00190E99" w:rsidRDefault="00CD4FBA">
            <w:pPr>
              <w:spacing w:before="20" w:after="20"/>
              <w:jc w:val="right"/>
              <w:rPr>
                <w:noProof/>
                <w:sz w:val="18"/>
                <w:szCs w:val="18"/>
              </w:rPr>
            </w:pPr>
            <w:r>
              <w:rPr>
                <w:noProof/>
                <w:sz w:val="18"/>
                <w:szCs w:val="18"/>
              </w:rPr>
              <w:t>2 000</w:t>
            </w:r>
          </w:p>
        </w:tc>
        <w:tc>
          <w:tcPr>
            <w:tcW w:w="868" w:type="dxa"/>
            <w:vAlign w:val="center"/>
          </w:tcPr>
          <w:p w:rsidR="00190E99" w:rsidRDefault="00CD4FBA">
            <w:pPr>
              <w:spacing w:before="20" w:after="20"/>
              <w:jc w:val="right"/>
              <w:rPr>
                <w:noProof/>
                <w:sz w:val="18"/>
                <w:szCs w:val="18"/>
              </w:rPr>
            </w:pPr>
            <w:r>
              <w:rPr>
                <w:noProof/>
                <w:sz w:val="18"/>
                <w:szCs w:val="18"/>
              </w:rPr>
              <w:t>2 000</w:t>
            </w:r>
          </w:p>
        </w:tc>
        <w:tc>
          <w:tcPr>
            <w:tcW w:w="868" w:type="dxa"/>
            <w:vAlign w:val="center"/>
          </w:tcPr>
          <w:p w:rsidR="00190E99" w:rsidRDefault="00CD4FBA">
            <w:pPr>
              <w:spacing w:before="20" w:after="20"/>
              <w:jc w:val="right"/>
              <w:rPr>
                <w:noProof/>
                <w:sz w:val="18"/>
                <w:szCs w:val="18"/>
              </w:rPr>
            </w:pPr>
            <w:r>
              <w:rPr>
                <w:noProof/>
                <w:sz w:val="18"/>
                <w:szCs w:val="18"/>
              </w:rPr>
              <w:t>2 000</w:t>
            </w:r>
          </w:p>
        </w:tc>
        <w:tc>
          <w:tcPr>
            <w:tcW w:w="868" w:type="dxa"/>
            <w:vAlign w:val="center"/>
          </w:tcPr>
          <w:p w:rsidR="00190E99" w:rsidRDefault="00CD4FBA">
            <w:pPr>
              <w:spacing w:before="20" w:after="20"/>
              <w:jc w:val="right"/>
              <w:rPr>
                <w:noProof/>
                <w:sz w:val="18"/>
                <w:szCs w:val="18"/>
              </w:rPr>
            </w:pPr>
            <w:r>
              <w:rPr>
                <w:noProof/>
                <w:sz w:val="18"/>
                <w:szCs w:val="18"/>
              </w:rPr>
              <w:t>2 000</w:t>
            </w:r>
          </w:p>
        </w:tc>
        <w:tc>
          <w:tcPr>
            <w:tcW w:w="868" w:type="dxa"/>
            <w:vAlign w:val="center"/>
          </w:tcPr>
          <w:p w:rsidR="00190E99" w:rsidRDefault="00190E99">
            <w:pPr>
              <w:spacing w:before="20" w:after="20"/>
              <w:jc w:val="right"/>
              <w:rPr>
                <w:b/>
                <w:noProof/>
                <w:sz w:val="20"/>
              </w:rPr>
            </w:pPr>
          </w:p>
        </w:tc>
        <w:tc>
          <w:tcPr>
            <w:tcW w:w="868" w:type="dxa"/>
            <w:vAlign w:val="center"/>
          </w:tcPr>
          <w:p w:rsidR="00190E99" w:rsidRDefault="00190E99">
            <w:pPr>
              <w:spacing w:before="20" w:after="20"/>
              <w:jc w:val="right"/>
              <w:rPr>
                <w:b/>
                <w:noProof/>
                <w:sz w:val="20"/>
              </w:rPr>
            </w:pPr>
          </w:p>
        </w:tc>
        <w:tc>
          <w:tcPr>
            <w:tcW w:w="868" w:type="dxa"/>
            <w:vAlign w:val="center"/>
          </w:tcPr>
          <w:p w:rsidR="00190E99" w:rsidRDefault="00190E99">
            <w:pPr>
              <w:spacing w:before="20" w:after="20"/>
              <w:jc w:val="right"/>
              <w:rPr>
                <w:b/>
                <w:noProof/>
                <w:sz w:val="20"/>
              </w:rPr>
            </w:pPr>
          </w:p>
        </w:tc>
        <w:tc>
          <w:tcPr>
            <w:tcW w:w="1777" w:type="dxa"/>
            <w:vAlign w:val="center"/>
          </w:tcPr>
          <w:p w:rsidR="00190E99" w:rsidRDefault="00190E99">
            <w:pPr>
              <w:spacing w:before="20" w:after="20"/>
              <w:jc w:val="right"/>
              <w:rPr>
                <w:b/>
                <w:noProof/>
                <w:sz w:val="20"/>
              </w:rPr>
            </w:pPr>
          </w:p>
        </w:tc>
      </w:tr>
      <w:tr w:rsidR="00190E99">
        <w:tc>
          <w:tcPr>
            <w:tcW w:w="3960" w:type="dxa"/>
            <w:vAlign w:val="center"/>
          </w:tcPr>
          <w:p w:rsidR="00190E99" w:rsidRDefault="00CD4FBA">
            <w:pPr>
              <w:jc w:val="center"/>
              <w:rPr>
                <w:b/>
                <w:noProof/>
              </w:rPr>
            </w:pPr>
            <w:r>
              <w:rPr>
                <w:b/>
                <w:noProof/>
                <w:sz w:val="22"/>
              </w:rPr>
              <w:t>TOTAL DG</w:t>
            </w:r>
          </w:p>
        </w:tc>
        <w:tc>
          <w:tcPr>
            <w:tcW w:w="2094" w:type="dxa"/>
            <w:gridSpan w:val="2"/>
            <w:vAlign w:val="center"/>
          </w:tcPr>
          <w:p w:rsidR="00190E99" w:rsidRDefault="00CD4FBA">
            <w:pPr>
              <w:spacing w:before="60" w:after="60"/>
              <w:jc w:val="left"/>
              <w:rPr>
                <w:noProof/>
                <w:sz w:val="18"/>
                <w:szCs w:val="18"/>
              </w:rPr>
            </w:pPr>
            <w:r>
              <w:rPr>
                <w:noProof/>
                <w:sz w:val="18"/>
                <w:szCs w:val="18"/>
              </w:rPr>
              <w:t>Appropriations</w:t>
            </w:r>
          </w:p>
        </w:tc>
        <w:tc>
          <w:tcPr>
            <w:tcW w:w="868" w:type="dxa"/>
            <w:vAlign w:val="center"/>
          </w:tcPr>
          <w:p w:rsidR="00190E99" w:rsidRDefault="00CD4FBA">
            <w:pPr>
              <w:spacing w:before="60" w:after="60"/>
              <w:jc w:val="right"/>
              <w:rPr>
                <w:noProof/>
                <w:sz w:val="18"/>
                <w:szCs w:val="18"/>
              </w:rPr>
            </w:pPr>
            <w:r>
              <w:rPr>
                <w:noProof/>
                <w:sz w:val="18"/>
                <w:szCs w:val="18"/>
              </w:rPr>
              <w:t>288 000</w:t>
            </w:r>
          </w:p>
        </w:tc>
        <w:tc>
          <w:tcPr>
            <w:tcW w:w="868" w:type="dxa"/>
            <w:vAlign w:val="center"/>
          </w:tcPr>
          <w:p w:rsidR="00190E99" w:rsidRDefault="00CD4FBA">
            <w:pPr>
              <w:spacing w:before="20" w:after="20"/>
              <w:jc w:val="right"/>
              <w:rPr>
                <w:noProof/>
                <w:sz w:val="18"/>
                <w:szCs w:val="18"/>
              </w:rPr>
            </w:pPr>
            <w:r>
              <w:rPr>
                <w:noProof/>
                <w:sz w:val="18"/>
                <w:szCs w:val="18"/>
              </w:rPr>
              <w:t>288 000</w:t>
            </w:r>
          </w:p>
        </w:tc>
        <w:tc>
          <w:tcPr>
            <w:tcW w:w="868" w:type="dxa"/>
            <w:vAlign w:val="center"/>
          </w:tcPr>
          <w:p w:rsidR="00190E99" w:rsidRDefault="00CD4FBA">
            <w:pPr>
              <w:spacing w:before="20" w:after="20"/>
              <w:jc w:val="right"/>
              <w:rPr>
                <w:noProof/>
                <w:sz w:val="18"/>
                <w:szCs w:val="18"/>
              </w:rPr>
            </w:pPr>
            <w:r>
              <w:rPr>
                <w:noProof/>
                <w:sz w:val="18"/>
                <w:szCs w:val="18"/>
              </w:rPr>
              <w:t>288 000</w:t>
            </w:r>
          </w:p>
        </w:tc>
        <w:tc>
          <w:tcPr>
            <w:tcW w:w="868" w:type="dxa"/>
            <w:vAlign w:val="center"/>
          </w:tcPr>
          <w:p w:rsidR="00190E99" w:rsidRDefault="00CD4FBA">
            <w:pPr>
              <w:spacing w:before="20" w:after="20"/>
              <w:jc w:val="right"/>
              <w:rPr>
                <w:noProof/>
                <w:sz w:val="18"/>
                <w:szCs w:val="18"/>
              </w:rPr>
            </w:pPr>
            <w:r>
              <w:rPr>
                <w:noProof/>
                <w:sz w:val="18"/>
                <w:szCs w:val="18"/>
              </w:rPr>
              <w:t>288 000</w:t>
            </w: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b/>
                <w:noProof/>
                <w:sz w:val="20"/>
              </w:rPr>
            </w:pPr>
          </w:p>
        </w:tc>
        <w:tc>
          <w:tcPr>
            <w:tcW w:w="1777" w:type="dxa"/>
            <w:vAlign w:val="center"/>
          </w:tcPr>
          <w:p w:rsidR="00190E99" w:rsidRDefault="00190E99">
            <w:pPr>
              <w:spacing w:before="20" w:after="20"/>
              <w:jc w:val="right"/>
              <w:rPr>
                <w:b/>
                <w:noProof/>
                <w:sz w:val="20"/>
              </w:rPr>
            </w:pPr>
          </w:p>
        </w:tc>
      </w:tr>
    </w:tbl>
    <w:p w:rsidR="00190E99" w:rsidRDefault="00190E99">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190E99">
        <w:tc>
          <w:tcPr>
            <w:tcW w:w="3960" w:type="dxa"/>
            <w:shd w:val="thinDiagStripe" w:color="C0C0C0" w:fill="auto"/>
            <w:vAlign w:val="center"/>
          </w:tcPr>
          <w:p w:rsidR="00190E99" w:rsidRDefault="00CD4FBA">
            <w:pPr>
              <w:jc w:val="center"/>
              <w:rPr>
                <w:b/>
                <w:noProof/>
              </w:rPr>
            </w:pPr>
            <w:r>
              <w:rPr>
                <w:b/>
                <w:noProof/>
                <w:sz w:val="22"/>
              </w:rPr>
              <w:t>TOTAL appropriations</w:t>
            </w:r>
            <w:r>
              <w:rPr>
                <w:noProof/>
                <w:sz w:val="22"/>
              </w:rPr>
              <w:br/>
            </w:r>
            <w:r>
              <w:rPr>
                <w:b/>
                <w:noProof/>
                <w:sz w:val="22"/>
              </w:rPr>
              <w:t>under HEADING 5</w:t>
            </w:r>
            <w:r>
              <w:rPr>
                <w:noProof/>
                <w:sz w:val="22"/>
              </w:rPr>
              <w:br/>
              <w:t>of the multiannual financial framework</w:t>
            </w:r>
            <w:r>
              <w:rPr>
                <w:b/>
                <w:noProof/>
                <w:sz w:val="22"/>
              </w:rPr>
              <w:t xml:space="preserve"> </w:t>
            </w:r>
          </w:p>
        </w:tc>
        <w:tc>
          <w:tcPr>
            <w:tcW w:w="2094" w:type="dxa"/>
            <w:vAlign w:val="center"/>
          </w:tcPr>
          <w:p w:rsidR="00190E99" w:rsidRDefault="00CD4FBA">
            <w:pPr>
              <w:spacing w:before="40" w:after="40"/>
              <w:rPr>
                <w:noProof/>
              </w:rPr>
            </w:pPr>
            <w:r>
              <w:rPr>
                <w:noProof/>
                <w:sz w:val="18"/>
              </w:rPr>
              <w:t xml:space="preserve">(Total commitments = Total </w:t>
            </w:r>
            <w:r>
              <w:rPr>
                <w:noProof/>
                <w:sz w:val="18"/>
              </w:rPr>
              <w:t>payments)</w:t>
            </w:r>
          </w:p>
        </w:tc>
        <w:tc>
          <w:tcPr>
            <w:tcW w:w="868" w:type="dxa"/>
            <w:vAlign w:val="center"/>
          </w:tcPr>
          <w:p w:rsidR="00190E99" w:rsidRDefault="00CD4FBA">
            <w:pPr>
              <w:spacing w:before="60" w:after="60"/>
              <w:jc w:val="right"/>
              <w:rPr>
                <w:noProof/>
                <w:sz w:val="18"/>
                <w:szCs w:val="18"/>
              </w:rPr>
            </w:pPr>
            <w:r>
              <w:rPr>
                <w:noProof/>
                <w:sz w:val="18"/>
                <w:szCs w:val="18"/>
              </w:rPr>
              <w:t>288 000</w:t>
            </w:r>
          </w:p>
        </w:tc>
        <w:tc>
          <w:tcPr>
            <w:tcW w:w="868" w:type="dxa"/>
            <w:vAlign w:val="center"/>
          </w:tcPr>
          <w:p w:rsidR="00190E99" w:rsidRDefault="00CD4FBA">
            <w:pPr>
              <w:spacing w:before="20" w:after="20"/>
              <w:jc w:val="right"/>
              <w:rPr>
                <w:noProof/>
                <w:sz w:val="18"/>
                <w:szCs w:val="18"/>
              </w:rPr>
            </w:pPr>
            <w:r>
              <w:rPr>
                <w:noProof/>
                <w:sz w:val="18"/>
                <w:szCs w:val="18"/>
              </w:rPr>
              <w:t>288 000</w:t>
            </w:r>
          </w:p>
        </w:tc>
        <w:tc>
          <w:tcPr>
            <w:tcW w:w="868" w:type="dxa"/>
            <w:vAlign w:val="center"/>
          </w:tcPr>
          <w:p w:rsidR="00190E99" w:rsidRDefault="00CD4FBA">
            <w:pPr>
              <w:spacing w:before="20" w:after="20"/>
              <w:jc w:val="right"/>
              <w:rPr>
                <w:noProof/>
                <w:sz w:val="18"/>
                <w:szCs w:val="18"/>
              </w:rPr>
            </w:pPr>
            <w:r>
              <w:rPr>
                <w:noProof/>
                <w:sz w:val="18"/>
                <w:szCs w:val="18"/>
              </w:rPr>
              <w:t>288 000</w:t>
            </w:r>
          </w:p>
        </w:tc>
        <w:tc>
          <w:tcPr>
            <w:tcW w:w="868" w:type="dxa"/>
            <w:vAlign w:val="center"/>
          </w:tcPr>
          <w:p w:rsidR="00190E99" w:rsidRDefault="00CD4FBA">
            <w:pPr>
              <w:spacing w:before="20" w:after="20"/>
              <w:jc w:val="right"/>
              <w:rPr>
                <w:noProof/>
                <w:sz w:val="18"/>
                <w:szCs w:val="18"/>
              </w:rPr>
            </w:pPr>
            <w:r>
              <w:rPr>
                <w:noProof/>
                <w:sz w:val="18"/>
                <w:szCs w:val="18"/>
              </w:rPr>
              <w:t>288 000</w:t>
            </w: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noProof/>
                <w:sz w:val="20"/>
              </w:rPr>
            </w:pPr>
          </w:p>
        </w:tc>
        <w:tc>
          <w:tcPr>
            <w:tcW w:w="868" w:type="dxa"/>
            <w:vAlign w:val="center"/>
          </w:tcPr>
          <w:p w:rsidR="00190E99" w:rsidRDefault="00190E99">
            <w:pPr>
              <w:spacing w:before="20" w:after="20"/>
              <w:jc w:val="right"/>
              <w:rPr>
                <w:b/>
                <w:noProof/>
                <w:sz w:val="20"/>
              </w:rPr>
            </w:pPr>
          </w:p>
        </w:tc>
        <w:tc>
          <w:tcPr>
            <w:tcW w:w="1777" w:type="dxa"/>
            <w:vAlign w:val="center"/>
          </w:tcPr>
          <w:p w:rsidR="00190E99" w:rsidRDefault="00190E99">
            <w:pPr>
              <w:spacing w:before="20" w:after="20"/>
              <w:jc w:val="right"/>
              <w:rPr>
                <w:b/>
                <w:noProof/>
                <w:sz w:val="20"/>
              </w:rPr>
            </w:pPr>
          </w:p>
        </w:tc>
      </w:tr>
    </w:tbl>
    <w:p w:rsidR="00190E99" w:rsidRDefault="00CD4FBA">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190E99">
        <w:tc>
          <w:tcPr>
            <w:tcW w:w="3960" w:type="dxa"/>
            <w:tcBorders>
              <w:top w:val="nil"/>
              <w:left w:val="nil"/>
              <w:right w:val="nil"/>
            </w:tcBorders>
            <w:vAlign w:val="center"/>
          </w:tcPr>
          <w:p w:rsidR="00190E99" w:rsidRDefault="00190E99">
            <w:pPr>
              <w:jc w:val="center"/>
              <w:rPr>
                <w:noProof/>
              </w:rPr>
            </w:pPr>
          </w:p>
        </w:tc>
        <w:tc>
          <w:tcPr>
            <w:tcW w:w="1560" w:type="dxa"/>
            <w:tcBorders>
              <w:top w:val="nil"/>
              <w:left w:val="nil"/>
              <w:right w:val="nil"/>
            </w:tcBorders>
          </w:tcPr>
          <w:p w:rsidR="00190E99" w:rsidRDefault="00190E99">
            <w:pPr>
              <w:rPr>
                <w:noProof/>
                <w:sz w:val="20"/>
              </w:rPr>
            </w:pPr>
          </w:p>
        </w:tc>
        <w:tc>
          <w:tcPr>
            <w:tcW w:w="534" w:type="dxa"/>
            <w:tcBorders>
              <w:top w:val="nil"/>
              <w:left w:val="nil"/>
            </w:tcBorders>
          </w:tcPr>
          <w:p w:rsidR="00190E99" w:rsidRDefault="00190E99">
            <w:pPr>
              <w:jc w:val="center"/>
              <w:rPr>
                <w:noProof/>
                <w:sz w:val="20"/>
              </w:rPr>
            </w:pPr>
          </w:p>
        </w:tc>
        <w:tc>
          <w:tcPr>
            <w:tcW w:w="868" w:type="dxa"/>
            <w:vAlign w:val="center"/>
          </w:tcPr>
          <w:p w:rsidR="00190E99" w:rsidRDefault="00CD4FBA">
            <w:pPr>
              <w:jc w:val="center"/>
              <w:rPr>
                <w:noProof/>
                <w:sz w:val="20"/>
              </w:rPr>
            </w:pPr>
            <w:r>
              <w:rPr>
                <w:noProof/>
                <w:sz w:val="20"/>
              </w:rPr>
              <w:t>Year</w:t>
            </w:r>
            <w:r>
              <w:rPr>
                <w:noProof/>
                <w:sz w:val="22"/>
              </w:rPr>
              <w:br/>
            </w:r>
            <w:r>
              <w:rPr>
                <w:b/>
                <w:noProof/>
                <w:sz w:val="20"/>
              </w:rPr>
              <w:t>N</w:t>
            </w:r>
            <w:r>
              <w:rPr>
                <w:rStyle w:val="FootnoteReference"/>
                <w:b/>
                <w:noProof/>
                <w:sz w:val="20"/>
              </w:rPr>
              <w:footnoteReference w:id="11"/>
            </w:r>
          </w:p>
        </w:tc>
        <w:tc>
          <w:tcPr>
            <w:tcW w:w="868" w:type="dxa"/>
            <w:vAlign w:val="center"/>
          </w:tcPr>
          <w:p w:rsidR="00190E99" w:rsidRDefault="00CD4FBA">
            <w:pPr>
              <w:jc w:val="center"/>
              <w:rPr>
                <w:noProof/>
                <w:sz w:val="20"/>
              </w:rPr>
            </w:pPr>
            <w:r>
              <w:rPr>
                <w:noProof/>
                <w:sz w:val="20"/>
              </w:rPr>
              <w:t>Year</w:t>
            </w:r>
            <w:r>
              <w:rPr>
                <w:noProof/>
                <w:sz w:val="22"/>
              </w:rPr>
              <w:br/>
            </w:r>
            <w:r>
              <w:rPr>
                <w:b/>
                <w:noProof/>
                <w:sz w:val="20"/>
              </w:rPr>
              <w:t>N+1</w:t>
            </w:r>
          </w:p>
        </w:tc>
        <w:tc>
          <w:tcPr>
            <w:tcW w:w="868" w:type="dxa"/>
            <w:vAlign w:val="center"/>
          </w:tcPr>
          <w:p w:rsidR="00190E99" w:rsidRDefault="00CD4FBA">
            <w:pPr>
              <w:jc w:val="center"/>
              <w:rPr>
                <w:noProof/>
                <w:sz w:val="20"/>
              </w:rPr>
            </w:pPr>
            <w:r>
              <w:rPr>
                <w:noProof/>
                <w:sz w:val="20"/>
              </w:rPr>
              <w:t>Year</w:t>
            </w:r>
            <w:r>
              <w:rPr>
                <w:noProof/>
                <w:sz w:val="22"/>
              </w:rPr>
              <w:br/>
            </w:r>
            <w:r>
              <w:rPr>
                <w:b/>
                <w:noProof/>
                <w:sz w:val="20"/>
              </w:rPr>
              <w:t>N+2</w:t>
            </w:r>
          </w:p>
        </w:tc>
        <w:tc>
          <w:tcPr>
            <w:tcW w:w="868" w:type="dxa"/>
            <w:vAlign w:val="center"/>
          </w:tcPr>
          <w:p w:rsidR="00190E99" w:rsidRDefault="00CD4FBA">
            <w:pPr>
              <w:jc w:val="center"/>
              <w:rPr>
                <w:noProof/>
                <w:sz w:val="20"/>
              </w:rPr>
            </w:pPr>
            <w:r>
              <w:rPr>
                <w:noProof/>
                <w:sz w:val="20"/>
              </w:rPr>
              <w:t>Year</w:t>
            </w:r>
            <w:r>
              <w:rPr>
                <w:noProof/>
                <w:sz w:val="22"/>
              </w:rPr>
              <w:br/>
            </w:r>
            <w:r>
              <w:rPr>
                <w:b/>
                <w:noProof/>
                <w:sz w:val="20"/>
              </w:rPr>
              <w:t>N+3</w:t>
            </w:r>
          </w:p>
        </w:tc>
        <w:tc>
          <w:tcPr>
            <w:tcW w:w="2604" w:type="dxa"/>
            <w:gridSpan w:val="3"/>
            <w:vAlign w:val="center"/>
          </w:tcPr>
          <w:p w:rsidR="00190E99" w:rsidRDefault="00CD4FBA">
            <w:pPr>
              <w:jc w:val="center"/>
              <w:rPr>
                <w:b/>
                <w:noProof/>
                <w:sz w:val="18"/>
              </w:rPr>
            </w:pPr>
            <w:r>
              <w:rPr>
                <w:noProof/>
                <w:sz w:val="18"/>
              </w:rPr>
              <w:t>Enter as many years as necessary to show the duration of the impact (see point 1.6)</w:t>
            </w:r>
          </w:p>
        </w:tc>
        <w:tc>
          <w:tcPr>
            <w:tcW w:w="1777" w:type="dxa"/>
            <w:vAlign w:val="center"/>
          </w:tcPr>
          <w:p w:rsidR="00190E99" w:rsidRDefault="00CD4FBA">
            <w:pPr>
              <w:jc w:val="center"/>
              <w:rPr>
                <w:b/>
                <w:noProof/>
                <w:sz w:val="20"/>
              </w:rPr>
            </w:pPr>
            <w:r>
              <w:rPr>
                <w:b/>
                <w:noProof/>
                <w:sz w:val="20"/>
              </w:rPr>
              <w:t>TOTAL</w:t>
            </w:r>
          </w:p>
        </w:tc>
      </w:tr>
      <w:tr w:rsidR="00190E99">
        <w:tc>
          <w:tcPr>
            <w:tcW w:w="3960" w:type="dxa"/>
            <w:vMerge w:val="restart"/>
            <w:shd w:val="clear" w:color="auto" w:fill="C0C0C0"/>
            <w:vAlign w:val="center"/>
          </w:tcPr>
          <w:p w:rsidR="00190E99" w:rsidRDefault="00CD4FBA">
            <w:pPr>
              <w:jc w:val="center"/>
              <w:rPr>
                <w:b/>
                <w:noProof/>
              </w:rPr>
            </w:pPr>
            <w:r>
              <w:rPr>
                <w:b/>
                <w:noProof/>
                <w:sz w:val="22"/>
              </w:rPr>
              <w:t xml:space="preserve">TOTAL appropriations </w:t>
            </w:r>
            <w:r>
              <w:rPr>
                <w:noProof/>
                <w:sz w:val="22"/>
              </w:rPr>
              <w:br/>
            </w:r>
            <w:r>
              <w:rPr>
                <w:b/>
                <w:noProof/>
                <w:sz w:val="22"/>
              </w:rPr>
              <w:t xml:space="preserve">under HEADINGS 1 to </w:t>
            </w:r>
            <w:r>
              <w:rPr>
                <w:b/>
                <w:noProof/>
                <w:sz w:val="22"/>
              </w:rPr>
              <w:t>5</w:t>
            </w:r>
            <w:r>
              <w:rPr>
                <w:noProof/>
                <w:sz w:val="22"/>
              </w:rPr>
              <w:br/>
              <w:t>of the multiannual financial framework</w:t>
            </w:r>
            <w:r>
              <w:rPr>
                <w:b/>
                <w:noProof/>
                <w:sz w:val="22"/>
              </w:rPr>
              <w:t xml:space="preserve"> </w:t>
            </w:r>
          </w:p>
        </w:tc>
        <w:tc>
          <w:tcPr>
            <w:tcW w:w="2094" w:type="dxa"/>
            <w:gridSpan w:val="2"/>
            <w:vAlign w:val="center"/>
          </w:tcPr>
          <w:p w:rsidR="00190E99" w:rsidRDefault="00CD4FBA">
            <w:pPr>
              <w:rPr>
                <w:noProof/>
                <w:sz w:val="14"/>
              </w:rPr>
            </w:pPr>
            <w:r>
              <w:rPr>
                <w:noProof/>
                <w:sz w:val="18"/>
              </w:rPr>
              <w:t>Commitments</w:t>
            </w:r>
          </w:p>
        </w:tc>
        <w:tc>
          <w:tcPr>
            <w:tcW w:w="868" w:type="dxa"/>
            <w:vAlign w:val="center"/>
          </w:tcPr>
          <w:p w:rsidR="00190E99" w:rsidRDefault="00CD4FBA">
            <w:pPr>
              <w:spacing w:before="60" w:after="60"/>
              <w:jc w:val="right"/>
              <w:rPr>
                <w:noProof/>
                <w:sz w:val="20"/>
              </w:rPr>
            </w:pPr>
            <w:r>
              <w:rPr>
                <w:noProof/>
                <w:sz w:val="18"/>
                <w:szCs w:val="18"/>
              </w:rPr>
              <w:t>288 000</w:t>
            </w:r>
          </w:p>
        </w:tc>
        <w:tc>
          <w:tcPr>
            <w:tcW w:w="868" w:type="dxa"/>
            <w:vAlign w:val="center"/>
          </w:tcPr>
          <w:p w:rsidR="00190E99" w:rsidRDefault="00CD4FBA">
            <w:pPr>
              <w:spacing w:before="60" w:after="60"/>
              <w:jc w:val="right"/>
              <w:rPr>
                <w:noProof/>
                <w:sz w:val="20"/>
              </w:rPr>
            </w:pPr>
            <w:r>
              <w:rPr>
                <w:noProof/>
                <w:sz w:val="18"/>
                <w:szCs w:val="18"/>
              </w:rPr>
              <w:t>288 000</w:t>
            </w:r>
          </w:p>
        </w:tc>
        <w:tc>
          <w:tcPr>
            <w:tcW w:w="868" w:type="dxa"/>
            <w:vAlign w:val="center"/>
          </w:tcPr>
          <w:p w:rsidR="00190E99" w:rsidRDefault="00CD4FBA">
            <w:pPr>
              <w:spacing w:before="60" w:after="60"/>
              <w:jc w:val="right"/>
              <w:rPr>
                <w:noProof/>
                <w:sz w:val="20"/>
              </w:rPr>
            </w:pPr>
            <w:r>
              <w:rPr>
                <w:noProof/>
                <w:sz w:val="18"/>
                <w:szCs w:val="18"/>
              </w:rPr>
              <w:t>288 000</w:t>
            </w:r>
          </w:p>
        </w:tc>
        <w:tc>
          <w:tcPr>
            <w:tcW w:w="868" w:type="dxa"/>
            <w:vAlign w:val="center"/>
          </w:tcPr>
          <w:p w:rsidR="00190E99" w:rsidRDefault="00CD4FBA">
            <w:pPr>
              <w:spacing w:before="60" w:after="60"/>
              <w:jc w:val="right"/>
              <w:rPr>
                <w:noProof/>
                <w:sz w:val="20"/>
              </w:rPr>
            </w:pPr>
            <w:r>
              <w:rPr>
                <w:noProof/>
                <w:sz w:val="18"/>
                <w:szCs w:val="18"/>
              </w:rPr>
              <w:t>288 000</w:t>
            </w:r>
          </w:p>
        </w:tc>
        <w:tc>
          <w:tcPr>
            <w:tcW w:w="868" w:type="dxa"/>
            <w:vAlign w:val="center"/>
          </w:tcPr>
          <w:p w:rsidR="00190E99" w:rsidRDefault="00190E99">
            <w:pPr>
              <w:spacing w:before="60" w:after="60"/>
              <w:jc w:val="right"/>
              <w:rPr>
                <w:noProof/>
                <w:sz w:val="20"/>
              </w:rPr>
            </w:pPr>
          </w:p>
        </w:tc>
        <w:tc>
          <w:tcPr>
            <w:tcW w:w="868" w:type="dxa"/>
            <w:vAlign w:val="center"/>
          </w:tcPr>
          <w:p w:rsidR="00190E99" w:rsidRDefault="00190E99">
            <w:pPr>
              <w:spacing w:before="60" w:after="60"/>
              <w:jc w:val="right"/>
              <w:rPr>
                <w:noProof/>
                <w:sz w:val="20"/>
              </w:rPr>
            </w:pPr>
          </w:p>
        </w:tc>
        <w:tc>
          <w:tcPr>
            <w:tcW w:w="868" w:type="dxa"/>
            <w:vAlign w:val="center"/>
          </w:tcPr>
          <w:p w:rsidR="00190E99" w:rsidRDefault="00190E99">
            <w:pPr>
              <w:spacing w:before="60" w:after="60"/>
              <w:jc w:val="right"/>
              <w:rPr>
                <w:b/>
                <w:noProof/>
                <w:sz w:val="20"/>
              </w:rPr>
            </w:pPr>
          </w:p>
        </w:tc>
        <w:tc>
          <w:tcPr>
            <w:tcW w:w="1777" w:type="dxa"/>
            <w:vAlign w:val="center"/>
          </w:tcPr>
          <w:p w:rsidR="00190E99" w:rsidRDefault="00190E99">
            <w:pPr>
              <w:spacing w:before="60" w:after="60"/>
              <w:jc w:val="right"/>
              <w:rPr>
                <w:b/>
                <w:noProof/>
                <w:sz w:val="20"/>
              </w:rPr>
            </w:pPr>
          </w:p>
        </w:tc>
      </w:tr>
      <w:tr w:rsidR="00190E99">
        <w:tc>
          <w:tcPr>
            <w:tcW w:w="3960" w:type="dxa"/>
            <w:vMerge/>
            <w:shd w:val="clear" w:color="auto" w:fill="C0C0C0"/>
          </w:tcPr>
          <w:p w:rsidR="00190E99" w:rsidRDefault="00190E99">
            <w:pPr>
              <w:rPr>
                <w:noProof/>
                <w:sz w:val="20"/>
              </w:rPr>
            </w:pPr>
          </w:p>
        </w:tc>
        <w:tc>
          <w:tcPr>
            <w:tcW w:w="2094" w:type="dxa"/>
            <w:gridSpan w:val="2"/>
            <w:vAlign w:val="center"/>
          </w:tcPr>
          <w:p w:rsidR="00190E99" w:rsidRDefault="00CD4FBA">
            <w:pPr>
              <w:rPr>
                <w:noProof/>
                <w:sz w:val="14"/>
              </w:rPr>
            </w:pPr>
            <w:r>
              <w:rPr>
                <w:noProof/>
                <w:sz w:val="18"/>
              </w:rPr>
              <w:t>Payments</w:t>
            </w:r>
          </w:p>
        </w:tc>
        <w:tc>
          <w:tcPr>
            <w:tcW w:w="868" w:type="dxa"/>
            <w:vAlign w:val="center"/>
          </w:tcPr>
          <w:p w:rsidR="00190E99" w:rsidRDefault="00CD4FBA">
            <w:pPr>
              <w:spacing w:before="60" w:after="60"/>
              <w:jc w:val="right"/>
              <w:rPr>
                <w:noProof/>
                <w:sz w:val="20"/>
              </w:rPr>
            </w:pPr>
            <w:r>
              <w:rPr>
                <w:noProof/>
                <w:sz w:val="18"/>
                <w:szCs w:val="18"/>
              </w:rPr>
              <w:t>288 000</w:t>
            </w:r>
          </w:p>
        </w:tc>
        <w:tc>
          <w:tcPr>
            <w:tcW w:w="868" w:type="dxa"/>
            <w:vAlign w:val="center"/>
          </w:tcPr>
          <w:p w:rsidR="00190E99" w:rsidRDefault="00CD4FBA">
            <w:pPr>
              <w:spacing w:before="60" w:after="60"/>
              <w:jc w:val="right"/>
              <w:rPr>
                <w:noProof/>
                <w:sz w:val="20"/>
              </w:rPr>
            </w:pPr>
            <w:r>
              <w:rPr>
                <w:noProof/>
                <w:sz w:val="18"/>
                <w:szCs w:val="18"/>
              </w:rPr>
              <w:t>288 000</w:t>
            </w:r>
          </w:p>
        </w:tc>
        <w:tc>
          <w:tcPr>
            <w:tcW w:w="868" w:type="dxa"/>
            <w:vAlign w:val="center"/>
          </w:tcPr>
          <w:p w:rsidR="00190E99" w:rsidRDefault="00CD4FBA">
            <w:pPr>
              <w:spacing w:before="60" w:after="60"/>
              <w:jc w:val="right"/>
              <w:rPr>
                <w:noProof/>
                <w:sz w:val="20"/>
              </w:rPr>
            </w:pPr>
            <w:r>
              <w:rPr>
                <w:noProof/>
                <w:sz w:val="18"/>
                <w:szCs w:val="18"/>
              </w:rPr>
              <w:t>288 000</w:t>
            </w:r>
          </w:p>
        </w:tc>
        <w:tc>
          <w:tcPr>
            <w:tcW w:w="868" w:type="dxa"/>
            <w:vAlign w:val="center"/>
          </w:tcPr>
          <w:p w:rsidR="00190E99" w:rsidRDefault="00CD4FBA">
            <w:pPr>
              <w:spacing w:before="60" w:after="60"/>
              <w:jc w:val="right"/>
              <w:rPr>
                <w:noProof/>
                <w:sz w:val="20"/>
              </w:rPr>
            </w:pPr>
            <w:r>
              <w:rPr>
                <w:noProof/>
                <w:sz w:val="18"/>
                <w:szCs w:val="18"/>
              </w:rPr>
              <w:t>288 000</w:t>
            </w:r>
          </w:p>
        </w:tc>
        <w:tc>
          <w:tcPr>
            <w:tcW w:w="868" w:type="dxa"/>
            <w:vAlign w:val="center"/>
          </w:tcPr>
          <w:p w:rsidR="00190E99" w:rsidRDefault="00190E99">
            <w:pPr>
              <w:spacing w:before="60" w:after="60"/>
              <w:jc w:val="right"/>
              <w:rPr>
                <w:noProof/>
                <w:sz w:val="20"/>
              </w:rPr>
            </w:pPr>
          </w:p>
        </w:tc>
        <w:tc>
          <w:tcPr>
            <w:tcW w:w="868" w:type="dxa"/>
            <w:vAlign w:val="center"/>
          </w:tcPr>
          <w:p w:rsidR="00190E99" w:rsidRDefault="00190E99">
            <w:pPr>
              <w:spacing w:before="60" w:after="60"/>
              <w:jc w:val="right"/>
              <w:rPr>
                <w:noProof/>
                <w:sz w:val="20"/>
              </w:rPr>
            </w:pPr>
          </w:p>
        </w:tc>
        <w:tc>
          <w:tcPr>
            <w:tcW w:w="868" w:type="dxa"/>
            <w:vAlign w:val="center"/>
          </w:tcPr>
          <w:p w:rsidR="00190E99" w:rsidRDefault="00190E99">
            <w:pPr>
              <w:spacing w:before="60" w:after="60"/>
              <w:jc w:val="right"/>
              <w:rPr>
                <w:b/>
                <w:noProof/>
                <w:sz w:val="20"/>
              </w:rPr>
            </w:pPr>
          </w:p>
        </w:tc>
        <w:tc>
          <w:tcPr>
            <w:tcW w:w="1777" w:type="dxa"/>
            <w:vAlign w:val="center"/>
          </w:tcPr>
          <w:p w:rsidR="00190E99" w:rsidRDefault="00190E99">
            <w:pPr>
              <w:spacing w:before="60" w:after="60"/>
              <w:jc w:val="right"/>
              <w:rPr>
                <w:b/>
                <w:noProof/>
                <w:sz w:val="20"/>
              </w:rPr>
            </w:pPr>
          </w:p>
        </w:tc>
      </w:tr>
    </w:tbl>
    <w:p w:rsidR="00190E99" w:rsidRDefault="00190E99">
      <w:pPr>
        <w:rPr>
          <w:noProof/>
        </w:rPr>
      </w:pPr>
    </w:p>
    <w:p w:rsidR="00190E99" w:rsidRDefault="00CD4FBA">
      <w:pPr>
        <w:pStyle w:val="ManualHeading3"/>
        <w:rPr>
          <w:bCs/>
          <w:noProof/>
          <w:szCs w:val="24"/>
        </w:rPr>
      </w:pPr>
      <w:bookmarkStart w:id="57" w:name="_Toc514938054"/>
      <w:bookmarkStart w:id="58" w:name="_Toc520485053"/>
      <w:r>
        <w:t>3.2.2.</w:t>
      </w:r>
      <w:r>
        <w:tab/>
      </w:r>
      <w:r>
        <w:rPr>
          <w:noProof/>
        </w:rPr>
        <w:t>Estimated output funded with operational appropriations</w:t>
      </w:r>
      <w:bookmarkEnd w:id="57"/>
      <w:bookmarkEnd w:id="58"/>
      <w:r>
        <w:rPr>
          <w:noProof/>
        </w:rPr>
        <w:t xml:space="preserve"> </w:t>
      </w:r>
    </w:p>
    <w:p w:rsidR="00190E99" w:rsidRDefault="00CD4FBA">
      <w:pPr>
        <w:jc w:val="right"/>
        <w:rPr>
          <w:noProof/>
          <w:sz w:val="20"/>
        </w:rPr>
      </w:pPr>
      <w:r>
        <w:rPr>
          <w:noProof/>
          <w:sz w:val="20"/>
        </w:rPr>
        <w:t xml:space="preserve">Commitment appropriations in EUR million (to three </w:t>
      </w:r>
      <w:r>
        <w:rPr>
          <w:noProof/>
          <w:sz w:val="20"/>
        </w:rPr>
        <w:t>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190E99">
        <w:trPr>
          <w:jc w:val="center"/>
        </w:trPr>
        <w:tc>
          <w:tcPr>
            <w:tcW w:w="1423" w:type="dxa"/>
            <w:vMerge w:val="restart"/>
            <w:vAlign w:val="center"/>
          </w:tcPr>
          <w:p w:rsidR="00190E99" w:rsidRDefault="00CD4FBA">
            <w:pPr>
              <w:ind w:right="-29"/>
              <w:jc w:val="center"/>
              <w:rPr>
                <w:b/>
                <w:noProof/>
                <w:sz w:val="18"/>
                <w:szCs w:val="18"/>
              </w:rPr>
            </w:pPr>
            <w:r>
              <w:rPr>
                <w:b/>
                <w:noProof/>
                <w:sz w:val="18"/>
              </w:rPr>
              <w:t xml:space="preserve">Indicate objectives and outputs </w:t>
            </w:r>
          </w:p>
          <w:p w:rsidR="00190E99" w:rsidRDefault="00190E99">
            <w:pPr>
              <w:ind w:right="-29"/>
              <w:jc w:val="center"/>
              <w:rPr>
                <w:b/>
                <w:noProof/>
                <w:sz w:val="18"/>
                <w:szCs w:val="18"/>
              </w:rPr>
            </w:pPr>
          </w:p>
          <w:p w:rsidR="00190E99" w:rsidRDefault="00CD4FBA">
            <w:pPr>
              <w:ind w:right="-29"/>
              <w:jc w:val="center"/>
              <w:rPr>
                <w:noProof/>
                <w:sz w:val="18"/>
                <w:szCs w:val="18"/>
              </w:rPr>
            </w:pPr>
            <w:r>
              <w:rPr>
                <w:noProof/>
                <w:sz w:val="18"/>
              </w:rPr>
              <w:sym w:font="Wingdings" w:char="F0F2"/>
            </w:r>
          </w:p>
        </w:tc>
        <w:tc>
          <w:tcPr>
            <w:tcW w:w="720" w:type="dxa"/>
            <w:vAlign w:val="center"/>
          </w:tcPr>
          <w:p w:rsidR="00190E99" w:rsidRDefault="00190E99">
            <w:pPr>
              <w:ind w:right="-29"/>
              <w:jc w:val="center"/>
              <w:rPr>
                <w:noProof/>
                <w:sz w:val="18"/>
                <w:szCs w:val="18"/>
              </w:rPr>
            </w:pPr>
          </w:p>
        </w:tc>
        <w:tc>
          <w:tcPr>
            <w:tcW w:w="701" w:type="dxa"/>
            <w:vAlign w:val="center"/>
          </w:tcPr>
          <w:p w:rsidR="00190E99" w:rsidRDefault="00190E99">
            <w:pPr>
              <w:ind w:right="-29"/>
              <w:jc w:val="center"/>
              <w:rPr>
                <w:noProof/>
                <w:sz w:val="18"/>
                <w:szCs w:val="18"/>
              </w:rPr>
            </w:pPr>
          </w:p>
        </w:tc>
        <w:tc>
          <w:tcPr>
            <w:tcW w:w="1224" w:type="dxa"/>
            <w:gridSpan w:val="2"/>
            <w:tcBorders>
              <w:left w:val="nil"/>
            </w:tcBorders>
            <w:vAlign w:val="center"/>
          </w:tcPr>
          <w:p w:rsidR="00190E99" w:rsidRDefault="00CD4FBA">
            <w:pPr>
              <w:ind w:right="-29"/>
              <w:jc w:val="center"/>
              <w:rPr>
                <w:noProof/>
                <w:sz w:val="18"/>
                <w:szCs w:val="18"/>
              </w:rPr>
            </w:pPr>
            <w:r>
              <w:rPr>
                <w:noProof/>
                <w:sz w:val="18"/>
              </w:rPr>
              <w:t>Year</w:t>
            </w:r>
            <w:r>
              <w:rPr>
                <w:noProof/>
                <w:sz w:val="22"/>
              </w:rPr>
              <w:br/>
            </w:r>
            <w:r>
              <w:rPr>
                <w:b/>
                <w:noProof/>
                <w:sz w:val="18"/>
              </w:rPr>
              <w:t>N</w:t>
            </w:r>
          </w:p>
        </w:tc>
        <w:tc>
          <w:tcPr>
            <w:tcW w:w="1260" w:type="dxa"/>
            <w:gridSpan w:val="2"/>
            <w:vAlign w:val="center"/>
          </w:tcPr>
          <w:p w:rsidR="00190E99" w:rsidRDefault="00CD4FBA">
            <w:pPr>
              <w:ind w:right="-29"/>
              <w:jc w:val="center"/>
              <w:rPr>
                <w:noProof/>
                <w:sz w:val="18"/>
                <w:szCs w:val="18"/>
              </w:rPr>
            </w:pPr>
            <w:r>
              <w:rPr>
                <w:noProof/>
                <w:sz w:val="18"/>
              </w:rPr>
              <w:t>Year</w:t>
            </w:r>
            <w:r>
              <w:rPr>
                <w:noProof/>
                <w:sz w:val="22"/>
              </w:rPr>
              <w:br/>
            </w:r>
            <w:r>
              <w:rPr>
                <w:b/>
                <w:noProof/>
                <w:sz w:val="18"/>
              </w:rPr>
              <w:t>N+1</w:t>
            </w:r>
          </w:p>
        </w:tc>
        <w:tc>
          <w:tcPr>
            <w:tcW w:w="1440" w:type="dxa"/>
            <w:gridSpan w:val="2"/>
            <w:vAlign w:val="center"/>
          </w:tcPr>
          <w:p w:rsidR="00190E99" w:rsidRDefault="00CD4FBA">
            <w:pPr>
              <w:ind w:right="-29"/>
              <w:jc w:val="center"/>
              <w:rPr>
                <w:noProof/>
                <w:sz w:val="18"/>
                <w:szCs w:val="18"/>
              </w:rPr>
            </w:pPr>
            <w:r>
              <w:rPr>
                <w:noProof/>
                <w:sz w:val="18"/>
              </w:rPr>
              <w:t>Year</w:t>
            </w:r>
            <w:r>
              <w:rPr>
                <w:noProof/>
                <w:sz w:val="22"/>
              </w:rPr>
              <w:br/>
            </w:r>
            <w:r>
              <w:rPr>
                <w:b/>
                <w:noProof/>
                <w:sz w:val="18"/>
              </w:rPr>
              <w:t>N+2</w:t>
            </w:r>
          </w:p>
        </w:tc>
        <w:tc>
          <w:tcPr>
            <w:tcW w:w="1620" w:type="dxa"/>
            <w:gridSpan w:val="3"/>
            <w:vAlign w:val="center"/>
          </w:tcPr>
          <w:p w:rsidR="00190E99" w:rsidRDefault="00CD4FBA">
            <w:pPr>
              <w:ind w:right="-29"/>
              <w:jc w:val="center"/>
              <w:rPr>
                <w:noProof/>
                <w:sz w:val="18"/>
                <w:szCs w:val="18"/>
              </w:rPr>
            </w:pPr>
            <w:r>
              <w:rPr>
                <w:noProof/>
                <w:sz w:val="18"/>
              </w:rPr>
              <w:t>Year</w:t>
            </w:r>
            <w:r>
              <w:rPr>
                <w:noProof/>
                <w:sz w:val="22"/>
              </w:rPr>
              <w:br/>
            </w:r>
            <w:r>
              <w:rPr>
                <w:b/>
                <w:noProof/>
                <w:sz w:val="18"/>
              </w:rPr>
              <w:t>N+3</w:t>
            </w:r>
          </w:p>
        </w:tc>
        <w:tc>
          <w:tcPr>
            <w:tcW w:w="3600" w:type="dxa"/>
            <w:gridSpan w:val="6"/>
            <w:vAlign w:val="center"/>
          </w:tcPr>
          <w:p w:rsidR="00190E99" w:rsidRDefault="00CD4FBA">
            <w:pPr>
              <w:jc w:val="center"/>
              <w:rPr>
                <w:noProof/>
                <w:sz w:val="18"/>
                <w:szCs w:val="18"/>
              </w:rPr>
            </w:pPr>
            <w:r>
              <w:rPr>
                <w:noProof/>
                <w:sz w:val="18"/>
              </w:rPr>
              <w:t>Enter as many years as necessary to show the duration of the impact (see point 1.6)</w:t>
            </w:r>
          </w:p>
        </w:tc>
        <w:tc>
          <w:tcPr>
            <w:tcW w:w="1620" w:type="dxa"/>
            <w:gridSpan w:val="2"/>
            <w:tcBorders>
              <w:left w:val="nil"/>
              <w:bottom w:val="nil"/>
            </w:tcBorders>
            <w:vAlign w:val="center"/>
          </w:tcPr>
          <w:p w:rsidR="00190E99" w:rsidRDefault="00CD4FBA">
            <w:pPr>
              <w:ind w:right="-29"/>
              <w:jc w:val="center"/>
              <w:rPr>
                <w:noProof/>
                <w:sz w:val="18"/>
                <w:szCs w:val="18"/>
              </w:rPr>
            </w:pPr>
            <w:r>
              <w:rPr>
                <w:b/>
                <w:noProof/>
                <w:sz w:val="18"/>
              </w:rPr>
              <w:t>TOTAL</w:t>
            </w:r>
          </w:p>
        </w:tc>
      </w:tr>
      <w:tr w:rsidR="00190E99">
        <w:trPr>
          <w:jc w:val="center"/>
        </w:trPr>
        <w:tc>
          <w:tcPr>
            <w:tcW w:w="1423" w:type="dxa"/>
            <w:vMerge/>
            <w:vAlign w:val="center"/>
          </w:tcPr>
          <w:p w:rsidR="00190E99" w:rsidRDefault="00190E99">
            <w:pPr>
              <w:ind w:right="-29"/>
              <w:jc w:val="center"/>
              <w:rPr>
                <w:noProof/>
                <w:sz w:val="18"/>
                <w:szCs w:val="18"/>
              </w:rPr>
            </w:pPr>
          </w:p>
        </w:tc>
        <w:tc>
          <w:tcPr>
            <w:tcW w:w="12185" w:type="dxa"/>
            <w:gridSpan w:val="19"/>
            <w:vAlign w:val="center"/>
          </w:tcPr>
          <w:p w:rsidR="00190E99" w:rsidRDefault="00CD4FBA">
            <w:pPr>
              <w:spacing w:before="60" w:after="60"/>
              <w:ind w:right="-29"/>
              <w:jc w:val="center"/>
              <w:rPr>
                <w:noProof/>
                <w:sz w:val="18"/>
                <w:szCs w:val="18"/>
              </w:rPr>
            </w:pPr>
            <w:r>
              <w:rPr>
                <w:b/>
                <w:noProof/>
                <w:sz w:val="18"/>
              </w:rPr>
              <w:t>OUTPUTS</w:t>
            </w:r>
          </w:p>
        </w:tc>
      </w:tr>
      <w:tr w:rsidR="00190E99">
        <w:trPr>
          <w:cantSplit/>
          <w:trHeight w:val="1134"/>
          <w:jc w:val="center"/>
        </w:trPr>
        <w:tc>
          <w:tcPr>
            <w:tcW w:w="1423" w:type="dxa"/>
            <w:vMerge/>
            <w:vAlign w:val="center"/>
          </w:tcPr>
          <w:p w:rsidR="00190E99" w:rsidRDefault="00190E99">
            <w:pPr>
              <w:rPr>
                <w:noProof/>
                <w:sz w:val="18"/>
                <w:szCs w:val="18"/>
              </w:rPr>
            </w:pPr>
          </w:p>
        </w:tc>
        <w:tc>
          <w:tcPr>
            <w:tcW w:w="720" w:type="dxa"/>
            <w:vAlign w:val="center"/>
          </w:tcPr>
          <w:p w:rsidR="00190E99" w:rsidRDefault="00CD4FBA">
            <w:pPr>
              <w:jc w:val="center"/>
              <w:rPr>
                <w:noProof/>
                <w:sz w:val="18"/>
                <w:szCs w:val="18"/>
              </w:rPr>
            </w:pPr>
            <w:r>
              <w:rPr>
                <w:noProof/>
                <w:sz w:val="18"/>
              </w:rPr>
              <w:t>Type</w:t>
            </w:r>
            <w:r>
              <w:rPr>
                <w:rStyle w:val="FootnoteReference"/>
                <w:noProof/>
                <w:sz w:val="18"/>
              </w:rPr>
              <w:footnoteReference w:id="12"/>
            </w:r>
          </w:p>
          <w:p w:rsidR="00190E99" w:rsidRDefault="00190E99">
            <w:pPr>
              <w:spacing w:before="0" w:after="0"/>
              <w:jc w:val="center"/>
              <w:rPr>
                <w:noProof/>
                <w:sz w:val="18"/>
                <w:szCs w:val="18"/>
              </w:rPr>
            </w:pPr>
          </w:p>
        </w:tc>
        <w:tc>
          <w:tcPr>
            <w:tcW w:w="701" w:type="dxa"/>
            <w:vAlign w:val="center"/>
          </w:tcPr>
          <w:p w:rsidR="00190E99" w:rsidRDefault="00CD4FBA">
            <w:pPr>
              <w:jc w:val="center"/>
              <w:rPr>
                <w:noProof/>
                <w:sz w:val="18"/>
                <w:szCs w:val="18"/>
              </w:rPr>
            </w:pPr>
            <w:r>
              <w:rPr>
                <w:noProof/>
                <w:sz w:val="18"/>
              </w:rPr>
              <w:t>Average cost</w:t>
            </w:r>
          </w:p>
        </w:tc>
        <w:tc>
          <w:tcPr>
            <w:tcW w:w="504" w:type="dxa"/>
            <w:tcBorders>
              <w:left w:val="nil"/>
              <w:right w:val="dashSmallGap" w:sz="4" w:space="0" w:color="auto"/>
            </w:tcBorders>
            <w:shd w:val="pct10" w:color="auto" w:fill="auto"/>
            <w:textDirection w:val="btLr"/>
            <w:vAlign w:val="center"/>
          </w:tcPr>
          <w:p w:rsidR="00190E99" w:rsidRDefault="00CD4FBA">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190E99" w:rsidRDefault="00CD4FBA">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190E99" w:rsidRDefault="00CD4FBA">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190E99" w:rsidRDefault="00CD4FBA">
            <w:pPr>
              <w:jc w:val="center"/>
              <w:rPr>
                <w:noProof/>
                <w:sz w:val="18"/>
                <w:szCs w:val="18"/>
              </w:rPr>
            </w:pPr>
            <w:r>
              <w:rPr>
                <w:noProof/>
                <w:sz w:val="18"/>
              </w:rPr>
              <w:t>Cost</w:t>
            </w:r>
          </w:p>
        </w:tc>
        <w:tc>
          <w:tcPr>
            <w:tcW w:w="720" w:type="dxa"/>
            <w:tcBorders>
              <w:right w:val="dashSmallGap" w:sz="4" w:space="0" w:color="auto"/>
            </w:tcBorders>
            <w:shd w:val="pct10" w:color="auto" w:fill="auto"/>
            <w:textDirection w:val="btLr"/>
            <w:vAlign w:val="center"/>
          </w:tcPr>
          <w:p w:rsidR="00190E99" w:rsidRDefault="00CD4FBA">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190E99" w:rsidRDefault="00CD4FBA">
            <w:pPr>
              <w:jc w:val="center"/>
              <w:rPr>
                <w:noProof/>
                <w:sz w:val="18"/>
                <w:szCs w:val="18"/>
              </w:rPr>
            </w:pPr>
            <w:r>
              <w:rPr>
                <w:noProof/>
                <w:sz w:val="18"/>
              </w:rPr>
              <w:t>Cost</w:t>
            </w:r>
          </w:p>
        </w:tc>
        <w:tc>
          <w:tcPr>
            <w:tcW w:w="900" w:type="dxa"/>
            <w:tcBorders>
              <w:right w:val="dashSmallGap" w:sz="4" w:space="0" w:color="auto"/>
            </w:tcBorders>
            <w:shd w:val="pct10" w:color="auto" w:fill="auto"/>
            <w:textDirection w:val="btLr"/>
            <w:vAlign w:val="center"/>
          </w:tcPr>
          <w:p w:rsidR="00190E99" w:rsidRDefault="00CD4FBA">
            <w:pPr>
              <w:ind w:left="113" w:right="113"/>
              <w:jc w:val="center"/>
              <w:rPr>
                <w:noProof/>
                <w:sz w:val="18"/>
                <w:szCs w:val="18"/>
              </w:rPr>
            </w:pPr>
            <w:r>
              <w:rPr>
                <w:noProof/>
                <w:sz w:val="18"/>
              </w:rPr>
              <w:t>No</w:t>
            </w:r>
          </w:p>
        </w:tc>
        <w:tc>
          <w:tcPr>
            <w:tcW w:w="720" w:type="dxa"/>
            <w:gridSpan w:val="2"/>
            <w:tcBorders>
              <w:left w:val="dashSmallGap" w:sz="4" w:space="0" w:color="auto"/>
            </w:tcBorders>
            <w:shd w:val="pct10" w:color="auto" w:fill="auto"/>
            <w:vAlign w:val="center"/>
          </w:tcPr>
          <w:p w:rsidR="00190E99" w:rsidRDefault="00CD4FBA">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190E99" w:rsidRDefault="00CD4FBA">
            <w:pPr>
              <w:ind w:left="113" w:right="113"/>
              <w:jc w:val="center"/>
              <w:rPr>
                <w:noProof/>
                <w:sz w:val="18"/>
                <w:szCs w:val="18"/>
              </w:rPr>
            </w:pPr>
            <w:r>
              <w:rPr>
                <w:noProof/>
                <w:sz w:val="18"/>
              </w:rPr>
              <w:t>No</w:t>
            </w:r>
          </w:p>
        </w:tc>
        <w:tc>
          <w:tcPr>
            <w:tcW w:w="648" w:type="dxa"/>
            <w:tcBorders>
              <w:left w:val="dashSmallGap" w:sz="4" w:space="0" w:color="auto"/>
            </w:tcBorders>
            <w:shd w:val="pct10" w:color="auto" w:fill="auto"/>
            <w:vAlign w:val="center"/>
          </w:tcPr>
          <w:p w:rsidR="00190E99" w:rsidRDefault="00CD4FBA">
            <w:pPr>
              <w:jc w:val="center"/>
              <w:rPr>
                <w:noProof/>
                <w:sz w:val="18"/>
                <w:szCs w:val="18"/>
              </w:rPr>
            </w:pPr>
            <w:r>
              <w:rPr>
                <w:noProof/>
                <w:sz w:val="18"/>
              </w:rPr>
              <w:t>Cost</w:t>
            </w:r>
          </w:p>
        </w:tc>
        <w:tc>
          <w:tcPr>
            <w:tcW w:w="432" w:type="dxa"/>
            <w:tcBorders>
              <w:right w:val="dashSmallGap" w:sz="4" w:space="0" w:color="auto"/>
            </w:tcBorders>
            <w:shd w:val="pct10" w:color="auto" w:fill="auto"/>
            <w:textDirection w:val="btLr"/>
            <w:vAlign w:val="center"/>
          </w:tcPr>
          <w:p w:rsidR="00190E99" w:rsidRDefault="00CD4FBA">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190E99" w:rsidRDefault="00CD4FBA">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190E99" w:rsidRDefault="00CD4FBA">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190E99" w:rsidRDefault="00CD4FBA">
            <w:pPr>
              <w:jc w:val="center"/>
              <w:rPr>
                <w:noProof/>
                <w:sz w:val="18"/>
                <w:szCs w:val="18"/>
              </w:rPr>
            </w:pPr>
            <w:r>
              <w:rPr>
                <w:noProof/>
                <w:sz w:val="18"/>
              </w:rPr>
              <w:t>Cost</w:t>
            </w:r>
          </w:p>
        </w:tc>
        <w:tc>
          <w:tcPr>
            <w:tcW w:w="720" w:type="dxa"/>
            <w:tcBorders>
              <w:right w:val="dashSmallGap" w:sz="4" w:space="0" w:color="auto"/>
            </w:tcBorders>
            <w:shd w:val="pct10" w:color="auto" w:fill="auto"/>
            <w:vAlign w:val="center"/>
          </w:tcPr>
          <w:p w:rsidR="00190E99" w:rsidRDefault="00CD4FBA">
            <w:pPr>
              <w:jc w:val="center"/>
              <w:rPr>
                <w:noProof/>
                <w:sz w:val="18"/>
                <w:szCs w:val="18"/>
              </w:rPr>
            </w:pPr>
            <w:r>
              <w:rPr>
                <w:noProof/>
                <w:sz w:val="18"/>
              </w:rPr>
              <w:t>Total No</w:t>
            </w:r>
          </w:p>
        </w:tc>
        <w:tc>
          <w:tcPr>
            <w:tcW w:w="900" w:type="dxa"/>
            <w:tcBorders>
              <w:left w:val="dashSmallGap" w:sz="4" w:space="0" w:color="auto"/>
            </w:tcBorders>
            <w:shd w:val="pct10" w:color="auto" w:fill="auto"/>
            <w:vAlign w:val="center"/>
          </w:tcPr>
          <w:p w:rsidR="00190E99" w:rsidRDefault="00CD4FBA">
            <w:pPr>
              <w:jc w:val="center"/>
              <w:rPr>
                <w:noProof/>
                <w:sz w:val="18"/>
                <w:szCs w:val="18"/>
              </w:rPr>
            </w:pPr>
            <w:r>
              <w:rPr>
                <w:noProof/>
                <w:sz w:val="18"/>
              </w:rPr>
              <w:t>Total cost</w:t>
            </w:r>
          </w:p>
        </w:tc>
      </w:tr>
      <w:tr w:rsidR="00190E99">
        <w:trPr>
          <w:jc w:val="center"/>
        </w:trPr>
        <w:tc>
          <w:tcPr>
            <w:tcW w:w="2844" w:type="dxa"/>
            <w:gridSpan w:val="3"/>
            <w:vAlign w:val="center"/>
          </w:tcPr>
          <w:p w:rsidR="00190E99" w:rsidRDefault="00CD4FBA">
            <w:pPr>
              <w:spacing w:before="60" w:after="60"/>
              <w:ind w:right="-29"/>
              <w:jc w:val="center"/>
              <w:rPr>
                <w:noProof/>
                <w:sz w:val="18"/>
                <w:szCs w:val="18"/>
              </w:rPr>
            </w:pPr>
            <w:r>
              <w:rPr>
                <w:noProof/>
                <w:sz w:val="18"/>
              </w:rPr>
              <w:t>SPECIFIC OBJECTIVE No 1</w:t>
            </w:r>
            <w:r>
              <w:rPr>
                <w:rStyle w:val="FootnoteReference"/>
                <w:noProof/>
                <w:sz w:val="18"/>
              </w:rPr>
              <w:footnoteReference w:id="13"/>
            </w:r>
            <w:r>
              <w:rPr>
                <w:noProof/>
                <w:sz w:val="18"/>
              </w:rPr>
              <w:t>…</w:t>
            </w:r>
          </w:p>
        </w:tc>
        <w:tc>
          <w:tcPr>
            <w:tcW w:w="504" w:type="dxa"/>
            <w:tcBorders>
              <w:top w:val="nil"/>
              <w:left w:val="nil"/>
              <w:bottom w:val="nil"/>
              <w:right w:val="nil"/>
            </w:tcBorders>
          </w:tcPr>
          <w:p w:rsidR="00190E99" w:rsidRDefault="00190E99">
            <w:pPr>
              <w:spacing w:before="60" w:after="60"/>
              <w:ind w:right="-29"/>
              <w:jc w:val="center"/>
              <w:rPr>
                <w:noProof/>
                <w:sz w:val="18"/>
                <w:szCs w:val="18"/>
              </w:rPr>
            </w:pPr>
          </w:p>
        </w:tc>
        <w:tc>
          <w:tcPr>
            <w:tcW w:w="720" w:type="dxa"/>
            <w:tcBorders>
              <w:top w:val="nil"/>
              <w:left w:val="nil"/>
              <w:bottom w:val="nil"/>
              <w:right w:val="nil"/>
            </w:tcBorders>
          </w:tcPr>
          <w:p w:rsidR="00190E99" w:rsidRDefault="00190E99">
            <w:pPr>
              <w:spacing w:before="60" w:after="60"/>
              <w:ind w:right="-29"/>
              <w:jc w:val="center"/>
              <w:rPr>
                <w:noProof/>
                <w:sz w:val="18"/>
                <w:szCs w:val="18"/>
              </w:rPr>
            </w:pPr>
          </w:p>
        </w:tc>
        <w:tc>
          <w:tcPr>
            <w:tcW w:w="540" w:type="dxa"/>
            <w:tcBorders>
              <w:top w:val="nil"/>
              <w:left w:val="nil"/>
              <w:bottom w:val="nil"/>
              <w:right w:val="nil"/>
            </w:tcBorders>
          </w:tcPr>
          <w:p w:rsidR="00190E99" w:rsidRDefault="00190E99">
            <w:pPr>
              <w:spacing w:before="60" w:after="60"/>
              <w:ind w:right="-29"/>
              <w:jc w:val="center"/>
              <w:rPr>
                <w:noProof/>
                <w:sz w:val="18"/>
                <w:szCs w:val="18"/>
              </w:rPr>
            </w:pPr>
          </w:p>
        </w:tc>
        <w:tc>
          <w:tcPr>
            <w:tcW w:w="720" w:type="dxa"/>
            <w:tcBorders>
              <w:top w:val="nil"/>
              <w:left w:val="nil"/>
              <w:bottom w:val="nil"/>
              <w:right w:val="nil"/>
            </w:tcBorders>
          </w:tcPr>
          <w:p w:rsidR="00190E99" w:rsidRDefault="00190E99">
            <w:pPr>
              <w:spacing w:before="60" w:after="60"/>
              <w:ind w:right="-29"/>
              <w:jc w:val="center"/>
              <w:rPr>
                <w:noProof/>
                <w:sz w:val="18"/>
                <w:szCs w:val="18"/>
              </w:rPr>
            </w:pPr>
          </w:p>
        </w:tc>
        <w:tc>
          <w:tcPr>
            <w:tcW w:w="720" w:type="dxa"/>
            <w:tcBorders>
              <w:top w:val="nil"/>
              <w:left w:val="nil"/>
              <w:bottom w:val="nil"/>
              <w:right w:val="nil"/>
            </w:tcBorders>
          </w:tcPr>
          <w:p w:rsidR="00190E99" w:rsidRDefault="00190E99">
            <w:pPr>
              <w:spacing w:before="60" w:after="60"/>
              <w:ind w:right="-29"/>
              <w:jc w:val="center"/>
              <w:rPr>
                <w:noProof/>
                <w:sz w:val="18"/>
                <w:szCs w:val="18"/>
              </w:rPr>
            </w:pPr>
          </w:p>
        </w:tc>
        <w:tc>
          <w:tcPr>
            <w:tcW w:w="720" w:type="dxa"/>
            <w:tcBorders>
              <w:top w:val="nil"/>
              <w:left w:val="nil"/>
              <w:bottom w:val="nil"/>
              <w:right w:val="nil"/>
            </w:tcBorders>
          </w:tcPr>
          <w:p w:rsidR="00190E99" w:rsidRDefault="00190E99">
            <w:pPr>
              <w:spacing w:before="60" w:after="60"/>
              <w:ind w:right="-29"/>
              <w:jc w:val="center"/>
              <w:rPr>
                <w:noProof/>
                <w:sz w:val="18"/>
                <w:szCs w:val="18"/>
              </w:rPr>
            </w:pPr>
          </w:p>
        </w:tc>
        <w:tc>
          <w:tcPr>
            <w:tcW w:w="900" w:type="dxa"/>
            <w:tcBorders>
              <w:top w:val="nil"/>
              <w:left w:val="nil"/>
              <w:bottom w:val="nil"/>
              <w:right w:val="nil"/>
            </w:tcBorders>
          </w:tcPr>
          <w:p w:rsidR="00190E99" w:rsidRDefault="00190E99">
            <w:pPr>
              <w:spacing w:before="60" w:after="60"/>
              <w:ind w:right="-29"/>
              <w:jc w:val="center"/>
              <w:rPr>
                <w:noProof/>
                <w:sz w:val="18"/>
                <w:szCs w:val="18"/>
              </w:rPr>
            </w:pPr>
          </w:p>
        </w:tc>
        <w:tc>
          <w:tcPr>
            <w:tcW w:w="720" w:type="dxa"/>
            <w:gridSpan w:val="2"/>
            <w:tcBorders>
              <w:top w:val="nil"/>
              <w:left w:val="nil"/>
              <w:bottom w:val="nil"/>
              <w:right w:val="nil"/>
            </w:tcBorders>
          </w:tcPr>
          <w:p w:rsidR="00190E99" w:rsidRDefault="00190E99">
            <w:pPr>
              <w:spacing w:before="60" w:after="60"/>
              <w:ind w:right="-29"/>
              <w:jc w:val="center"/>
              <w:rPr>
                <w:noProof/>
                <w:sz w:val="18"/>
                <w:szCs w:val="18"/>
              </w:rPr>
            </w:pPr>
          </w:p>
        </w:tc>
        <w:tc>
          <w:tcPr>
            <w:tcW w:w="540" w:type="dxa"/>
            <w:tcBorders>
              <w:top w:val="nil"/>
              <w:left w:val="nil"/>
              <w:bottom w:val="nil"/>
              <w:right w:val="nil"/>
            </w:tcBorders>
          </w:tcPr>
          <w:p w:rsidR="00190E99" w:rsidRDefault="00190E99">
            <w:pPr>
              <w:spacing w:before="60" w:after="60"/>
              <w:ind w:right="-29"/>
              <w:jc w:val="center"/>
              <w:rPr>
                <w:noProof/>
                <w:sz w:val="18"/>
                <w:szCs w:val="18"/>
              </w:rPr>
            </w:pPr>
          </w:p>
        </w:tc>
        <w:tc>
          <w:tcPr>
            <w:tcW w:w="648" w:type="dxa"/>
            <w:tcBorders>
              <w:top w:val="nil"/>
              <w:left w:val="nil"/>
              <w:bottom w:val="nil"/>
              <w:right w:val="nil"/>
            </w:tcBorders>
          </w:tcPr>
          <w:p w:rsidR="00190E99" w:rsidRDefault="00190E99">
            <w:pPr>
              <w:spacing w:before="60" w:after="60"/>
              <w:ind w:right="-29"/>
              <w:jc w:val="center"/>
              <w:rPr>
                <w:noProof/>
                <w:sz w:val="18"/>
                <w:szCs w:val="18"/>
              </w:rPr>
            </w:pPr>
          </w:p>
        </w:tc>
        <w:tc>
          <w:tcPr>
            <w:tcW w:w="432" w:type="dxa"/>
            <w:tcBorders>
              <w:top w:val="nil"/>
              <w:left w:val="nil"/>
              <w:bottom w:val="nil"/>
              <w:right w:val="nil"/>
            </w:tcBorders>
          </w:tcPr>
          <w:p w:rsidR="00190E99" w:rsidRDefault="00190E99">
            <w:pPr>
              <w:spacing w:before="60" w:after="60"/>
              <w:ind w:right="-29"/>
              <w:jc w:val="center"/>
              <w:rPr>
                <w:noProof/>
                <w:sz w:val="18"/>
                <w:szCs w:val="18"/>
              </w:rPr>
            </w:pPr>
          </w:p>
        </w:tc>
        <w:tc>
          <w:tcPr>
            <w:tcW w:w="720" w:type="dxa"/>
            <w:tcBorders>
              <w:top w:val="nil"/>
              <w:left w:val="nil"/>
              <w:bottom w:val="nil"/>
              <w:right w:val="nil"/>
            </w:tcBorders>
          </w:tcPr>
          <w:p w:rsidR="00190E99" w:rsidRDefault="00190E99">
            <w:pPr>
              <w:spacing w:before="60" w:after="60"/>
              <w:ind w:right="-29"/>
              <w:jc w:val="center"/>
              <w:rPr>
                <w:noProof/>
                <w:sz w:val="18"/>
                <w:szCs w:val="18"/>
              </w:rPr>
            </w:pPr>
          </w:p>
        </w:tc>
        <w:tc>
          <w:tcPr>
            <w:tcW w:w="540" w:type="dxa"/>
            <w:tcBorders>
              <w:top w:val="nil"/>
              <w:left w:val="nil"/>
              <w:bottom w:val="nil"/>
              <w:right w:val="nil"/>
            </w:tcBorders>
          </w:tcPr>
          <w:p w:rsidR="00190E99" w:rsidRDefault="00190E99">
            <w:pPr>
              <w:spacing w:before="60" w:after="60"/>
              <w:ind w:right="-29"/>
              <w:jc w:val="center"/>
              <w:rPr>
                <w:noProof/>
                <w:sz w:val="18"/>
                <w:szCs w:val="18"/>
              </w:rPr>
            </w:pPr>
          </w:p>
        </w:tc>
        <w:tc>
          <w:tcPr>
            <w:tcW w:w="720" w:type="dxa"/>
            <w:tcBorders>
              <w:top w:val="nil"/>
              <w:left w:val="nil"/>
              <w:bottom w:val="nil"/>
              <w:right w:val="nil"/>
            </w:tcBorders>
          </w:tcPr>
          <w:p w:rsidR="00190E99" w:rsidRDefault="00190E99">
            <w:pPr>
              <w:spacing w:before="60" w:after="60"/>
              <w:ind w:right="-29"/>
              <w:jc w:val="center"/>
              <w:rPr>
                <w:noProof/>
                <w:sz w:val="18"/>
                <w:szCs w:val="18"/>
              </w:rPr>
            </w:pPr>
          </w:p>
        </w:tc>
        <w:tc>
          <w:tcPr>
            <w:tcW w:w="720" w:type="dxa"/>
            <w:tcBorders>
              <w:top w:val="nil"/>
              <w:left w:val="nil"/>
              <w:bottom w:val="nil"/>
              <w:right w:val="nil"/>
            </w:tcBorders>
          </w:tcPr>
          <w:p w:rsidR="00190E99" w:rsidRDefault="00190E99">
            <w:pPr>
              <w:spacing w:before="60" w:after="60"/>
              <w:ind w:right="-29"/>
              <w:jc w:val="center"/>
              <w:rPr>
                <w:noProof/>
                <w:sz w:val="18"/>
                <w:szCs w:val="18"/>
              </w:rPr>
            </w:pPr>
          </w:p>
        </w:tc>
        <w:tc>
          <w:tcPr>
            <w:tcW w:w="900" w:type="dxa"/>
            <w:tcBorders>
              <w:top w:val="nil"/>
              <w:left w:val="nil"/>
              <w:bottom w:val="nil"/>
              <w:right w:val="nil"/>
            </w:tcBorders>
          </w:tcPr>
          <w:p w:rsidR="00190E99" w:rsidRDefault="00190E99">
            <w:pPr>
              <w:spacing w:before="60" w:after="60"/>
              <w:ind w:right="-29"/>
              <w:jc w:val="center"/>
              <w:rPr>
                <w:noProof/>
                <w:sz w:val="18"/>
                <w:szCs w:val="18"/>
              </w:rPr>
            </w:pPr>
          </w:p>
        </w:tc>
      </w:tr>
      <w:tr w:rsidR="00190E99">
        <w:trPr>
          <w:trHeight w:hRule="exact" w:val="369"/>
          <w:jc w:val="center"/>
        </w:trPr>
        <w:tc>
          <w:tcPr>
            <w:tcW w:w="1423" w:type="dxa"/>
          </w:tcPr>
          <w:p w:rsidR="00190E99" w:rsidRDefault="00CD4FBA">
            <w:pPr>
              <w:ind w:right="-29"/>
              <w:jc w:val="center"/>
              <w:rPr>
                <w:noProof/>
                <w:sz w:val="18"/>
                <w:szCs w:val="18"/>
              </w:rPr>
            </w:pPr>
            <w:r>
              <w:rPr>
                <w:noProof/>
                <w:sz w:val="18"/>
              </w:rPr>
              <w:t>- Output</w:t>
            </w:r>
          </w:p>
        </w:tc>
        <w:tc>
          <w:tcPr>
            <w:tcW w:w="720" w:type="dxa"/>
          </w:tcPr>
          <w:p w:rsidR="00190E99" w:rsidRDefault="00190E99">
            <w:pPr>
              <w:ind w:right="-29"/>
              <w:jc w:val="center"/>
              <w:rPr>
                <w:noProof/>
                <w:sz w:val="18"/>
                <w:szCs w:val="18"/>
              </w:rPr>
            </w:pPr>
          </w:p>
        </w:tc>
        <w:tc>
          <w:tcPr>
            <w:tcW w:w="701" w:type="dxa"/>
          </w:tcPr>
          <w:p w:rsidR="00190E99" w:rsidRDefault="00190E99">
            <w:pPr>
              <w:ind w:right="-29"/>
              <w:jc w:val="center"/>
              <w:rPr>
                <w:noProof/>
                <w:sz w:val="18"/>
                <w:szCs w:val="18"/>
              </w:rPr>
            </w:pPr>
          </w:p>
        </w:tc>
        <w:tc>
          <w:tcPr>
            <w:tcW w:w="504" w:type="dxa"/>
            <w:tcBorders>
              <w:right w:val="dashSmallGap" w:sz="4" w:space="0" w:color="auto"/>
            </w:tcBorders>
          </w:tcPr>
          <w:p w:rsidR="00190E99" w:rsidRDefault="00190E99">
            <w:pPr>
              <w:ind w:right="-29"/>
              <w:jc w:val="center"/>
              <w:rPr>
                <w:noProof/>
                <w:sz w:val="18"/>
                <w:szCs w:val="18"/>
              </w:rPr>
            </w:pPr>
          </w:p>
        </w:tc>
        <w:tc>
          <w:tcPr>
            <w:tcW w:w="720" w:type="dxa"/>
            <w:tcBorders>
              <w:left w:val="dashSmallGap" w:sz="4" w:space="0" w:color="auto"/>
            </w:tcBorders>
          </w:tcPr>
          <w:p w:rsidR="00190E99" w:rsidRDefault="00190E99">
            <w:pPr>
              <w:ind w:right="-29"/>
              <w:jc w:val="center"/>
              <w:rPr>
                <w:noProof/>
                <w:sz w:val="18"/>
                <w:szCs w:val="18"/>
              </w:rPr>
            </w:pPr>
          </w:p>
        </w:tc>
        <w:tc>
          <w:tcPr>
            <w:tcW w:w="540" w:type="dxa"/>
            <w:tcBorders>
              <w:right w:val="dashSmallGap" w:sz="4" w:space="0" w:color="auto"/>
            </w:tcBorders>
          </w:tcPr>
          <w:p w:rsidR="00190E99" w:rsidRDefault="00190E99">
            <w:pPr>
              <w:ind w:right="-29"/>
              <w:jc w:val="center"/>
              <w:rPr>
                <w:noProof/>
                <w:sz w:val="18"/>
                <w:szCs w:val="18"/>
              </w:rPr>
            </w:pPr>
          </w:p>
        </w:tc>
        <w:tc>
          <w:tcPr>
            <w:tcW w:w="720" w:type="dxa"/>
            <w:tcBorders>
              <w:left w:val="dashSmallGap" w:sz="4" w:space="0" w:color="auto"/>
            </w:tcBorders>
          </w:tcPr>
          <w:p w:rsidR="00190E99" w:rsidRDefault="00190E99">
            <w:pPr>
              <w:ind w:right="-29"/>
              <w:jc w:val="center"/>
              <w:rPr>
                <w:noProof/>
                <w:sz w:val="18"/>
                <w:szCs w:val="18"/>
              </w:rPr>
            </w:pPr>
          </w:p>
        </w:tc>
        <w:tc>
          <w:tcPr>
            <w:tcW w:w="720" w:type="dxa"/>
            <w:tcBorders>
              <w:right w:val="dashSmallGap" w:sz="4" w:space="0" w:color="auto"/>
            </w:tcBorders>
          </w:tcPr>
          <w:p w:rsidR="00190E99" w:rsidRDefault="00190E99">
            <w:pPr>
              <w:ind w:right="-29"/>
              <w:jc w:val="center"/>
              <w:rPr>
                <w:noProof/>
                <w:sz w:val="18"/>
                <w:szCs w:val="18"/>
              </w:rPr>
            </w:pPr>
          </w:p>
        </w:tc>
        <w:tc>
          <w:tcPr>
            <w:tcW w:w="720" w:type="dxa"/>
            <w:tcBorders>
              <w:left w:val="dashSmallGap" w:sz="4" w:space="0" w:color="auto"/>
            </w:tcBorders>
          </w:tcPr>
          <w:p w:rsidR="00190E99" w:rsidRDefault="00190E99">
            <w:pPr>
              <w:ind w:right="-29"/>
              <w:jc w:val="center"/>
              <w:rPr>
                <w:noProof/>
                <w:sz w:val="18"/>
                <w:szCs w:val="18"/>
              </w:rPr>
            </w:pPr>
          </w:p>
        </w:tc>
        <w:tc>
          <w:tcPr>
            <w:tcW w:w="900" w:type="dxa"/>
            <w:tcBorders>
              <w:right w:val="dashSmallGap" w:sz="4" w:space="0" w:color="auto"/>
            </w:tcBorders>
          </w:tcPr>
          <w:p w:rsidR="00190E99" w:rsidRDefault="00190E99">
            <w:pPr>
              <w:ind w:right="-29"/>
              <w:jc w:val="center"/>
              <w:rPr>
                <w:noProof/>
                <w:sz w:val="18"/>
                <w:szCs w:val="18"/>
              </w:rPr>
            </w:pPr>
          </w:p>
        </w:tc>
        <w:tc>
          <w:tcPr>
            <w:tcW w:w="720" w:type="dxa"/>
            <w:gridSpan w:val="2"/>
            <w:tcBorders>
              <w:left w:val="dashSmallGap" w:sz="4" w:space="0" w:color="auto"/>
            </w:tcBorders>
          </w:tcPr>
          <w:p w:rsidR="00190E99" w:rsidRDefault="00190E99">
            <w:pPr>
              <w:ind w:right="-29"/>
              <w:jc w:val="center"/>
              <w:rPr>
                <w:noProof/>
                <w:sz w:val="18"/>
                <w:szCs w:val="18"/>
              </w:rPr>
            </w:pPr>
          </w:p>
        </w:tc>
        <w:tc>
          <w:tcPr>
            <w:tcW w:w="540" w:type="dxa"/>
            <w:tcBorders>
              <w:right w:val="dashSmallGap" w:sz="4" w:space="0" w:color="auto"/>
            </w:tcBorders>
          </w:tcPr>
          <w:p w:rsidR="00190E99" w:rsidRDefault="00190E99">
            <w:pPr>
              <w:ind w:right="-29"/>
              <w:jc w:val="center"/>
              <w:rPr>
                <w:noProof/>
                <w:sz w:val="18"/>
                <w:szCs w:val="18"/>
              </w:rPr>
            </w:pPr>
          </w:p>
        </w:tc>
        <w:tc>
          <w:tcPr>
            <w:tcW w:w="648" w:type="dxa"/>
            <w:tcBorders>
              <w:left w:val="dashSmallGap" w:sz="4" w:space="0" w:color="auto"/>
            </w:tcBorders>
          </w:tcPr>
          <w:p w:rsidR="00190E99" w:rsidRDefault="00190E99">
            <w:pPr>
              <w:ind w:right="-29"/>
              <w:jc w:val="center"/>
              <w:rPr>
                <w:noProof/>
                <w:sz w:val="18"/>
                <w:szCs w:val="18"/>
              </w:rPr>
            </w:pPr>
          </w:p>
        </w:tc>
        <w:tc>
          <w:tcPr>
            <w:tcW w:w="432" w:type="dxa"/>
            <w:tcBorders>
              <w:right w:val="dashSmallGap" w:sz="4" w:space="0" w:color="auto"/>
            </w:tcBorders>
          </w:tcPr>
          <w:p w:rsidR="00190E99" w:rsidRDefault="00190E99">
            <w:pPr>
              <w:ind w:right="-29"/>
              <w:jc w:val="center"/>
              <w:rPr>
                <w:noProof/>
                <w:sz w:val="18"/>
                <w:szCs w:val="18"/>
              </w:rPr>
            </w:pPr>
          </w:p>
        </w:tc>
        <w:tc>
          <w:tcPr>
            <w:tcW w:w="720" w:type="dxa"/>
            <w:tcBorders>
              <w:left w:val="dashSmallGap" w:sz="4" w:space="0" w:color="auto"/>
            </w:tcBorders>
          </w:tcPr>
          <w:p w:rsidR="00190E99" w:rsidRDefault="00190E99">
            <w:pPr>
              <w:ind w:right="-29"/>
              <w:jc w:val="center"/>
              <w:rPr>
                <w:noProof/>
                <w:sz w:val="18"/>
                <w:szCs w:val="18"/>
              </w:rPr>
            </w:pPr>
          </w:p>
        </w:tc>
        <w:tc>
          <w:tcPr>
            <w:tcW w:w="540" w:type="dxa"/>
            <w:tcBorders>
              <w:right w:val="dashSmallGap" w:sz="4" w:space="0" w:color="auto"/>
            </w:tcBorders>
          </w:tcPr>
          <w:p w:rsidR="00190E99" w:rsidRDefault="00190E99">
            <w:pPr>
              <w:ind w:right="-29"/>
              <w:jc w:val="center"/>
              <w:rPr>
                <w:noProof/>
                <w:sz w:val="18"/>
                <w:szCs w:val="18"/>
              </w:rPr>
            </w:pPr>
          </w:p>
        </w:tc>
        <w:tc>
          <w:tcPr>
            <w:tcW w:w="720" w:type="dxa"/>
            <w:tcBorders>
              <w:left w:val="dashSmallGap" w:sz="4" w:space="0" w:color="auto"/>
            </w:tcBorders>
          </w:tcPr>
          <w:p w:rsidR="00190E99" w:rsidRDefault="00190E99">
            <w:pPr>
              <w:ind w:right="-29"/>
              <w:jc w:val="center"/>
              <w:rPr>
                <w:noProof/>
                <w:sz w:val="18"/>
                <w:szCs w:val="18"/>
              </w:rPr>
            </w:pPr>
          </w:p>
        </w:tc>
        <w:tc>
          <w:tcPr>
            <w:tcW w:w="720" w:type="dxa"/>
          </w:tcPr>
          <w:p w:rsidR="00190E99" w:rsidRDefault="00190E99">
            <w:pPr>
              <w:ind w:right="-29"/>
              <w:jc w:val="center"/>
              <w:rPr>
                <w:noProof/>
                <w:sz w:val="18"/>
                <w:szCs w:val="18"/>
              </w:rPr>
            </w:pPr>
          </w:p>
        </w:tc>
        <w:tc>
          <w:tcPr>
            <w:tcW w:w="900" w:type="dxa"/>
          </w:tcPr>
          <w:p w:rsidR="00190E99" w:rsidRDefault="00190E99">
            <w:pPr>
              <w:ind w:right="-29"/>
              <w:jc w:val="center"/>
              <w:rPr>
                <w:noProof/>
                <w:sz w:val="18"/>
                <w:szCs w:val="18"/>
              </w:rPr>
            </w:pPr>
          </w:p>
        </w:tc>
      </w:tr>
      <w:tr w:rsidR="00190E99">
        <w:trPr>
          <w:trHeight w:hRule="exact" w:val="369"/>
          <w:jc w:val="center"/>
        </w:trPr>
        <w:tc>
          <w:tcPr>
            <w:tcW w:w="1423" w:type="dxa"/>
          </w:tcPr>
          <w:p w:rsidR="00190E99" w:rsidRDefault="00CD4FBA">
            <w:pPr>
              <w:ind w:right="-29"/>
              <w:jc w:val="center"/>
              <w:rPr>
                <w:noProof/>
                <w:sz w:val="18"/>
                <w:szCs w:val="18"/>
              </w:rPr>
            </w:pPr>
            <w:r>
              <w:rPr>
                <w:noProof/>
                <w:sz w:val="18"/>
              </w:rPr>
              <w:t>- Output</w:t>
            </w:r>
          </w:p>
        </w:tc>
        <w:tc>
          <w:tcPr>
            <w:tcW w:w="720" w:type="dxa"/>
          </w:tcPr>
          <w:p w:rsidR="00190E99" w:rsidRDefault="00190E99">
            <w:pPr>
              <w:ind w:right="-29"/>
              <w:jc w:val="center"/>
              <w:rPr>
                <w:noProof/>
                <w:sz w:val="18"/>
                <w:szCs w:val="18"/>
              </w:rPr>
            </w:pPr>
          </w:p>
        </w:tc>
        <w:tc>
          <w:tcPr>
            <w:tcW w:w="701" w:type="dxa"/>
          </w:tcPr>
          <w:p w:rsidR="00190E99" w:rsidRDefault="00190E99">
            <w:pPr>
              <w:ind w:right="-29"/>
              <w:jc w:val="center"/>
              <w:rPr>
                <w:noProof/>
                <w:sz w:val="18"/>
                <w:szCs w:val="18"/>
              </w:rPr>
            </w:pPr>
          </w:p>
        </w:tc>
        <w:tc>
          <w:tcPr>
            <w:tcW w:w="504" w:type="dxa"/>
            <w:tcBorders>
              <w:right w:val="dashSmallGap" w:sz="4" w:space="0" w:color="auto"/>
            </w:tcBorders>
          </w:tcPr>
          <w:p w:rsidR="00190E99" w:rsidRDefault="00190E99">
            <w:pPr>
              <w:ind w:right="-29"/>
              <w:jc w:val="center"/>
              <w:rPr>
                <w:noProof/>
                <w:sz w:val="18"/>
                <w:szCs w:val="18"/>
              </w:rPr>
            </w:pPr>
          </w:p>
        </w:tc>
        <w:tc>
          <w:tcPr>
            <w:tcW w:w="720" w:type="dxa"/>
            <w:tcBorders>
              <w:left w:val="dashSmallGap" w:sz="4" w:space="0" w:color="auto"/>
            </w:tcBorders>
          </w:tcPr>
          <w:p w:rsidR="00190E99" w:rsidRDefault="00190E99">
            <w:pPr>
              <w:ind w:right="-29"/>
              <w:jc w:val="center"/>
              <w:rPr>
                <w:noProof/>
                <w:sz w:val="18"/>
                <w:szCs w:val="18"/>
              </w:rPr>
            </w:pPr>
          </w:p>
        </w:tc>
        <w:tc>
          <w:tcPr>
            <w:tcW w:w="540" w:type="dxa"/>
            <w:tcBorders>
              <w:right w:val="dashSmallGap" w:sz="4" w:space="0" w:color="auto"/>
            </w:tcBorders>
          </w:tcPr>
          <w:p w:rsidR="00190E99" w:rsidRDefault="00190E99">
            <w:pPr>
              <w:ind w:right="-29"/>
              <w:jc w:val="center"/>
              <w:rPr>
                <w:noProof/>
                <w:sz w:val="18"/>
                <w:szCs w:val="18"/>
              </w:rPr>
            </w:pPr>
          </w:p>
        </w:tc>
        <w:tc>
          <w:tcPr>
            <w:tcW w:w="720" w:type="dxa"/>
            <w:tcBorders>
              <w:left w:val="dashSmallGap" w:sz="4" w:space="0" w:color="auto"/>
            </w:tcBorders>
          </w:tcPr>
          <w:p w:rsidR="00190E99" w:rsidRDefault="00190E99">
            <w:pPr>
              <w:ind w:right="-29"/>
              <w:jc w:val="center"/>
              <w:rPr>
                <w:noProof/>
                <w:sz w:val="18"/>
                <w:szCs w:val="18"/>
              </w:rPr>
            </w:pPr>
          </w:p>
        </w:tc>
        <w:tc>
          <w:tcPr>
            <w:tcW w:w="720" w:type="dxa"/>
            <w:tcBorders>
              <w:right w:val="dashSmallGap" w:sz="4" w:space="0" w:color="auto"/>
            </w:tcBorders>
          </w:tcPr>
          <w:p w:rsidR="00190E99" w:rsidRDefault="00190E99">
            <w:pPr>
              <w:ind w:right="-29"/>
              <w:jc w:val="center"/>
              <w:rPr>
                <w:noProof/>
                <w:sz w:val="18"/>
                <w:szCs w:val="18"/>
              </w:rPr>
            </w:pPr>
          </w:p>
        </w:tc>
        <w:tc>
          <w:tcPr>
            <w:tcW w:w="720" w:type="dxa"/>
            <w:tcBorders>
              <w:left w:val="dashSmallGap" w:sz="4" w:space="0" w:color="auto"/>
            </w:tcBorders>
          </w:tcPr>
          <w:p w:rsidR="00190E99" w:rsidRDefault="00190E99">
            <w:pPr>
              <w:ind w:right="-29"/>
              <w:jc w:val="center"/>
              <w:rPr>
                <w:noProof/>
                <w:sz w:val="18"/>
                <w:szCs w:val="18"/>
              </w:rPr>
            </w:pPr>
          </w:p>
        </w:tc>
        <w:tc>
          <w:tcPr>
            <w:tcW w:w="900" w:type="dxa"/>
            <w:tcBorders>
              <w:right w:val="dashSmallGap" w:sz="4" w:space="0" w:color="auto"/>
            </w:tcBorders>
          </w:tcPr>
          <w:p w:rsidR="00190E99" w:rsidRDefault="00190E99">
            <w:pPr>
              <w:ind w:right="-29"/>
              <w:jc w:val="center"/>
              <w:rPr>
                <w:noProof/>
                <w:sz w:val="18"/>
                <w:szCs w:val="18"/>
              </w:rPr>
            </w:pPr>
          </w:p>
        </w:tc>
        <w:tc>
          <w:tcPr>
            <w:tcW w:w="720" w:type="dxa"/>
            <w:gridSpan w:val="2"/>
            <w:tcBorders>
              <w:left w:val="dashSmallGap" w:sz="4" w:space="0" w:color="auto"/>
            </w:tcBorders>
          </w:tcPr>
          <w:p w:rsidR="00190E99" w:rsidRDefault="00190E99">
            <w:pPr>
              <w:ind w:right="-29"/>
              <w:jc w:val="center"/>
              <w:rPr>
                <w:noProof/>
                <w:sz w:val="18"/>
                <w:szCs w:val="18"/>
              </w:rPr>
            </w:pPr>
          </w:p>
        </w:tc>
        <w:tc>
          <w:tcPr>
            <w:tcW w:w="540" w:type="dxa"/>
            <w:tcBorders>
              <w:right w:val="dashSmallGap" w:sz="4" w:space="0" w:color="auto"/>
            </w:tcBorders>
          </w:tcPr>
          <w:p w:rsidR="00190E99" w:rsidRDefault="00190E99">
            <w:pPr>
              <w:ind w:right="-29"/>
              <w:jc w:val="center"/>
              <w:rPr>
                <w:noProof/>
                <w:sz w:val="18"/>
                <w:szCs w:val="18"/>
              </w:rPr>
            </w:pPr>
          </w:p>
        </w:tc>
        <w:tc>
          <w:tcPr>
            <w:tcW w:w="648" w:type="dxa"/>
            <w:tcBorders>
              <w:left w:val="dashSmallGap" w:sz="4" w:space="0" w:color="auto"/>
            </w:tcBorders>
          </w:tcPr>
          <w:p w:rsidR="00190E99" w:rsidRDefault="00190E99">
            <w:pPr>
              <w:ind w:right="-29"/>
              <w:jc w:val="center"/>
              <w:rPr>
                <w:noProof/>
                <w:sz w:val="18"/>
                <w:szCs w:val="18"/>
              </w:rPr>
            </w:pPr>
          </w:p>
        </w:tc>
        <w:tc>
          <w:tcPr>
            <w:tcW w:w="432" w:type="dxa"/>
            <w:tcBorders>
              <w:right w:val="dashSmallGap" w:sz="4" w:space="0" w:color="auto"/>
            </w:tcBorders>
          </w:tcPr>
          <w:p w:rsidR="00190E99" w:rsidRDefault="00190E99">
            <w:pPr>
              <w:ind w:right="-29"/>
              <w:jc w:val="center"/>
              <w:rPr>
                <w:noProof/>
                <w:sz w:val="18"/>
                <w:szCs w:val="18"/>
              </w:rPr>
            </w:pPr>
          </w:p>
        </w:tc>
        <w:tc>
          <w:tcPr>
            <w:tcW w:w="720" w:type="dxa"/>
            <w:tcBorders>
              <w:left w:val="dashSmallGap" w:sz="4" w:space="0" w:color="auto"/>
            </w:tcBorders>
          </w:tcPr>
          <w:p w:rsidR="00190E99" w:rsidRDefault="00190E99">
            <w:pPr>
              <w:ind w:right="-29"/>
              <w:jc w:val="center"/>
              <w:rPr>
                <w:noProof/>
                <w:sz w:val="18"/>
                <w:szCs w:val="18"/>
              </w:rPr>
            </w:pPr>
          </w:p>
        </w:tc>
        <w:tc>
          <w:tcPr>
            <w:tcW w:w="540" w:type="dxa"/>
            <w:tcBorders>
              <w:right w:val="dashSmallGap" w:sz="4" w:space="0" w:color="auto"/>
            </w:tcBorders>
          </w:tcPr>
          <w:p w:rsidR="00190E99" w:rsidRDefault="00190E99">
            <w:pPr>
              <w:ind w:right="-29"/>
              <w:jc w:val="center"/>
              <w:rPr>
                <w:noProof/>
                <w:sz w:val="18"/>
                <w:szCs w:val="18"/>
              </w:rPr>
            </w:pPr>
          </w:p>
        </w:tc>
        <w:tc>
          <w:tcPr>
            <w:tcW w:w="720" w:type="dxa"/>
            <w:tcBorders>
              <w:left w:val="dashSmallGap" w:sz="4" w:space="0" w:color="auto"/>
            </w:tcBorders>
          </w:tcPr>
          <w:p w:rsidR="00190E99" w:rsidRDefault="00190E99">
            <w:pPr>
              <w:ind w:right="-29"/>
              <w:jc w:val="center"/>
              <w:rPr>
                <w:noProof/>
                <w:sz w:val="18"/>
                <w:szCs w:val="18"/>
              </w:rPr>
            </w:pPr>
          </w:p>
        </w:tc>
        <w:tc>
          <w:tcPr>
            <w:tcW w:w="720" w:type="dxa"/>
          </w:tcPr>
          <w:p w:rsidR="00190E99" w:rsidRDefault="00190E99">
            <w:pPr>
              <w:ind w:right="-29"/>
              <w:jc w:val="center"/>
              <w:rPr>
                <w:noProof/>
                <w:sz w:val="18"/>
                <w:szCs w:val="18"/>
              </w:rPr>
            </w:pPr>
          </w:p>
        </w:tc>
        <w:tc>
          <w:tcPr>
            <w:tcW w:w="900" w:type="dxa"/>
          </w:tcPr>
          <w:p w:rsidR="00190E99" w:rsidRDefault="00190E99">
            <w:pPr>
              <w:ind w:right="-29"/>
              <w:jc w:val="center"/>
              <w:rPr>
                <w:noProof/>
                <w:sz w:val="18"/>
                <w:szCs w:val="18"/>
              </w:rPr>
            </w:pPr>
          </w:p>
        </w:tc>
      </w:tr>
      <w:tr w:rsidR="00190E99">
        <w:trPr>
          <w:trHeight w:hRule="exact" w:val="369"/>
          <w:jc w:val="center"/>
        </w:trPr>
        <w:tc>
          <w:tcPr>
            <w:tcW w:w="1423" w:type="dxa"/>
          </w:tcPr>
          <w:p w:rsidR="00190E99" w:rsidRDefault="00CD4FBA">
            <w:pPr>
              <w:ind w:right="-29"/>
              <w:jc w:val="center"/>
              <w:rPr>
                <w:noProof/>
                <w:sz w:val="18"/>
                <w:szCs w:val="18"/>
              </w:rPr>
            </w:pPr>
            <w:r>
              <w:rPr>
                <w:noProof/>
                <w:sz w:val="18"/>
              </w:rPr>
              <w:t>- Output</w:t>
            </w:r>
          </w:p>
        </w:tc>
        <w:tc>
          <w:tcPr>
            <w:tcW w:w="720" w:type="dxa"/>
          </w:tcPr>
          <w:p w:rsidR="00190E99" w:rsidRDefault="00190E99">
            <w:pPr>
              <w:ind w:right="-29"/>
              <w:jc w:val="center"/>
              <w:rPr>
                <w:noProof/>
                <w:sz w:val="18"/>
                <w:szCs w:val="18"/>
              </w:rPr>
            </w:pPr>
          </w:p>
        </w:tc>
        <w:tc>
          <w:tcPr>
            <w:tcW w:w="701" w:type="dxa"/>
          </w:tcPr>
          <w:p w:rsidR="00190E99" w:rsidRDefault="00190E99">
            <w:pPr>
              <w:ind w:right="-29"/>
              <w:jc w:val="center"/>
              <w:rPr>
                <w:noProof/>
                <w:sz w:val="18"/>
                <w:szCs w:val="18"/>
              </w:rPr>
            </w:pPr>
          </w:p>
        </w:tc>
        <w:tc>
          <w:tcPr>
            <w:tcW w:w="504" w:type="dxa"/>
          </w:tcPr>
          <w:p w:rsidR="00190E99" w:rsidRDefault="00190E99">
            <w:pPr>
              <w:ind w:right="-29"/>
              <w:jc w:val="center"/>
              <w:rPr>
                <w:noProof/>
                <w:sz w:val="18"/>
                <w:szCs w:val="18"/>
              </w:rPr>
            </w:pPr>
          </w:p>
        </w:tc>
        <w:tc>
          <w:tcPr>
            <w:tcW w:w="720" w:type="dxa"/>
          </w:tcPr>
          <w:p w:rsidR="00190E99" w:rsidRDefault="00190E99">
            <w:pPr>
              <w:ind w:right="-29"/>
              <w:jc w:val="center"/>
              <w:rPr>
                <w:noProof/>
                <w:sz w:val="18"/>
                <w:szCs w:val="18"/>
              </w:rPr>
            </w:pPr>
          </w:p>
        </w:tc>
        <w:tc>
          <w:tcPr>
            <w:tcW w:w="540" w:type="dxa"/>
          </w:tcPr>
          <w:p w:rsidR="00190E99" w:rsidRDefault="00190E99">
            <w:pPr>
              <w:ind w:right="-29"/>
              <w:jc w:val="center"/>
              <w:rPr>
                <w:noProof/>
                <w:sz w:val="18"/>
                <w:szCs w:val="18"/>
              </w:rPr>
            </w:pPr>
          </w:p>
        </w:tc>
        <w:tc>
          <w:tcPr>
            <w:tcW w:w="720" w:type="dxa"/>
          </w:tcPr>
          <w:p w:rsidR="00190E99" w:rsidRDefault="00190E99">
            <w:pPr>
              <w:ind w:right="-29"/>
              <w:jc w:val="center"/>
              <w:rPr>
                <w:noProof/>
                <w:sz w:val="18"/>
                <w:szCs w:val="18"/>
              </w:rPr>
            </w:pPr>
          </w:p>
        </w:tc>
        <w:tc>
          <w:tcPr>
            <w:tcW w:w="720" w:type="dxa"/>
          </w:tcPr>
          <w:p w:rsidR="00190E99" w:rsidRDefault="00190E99">
            <w:pPr>
              <w:ind w:right="-29"/>
              <w:jc w:val="center"/>
              <w:rPr>
                <w:noProof/>
                <w:sz w:val="18"/>
                <w:szCs w:val="18"/>
              </w:rPr>
            </w:pPr>
          </w:p>
        </w:tc>
        <w:tc>
          <w:tcPr>
            <w:tcW w:w="720" w:type="dxa"/>
          </w:tcPr>
          <w:p w:rsidR="00190E99" w:rsidRDefault="00190E99">
            <w:pPr>
              <w:ind w:right="-29"/>
              <w:jc w:val="center"/>
              <w:rPr>
                <w:noProof/>
                <w:sz w:val="18"/>
                <w:szCs w:val="18"/>
              </w:rPr>
            </w:pPr>
          </w:p>
        </w:tc>
        <w:tc>
          <w:tcPr>
            <w:tcW w:w="900" w:type="dxa"/>
          </w:tcPr>
          <w:p w:rsidR="00190E99" w:rsidRDefault="00190E99">
            <w:pPr>
              <w:ind w:right="-29"/>
              <w:jc w:val="center"/>
              <w:rPr>
                <w:noProof/>
                <w:sz w:val="18"/>
                <w:szCs w:val="18"/>
              </w:rPr>
            </w:pPr>
          </w:p>
        </w:tc>
        <w:tc>
          <w:tcPr>
            <w:tcW w:w="720" w:type="dxa"/>
            <w:gridSpan w:val="2"/>
          </w:tcPr>
          <w:p w:rsidR="00190E99" w:rsidRDefault="00190E99">
            <w:pPr>
              <w:ind w:right="-29"/>
              <w:jc w:val="center"/>
              <w:rPr>
                <w:noProof/>
                <w:sz w:val="18"/>
                <w:szCs w:val="18"/>
              </w:rPr>
            </w:pPr>
          </w:p>
        </w:tc>
        <w:tc>
          <w:tcPr>
            <w:tcW w:w="540" w:type="dxa"/>
          </w:tcPr>
          <w:p w:rsidR="00190E99" w:rsidRDefault="00190E99">
            <w:pPr>
              <w:ind w:right="-29"/>
              <w:jc w:val="center"/>
              <w:rPr>
                <w:noProof/>
                <w:sz w:val="18"/>
                <w:szCs w:val="18"/>
              </w:rPr>
            </w:pPr>
          </w:p>
        </w:tc>
        <w:tc>
          <w:tcPr>
            <w:tcW w:w="648" w:type="dxa"/>
          </w:tcPr>
          <w:p w:rsidR="00190E99" w:rsidRDefault="00190E99">
            <w:pPr>
              <w:ind w:right="-29"/>
              <w:jc w:val="center"/>
              <w:rPr>
                <w:noProof/>
                <w:sz w:val="18"/>
                <w:szCs w:val="18"/>
              </w:rPr>
            </w:pPr>
          </w:p>
        </w:tc>
        <w:tc>
          <w:tcPr>
            <w:tcW w:w="432" w:type="dxa"/>
          </w:tcPr>
          <w:p w:rsidR="00190E99" w:rsidRDefault="00190E99">
            <w:pPr>
              <w:ind w:right="-29"/>
              <w:jc w:val="center"/>
              <w:rPr>
                <w:noProof/>
                <w:sz w:val="18"/>
                <w:szCs w:val="18"/>
              </w:rPr>
            </w:pPr>
          </w:p>
        </w:tc>
        <w:tc>
          <w:tcPr>
            <w:tcW w:w="720" w:type="dxa"/>
          </w:tcPr>
          <w:p w:rsidR="00190E99" w:rsidRDefault="00190E99">
            <w:pPr>
              <w:ind w:right="-29"/>
              <w:jc w:val="center"/>
              <w:rPr>
                <w:noProof/>
                <w:sz w:val="18"/>
                <w:szCs w:val="18"/>
              </w:rPr>
            </w:pPr>
          </w:p>
        </w:tc>
        <w:tc>
          <w:tcPr>
            <w:tcW w:w="540" w:type="dxa"/>
          </w:tcPr>
          <w:p w:rsidR="00190E99" w:rsidRDefault="00190E99">
            <w:pPr>
              <w:ind w:right="-29"/>
              <w:jc w:val="center"/>
              <w:rPr>
                <w:noProof/>
                <w:sz w:val="18"/>
                <w:szCs w:val="18"/>
              </w:rPr>
            </w:pPr>
          </w:p>
        </w:tc>
        <w:tc>
          <w:tcPr>
            <w:tcW w:w="720" w:type="dxa"/>
          </w:tcPr>
          <w:p w:rsidR="00190E99" w:rsidRDefault="00190E99">
            <w:pPr>
              <w:ind w:right="-29"/>
              <w:jc w:val="center"/>
              <w:rPr>
                <w:noProof/>
                <w:sz w:val="18"/>
                <w:szCs w:val="18"/>
              </w:rPr>
            </w:pPr>
          </w:p>
        </w:tc>
        <w:tc>
          <w:tcPr>
            <w:tcW w:w="720" w:type="dxa"/>
          </w:tcPr>
          <w:p w:rsidR="00190E99" w:rsidRDefault="00190E99">
            <w:pPr>
              <w:ind w:right="-29"/>
              <w:jc w:val="center"/>
              <w:rPr>
                <w:noProof/>
                <w:sz w:val="18"/>
                <w:szCs w:val="18"/>
              </w:rPr>
            </w:pPr>
          </w:p>
        </w:tc>
        <w:tc>
          <w:tcPr>
            <w:tcW w:w="900" w:type="dxa"/>
          </w:tcPr>
          <w:p w:rsidR="00190E99" w:rsidRDefault="00190E99">
            <w:pPr>
              <w:ind w:right="-29"/>
              <w:jc w:val="center"/>
              <w:rPr>
                <w:noProof/>
                <w:sz w:val="18"/>
                <w:szCs w:val="18"/>
              </w:rPr>
            </w:pPr>
          </w:p>
        </w:tc>
      </w:tr>
      <w:tr w:rsidR="00190E99">
        <w:trPr>
          <w:trHeight w:val="77"/>
          <w:jc w:val="center"/>
        </w:trPr>
        <w:tc>
          <w:tcPr>
            <w:tcW w:w="2844" w:type="dxa"/>
            <w:gridSpan w:val="3"/>
            <w:tcBorders>
              <w:bottom w:val="single" w:sz="12" w:space="0" w:color="auto"/>
            </w:tcBorders>
            <w:vAlign w:val="center"/>
          </w:tcPr>
          <w:p w:rsidR="00190E99" w:rsidRDefault="00CD4FBA">
            <w:pPr>
              <w:ind w:right="-29"/>
              <w:jc w:val="center"/>
              <w:rPr>
                <w:noProof/>
                <w:sz w:val="18"/>
                <w:szCs w:val="18"/>
              </w:rPr>
            </w:pPr>
            <w:r>
              <w:rPr>
                <w:noProof/>
                <w:sz w:val="18"/>
              </w:rPr>
              <w:t>Subtotal for specific objective No 1</w:t>
            </w:r>
          </w:p>
        </w:tc>
        <w:tc>
          <w:tcPr>
            <w:tcW w:w="504" w:type="dxa"/>
            <w:tcBorders>
              <w:bottom w:val="single" w:sz="12" w:space="0" w:color="auto"/>
            </w:tcBorders>
          </w:tcPr>
          <w:p w:rsidR="00190E99" w:rsidRDefault="00190E99">
            <w:pPr>
              <w:ind w:right="-29"/>
              <w:jc w:val="center"/>
              <w:rPr>
                <w:noProof/>
                <w:sz w:val="18"/>
                <w:szCs w:val="18"/>
              </w:rPr>
            </w:pPr>
          </w:p>
        </w:tc>
        <w:tc>
          <w:tcPr>
            <w:tcW w:w="720" w:type="dxa"/>
            <w:tcBorders>
              <w:bottom w:val="single" w:sz="12" w:space="0" w:color="auto"/>
            </w:tcBorders>
          </w:tcPr>
          <w:p w:rsidR="00190E99" w:rsidRDefault="00190E99">
            <w:pPr>
              <w:ind w:right="-29"/>
              <w:jc w:val="center"/>
              <w:rPr>
                <w:noProof/>
                <w:sz w:val="18"/>
                <w:szCs w:val="18"/>
              </w:rPr>
            </w:pPr>
          </w:p>
        </w:tc>
        <w:tc>
          <w:tcPr>
            <w:tcW w:w="540" w:type="dxa"/>
            <w:tcBorders>
              <w:bottom w:val="single" w:sz="12" w:space="0" w:color="auto"/>
            </w:tcBorders>
          </w:tcPr>
          <w:p w:rsidR="00190E99" w:rsidRDefault="00190E99">
            <w:pPr>
              <w:ind w:right="-29"/>
              <w:jc w:val="center"/>
              <w:rPr>
                <w:noProof/>
                <w:sz w:val="18"/>
                <w:szCs w:val="18"/>
              </w:rPr>
            </w:pPr>
          </w:p>
        </w:tc>
        <w:tc>
          <w:tcPr>
            <w:tcW w:w="720" w:type="dxa"/>
            <w:tcBorders>
              <w:bottom w:val="single" w:sz="12" w:space="0" w:color="auto"/>
            </w:tcBorders>
          </w:tcPr>
          <w:p w:rsidR="00190E99" w:rsidRDefault="00190E99">
            <w:pPr>
              <w:ind w:right="-29"/>
              <w:jc w:val="center"/>
              <w:rPr>
                <w:noProof/>
                <w:sz w:val="18"/>
                <w:szCs w:val="18"/>
              </w:rPr>
            </w:pPr>
          </w:p>
        </w:tc>
        <w:tc>
          <w:tcPr>
            <w:tcW w:w="720" w:type="dxa"/>
            <w:tcBorders>
              <w:bottom w:val="single" w:sz="12" w:space="0" w:color="auto"/>
            </w:tcBorders>
          </w:tcPr>
          <w:p w:rsidR="00190E99" w:rsidRDefault="00190E99">
            <w:pPr>
              <w:ind w:right="-29"/>
              <w:jc w:val="center"/>
              <w:rPr>
                <w:noProof/>
                <w:sz w:val="18"/>
                <w:szCs w:val="18"/>
              </w:rPr>
            </w:pPr>
          </w:p>
        </w:tc>
        <w:tc>
          <w:tcPr>
            <w:tcW w:w="720" w:type="dxa"/>
            <w:tcBorders>
              <w:bottom w:val="single" w:sz="12" w:space="0" w:color="auto"/>
            </w:tcBorders>
          </w:tcPr>
          <w:p w:rsidR="00190E99" w:rsidRDefault="00190E99">
            <w:pPr>
              <w:ind w:right="-29"/>
              <w:jc w:val="center"/>
              <w:rPr>
                <w:noProof/>
                <w:sz w:val="18"/>
                <w:szCs w:val="18"/>
              </w:rPr>
            </w:pPr>
          </w:p>
        </w:tc>
        <w:tc>
          <w:tcPr>
            <w:tcW w:w="900" w:type="dxa"/>
            <w:tcBorders>
              <w:bottom w:val="single" w:sz="12" w:space="0" w:color="auto"/>
            </w:tcBorders>
          </w:tcPr>
          <w:p w:rsidR="00190E99" w:rsidRDefault="00190E99">
            <w:pPr>
              <w:ind w:right="-29"/>
              <w:jc w:val="center"/>
              <w:rPr>
                <w:noProof/>
                <w:sz w:val="18"/>
                <w:szCs w:val="18"/>
              </w:rPr>
            </w:pPr>
          </w:p>
        </w:tc>
        <w:tc>
          <w:tcPr>
            <w:tcW w:w="720" w:type="dxa"/>
            <w:gridSpan w:val="2"/>
            <w:tcBorders>
              <w:bottom w:val="single" w:sz="12" w:space="0" w:color="auto"/>
            </w:tcBorders>
          </w:tcPr>
          <w:p w:rsidR="00190E99" w:rsidRDefault="00190E99">
            <w:pPr>
              <w:ind w:right="-29"/>
              <w:jc w:val="center"/>
              <w:rPr>
                <w:noProof/>
                <w:sz w:val="18"/>
                <w:szCs w:val="18"/>
              </w:rPr>
            </w:pPr>
          </w:p>
        </w:tc>
        <w:tc>
          <w:tcPr>
            <w:tcW w:w="540" w:type="dxa"/>
            <w:tcBorders>
              <w:bottom w:val="single" w:sz="12" w:space="0" w:color="auto"/>
            </w:tcBorders>
          </w:tcPr>
          <w:p w:rsidR="00190E99" w:rsidRDefault="00190E99">
            <w:pPr>
              <w:ind w:right="-29"/>
              <w:jc w:val="center"/>
              <w:rPr>
                <w:noProof/>
                <w:sz w:val="18"/>
                <w:szCs w:val="18"/>
              </w:rPr>
            </w:pPr>
          </w:p>
        </w:tc>
        <w:tc>
          <w:tcPr>
            <w:tcW w:w="648" w:type="dxa"/>
            <w:tcBorders>
              <w:bottom w:val="single" w:sz="12" w:space="0" w:color="auto"/>
            </w:tcBorders>
          </w:tcPr>
          <w:p w:rsidR="00190E99" w:rsidRDefault="00190E99">
            <w:pPr>
              <w:ind w:right="-29"/>
              <w:jc w:val="center"/>
              <w:rPr>
                <w:noProof/>
                <w:sz w:val="18"/>
                <w:szCs w:val="18"/>
              </w:rPr>
            </w:pPr>
          </w:p>
        </w:tc>
        <w:tc>
          <w:tcPr>
            <w:tcW w:w="432" w:type="dxa"/>
            <w:tcBorders>
              <w:bottom w:val="single" w:sz="12" w:space="0" w:color="auto"/>
            </w:tcBorders>
          </w:tcPr>
          <w:p w:rsidR="00190E99" w:rsidRDefault="00190E99">
            <w:pPr>
              <w:ind w:right="-29"/>
              <w:jc w:val="center"/>
              <w:rPr>
                <w:noProof/>
                <w:sz w:val="18"/>
                <w:szCs w:val="18"/>
              </w:rPr>
            </w:pPr>
          </w:p>
        </w:tc>
        <w:tc>
          <w:tcPr>
            <w:tcW w:w="720" w:type="dxa"/>
            <w:tcBorders>
              <w:bottom w:val="single" w:sz="12" w:space="0" w:color="auto"/>
            </w:tcBorders>
          </w:tcPr>
          <w:p w:rsidR="00190E99" w:rsidRDefault="00190E99">
            <w:pPr>
              <w:ind w:right="-29"/>
              <w:jc w:val="center"/>
              <w:rPr>
                <w:noProof/>
                <w:sz w:val="18"/>
                <w:szCs w:val="18"/>
              </w:rPr>
            </w:pPr>
          </w:p>
        </w:tc>
        <w:tc>
          <w:tcPr>
            <w:tcW w:w="540" w:type="dxa"/>
            <w:tcBorders>
              <w:bottom w:val="single" w:sz="12" w:space="0" w:color="auto"/>
            </w:tcBorders>
          </w:tcPr>
          <w:p w:rsidR="00190E99" w:rsidRDefault="00190E99">
            <w:pPr>
              <w:ind w:right="-29"/>
              <w:jc w:val="center"/>
              <w:rPr>
                <w:noProof/>
                <w:sz w:val="18"/>
                <w:szCs w:val="18"/>
              </w:rPr>
            </w:pPr>
          </w:p>
        </w:tc>
        <w:tc>
          <w:tcPr>
            <w:tcW w:w="720" w:type="dxa"/>
            <w:tcBorders>
              <w:bottom w:val="single" w:sz="12" w:space="0" w:color="auto"/>
            </w:tcBorders>
          </w:tcPr>
          <w:p w:rsidR="00190E99" w:rsidRDefault="00190E99">
            <w:pPr>
              <w:ind w:right="-29"/>
              <w:jc w:val="center"/>
              <w:rPr>
                <w:noProof/>
                <w:sz w:val="18"/>
                <w:szCs w:val="18"/>
              </w:rPr>
            </w:pPr>
          </w:p>
        </w:tc>
        <w:tc>
          <w:tcPr>
            <w:tcW w:w="720" w:type="dxa"/>
            <w:tcBorders>
              <w:bottom w:val="single" w:sz="12" w:space="0" w:color="auto"/>
            </w:tcBorders>
          </w:tcPr>
          <w:p w:rsidR="00190E99" w:rsidRDefault="00190E99">
            <w:pPr>
              <w:ind w:right="-29"/>
              <w:jc w:val="center"/>
              <w:rPr>
                <w:noProof/>
                <w:sz w:val="18"/>
                <w:szCs w:val="18"/>
              </w:rPr>
            </w:pPr>
          </w:p>
        </w:tc>
        <w:tc>
          <w:tcPr>
            <w:tcW w:w="900" w:type="dxa"/>
            <w:tcBorders>
              <w:bottom w:val="single" w:sz="12" w:space="0" w:color="auto"/>
            </w:tcBorders>
          </w:tcPr>
          <w:p w:rsidR="00190E99" w:rsidRDefault="00190E99">
            <w:pPr>
              <w:ind w:right="-29"/>
              <w:jc w:val="center"/>
              <w:rPr>
                <w:noProof/>
                <w:sz w:val="18"/>
                <w:szCs w:val="18"/>
              </w:rPr>
            </w:pPr>
          </w:p>
        </w:tc>
      </w:tr>
      <w:tr w:rsidR="00190E99">
        <w:trPr>
          <w:jc w:val="center"/>
        </w:trPr>
        <w:tc>
          <w:tcPr>
            <w:tcW w:w="2844" w:type="dxa"/>
            <w:gridSpan w:val="3"/>
            <w:vAlign w:val="center"/>
          </w:tcPr>
          <w:p w:rsidR="00190E99" w:rsidRDefault="00CD4FBA">
            <w:pPr>
              <w:spacing w:before="60" w:after="60"/>
              <w:ind w:right="-29"/>
              <w:jc w:val="center"/>
              <w:rPr>
                <w:noProof/>
                <w:sz w:val="18"/>
                <w:szCs w:val="18"/>
              </w:rPr>
            </w:pPr>
            <w:r>
              <w:rPr>
                <w:noProof/>
                <w:sz w:val="18"/>
              </w:rPr>
              <w:t>SPECIFIC OBJECTIVE No 2 ...</w:t>
            </w:r>
          </w:p>
        </w:tc>
        <w:tc>
          <w:tcPr>
            <w:tcW w:w="504" w:type="dxa"/>
            <w:tcBorders>
              <w:top w:val="nil"/>
              <w:left w:val="nil"/>
              <w:bottom w:val="nil"/>
              <w:right w:val="nil"/>
            </w:tcBorders>
          </w:tcPr>
          <w:p w:rsidR="00190E99" w:rsidRDefault="00190E99">
            <w:pPr>
              <w:spacing w:before="60" w:after="60"/>
              <w:ind w:right="-29"/>
              <w:jc w:val="center"/>
              <w:rPr>
                <w:noProof/>
                <w:sz w:val="18"/>
                <w:szCs w:val="18"/>
              </w:rPr>
            </w:pPr>
          </w:p>
        </w:tc>
        <w:tc>
          <w:tcPr>
            <w:tcW w:w="720" w:type="dxa"/>
            <w:tcBorders>
              <w:top w:val="nil"/>
              <w:left w:val="nil"/>
              <w:bottom w:val="nil"/>
              <w:right w:val="nil"/>
            </w:tcBorders>
          </w:tcPr>
          <w:p w:rsidR="00190E99" w:rsidRDefault="00190E99">
            <w:pPr>
              <w:spacing w:before="60" w:after="60"/>
              <w:ind w:right="-29"/>
              <w:jc w:val="center"/>
              <w:rPr>
                <w:noProof/>
                <w:sz w:val="18"/>
                <w:szCs w:val="18"/>
              </w:rPr>
            </w:pPr>
          </w:p>
        </w:tc>
        <w:tc>
          <w:tcPr>
            <w:tcW w:w="540" w:type="dxa"/>
            <w:tcBorders>
              <w:top w:val="nil"/>
              <w:left w:val="nil"/>
              <w:bottom w:val="nil"/>
              <w:right w:val="nil"/>
            </w:tcBorders>
          </w:tcPr>
          <w:p w:rsidR="00190E99" w:rsidRDefault="00190E99">
            <w:pPr>
              <w:spacing w:before="60" w:after="60"/>
              <w:ind w:right="-29"/>
              <w:jc w:val="center"/>
              <w:rPr>
                <w:noProof/>
                <w:sz w:val="18"/>
                <w:szCs w:val="18"/>
              </w:rPr>
            </w:pPr>
          </w:p>
        </w:tc>
        <w:tc>
          <w:tcPr>
            <w:tcW w:w="720" w:type="dxa"/>
            <w:tcBorders>
              <w:top w:val="nil"/>
              <w:left w:val="nil"/>
              <w:bottom w:val="nil"/>
              <w:right w:val="nil"/>
            </w:tcBorders>
          </w:tcPr>
          <w:p w:rsidR="00190E99" w:rsidRDefault="00190E99">
            <w:pPr>
              <w:spacing w:before="60" w:after="60"/>
              <w:ind w:right="-29"/>
              <w:jc w:val="center"/>
              <w:rPr>
                <w:noProof/>
                <w:sz w:val="18"/>
                <w:szCs w:val="18"/>
              </w:rPr>
            </w:pPr>
          </w:p>
        </w:tc>
        <w:tc>
          <w:tcPr>
            <w:tcW w:w="720" w:type="dxa"/>
            <w:tcBorders>
              <w:top w:val="nil"/>
              <w:left w:val="nil"/>
              <w:bottom w:val="nil"/>
              <w:right w:val="nil"/>
            </w:tcBorders>
          </w:tcPr>
          <w:p w:rsidR="00190E99" w:rsidRDefault="00190E99">
            <w:pPr>
              <w:spacing w:before="60" w:after="60"/>
              <w:ind w:right="-29"/>
              <w:jc w:val="center"/>
              <w:rPr>
                <w:noProof/>
                <w:sz w:val="18"/>
                <w:szCs w:val="18"/>
              </w:rPr>
            </w:pPr>
          </w:p>
        </w:tc>
        <w:tc>
          <w:tcPr>
            <w:tcW w:w="720" w:type="dxa"/>
            <w:tcBorders>
              <w:top w:val="nil"/>
              <w:left w:val="nil"/>
              <w:bottom w:val="nil"/>
              <w:right w:val="nil"/>
            </w:tcBorders>
          </w:tcPr>
          <w:p w:rsidR="00190E99" w:rsidRDefault="00190E99">
            <w:pPr>
              <w:spacing w:before="60" w:after="60"/>
              <w:ind w:right="-29"/>
              <w:jc w:val="center"/>
              <w:rPr>
                <w:noProof/>
                <w:sz w:val="18"/>
                <w:szCs w:val="18"/>
              </w:rPr>
            </w:pPr>
          </w:p>
        </w:tc>
        <w:tc>
          <w:tcPr>
            <w:tcW w:w="900" w:type="dxa"/>
            <w:tcBorders>
              <w:top w:val="nil"/>
              <w:left w:val="nil"/>
              <w:bottom w:val="nil"/>
              <w:right w:val="nil"/>
            </w:tcBorders>
          </w:tcPr>
          <w:p w:rsidR="00190E99" w:rsidRDefault="00190E99">
            <w:pPr>
              <w:spacing w:before="60" w:after="60"/>
              <w:ind w:right="-29"/>
              <w:jc w:val="center"/>
              <w:rPr>
                <w:noProof/>
                <w:sz w:val="18"/>
                <w:szCs w:val="18"/>
              </w:rPr>
            </w:pPr>
          </w:p>
        </w:tc>
        <w:tc>
          <w:tcPr>
            <w:tcW w:w="720" w:type="dxa"/>
            <w:gridSpan w:val="2"/>
            <w:tcBorders>
              <w:top w:val="nil"/>
              <w:left w:val="nil"/>
              <w:bottom w:val="nil"/>
              <w:right w:val="nil"/>
            </w:tcBorders>
          </w:tcPr>
          <w:p w:rsidR="00190E99" w:rsidRDefault="00190E99">
            <w:pPr>
              <w:spacing w:before="60" w:after="60"/>
              <w:ind w:right="-29"/>
              <w:jc w:val="center"/>
              <w:rPr>
                <w:noProof/>
                <w:sz w:val="18"/>
                <w:szCs w:val="18"/>
              </w:rPr>
            </w:pPr>
          </w:p>
        </w:tc>
        <w:tc>
          <w:tcPr>
            <w:tcW w:w="540" w:type="dxa"/>
            <w:tcBorders>
              <w:top w:val="nil"/>
              <w:left w:val="nil"/>
              <w:bottom w:val="nil"/>
              <w:right w:val="nil"/>
            </w:tcBorders>
          </w:tcPr>
          <w:p w:rsidR="00190E99" w:rsidRDefault="00190E99">
            <w:pPr>
              <w:spacing w:before="60" w:after="60"/>
              <w:ind w:right="-29"/>
              <w:jc w:val="center"/>
              <w:rPr>
                <w:noProof/>
                <w:sz w:val="18"/>
                <w:szCs w:val="18"/>
              </w:rPr>
            </w:pPr>
          </w:p>
        </w:tc>
        <w:tc>
          <w:tcPr>
            <w:tcW w:w="648" w:type="dxa"/>
            <w:tcBorders>
              <w:top w:val="nil"/>
              <w:left w:val="nil"/>
              <w:bottom w:val="nil"/>
              <w:right w:val="nil"/>
            </w:tcBorders>
          </w:tcPr>
          <w:p w:rsidR="00190E99" w:rsidRDefault="00190E99">
            <w:pPr>
              <w:spacing w:before="60" w:after="60"/>
              <w:ind w:right="-29"/>
              <w:jc w:val="center"/>
              <w:rPr>
                <w:noProof/>
                <w:sz w:val="18"/>
                <w:szCs w:val="18"/>
              </w:rPr>
            </w:pPr>
          </w:p>
        </w:tc>
        <w:tc>
          <w:tcPr>
            <w:tcW w:w="432" w:type="dxa"/>
            <w:tcBorders>
              <w:top w:val="nil"/>
              <w:left w:val="nil"/>
              <w:bottom w:val="nil"/>
              <w:right w:val="nil"/>
            </w:tcBorders>
          </w:tcPr>
          <w:p w:rsidR="00190E99" w:rsidRDefault="00190E99">
            <w:pPr>
              <w:spacing w:before="60" w:after="60"/>
              <w:ind w:right="-29"/>
              <w:jc w:val="center"/>
              <w:rPr>
                <w:noProof/>
                <w:sz w:val="18"/>
                <w:szCs w:val="18"/>
              </w:rPr>
            </w:pPr>
          </w:p>
        </w:tc>
        <w:tc>
          <w:tcPr>
            <w:tcW w:w="720" w:type="dxa"/>
            <w:tcBorders>
              <w:top w:val="nil"/>
              <w:left w:val="nil"/>
              <w:bottom w:val="nil"/>
              <w:right w:val="nil"/>
            </w:tcBorders>
          </w:tcPr>
          <w:p w:rsidR="00190E99" w:rsidRDefault="00190E99">
            <w:pPr>
              <w:spacing w:before="60" w:after="60"/>
              <w:ind w:right="-29"/>
              <w:jc w:val="center"/>
              <w:rPr>
                <w:noProof/>
                <w:sz w:val="18"/>
                <w:szCs w:val="18"/>
              </w:rPr>
            </w:pPr>
          </w:p>
        </w:tc>
        <w:tc>
          <w:tcPr>
            <w:tcW w:w="540" w:type="dxa"/>
            <w:tcBorders>
              <w:top w:val="nil"/>
              <w:left w:val="nil"/>
              <w:bottom w:val="nil"/>
              <w:right w:val="nil"/>
            </w:tcBorders>
          </w:tcPr>
          <w:p w:rsidR="00190E99" w:rsidRDefault="00190E99">
            <w:pPr>
              <w:spacing w:before="60" w:after="60"/>
              <w:ind w:right="-29"/>
              <w:jc w:val="center"/>
              <w:rPr>
                <w:noProof/>
                <w:sz w:val="18"/>
                <w:szCs w:val="18"/>
              </w:rPr>
            </w:pPr>
          </w:p>
        </w:tc>
        <w:tc>
          <w:tcPr>
            <w:tcW w:w="720" w:type="dxa"/>
            <w:tcBorders>
              <w:top w:val="nil"/>
              <w:left w:val="nil"/>
              <w:bottom w:val="nil"/>
              <w:right w:val="nil"/>
            </w:tcBorders>
          </w:tcPr>
          <w:p w:rsidR="00190E99" w:rsidRDefault="00190E99">
            <w:pPr>
              <w:spacing w:before="60" w:after="60"/>
              <w:ind w:right="-29"/>
              <w:jc w:val="center"/>
              <w:rPr>
                <w:noProof/>
                <w:sz w:val="18"/>
                <w:szCs w:val="18"/>
              </w:rPr>
            </w:pPr>
          </w:p>
        </w:tc>
        <w:tc>
          <w:tcPr>
            <w:tcW w:w="720" w:type="dxa"/>
            <w:tcBorders>
              <w:top w:val="nil"/>
              <w:left w:val="nil"/>
              <w:bottom w:val="nil"/>
              <w:right w:val="nil"/>
            </w:tcBorders>
          </w:tcPr>
          <w:p w:rsidR="00190E99" w:rsidRDefault="00190E99">
            <w:pPr>
              <w:spacing w:before="60" w:after="60"/>
              <w:ind w:right="-29"/>
              <w:jc w:val="center"/>
              <w:rPr>
                <w:noProof/>
                <w:sz w:val="18"/>
                <w:szCs w:val="18"/>
              </w:rPr>
            </w:pPr>
          </w:p>
        </w:tc>
        <w:tc>
          <w:tcPr>
            <w:tcW w:w="900" w:type="dxa"/>
            <w:tcBorders>
              <w:top w:val="nil"/>
              <w:left w:val="nil"/>
              <w:bottom w:val="nil"/>
              <w:right w:val="nil"/>
            </w:tcBorders>
          </w:tcPr>
          <w:p w:rsidR="00190E99" w:rsidRDefault="00190E99">
            <w:pPr>
              <w:spacing w:before="60" w:after="60"/>
              <w:ind w:right="-29"/>
              <w:jc w:val="center"/>
              <w:rPr>
                <w:noProof/>
                <w:sz w:val="18"/>
                <w:szCs w:val="18"/>
              </w:rPr>
            </w:pPr>
          </w:p>
        </w:tc>
      </w:tr>
      <w:tr w:rsidR="00190E99">
        <w:trPr>
          <w:trHeight w:hRule="exact" w:val="369"/>
          <w:jc w:val="center"/>
        </w:trPr>
        <w:tc>
          <w:tcPr>
            <w:tcW w:w="1423" w:type="dxa"/>
          </w:tcPr>
          <w:p w:rsidR="00190E99" w:rsidRDefault="00CD4FBA">
            <w:pPr>
              <w:ind w:right="-29"/>
              <w:jc w:val="center"/>
              <w:rPr>
                <w:noProof/>
                <w:sz w:val="18"/>
                <w:szCs w:val="18"/>
              </w:rPr>
            </w:pPr>
            <w:r>
              <w:rPr>
                <w:noProof/>
                <w:sz w:val="18"/>
              </w:rPr>
              <w:t>- Output</w:t>
            </w:r>
          </w:p>
        </w:tc>
        <w:tc>
          <w:tcPr>
            <w:tcW w:w="720" w:type="dxa"/>
          </w:tcPr>
          <w:p w:rsidR="00190E99" w:rsidRDefault="00190E99">
            <w:pPr>
              <w:ind w:right="-29"/>
              <w:jc w:val="center"/>
              <w:rPr>
                <w:noProof/>
                <w:sz w:val="18"/>
                <w:szCs w:val="18"/>
              </w:rPr>
            </w:pPr>
          </w:p>
        </w:tc>
        <w:tc>
          <w:tcPr>
            <w:tcW w:w="701" w:type="dxa"/>
          </w:tcPr>
          <w:p w:rsidR="00190E99" w:rsidRDefault="00190E99">
            <w:pPr>
              <w:ind w:right="-29"/>
              <w:jc w:val="center"/>
              <w:rPr>
                <w:noProof/>
                <w:sz w:val="18"/>
                <w:szCs w:val="18"/>
              </w:rPr>
            </w:pPr>
          </w:p>
        </w:tc>
        <w:tc>
          <w:tcPr>
            <w:tcW w:w="504" w:type="dxa"/>
          </w:tcPr>
          <w:p w:rsidR="00190E99" w:rsidRDefault="00190E99">
            <w:pPr>
              <w:ind w:right="-29"/>
              <w:jc w:val="center"/>
              <w:rPr>
                <w:noProof/>
                <w:sz w:val="18"/>
                <w:szCs w:val="18"/>
              </w:rPr>
            </w:pPr>
          </w:p>
        </w:tc>
        <w:tc>
          <w:tcPr>
            <w:tcW w:w="720" w:type="dxa"/>
          </w:tcPr>
          <w:p w:rsidR="00190E99" w:rsidRDefault="00190E99">
            <w:pPr>
              <w:ind w:right="-29"/>
              <w:jc w:val="center"/>
              <w:rPr>
                <w:noProof/>
                <w:sz w:val="18"/>
                <w:szCs w:val="18"/>
              </w:rPr>
            </w:pPr>
          </w:p>
        </w:tc>
        <w:tc>
          <w:tcPr>
            <w:tcW w:w="540" w:type="dxa"/>
          </w:tcPr>
          <w:p w:rsidR="00190E99" w:rsidRDefault="00190E99">
            <w:pPr>
              <w:ind w:right="-29"/>
              <w:jc w:val="center"/>
              <w:rPr>
                <w:noProof/>
                <w:sz w:val="18"/>
                <w:szCs w:val="18"/>
              </w:rPr>
            </w:pPr>
          </w:p>
        </w:tc>
        <w:tc>
          <w:tcPr>
            <w:tcW w:w="720" w:type="dxa"/>
          </w:tcPr>
          <w:p w:rsidR="00190E99" w:rsidRDefault="00190E99">
            <w:pPr>
              <w:ind w:right="-29"/>
              <w:jc w:val="center"/>
              <w:rPr>
                <w:noProof/>
                <w:sz w:val="18"/>
                <w:szCs w:val="18"/>
              </w:rPr>
            </w:pPr>
          </w:p>
        </w:tc>
        <w:tc>
          <w:tcPr>
            <w:tcW w:w="720" w:type="dxa"/>
          </w:tcPr>
          <w:p w:rsidR="00190E99" w:rsidRDefault="00190E99">
            <w:pPr>
              <w:ind w:right="-29"/>
              <w:jc w:val="center"/>
              <w:rPr>
                <w:noProof/>
                <w:sz w:val="18"/>
                <w:szCs w:val="18"/>
              </w:rPr>
            </w:pPr>
          </w:p>
        </w:tc>
        <w:tc>
          <w:tcPr>
            <w:tcW w:w="720" w:type="dxa"/>
          </w:tcPr>
          <w:p w:rsidR="00190E99" w:rsidRDefault="00190E99">
            <w:pPr>
              <w:ind w:right="-29"/>
              <w:jc w:val="center"/>
              <w:rPr>
                <w:noProof/>
                <w:sz w:val="18"/>
                <w:szCs w:val="18"/>
              </w:rPr>
            </w:pPr>
          </w:p>
        </w:tc>
        <w:tc>
          <w:tcPr>
            <w:tcW w:w="900" w:type="dxa"/>
          </w:tcPr>
          <w:p w:rsidR="00190E99" w:rsidRDefault="00190E99">
            <w:pPr>
              <w:ind w:right="-29"/>
              <w:jc w:val="center"/>
              <w:rPr>
                <w:noProof/>
                <w:sz w:val="18"/>
                <w:szCs w:val="18"/>
              </w:rPr>
            </w:pPr>
          </w:p>
        </w:tc>
        <w:tc>
          <w:tcPr>
            <w:tcW w:w="720" w:type="dxa"/>
            <w:gridSpan w:val="2"/>
          </w:tcPr>
          <w:p w:rsidR="00190E99" w:rsidRDefault="00190E99">
            <w:pPr>
              <w:ind w:right="-29"/>
              <w:jc w:val="center"/>
              <w:rPr>
                <w:noProof/>
                <w:sz w:val="18"/>
                <w:szCs w:val="18"/>
              </w:rPr>
            </w:pPr>
          </w:p>
        </w:tc>
        <w:tc>
          <w:tcPr>
            <w:tcW w:w="540" w:type="dxa"/>
          </w:tcPr>
          <w:p w:rsidR="00190E99" w:rsidRDefault="00190E99">
            <w:pPr>
              <w:ind w:right="-29"/>
              <w:jc w:val="center"/>
              <w:rPr>
                <w:noProof/>
                <w:sz w:val="18"/>
                <w:szCs w:val="18"/>
              </w:rPr>
            </w:pPr>
          </w:p>
        </w:tc>
        <w:tc>
          <w:tcPr>
            <w:tcW w:w="648" w:type="dxa"/>
          </w:tcPr>
          <w:p w:rsidR="00190E99" w:rsidRDefault="00190E99">
            <w:pPr>
              <w:ind w:right="-29"/>
              <w:jc w:val="center"/>
              <w:rPr>
                <w:noProof/>
                <w:sz w:val="18"/>
                <w:szCs w:val="18"/>
              </w:rPr>
            </w:pPr>
          </w:p>
        </w:tc>
        <w:tc>
          <w:tcPr>
            <w:tcW w:w="432" w:type="dxa"/>
          </w:tcPr>
          <w:p w:rsidR="00190E99" w:rsidRDefault="00190E99">
            <w:pPr>
              <w:ind w:right="-29"/>
              <w:jc w:val="center"/>
              <w:rPr>
                <w:noProof/>
                <w:sz w:val="18"/>
                <w:szCs w:val="18"/>
              </w:rPr>
            </w:pPr>
          </w:p>
        </w:tc>
        <w:tc>
          <w:tcPr>
            <w:tcW w:w="720" w:type="dxa"/>
          </w:tcPr>
          <w:p w:rsidR="00190E99" w:rsidRDefault="00190E99">
            <w:pPr>
              <w:ind w:right="-29"/>
              <w:jc w:val="center"/>
              <w:rPr>
                <w:noProof/>
                <w:sz w:val="18"/>
                <w:szCs w:val="18"/>
              </w:rPr>
            </w:pPr>
          </w:p>
        </w:tc>
        <w:tc>
          <w:tcPr>
            <w:tcW w:w="540" w:type="dxa"/>
          </w:tcPr>
          <w:p w:rsidR="00190E99" w:rsidRDefault="00190E99">
            <w:pPr>
              <w:ind w:right="-29"/>
              <w:jc w:val="center"/>
              <w:rPr>
                <w:noProof/>
                <w:sz w:val="18"/>
                <w:szCs w:val="18"/>
              </w:rPr>
            </w:pPr>
          </w:p>
        </w:tc>
        <w:tc>
          <w:tcPr>
            <w:tcW w:w="720" w:type="dxa"/>
          </w:tcPr>
          <w:p w:rsidR="00190E99" w:rsidRDefault="00190E99">
            <w:pPr>
              <w:ind w:right="-29"/>
              <w:jc w:val="center"/>
              <w:rPr>
                <w:noProof/>
                <w:sz w:val="18"/>
                <w:szCs w:val="18"/>
              </w:rPr>
            </w:pPr>
          </w:p>
        </w:tc>
        <w:tc>
          <w:tcPr>
            <w:tcW w:w="720" w:type="dxa"/>
          </w:tcPr>
          <w:p w:rsidR="00190E99" w:rsidRDefault="00190E99">
            <w:pPr>
              <w:ind w:right="-29"/>
              <w:jc w:val="center"/>
              <w:rPr>
                <w:noProof/>
                <w:sz w:val="18"/>
                <w:szCs w:val="18"/>
              </w:rPr>
            </w:pPr>
          </w:p>
        </w:tc>
        <w:tc>
          <w:tcPr>
            <w:tcW w:w="900" w:type="dxa"/>
          </w:tcPr>
          <w:p w:rsidR="00190E99" w:rsidRDefault="00190E99">
            <w:pPr>
              <w:ind w:right="-29"/>
              <w:jc w:val="center"/>
              <w:rPr>
                <w:noProof/>
                <w:sz w:val="18"/>
                <w:szCs w:val="18"/>
              </w:rPr>
            </w:pPr>
          </w:p>
        </w:tc>
      </w:tr>
      <w:tr w:rsidR="00190E99">
        <w:trPr>
          <w:jc w:val="center"/>
        </w:trPr>
        <w:tc>
          <w:tcPr>
            <w:tcW w:w="2844" w:type="dxa"/>
            <w:gridSpan w:val="3"/>
            <w:tcBorders>
              <w:bottom w:val="single" w:sz="12" w:space="0" w:color="auto"/>
            </w:tcBorders>
            <w:vAlign w:val="center"/>
          </w:tcPr>
          <w:p w:rsidR="00190E99" w:rsidRDefault="00CD4FBA">
            <w:pPr>
              <w:jc w:val="center"/>
              <w:rPr>
                <w:noProof/>
                <w:sz w:val="18"/>
                <w:szCs w:val="18"/>
              </w:rPr>
            </w:pPr>
            <w:r>
              <w:rPr>
                <w:noProof/>
                <w:sz w:val="18"/>
              </w:rPr>
              <w:t>Subtotal for specific objective No 2</w:t>
            </w:r>
          </w:p>
        </w:tc>
        <w:tc>
          <w:tcPr>
            <w:tcW w:w="504" w:type="dxa"/>
            <w:tcBorders>
              <w:bottom w:val="single" w:sz="12" w:space="0" w:color="auto"/>
            </w:tcBorders>
          </w:tcPr>
          <w:p w:rsidR="00190E99" w:rsidRDefault="00190E99">
            <w:pPr>
              <w:ind w:right="-29"/>
              <w:jc w:val="center"/>
              <w:rPr>
                <w:noProof/>
                <w:sz w:val="18"/>
                <w:szCs w:val="18"/>
              </w:rPr>
            </w:pPr>
          </w:p>
        </w:tc>
        <w:tc>
          <w:tcPr>
            <w:tcW w:w="720" w:type="dxa"/>
            <w:tcBorders>
              <w:bottom w:val="single" w:sz="12" w:space="0" w:color="auto"/>
            </w:tcBorders>
          </w:tcPr>
          <w:p w:rsidR="00190E99" w:rsidRDefault="00190E99">
            <w:pPr>
              <w:ind w:right="-29"/>
              <w:jc w:val="center"/>
              <w:rPr>
                <w:noProof/>
                <w:sz w:val="18"/>
                <w:szCs w:val="18"/>
              </w:rPr>
            </w:pPr>
          </w:p>
        </w:tc>
        <w:tc>
          <w:tcPr>
            <w:tcW w:w="540" w:type="dxa"/>
            <w:tcBorders>
              <w:bottom w:val="single" w:sz="12" w:space="0" w:color="auto"/>
            </w:tcBorders>
          </w:tcPr>
          <w:p w:rsidR="00190E99" w:rsidRDefault="00190E99">
            <w:pPr>
              <w:ind w:right="-29"/>
              <w:jc w:val="center"/>
              <w:rPr>
                <w:noProof/>
                <w:sz w:val="18"/>
                <w:szCs w:val="18"/>
              </w:rPr>
            </w:pPr>
          </w:p>
        </w:tc>
        <w:tc>
          <w:tcPr>
            <w:tcW w:w="720" w:type="dxa"/>
            <w:tcBorders>
              <w:bottom w:val="single" w:sz="12" w:space="0" w:color="auto"/>
            </w:tcBorders>
          </w:tcPr>
          <w:p w:rsidR="00190E99" w:rsidRDefault="00190E99">
            <w:pPr>
              <w:ind w:right="-29"/>
              <w:jc w:val="center"/>
              <w:rPr>
                <w:noProof/>
                <w:sz w:val="18"/>
                <w:szCs w:val="18"/>
              </w:rPr>
            </w:pPr>
          </w:p>
        </w:tc>
        <w:tc>
          <w:tcPr>
            <w:tcW w:w="720" w:type="dxa"/>
            <w:tcBorders>
              <w:bottom w:val="single" w:sz="12" w:space="0" w:color="auto"/>
            </w:tcBorders>
          </w:tcPr>
          <w:p w:rsidR="00190E99" w:rsidRDefault="00190E99">
            <w:pPr>
              <w:ind w:right="-29"/>
              <w:jc w:val="center"/>
              <w:rPr>
                <w:noProof/>
                <w:sz w:val="18"/>
                <w:szCs w:val="18"/>
              </w:rPr>
            </w:pPr>
          </w:p>
        </w:tc>
        <w:tc>
          <w:tcPr>
            <w:tcW w:w="720" w:type="dxa"/>
            <w:tcBorders>
              <w:bottom w:val="single" w:sz="12" w:space="0" w:color="auto"/>
            </w:tcBorders>
          </w:tcPr>
          <w:p w:rsidR="00190E99" w:rsidRDefault="00190E99">
            <w:pPr>
              <w:ind w:right="-29"/>
              <w:jc w:val="center"/>
              <w:rPr>
                <w:noProof/>
                <w:sz w:val="18"/>
                <w:szCs w:val="18"/>
              </w:rPr>
            </w:pPr>
          </w:p>
        </w:tc>
        <w:tc>
          <w:tcPr>
            <w:tcW w:w="951" w:type="dxa"/>
            <w:gridSpan w:val="2"/>
            <w:tcBorders>
              <w:bottom w:val="single" w:sz="12" w:space="0" w:color="auto"/>
            </w:tcBorders>
          </w:tcPr>
          <w:p w:rsidR="00190E99" w:rsidRDefault="00190E99">
            <w:pPr>
              <w:ind w:right="-29"/>
              <w:jc w:val="center"/>
              <w:rPr>
                <w:noProof/>
                <w:sz w:val="18"/>
                <w:szCs w:val="18"/>
              </w:rPr>
            </w:pPr>
          </w:p>
        </w:tc>
        <w:tc>
          <w:tcPr>
            <w:tcW w:w="669" w:type="dxa"/>
            <w:tcBorders>
              <w:bottom w:val="single" w:sz="12" w:space="0" w:color="auto"/>
            </w:tcBorders>
          </w:tcPr>
          <w:p w:rsidR="00190E99" w:rsidRDefault="00190E99">
            <w:pPr>
              <w:ind w:right="-29"/>
              <w:jc w:val="center"/>
              <w:rPr>
                <w:noProof/>
                <w:sz w:val="18"/>
                <w:szCs w:val="18"/>
              </w:rPr>
            </w:pPr>
          </w:p>
        </w:tc>
        <w:tc>
          <w:tcPr>
            <w:tcW w:w="540" w:type="dxa"/>
            <w:tcBorders>
              <w:bottom w:val="single" w:sz="12" w:space="0" w:color="auto"/>
            </w:tcBorders>
          </w:tcPr>
          <w:p w:rsidR="00190E99" w:rsidRDefault="00190E99">
            <w:pPr>
              <w:ind w:right="-29"/>
              <w:jc w:val="center"/>
              <w:rPr>
                <w:noProof/>
                <w:sz w:val="18"/>
                <w:szCs w:val="18"/>
              </w:rPr>
            </w:pPr>
          </w:p>
        </w:tc>
        <w:tc>
          <w:tcPr>
            <w:tcW w:w="648" w:type="dxa"/>
            <w:tcBorders>
              <w:bottom w:val="single" w:sz="12" w:space="0" w:color="auto"/>
            </w:tcBorders>
          </w:tcPr>
          <w:p w:rsidR="00190E99" w:rsidRDefault="00190E99">
            <w:pPr>
              <w:ind w:right="-29"/>
              <w:jc w:val="center"/>
              <w:rPr>
                <w:noProof/>
                <w:sz w:val="18"/>
                <w:szCs w:val="18"/>
              </w:rPr>
            </w:pPr>
          </w:p>
        </w:tc>
        <w:tc>
          <w:tcPr>
            <w:tcW w:w="432" w:type="dxa"/>
            <w:tcBorders>
              <w:bottom w:val="single" w:sz="12" w:space="0" w:color="auto"/>
            </w:tcBorders>
          </w:tcPr>
          <w:p w:rsidR="00190E99" w:rsidRDefault="00190E99">
            <w:pPr>
              <w:ind w:right="-29"/>
              <w:jc w:val="center"/>
              <w:rPr>
                <w:noProof/>
                <w:sz w:val="18"/>
                <w:szCs w:val="18"/>
              </w:rPr>
            </w:pPr>
          </w:p>
        </w:tc>
        <w:tc>
          <w:tcPr>
            <w:tcW w:w="720" w:type="dxa"/>
            <w:tcBorders>
              <w:bottom w:val="single" w:sz="12" w:space="0" w:color="auto"/>
            </w:tcBorders>
          </w:tcPr>
          <w:p w:rsidR="00190E99" w:rsidRDefault="00190E99">
            <w:pPr>
              <w:ind w:right="-29"/>
              <w:jc w:val="center"/>
              <w:rPr>
                <w:noProof/>
                <w:sz w:val="18"/>
                <w:szCs w:val="18"/>
              </w:rPr>
            </w:pPr>
          </w:p>
        </w:tc>
        <w:tc>
          <w:tcPr>
            <w:tcW w:w="540" w:type="dxa"/>
            <w:tcBorders>
              <w:bottom w:val="single" w:sz="12" w:space="0" w:color="auto"/>
            </w:tcBorders>
          </w:tcPr>
          <w:p w:rsidR="00190E99" w:rsidRDefault="00190E99">
            <w:pPr>
              <w:ind w:right="-29"/>
              <w:jc w:val="center"/>
              <w:rPr>
                <w:noProof/>
                <w:sz w:val="18"/>
                <w:szCs w:val="18"/>
              </w:rPr>
            </w:pPr>
          </w:p>
        </w:tc>
        <w:tc>
          <w:tcPr>
            <w:tcW w:w="720" w:type="dxa"/>
            <w:tcBorders>
              <w:bottom w:val="single" w:sz="12" w:space="0" w:color="auto"/>
            </w:tcBorders>
          </w:tcPr>
          <w:p w:rsidR="00190E99" w:rsidRDefault="00190E99">
            <w:pPr>
              <w:ind w:right="-29"/>
              <w:jc w:val="center"/>
              <w:rPr>
                <w:noProof/>
                <w:sz w:val="18"/>
                <w:szCs w:val="18"/>
              </w:rPr>
            </w:pPr>
          </w:p>
        </w:tc>
        <w:tc>
          <w:tcPr>
            <w:tcW w:w="720" w:type="dxa"/>
            <w:tcBorders>
              <w:bottom w:val="single" w:sz="12" w:space="0" w:color="auto"/>
            </w:tcBorders>
          </w:tcPr>
          <w:p w:rsidR="00190E99" w:rsidRDefault="00190E99">
            <w:pPr>
              <w:ind w:right="-29"/>
              <w:jc w:val="center"/>
              <w:rPr>
                <w:noProof/>
                <w:sz w:val="18"/>
                <w:szCs w:val="18"/>
              </w:rPr>
            </w:pPr>
          </w:p>
        </w:tc>
        <w:tc>
          <w:tcPr>
            <w:tcW w:w="900" w:type="dxa"/>
            <w:tcBorders>
              <w:bottom w:val="single" w:sz="12" w:space="0" w:color="auto"/>
            </w:tcBorders>
          </w:tcPr>
          <w:p w:rsidR="00190E99" w:rsidRDefault="00190E99">
            <w:pPr>
              <w:ind w:right="-29"/>
              <w:jc w:val="center"/>
              <w:rPr>
                <w:noProof/>
                <w:sz w:val="18"/>
                <w:szCs w:val="18"/>
              </w:rPr>
            </w:pPr>
          </w:p>
        </w:tc>
      </w:tr>
      <w:tr w:rsidR="00190E99">
        <w:trPr>
          <w:jc w:val="center"/>
        </w:trPr>
        <w:tc>
          <w:tcPr>
            <w:tcW w:w="2844" w:type="dxa"/>
            <w:gridSpan w:val="3"/>
            <w:tcBorders>
              <w:top w:val="single" w:sz="12" w:space="0" w:color="auto"/>
              <w:left w:val="single" w:sz="12" w:space="0" w:color="auto"/>
              <w:bottom w:val="single" w:sz="12" w:space="0" w:color="auto"/>
            </w:tcBorders>
            <w:vAlign w:val="center"/>
          </w:tcPr>
          <w:p w:rsidR="00190E99" w:rsidRDefault="00CD4FBA">
            <w:pPr>
              <w:ind w:right="-29"/>
              <w:jc w:val="center"/>
              <w:rPr>
                <w:noProof/>
                <w:sz w:val="18"/>
                <w:szCs w:val="18"/>
              </w:rPr>
            </w:pPr>
            <w:r>
              <w:rPr>
                <w:b/>
                <w:noProof/>
                <w:sz w:val="18"/>
              </w:rPr>
              <w:t>TOTALS</w:t>
            </w:r>
          </w:p>
        </w:tc>
        <w:tc>
          <w:tcPr>
            <w:tcW w:w="504" w:type="dxa"/>
            <w:tcBorders>
              <w:top w:val="single" w:sz="12" w:space="0" w:color="auto"/>
              <w:bottom w:val="single" w:sz="12" w:space="0" w:color="auto"/>
            </w:tcBorders>
          </w:tcPr>
          <w:p w:rsidR="00190E99" w:rsidRDefault="00190E99">
            <w:pPr>
              <w:spacing w:before="180" w:after="180"/>
              <w:ind w:right="-29"/>
              <w:jc w:val="center"/>
              <w:rPr>
                <w:noProof/>
                <w:sz w:val="18"/>
                <w:szCs w:val="18"/>
              </w:rPr>
            </w:pPr>
          </w:p>
        </w:tc>
        <w:tc>
          <w:tcPr>
            <w:tcW w:w="720" w:type="dxa"/>
            <w:tcBorders>
              <w:top w:val="single" w:sz="12" w:space="0" w:color="auto"/>
              <w:bottom w:val="single" w:sz="12" w:space="0" w:color="auto"/>
            </w:tcBorders>
          </w:tcPr>
          <w:p w:rsidR="00190E99" w:rsidRDefault="00190E99">
            <w:pPr>
              <w:spacing w:before="180" w:after="180"/>
              <w:ind w:right="-29"/>
              <w:jc w:val="center"/>
              <w:rPr>
                <w:noProof/>
                <w:sz w:val="18"/>
                <w:szCs w:val="18"/>
              </w:rPr>
            </w:pPr>
          </w:p>
        </w:tc>
        <w:tc>
          <w:tcPr>
            <w:tcW w:w="540" w:type="dxa"/>
            <w:tcBorders>
              <w:top w:val="single" w:sz="12" w:space="0" w:color="auto"/>
              <w:bottom w:val="single" w:sz="12" w:space="0" w:color="auto"/>
            </w:tcBorders>
          </w:tcPr>
          <w:p w:rsidR="00190E99" w:rsidRDefault="00190E99">
            <w:pPr>
              <w:spacing w:before="180" w:after="180"/>
              <w:ind w:right="-29"/>
              <w:jc w:val="center"/>
              <w:rPr>
                <w:noProof/>
                <w:sz w:val="18"/>
                <w:szCs w:val="18"/>
              </w:rPr>
            </w:pPr>
          </w:p>
        </w:tc>
        <w:tc>
          <w:tcPr>
            <w:tcW w:w="720" w:type="dxa"/>
            <w:tcBorders>
              <w:top w:val="single" w:sz="12" w:space="0" w:color="auto"/>
              <w:bottom w:val="single" w:sz="12" w:space="0" w:color="auto"/>
            </w:tcBorders>
          </w:tcPr>
          <w:p w:rsidR="00190E99" w:rsidRDefault="00190E99">
            <w:pPr>
              <w:spacing w:before="180" w:after="180"/>
              <w:ind w:right="-29"/>
              <w:jc w:val="center"/>
              <w:rPr>
                <w:noProof/>
                <w:sz w:val="18"/>
                <w:szCs w:val="18"/>
              </w:rPr>
            </w:pPr>
          </w:p>
        </w:tc>
        <w:tc>
          <w:tcPr>
            <w:tcW w:w="720" w:type="dxa"/>
            <w:tcBorders>
              <w:top w:val="single" w:sz="12" w:space="0" w:color="auto"/>
              <w:bottom w:val="single" w:sz="12" w:space="0" w:color="auto"/>
            </w:tcBorders>
          </w:tcPr>
          <w:p w:rsidR="00190E99" w:rsidRDefault="00190E99">
            <w:pPr>
              <w:spacing w:before="180" w:after="180"/>
              <w:ind w:right="-29"/>
              <w:jc w:val="center"/>
              <w:rPr>
                <w:noProof/>
                <w:sz w:val="18"/>
                <w:szCs w:val="18"/>
              </w:rPr>
            </w:pPr>
          </w:p>
        </w:tc>
        <w:tc>
          <w:tcPr>
            <w:tcW w:w="720" w:type="dxa"/>
            <w:tcBorders>
              <w:top w:val="single" w:sz="12" w:space="0" w:color="auto"/>
              <w:bottom w:val="single" w:sz="12" w:space="0" w:color="auto"/>
            </w:tcBorders>
          </w:tcPr>
          <w:p w:rsidR="00190E99" w:rsidRDefault="00190E99">
            <w:pPr>
              <w:spacing w:before="180" w:after="180"/>
              <w:ind w:right="-29"/>
              <w:jc w:val="center"/>
              <w:rPr>
                <w:noProof/>
                <w:sz w:val="18"/>
                <w:szCs w:val="18"/>
              </w:rPr>
            </w:pPr>
          </w:p>
        </w:tc>
        <w:tc>
          <w:tcPr>
            <w:tcW w:w="900" w:type="dxa"/>
            <w:tcBorders>
              <w:top w:val="single" w:sz="12" w:space="0" w:color="auto"/>
              <w:bottom w:val="single" w:sz="12" w:space="0" w:color="auto"/>
            </w:tcBorders>
          </w:tcPr>
          <w:p w:rsidR="00190E99" w:rsidRDefault="00190E99">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190E99" w:rsidRDefault="00190E99">
            <w:pPr>
              <w:spacing w:before="180" w:after="180"/>
              <w:ind w:right="-29"/>
              <w:jc w:val="center"/>
              <w:rPr>
                <w:noProof/>
                <w:sz w:val="18"/>
                <w:szCs w:val="18"/>
              </w:rPr>
            </w:pPr>
          </w:p>
        </w:tc>
        <w:tc>
          <w:tcPr>
            <w:tcW w:w="540" w:type="dxa"/>
            <w:tcBorders>
              <w:top w:val="single" w:sz="12" w:space="0" w:color="auto"/>
              <w:bottom w:val="single" w:sz="12" w:space="0" w:color="auto"/>
            </w:tcBorders>
          </w:tcPr>
          <w:p w:rsidR="00190E99" w:rsidRDefault="00190E99">
            <w:pPr>
              <w:spacing w:before="180" w:after="180"/>
              <w:ind w:right="-29"/>
              <w:jc w:val="center"/>
              <w:rPr>
                <w:noProof/>
                <w:sz w:val="18"/>
                <w:szCs w:val="18"/>
              </w:rPr>
            </w:pPr>
          </w:p>
        </w:tc>
        <w:tc>
          <w:tcPr>
            <w:tcW w:w="648" w:type="dxa"/>
            <w:tcBorders>
              <w:top w:val="single" w:sz="12" w:space="0" w:color="auto"/>
              <w:bottom w:val="single" w:sz="12" w:space="0" w:color="auto"/>
            </w:tcBorders>
          </w:tcPr>
          <w:p w:rsidR="00190E99" w:rsidRDefault="00190E99">
            <w:pPr>
              <w:spacing w:before="180" w:after="180"/>
              <w:ind w:right="-29"/>
              <w:jc w:val="center"/>
              <w:rPr>
                <w:noProof/>
                <w:sz w:val="18"/>
                <w:szCs w:val="18"/>
              </w:rPr>
            </w:pPr>
          </w:p>
        </w:tc>
        <w:tc>
          <w:tcPr>
            <w:tcW w:w="432" w:type="dxa"/>
            <w:tcBorders>
              <w:top w:val="single" w:sz="12" w:space="0" w:color="auto"/>
              <w:bottom w:val="single" w:sz="12" w:space="0" w:color="auto"/>
            </w:tcBorders>
          </w:tcPr>
          <w:p w:rsidR="00190E99" w:rsidRDefault="00190E99">
            <w:pPr>
              <w:spacing w:before="180" w:after="180"/>
              <w:ind w:right="-29"/>
              <w:jc w:val="center"/>
              <w:rPr>
                <w:noProof/>
                <w:sz w:val="18"/>
                <w:szCs w:val="18"/>
              </w:rPr>
            </w:pPr>
          </w:p>
        </w:tc>
        <w:tc>
          <w:tcPr>
            <w:tcW w:w="720" w:type="dxa"/>
            <w:tcBorders>
              <w:top w:val="single" w:sz="12" w:space="0" w:color="auto"/>
              <w:bottom w:val="single" w:sz="12" w:space="0" w:color="auto"/>
            </w:tcBorders>
          </w:tcPr>
          <w:p w:rsidR="00190E99" w:rsidRDefault="00190E99">
            <w:pPr>
              <w:spacing w:before="180" w:after="180"/>
              <w:ind w:right="-29"/>
              <w:jc w:val="center"/>
              <w:rPr>
                <w:noProof/>
                <w:sz w:val="18"/>
                <w:szCs w:val="18"/>
              </w:rPr>
            </w:pPr>
          </w:p>
        </w:tc>
        <w:tc>
          <w:tcPr>
            <w:tcW w:w="540" w:type="dxa"/>
            <w:tcBorders>
              <w:top w:val="single" w:sz="12" w:space="0" w:color="auto"/>
              <w:bottom w:val="single" w:sz="12" w:space="0" w:color="auto"/>
            </w:tcBorders>
          </w:tcPr>
          <w:p w:rsidR="00190E99" w:rsidRDefault="00190E99">
            <w:pPr>
              <w:spacing w:before="180" w:after="180"/>
              <w:ind w:right="-29"/>
              <w:jc w:val="center"/>
              <w:rPr>
                <w:noProof/>
                <w:sz w:val="18"/>
                <w:szCs w:val="18"/>
              </w:rPr>
            </w:pPr>
          </w:p>
        </w:tc>
        <w:tc>
          <w:tcPr>
            <w:tcW w:w="720" w:type="dxa"/>
            <w:tcBorders>
              <w:top w:val="single" w:sz="12" w:space="0" w:color="auto"/>
              <w:bottom w:val="single" w:sz="12" w:space="0" w:color="auto"/>
            </w:tcBorders>
          </w:tcPr>
          <w:p w:rsidR="00190E99" w:rsidRDefault="00190E99">
            <w:pPr>
              <w:spacing w:before="180" w:after="180"/>
              <w:ind w:right="-29"/>
              <w:jc w:val="center"/>
              <w:rPr>
                <w:noProof/>
                <w:sz w:val="18"/>
                <w:szCs w:val="18"/>
              </w:rPr>
            </w:pPr>
          </w:p>
        </w:tc>
        <w:tc>
          <w:tcPr>
            <w:tcW w:w="720" w:type="dxa"/>
            <w:tcBorders>
              <w:top w:val="single" w:sz="12" w:space="0" w:color="auto"/>
              <w:bottom w:val="single" w:sz="12" w:space="0" w:color="auto"/>
            </w:tcBorders>
          </w:tcPr>
          <w:p w:rsidR="00190E99" w:rsidRDefault="00190E99">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190E99" w:rsidRDefault="00190E99">
            <w:pPr>
              <w:spacing w:before="180" w:after="180"/>
              <w:ind w:right="-29"/>
              <w:jc w:val="center"/>
              <w:rPr>
                <w:noProof/>
                <w:sz w:val="18"/>
                <w:szCs w:val="18"/>
              </w:rPr>
            </w:pPr>
          </w:p>
        </w:tc>
      </w:tr>
    </w:tbl>
    <w:p w:rsidR="00190E99" w:rsidRDefault="00190E99">
      <w:pPr>
        <w:rPr>
          <w:noProof/>
        </w:rPr>
        <w:sectPr w:rsidR="00190E99">
          <w:headerReference w:type="default" r:id="rId18"/>
          <w:footerReference w:type="default" r:id="rId19"/>
          <w:headerReference w:type="first" r:id="rId20"/>
          <w:footerReference w:type="first" r:id="rId21"/>
          <w:pgSz w:w="16840" w:h="11907" w:orient="landscape" w:code="9"/>
          <w:pgMar w:top="1134" w:right="1418" w:bottom="567" w:left="1418" w:header="709" w:footer="709" w:gutter="0"/>
          <w:cols w:space="708"/>
          <w:docGrid w:linePitch="360"/>
        </w:sectPr>
      </w:pPr>
    </w:p>
    <w:p w:rsidR="00190E99" w:rsidRDefault="00CD4FBA">
      <w:pPr>
        <w:pStyle w:val="ManualHeading3"/>
        <w:rPr>
          <w:bCs/>
          <w:noProof/>
          <w:szCs w:val="24"/>
        </w:rPr>
      </w:pPr>
      <w:bookmarkStart w:id="59" w:name="_Toc514938055"/>
      <w:bookmarkStart w:id="60" w:name="_Toc520485054"/>
      <w:r>
        <w:t>3.2.3.</w:t>
      </w:r>
      <w:r>
        <w:tab/>
      </w:r>
      <w:r>
        <w:rPr>
          <w:noProof/>
        </w:rPr>
        <w:t>Summary of estimated impact on administrative appropriations</w:t>
      </w:r>
      <w:bookmarkEnd w:id="59"/>
      <w:bookmarkEnd w:id="60"/>
      <w:r>
        <w:rPr>
          <w:noProof/>
        </w:rPr>
        <w:t xml:space="preserve"> </w:t>
      </w:r>
    </w:p>
    <w:p w:rsidR="00190E99" w:rsidRDefault="00CD4FBA">
      <w:pPr>
        <w:pStyle w:val="ListDash1"/>
        <w:rPr>
          <w:noProof/>
        </w:rPr>
      </w:pPr>
      <w:r>
        <w:rPr>
          <w:noProof/>
        </w:rPr>
        <w:sym w:font="Wingdings" w:char="F0A8"/>
      </w:r>
      <w:r>
        <w:rPr>
          <w:noProof/>
        </w:rPr>
        <w:tab/>
        <w:t xml:space="preserve">The proposal/initiative does not require the use of appropriations of an administrative nature </w:t>
      </w:r>
    </w:p>
    <w:p w:rsidR="00190E99" w:rsidRDefault="00CD4FBA">
      <w:pPr>
        <w:pStyle w:val="ListDash1"/>
        <w:rPr>
          <w:noProof/>
        </w:rPr>
      </w:pPr>
      <w:r>
        <w:rPr>
          <w:noProof/>
        </w:rPr>
        <w:sym w:font="Wingdings" w:char="F0FE"/>
      </w:r>
      <w:r>
        <w:rPr>
          <w:noProof/>
        </w:rPr>
        <w:tab/>
        <w:t xml:space="preserve">The proposal/initiative </w:t>
      </w:r>
      <w:r>
        <w:rPr>
          <w:noProof/>
        </w:rPr>
        <w:t>requires the use of appropriations of an administrative nature, as explained below:</w:t>
      </w:r>
    </w:p>
    <w:p w:rsidR="00190E99" w:rsidRDefault="00CD4FBA">
      <w:pPr>
        <w:jc w:val="right"/>
        <w:rPr>
          <w:noProof/>
          <w:sz w:val="20"/>
        </w:rPr>
      </w:pPr>
      <w:r>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190E99">
        <w:trPr>
          <w:trHeight w:val="585"/>
        </w:trPr>
        <w:tc>
          <w:tcPr>
            <w:tcW w:w="1980" w:type="dxa"/>
          </w:tcPr>
          <w:p w:rsidR="00190E99" w:rsidRDefault="00190E99">
            <w:pPr>
              <w:spacing w:before="60" w:after="60" w:line="200" w:lineRule="exact"/>
              <w:rPr>
                <w:noProof/>
                <w:sz w:val="16"/>
                <w:szCs w:val="16"/>
              </w:rPr>
            </w:pPr>
          </w:p>
        </w:tc>
        <w:tc>
          <w:tcPr>
            <w:tcW w:w="1080" w:type="dxa"/>
            <w:vAlign w:val="center"/>
          </w:tcPr>
          <w:p w:rsidR="00190E99" w:rsidRDefault="00CD4FBA">
            <w:pPr>
              <w:spacing w:before="60" w:after="60" w:line="200" w:lineRule="exact"/>
              <w:jc w:val="center"/>
              <w:rPr>
                <w:noProof/>
                <w:sz w:val="16"/>
                <w:szCs w:val="16"/>
              </w:rPr>
            </w:pPr>
            <w:r>
              <w:rPr>
                <w:noProof/>
                <w:sz w:val="16"/>
              </w:rPr>
              <w:t>Year</w:t>
            </w:r>
            <w:r>
              <w:rPr>
                <w:noProof/>
                <w:sz w:val="22"/>
              </w:rPr>
              <w:br/>
            </w:r>
            <w:r>
              <w:rPr>
                <w:b/>
                <w:noProof/>
                <w:sz w:val="16"/>
              </w:rPr>
              <w:t xml:space="preserve">N </w:t>
            </w:r>
            <w:r>
              <w:rPr>
                <w:rStyle w:val="FootnoteReference"/>
                <w:b/>
                <w:noProof/>
                <w:sz w:val="16"/>
              </w:rPr>
              <w:footnoteReference w:id="14"/>
            </w:r>
          </w:p>
        </w:tc>
        <w:tc>
          <w:tcPr>
            <w:tcW w:w="1080" w:type="dxa"/>
            <w:vAlign w:val="center"/>
          </w:tcPr>
          <w:p w:rsidR="00190E99" w:rsidRDefault="00CD4FBA">
            <w:pPr>
              <w:spacing w:before="60" w:after="60" w:line="200" w:lineRule="exact"/>
              <w:jc w:val="center"/>
              <w:rPr>
                <w:noProof/>
                <w:sz w:val="16"/>
                <w:szCs w:val="16"/>
              </w:rPr>
            </w:pPr>
            <w:r>
              <w:rPr>
                <w:noProof/>
                <w:sz w:val="16"/>
              </w:rPr>
              <w:t>Year</w:t>
            </w:r>
            <w:r>
              <w:rPr>
                <w:noProof/>
                <w:sz w:val="22"/>
              </w:rPr>
              <w:br/>
            </w:r>
            <w:r>
              <w:rPr>
                <w:b/>
                <w:noProof/>
                <w:sz w:val="16"/>
              </w:rPr>
              <w:t>N+1</w:t>
            </w:r>
          </w:p>
        </w:tc>
        <w:tc>
          <w:tcPr>
            <w:tcW w:w="1080" w:type="dxa"/>
            <w:vAlign w:val="center"/>
          </w:tcPr>
          <w:p w:rsidR="00190E99" w:rsidRDefault="00CD4FBA">
            <w:pPr>
              <w:spacing w:before="60" w:after="60" w:line="200" w:lineRule="exact"/>
              <w:jc w:val="center"/>
              <w:rPr>
                <w:noProof/>
                <w:sz w:val="16"/>
                <w:szCs w:val="16"/>
              </w:rPr>
            </w:pPr>
            <w:r>
              <w:rPr>
                <w:noProof/>
                <w:sz w:val="16"/>
              </w:rPr>
              <w:t>Year</w:t>
            </w:r>
            <w:r>
              <w:rPr>
                <w:noProof/>
                <w:sz w:val="22"/>
              </w:rPr>
              <w:br/>
            </w:r>
            <w:r>
              <w:rPr>
                <w:b/>
                <w:noProof/>
                <w:sz w:val="16"/>
              </w:rPr>
              <w:t>N+2</w:t>
            </w:r>
          </w:p>
        </w:tc>
        <w:tc>
          <w:tcPr>
            <w:tcW w:w="1080" w:type="dxa"/>
            <w:vAlign w:val="center"/>
          </w:tcPr>
          <w:p w:rsidR="00190E99" w:rsidRDefault="00CD4FBA">
            <w:pPr>
              <w:spacing w:before="60" w:after="60" w:line="200" w:lineRule="exact"/>
              <w:jc w:val="center"/>
              <w:rPr>
                <w:noProof/>
                <w:sz w:val="16"/>
                <w:szCs w:val="16"/>
              </w:rPr>
            </w:pPr>
            <w:r>
              <w:rPr>
                <w:noProof/>
                <w:sz w:val="16"/>
              </w:rPr>
              <w:t>Year</w:t>
            </w:r>
            <w:r>
              <w:rPr>
                <w:noProof/>
                <w:sz w:val="22"/>
              </w:rPr>
              <w:br/>
            </w:r>
            <w:r>
              <w:rPr>
                <w:b/>
                <w:noProof/>
                <w:sz w:val="16"/>
              </w:rPr>
              <w:t>N+3</w:t>
            </w:r>
          </w:p>
        </w:tc>
        <w:tc>
          <w:tcPr>
            <w:tcW w:w="3240" w:type="dxa"/>
            <w:vAlign w:val="center"/>
          </w:tcPr>
          <w:p w:rsidR="00190E99" w:rsidRDefault="00CD4FBA">
            <w:pPr>
              <w:spacing w:line="200" w:lineRule="exact"/>
              <w:jc w:val="center"/>
              <w:rPr>
                <w:b/>
                <w:noProof/>
                <w:sz w:val="16"/>
                <w:szCs w:val="16"/>
              </w:rPr>
            </w:pPr>
            <w:r>
              <w:rPr>
                <w:noProof/>
                <w:sz w:val="16"/>
              </w:rPr>
              <w:t>Enter as many years as necessary to show the duration of the impact (see point 1.6)</w:t>
            </w:r>
          </w:p>
        </w:tc>
        <w:tc>
          <w:tcPr>
            <w:tcW w:w="1080" w:type="dxa"/>
            <w:vAlign w:val="center"/>
          </w:tcPr>
          <w:p w:rsidR="00190E99" w:rsidRDefault="00CD4FBA">
            <w:pPr>
              <w:spacing w:before="60" w:after="60" w:line="200" w:lineRule="exact"/>
              <w:jc w:val="center"/>
              <w:rPr>
                <w:b/>
                <w:noProof/>
                <w:sz w:val="16"/>
                <w:szCs w:val="16"/>
              </w:rPr>
            </w:pPr>
            <w:r>
              <w:rPr>
                <w:b/>
                <w:noProof/>
                <w:sz w:val="16"/>
              </w:rPr>
              <w:t>TOTAL</w:t>
            </w:r>
          </w:p>
        </w:tc>
      </w:tr>
    </w:tbl>
    <w:p w:rsidR="00190E99" w:rsidRDefault="00190E99">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190E99">
        <w:trPr>
          <w:trHeight w:val="585"/>
        </w:trPr>
        <w:tc>
          <w:tcPr>
            <w:tcW w:w="1980" w:type="dxa"/>
            <w:shd w:val="clear" w:color="auto" w:fill="CCCCCC"/>
            <w:vAlign w:val="center"/>
          </w:tcPr>
          <w:p w:rsidR="00190E99" w:rsidRDefault="00CD4FBA">
            <w:pPr>
              <w:spacing w:before="60" w:after="60" w:line="200" w:lineRule="exact"/>
              <w:jc w:val="center"/>
              <w:rPr>
                <w:b/>
                <w:noProof/>
                <w:sz w:val="16"/>
                <w:szCs w:val="16"/>
              </w:rPr>
            </w:pPr>
            <w:r>
              <w:rPr>
                <w:b/>
                <w:noProof/>
                <w:sz w:val="16"/>
              </w:rPr>
              <w:t>HEADING 5</w:t>
            </w:r>
            <w:r>
              <w:rPr>
                <w:noProof/>
                <w:sz w:val="22"/>
              </w:rPr>
              <w:br/>
            </w:r>
            <w:r>
              <w:rPr>
                <w:b/>
                <w:noProof/>
                <w:sz w:val="16"/>
              </w:rPr>
              <w:t>of the multiannual financial framework</w:t>
            </w: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b/>
                <w:noProof/>
                <w:sz w:val="16"/>
                <w:szCs w:val="16"/>
              </w:rPr>
            </w:pPr>
          </w:p>
        </w:tc>
        <w:tc>
          <w:tcPr>
            <w:tcW w:w="1080" w:type="dxa"/>
            <w:vAlign w:val="center"/>
          </w:tcPr>
          <w:p w:rsidR="00190E99" w:rsidRDefault="00190E99">
            <w:pPr>
              <w:spacing w:before="60" w:after="60" w:line="200" w:lineRule="exact"/>
              <w:jc w:val="right"/>
              <w:rPr>
                <w:b/>
                <w:noProof/>
                <w:sz w:val="16"/>
                <w:szCs w:val="16"/>
              </w:rPr>
            </w:pPr>
          </w:p>
        </w:tc>
      </w:tr>
      <w:tr w:rsidR="00190E99">
        <w:trPr>
          <w:trHeight w:val="585"/>
        </w:trPr>
        <w:tc>
          <w:tcPr>
            <w:tcW w:w="1980" w:type="dxa"/>
            <w:vAlign w:val="center"/>
          </w:tcPr>
          <w:p w:rsidR="00190E99" w:rsidRDefault="00CD4FBA">
            <w:pPr>
              <w:spacing w:before="60" w:after="60" w:line="200" w:lineRule="exact"/>
              <w:ind w:left="72"/>
              <w:jc w:val="left"/>
              <w:rPr>
                <w:noProof/>
                <w:sz w:val="16"/>
                <w:szCs w:val="16"/>
              </w:rPr>
            </w:pPr>
            <w:r>
              <w:rPr>
                <w:noProof/>
                <w:sz w:val="16"/>
              </w:rPr>
              <w:t xml:space="preserve">Human resources </w:t>
            </w:r>
          </w:p>
        </w:tc>
        <w:tc>
          <w:tcPr>
            <w:tcW w:w="1080" w:type="dxa"/>
            <w:vAlign w:val="center"/>
          </w:tcPr>
          <w:p w:rsidR="00190E99" w:rsidRDefault="00CD4FBA">
            <w:pPr>
              <w:spacing w:before="60" w:after="60" w:line="200" w:lineRule="exact"/>
              <w:jc w:val="right"/>
              <w:rPr>
                <w:noProof/>
                <w:sz w:val="16"/>
                <w:szCs w:val="16"/>
              </w:rPr>
            </w:pPr>
            <w:r>
              <w:rPr>
                <w:noProof/>
                <w:sz w:val="18"/>
                <w:szCs w:val="18"/>
              </w:rPr>
              <w:t>286 000</w:t>
            </w:r>
          </w:p>
        </w:tc>
        <w:tc>
          <w:tcPr>
            <w:tcW w:w="1080" w:type="dxa"/>
            <w:vAlign w:val="center"/>
          </w:tcPr>
          <w:p w:rsidR="00190E99" w:rsidRDefault="00CD4FBA">
            <w:pPr>
              <w:spacing w:before="60" w:after="60" w:line="200" w:lineRule="exact"/>
              <w:jc w:val="right"/>
              <w:rPr>
                <w:noProof/>
                <w:sz w:val="16"/>
                <w:szCs w:val="16"/>
              </w:rPr>
            </w:pPr>
            <w:r>
              <w:rPr>
                <w:noProof/>
                <w:sz w:val="18"/>
                <w:szCs w:val="18"/>
              </w:rPr>
              <w:t>286 000</w:t>
            </w:r>
          </w:p>
        </w:tc>
        <w:tc>
          <w:tcPr>
            <w:tcW w:w="1080" w:type="dxa"/>
            <w:vAlign w:val="center"/>
          </w:tcPr>
          <w:p w:rsidR="00190E99" w:rsidRDefault="00CD4FBA">
            <w:pPr>
              <w:spacing w:before="60" w:after="60" w:line="200" w:lineRule="exact"/>
              <w:jc w:val="right"/>
              <w:rPr>
                <w:noProof/>
                <w:sz w:val="16"/>
                <w:szCs w:val="16"/>
              </w:rPr>
            </w:pPr>
            <w:r>
              <w:rPr>
                <w:noProof/>
                <w:sz w:val="18"/>
                <w:szCs w:val="18"/>
              </w:rPr>
              <w:t>286 000</w:t>
            </w:r>
          </w:p>
        </w:tc>
        <w:tc>
          <w:tcPr>
            <w:tcW w:w="1080" w:type="dxa"/>
            <w:vAlign w:val="center"/>
          </w:tcPr>
          <w:p w:rsidR="00190E99" w:rsidRDefault="00CD4FBA">
            <w:pPr>
              <w:spacing w:before="60" w:after="60" w:line="200" w:lineRule="exact"/>
              <w:jc w:val="right"/>
              <w:rPr>
                <w:noProof/>
                <w:sz w:val="16"/>
                <w:szCs w:val="16"/>
              </w:rPr>
            </w:pPr>
            <w:r>
              <w:rPr>
                <w:noProof/>
                <w:sz w:val="18"/>
                <w:szCs w:val="18"/>
              </w:rPr>
              <w:t>286 000</w:t>
            </w: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b/>
                <w:noProof/>
                <w:sz w:val="16"/>
                <w:szCs w:val="16"/>
              </w:rPr>
            </w:pPr>
          </w:p>
        </w:tc>
        <w:tc>
          <w:tcPr>
            <w:tcW w:w="1080" w:type="dxa"/>
            <w:vAlign w:val="center"/>
          </w:tcPr>
          <w:p w:rsidR="00190E99" w:rsidRDefault="00190E99">
            <w:pPr>
              <w:spacing w:before="60" w:after="60" w:line="200" w:lineRule="exact"/>
              <w:jc w:val="right"/>
              <w:rPr>
                <w:b/>
                <w:noProof/>
                <w:sz w:val="16"/>
                <w:szCs w:val="16"/>
              </w:rPr>
            </w:pPr>
          </w:p>
        </w:tc>
      </w:tr>
      <w:tr w:rsidR="00190E99">
        <w:trPr>
          <w:trHeight w:val="585"/>
        </w:trPr>
        <w:tc>
          <w:tcPr>
            <w:tcW w:w="1980" w:type="dxa"/>
            <w:vAlign w:val="center"/>
          </w:tcPr>
          <w:p w:rsidR="00190E99" w:rsidRDefault="00CD4FBA">
            <w:pPr>
              <w:spacing w:before="60" w:after="60" w:line="200" w:lineRule="exact"/>
              <w:ind w:left="72"/>
              <w:jc w:val="left"/>
              <w:rPr>
                <w:noProof/>
                <w:sz w:val="16"/>
                <w:szCs w:val="16"/>
              </w:rPr>
            </w:pPr>
            <w:r>
              <w:rPr>
                <w:noProof/>
                <w:sz w:val="16"/>
              </w:rPr>
              <w:t xml:space="preserve">Other administrative expenditure </w:t>
            </w:r>
          </w:p>
        </w:tc>
        <w:tc>
          <w:tcPr>
            <w:tcW w:w="1080" w:type="dxa"/>
            <w:vAlign w:val="center"/>
          </w:tcPr>
          <w:p w:rsidR="00190E99" w:rsidRDefault="00CD4FBA">
            <w:pPr>
              <w:spacing w:before="60" w:after="60" w:line="200" w:lineRule="exact"/>
              <w:jc w:val="right"/>
              <w:rPr>
                <w:noProof/>
                <w:sz w:val="16"/>
                <w:szCs w:val="16"/>
              </w:rPr>
            </w:pPr>
            <w:r>
              <w:rPr>
                <w:noProof/>
                <w:sz w:val="18"/>
                <w:szCs w:val="18"/>
              </w:rPr>
              <w:t>2 000</w:t>
            </w:r>
          </w:p>
        </w:tc>
        <w:tc>
          <w:tcPr>
            <w:tcW w:w="1080" w:type="dxa"/>
            <w:vAlign w:val="center"/>
          </w:tcPr>
          <w:p w:rsidR="00190E99" w:rsidRDefault="00CD4FBA">
            <w:pPr>
              <w:spacing w:before="60" w:after="60" w:line="200" w:lineRule="exact"/>
              <w:jc w:val="right"/>
              <w:rPr>
                <w:noProof/>
                <w:sz w:val="16"/>
                <w:szCs w:val="16"/>
              </w:rPr>
            </w:pPr>
            <w:r>
              <w:rPr>
                <w:noProof/>
                <w:sz w:val="18"/>
                <w:szCs w:val="18"/>
              </w:rPr>
              <w:t>2 000</w:t>
            </w:r>
          </w:p>
        </w:tc>
        <w:tc>
          <w:tcPr>
            <w:tcW w:w="1080" w:type="dxa"/>
            <w:vAlign w:val="center"/>
          </w:tcPr>
          <w:p w:rsidR="00190E99" w:rsidRDefault="00CD4FBA">
            <w:pPr>
              <w:spacing w:before="60" w:after="60" w:line="200" w:lineRule="exact"/>
              <w:jc w:val="right"/>
              <w:rPr>
                <w:noProof/>
                <w:sz w:val="16"/>
                <w:szCs w:val="16"/>
              </w:rPr>
            </w:pPr>
            <w:r>
              <w:rPr>
                <w:noProof/>
                <w:sz w:val="18"/>
                <w:szCs w:val="18"/>
              </w:rPr>
              <w:t>2 000</w:t>
            </w:r>
          </w:p>
        </w:tc>
        <w:tc>
          <w:tcPr>
            <w:tcW w:w="1080" w:type="dxa"/>
            <w:vAlign w:val="center"/>
          </w:tcPr>
          <w:p w:rsidR="00190E99" w:rsidRDefault="00CD4FBA">
            <w:pPr>
              <w:spacing w:before="60" w:after="60" w:line="200" w:lineRule="exact"/>
              <w:jc w:val="right"/>
              <w:rPr>
                <w:noProof/>
                <w:sz w:val="16"/>
                <w:szCs w:val="16"/>
              </w:rPr>
            </w:pPr>
            <w:r>
              <w:rPr>
                <w:noProof/>
                <w:sz w:val="18"/>
                <w:szCs w:val="18"/>
              </w:rPr>
              <w:t>2 000</w:t>
            </w: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b/>
                <w:noProof/>
                <w:sz w:val="16"/>
                <w:szCs w:val="16"/>
              </w:rPr>
            </w:pPr>
          </w:p>
        </w:tc>
        <w:tc>
          <w:tcPr>
            <w:tcW w:w="1080" w:type="dxa"/>
            <w:vAlign w:val="center"/>
          </w:tcPr>
          <w:p w:rsidR="00190E99" w:rsidRDefault="00190E99">
            <w:pPr>
              <w:spacing w:before="60" w:after="60" w:line="200" w:lineRule="exact"/>
              <w:jc w:val="right"/>
              <w:rPr>
                <w:b/>
                <w:noProof/>
                <w:sz w:val="16"/>
                <w:szCs w:val="16"/>
              </w:rPr>
            </w:pPr>
          </w:p>
        </w:tc>
      </w:tr>
      <w:tr w:rsidR="00190E99">
        <w:trPr>
          <w:trHeight w:val="585"/>
        </w:trPr>
        <w:tc>
          <w:tcPr>
            <w:tcW w:w="1980" w:type="dxa"/>
            <w:shd w:val="clear" w:color="auto" w:fill="CCCCCC"/>
            <w:vAlign w:val="center"/>
          </w:tcPr>
          <w:p w:rsidR="00190E99" w:rsidRDefault="00CD4FBA">
            <w:pPr>
              <w:spacing w:before="60" w:after="60" w:line="200" w:lineRule="exact"/>
              <w:jc w:val="center"/>
              <w:rPr>
                <w:b/>
                <w:noProof/>
                <w:sz w:val="16"/>
                <w:szCs w:val="16"/>
              </w:rPr>
            </w:pPr>
            <w:r>
              <w:rPr>
                <w:b/>
                <w:noProof/>
                <w:sz w:val="16"/>
              </w:rPr>
              <w:t>Subtotal HEADING 5</w:t>
            </w:r>
            <w:r>
              <w:rPr>
                <w:noProof/>
                <w:sz w:val="22"/>
              </w:rPr>
              <w:br/>
            </w:r>
            <w:r>
              <w:rPr>
                <w:b/>
                <w:noProof/>
                <w:sz w:val="16"/>
              </w:rPr>
              <w:t xml:space="preserve">of the multiannual financial framework </w:t>
            </w:r>
          </w:p>
        </w:tc>
        <w:tc>
          <w:tcPr>
            <w:tcW w:w="1080" w:type="dxa"/>
            <w:vAlign w:val="center"/>
          </w:tcPr>
          <w:p w:rsidR="00190E99" w:rsidRDefault="00CD4FBA">
            <w:pPr>
              <w:spacing w:before="60" w:after="60" w:line="200" w:lineRule="exact"/>
              <w:jc w:val="right"/>
              <w:rPr>
                <w:noProof/>
                <w:sz w:val="16"/>
                <w:szCs w:val="16"/>
              </w:rPr>
            </w:pPr>
            <w:r>
              <w:rPr>
                <w:noProof/>
                <w:sz w:val="18"/>
                <w:szCs w:val="18"/>
              </w:rPr>
              <w:t>288 000</w:t>
            </w:r>
          </w:p>
        </w:tc>
        <w:tc>
          <w:tcPr>
            <w:tcW w:w="1080" w:type="dxa"/>
            <w:vAlign w:val="center"/>
          </w:tcPr>
          <w:p w:rsidR="00190E99" w:rsidRDefault="00CD4FBA">
            <w:pPr>
              <w:spacing w:before="60" w:after="60" w:line="200" w:lineRule="exact"/>
              <w:jc w:val="right"/>
              <w:rPr>
                <w:noProof/>
                <w:sz w:val="16"/>
                <w:szCs w:val="16"/>
              </w:rPr>
            </w:pPr>
            <w:r>
              <w:rPr>
                <w:noProof/>
                <w:sz w:val="18"/>
                <w:szCs w:val="18"/>
              </w:rPr>
              <w:t>288 000</w:t>
            </w:r>
          </w:p>
        </w:tc>
        <w:tc>
          <w:tcPr>
            <w:tcW w:w="1080" w:type="dxa"/>
            <w:vAlign w:val="center"/>
          </w:tcPr>
          <w:p w:rsidR="00190E99" w:rsidRDefault="00CD4FBA">
            <w:pPr>
              <w:spacing w:before="60" w:after="60" w:line="200" w:lineRule="exact"/>
              <w:jc w:val="right"/>
              <w:rPr>
                <w:noProof/>
                <w:sz w:val="16"/>
                <w:szCs w:val="16"/>
              </w:rPr>
            </w:pPr>
            <w:r>
              <w:rPr>
                <w:noProof/>
                <w:sz w:val="18"/>
                <w:szCs w:val="18"/>
              </w:rPr>
              <w:t xml:space="preserve">288 </w:t>
            </w:r>
            <w:r>
              <w:rPr>
                <w:noProof/>
                <w:sz w:val="18"/>
                <w:szCs w:val="18"/>
              </w:rPr>
              <w:t>000</w:t>
            </w:r>
          </w:p>
        </w:tc>
        <w:tc>
          <w:tcPr>
            <w:tcW w:w="1080" w:type="dxa"/>
            <w:vAlign w:val="center"/>
          </w:tcPr>
          <w:p w:rsidR="00190E99" w:rsidRDefault="00CD4FBA">
            <w:pPr>
              <w:spacing w:before="60" w:after="60" w:line="200" w:lineRule="exact"/>
              <w:jc w:val="right"/>
              <w:rPr>
                <w:noProof/>
                <w:sz w:val="16"/>
                <w:szCs w:val="16"/>
              </w:rPr>
            </w:pPr>
            <w:r>
              <w:rPr>
                <w:noProof/>
                <w:sz w:val="18"/>
                <w:szCs w:val="18"/>
              </w:rPr>
              <w:t>288 000</w:t>
            </w: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b/>
                <w:noProof/>
                <w:sz w:val="16"/>
                <w:szCs w:val="16"/>
              </w:rPr>
            </w:pPr>
          </w:p>
        </w:tc>
        <w:tc>
          <w:tcPr>
            <w:tcW w:w="1080" w:type="dxa"/>
            <w:vAlign w:val="center"/>
          </w:tcPr>
          <w:p w:rsidR="00190E99" w:rsidRDefault="00190E99">
            <w:pPr>
              <w:spacing w:before="60" w:after="60" w:line="200" w:lineRule="exact"/>
              <w:jc w:val="right"/>
              <w:rPr>
                <w:b/>
                <w:noProof/>
                <w:sz w:val="16"/>
                <w:szCs w:val="16"/>
              </w:rPr>
            </w:pPr>
          </w:p>
        </w:tc>
      </w:tr>
    </w:tbl>
    <w:p w:rsidR="00190E99" w:rsidRDefault="00190E99">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190E99">
        <w:trPr>
          <w:trHeight w:val="585"/>
        </w:trPr>
        <w:tc>
          <w:tcPr>
            <w:tcW w:w="1980" w:type="dxa"/>
            <w:shd w:val="clear" w:color="auto" w:fill="CCCCCC"/>
            <w:vAlign w:val="center"/>
          </w:tcPr>
          <w:p w:rsidR="00190E99" w:rsidRDefault="00CD4FBA">
            <w:pPr>
              <w:spacing w:before="60" w:after="60" w:line="200" w:lineRule="exact"/>
              <w:jc w:val="center"/>
              <w:rPr>
                <w:noProof/>
                <w:sz w:val="16"/>
                <w:szCs w:val="16"/>
              </w:rPr>
            </w:pPr>
            <w:r>
              <w:rPr>
                <w:b/>
                <w:noProof/>
                <w:sz w:val="16"/>
              </w:rPr>
              <w:t>Outside HEADING 5</w:t>
            </w:r>
            <w:r>
              <w:rPr>
                <w:rStyle w:val="FootnoteReference"/>
                <w:b/>
                <w:noProof/>
                <w:sz w:val="16"/>
              </w:rPr>
              <w:footnoteReference w:id="15"/>
            </w:r>
            <w:r>
              <w:rPr>
                <w:noProof/>
                <w:sz w:val="22"/>
              </w:rPr>
              <w:br/>
            </w:r>
            <w:r>
              <w:rPr>
                <w:b/>
                <w:noProof/>
                <w:sz w:val="16"/>
              </w:rPr>
              <w:t xml:space="preserve">of the multiannual financial framework </w:t>
            </w:r>
          </w:p>
          <w:p w:rsidR="00190E99" w:rsidRDefault="00190E99">
            <w:pPr>
              <w:spacing w:before="0" w:after="0" w:line="200" w:lineRule="exact"/>
              <w:jc w:val="center"/>
              <w:rPr>
                <w:b/>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b/>
                <w:noProof/>
                <w:sz w:val="16"/>
                <w:szCs w:val="16"/>
              </w:rPr>
            </w:pPr>
          </w:p>
        </w:tc>
        <w:tc>
          <w:tcPr>
            <w:tcW w:w="1080" w:type="dxa"/>
            <w:vAlign w:val="center"/>
          </w:tcPr>
          <w:p w:rsidR="00190E99" w:rsidRDefault="00190E99">
            <w:pPr>
              <w:spacing w:before="60" w:after="60" w:line="200" w:lineRule="exact"/>
              <w:jc w:val="right"/>
              <w:rPr>
                <w:b/>
                <w:noProof/>
                <w:sz w:val="16"/>
                <w:szCs w:val="16"/>
              </w:rPr>
            </w:pPr>
          </w:p>
        </w:tc>
      </w:tr>
      <w:tr w:rsidR="00190E99">
        <w:trPr>
          <w:trHeight w:val="585"/>
        </w:trPr>
        <w:tc>
          <w:tcPr>
            <w:tcW w:w="1980" w:type="dxa"/>
            <w:vAlign w:val="center"/>
          </w:tcPr>
          <w:p w:rsidR="00190E99" w:rsidRDefault="00CD4FBA">
            <w:pPr>
              <w:spacing w:before="60" w:after="60" w:line="200" w:lineRule="exact"/>
              <w:ind w:left="72"/>
              <w:jc w:val="left"/>
              <w:rPr>
                <w:noProof/>
                <w:sz w:val="16"/>
                <w:szCs w:val="16"/>
              </w:rPr>
            </w:pPr>
            <w:r>
              <w:rPr>
                <w:noProof/>
                <w:sz w:val="16"/>
              </w:rPr>
              <w:t xml:space="preserve">Human resources </w:t>
            </w: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b/>
                <w:noProof/>
                <w:sz w:val="16"/>
                <w:szCs w:val="16"/>
              </w:rPr>
            </w:pPr>
          </w:p>
        </w:tc>
        <w:tc>
          <w:tcPr>
            <w:tcW w:w="1080" w:type="dxa"/>
            <w:vAlign w:val="center"/>
          </w:tcPr>
          <w:p w:rsidR="00190E99" w:rsidRDefault="00190E99">
            <w:pPr>
              <w:spacing w:before="60" w:after="60" w:line="200" w:lineRule="exact"/>
              <w:jc w:val="right"/>
              <w:rPr>
                <w:b/>
                <w:noProof/>
                <w:sz w:val="16"/>
                <w:szCs w:val="16"/>
              </w:rPr>
            </w:pPr>
          </w:p>
        </w:tc>
      </w:tr>
      <w:tr w:rsidR="00190E99">
        <w:trPr>
          <w:trHeight w:val="585"/>
        </w:trPr>
        <w:tc>
          <w:tcPr>
            <w:tcW w:w="1980" w:type="dxa"/>
            <w:vAlign w:val="center"/>
          </w:tcPr>
          <w:p w:rsidR="00190E99" w:rsidRDefault="00CD4FBA">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b/>
                <w:noProof/>
                <w:sz w:val="16"/>
                <w:szCs w:val="16"/>
              </w:rPr>
            </w:pPr>
          </w:p>
        </w:tc>
        <w:tc>
          <w:tcPr>
            <w:tcW w:w="1080" w:type="dxa"/>
            <w:vAlign w:val="center"/>
          </w:tcPr>
          <w:p w:rsidR="00190E99" w:rsidRDefault="00190E99">
            <w:pPr>
              <w:spacing w:before="60" w:after="60" w:line="200" w:lineRule="exact"/>
              <w:jc w:val="right"/>
              <w:rPr>
                <w:b/>
                <w:noProof/>
                <w:sz w:val="16"/>
                <w:szCs w:val="16"/>
              </w:rPr>
            </w:pPr>
          </w:p>
        </w:tc>
      </w:tr>
      <w:tr w:rsidR="00190E99">
        <w:trPr>
          <w:trHeight w:val="585"/>
        </w:trPr>
        <w:tc>
          <w:tcPr>
            <w:tcW w:w="1980" w:type="dxa"/>
            <w:shd w:val="clear" w:color="auto" w:fill="CCCCCC"/>
            <w:vAlign w:val="center"/>
          </w:tcPr>
          <w:p w:rsidR="00190E99" w:rsidRDefault="00CD4FBA">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5</w:t>
            </w:r>
            <w:r>
              <w:rPr>
                <w:noProof/>
                <w:sz w:val="22"/>
              </w:rPr>
              <w:br/>
            </w:r>
            <w:r>
              <w:rPr>
                <w:b/>
                <w:noProof/>
                <w:sz w:val="16"/>
              </w:rPr>
              <w:t xml:space="preserve">of the multiannual financial framework </w:t>
            </w: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noProof/>
                <w:sz w:val="16"/>
                <w:szCs w:val="16"/>
              </w:rPr>
            </w:pPr>
          </w:p>
        </w:tc>
        <w:tc>
          <w:tcPr>
            <w:tcW w:w="1080" w:type="dxa"/>
            <w:vAlign w:val="center"/>
          </w:tcPr>
          <w:p w:rsidR="00190E99" w:rsidRDefault="00190E99">
            <w:pPr>
              <w:spacing w:before="60" w:after="60" w:line="200" w:lineRule="exact"/>
              <w:jc w:val="right"/>
              <w:rPr>
                <w:b/>
                <w:noProof/>
                <w:sz w:val="16"/>
                <w:szCs w:val="16"/>
              </w:rPr>
            </w:pPr>
          </w:p>
        </w:tc>
        <w:tc>
          <w:tcPr>
            <w:tcW w:w="1080" w:type="dxa"/>
            <w:vAlign w:val="center"/>
          </w:tcPr>
          <w:p w:rsidR="00190E99" w:rsidRDefault="00190E99">
            <w:pPr>
              <w:spacing w:before="60" w:after="60" w:line="200" w:lineRule="exact"/>
              <w:jc w:val="right"/>
              <w:rPr>
                <w:b/>
                <w:noProof/>
                <w:sz w:val="16"/>
                <w:szCs w:val="16"/>
              </w:rPr>
            </w:pPr>
          </w:p>
        </w:tc>
      </w:tr>
    </w:tbl>
    <w:p w:rsidR="00190E99" w:rsidRDefault="00190E99">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190E99">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190E99" w:rsidRDefault="00CD4FBA">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190E99" w:rsidRDefault="00CD4FBA">
            <w:pPr>
              <w:spacing w:before="60" w:after="60" w:line="200" w:lineRule="exact"/>
              <w:jc w:val="right"/>
              <w:rPr>
                <w:b/>
                <w:noProof/>
                <w:sz w:val="16"/>
                <w:szCs w:val="16"/>
              </w:rPr>
            </w:pPr>
            <w:r>
              <w:rPr>
                <w:noProof/>
                <w:sz w:val="18"/>
                <w:szCs w:val="18"/>
              </w:rPr>
              <w:t>288</w:t>
            </w:r>
            <w:r>
              <w:rPr>
                <w:noProof/>
                <w:sz w:val="18"/>
                <w:szCs w:val="18"/>
              </w:rPr>
              <w:t xml:space="preserve"> 000</w:t>
            </w:r>
          </w:p>
        </w:tc>
        <w:tc>
          <w:tcPr>
            <w:tcW w:w="1080" w:type="dxa"/>
            <w:tcBorders>
              <w:top w:val="single" w:sz="12" w:space="0" w:color="auto"/>
              <w:left w:val="single" w:sz="2" w:space="0" w:color="auto"/>
              <w:bottom w:val="single" w:sz="12" w:space="0" w:color="auto"/>
              <w:right w:val="single" w:sz="2" w:space="0" w:color="auto"/>
            </w:tcBorders>
            <w:vAlign w:val="center"/>
          </w:tcPr>
          <w:p w:rsidR="00190E99" w:rsidRDefault="00CD4FBA">
            <w:pPr>
              <w:spacing w:before="60" w:after="60" w:line="200" w:lineRule="exact"/>
              <w:jc w:val="right"/>
              <w:rPr>
                <w:b/>
                <w:noProof/>
                <w:sz w:val="16"/>
                <w:szCs w:val="16"/>
              </w:rPr>
            </w:pPr>
            <w:r>
              <w:rPr>
                <w:noProof/>
                <w:sz w:val="18"/>
                <w:szCs w:val="18"/>
              </w:rPr>
              <w:t>288 000</w:t>
            </w:r>
          </w:p>
        </w:tc>
        <w:tc>
          <w:tcPr>
            <w:tcW w:w="1080" w:type="dxa"/>
            <w:tcBorders>
              <w:top w:val="single" w:sz="12" w:space="0" w:color="auto"/>
              <w:left w:val="single" w:sz="2" w:space="0" w:color="auto"/>
              <w:bottom w:val="single" w:sz="12" w:space="0" w:color="auto"/>
              <w:right w:val="single" w:sz="2" w:space="0" w:color="auto"/>
            </w:tcBorders>
            <w:vAlign w:val="center"/>
          </w:tcPr>
          <w:p w:rsidR="00190E99" w:rsidRDefault="00CD4FBA">
            <w:pPr>
              <w:spacing w:before="60" w:after="60" w:line="200" w:lineRule="exact"/>
              <w:jc w:val="right"/>
              <w:rPr>
                <w:b/>
                <w:noProof/>
                <w:sz w:val="16"/>
                <w:szCs w:val="16"/>
              </w:rPr>
            </w:pPr>
            <w:r>
              <w:rPr>
                <w:noProof/>
                <w:sz w:val="18"/>
                <w:szCs w:val="18"/>
              </w:rPr>
              <w:t>288 000</w:t>
            </w:r>
          </w:p>
        </w:tc>
        <w:tc>
          <w:tcPr>
            <w:tcW w:w="1080" w:type="dxa"/>
            <w:tcBorders>
              <w:top w:val="single" w:sz="12" w:space="0" w:color="auto"/>
              <w:left w:val="single" w:sz="2" w:space="0" w:color="auto"/>
              <w:bottom w:val="single" w:sz="12" w:space="0" w:color="auto"/>
              <w:right w:val="single" w:sz="2" w:space="0" w:color="auto"/>
            </w:tcBorders>
            <w:vAlign w:val="center"/>
          </w:tcPr>
          <w:p w:rsidR="00190E99" w:rsidRDefault="00CD4FBA">
            <w:pPr>
              <w:spacing w:before="60" w:after="60" w:line="200" w:lineRule="exact"/>
              <w:jc w:val="right"/>
              <w:rPr>
                <w:b/>
                <w:noProof/>
                <w:sz w:val="16"/>
                <w:szCs w:val="16"/>
              </w:rPr>
            </w:pPr>
            <w:r>
              <w:rPr>
                <w:noProof/>
                <w:sz w:val="18"/>
                <w:szCs w:val="18"/>
              </w:rPr>
              <w:t>288 000</w:t>
            </w:r>
          </w:p>
        </w:tc>
        <w:tc>
          <w:tcPr>
            <w:tcW w:w="1080" w:type="dxa"/>
            <w:tcBorders>
              <w:top w:val="single" w:sz="12" w:space="0" w:color="auto"/>
              <w:left w:val="single" w:sz="2" w:space="0" w:color="auto"/>
              <w:bottom w:val="single" w:sz="12" w:space="0" w:color="auto"/>
              <w:right w:val="single" w:sz="2" w:space="0" w:color="auto"/>
            </w:tcBorders>
            <w:vAlign w:val="center"/>
          </w:tcPr>
          <w:p w:rsidR="00190E99" w:rsidRDefault="00190E99">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190E99" w:rsidRDefault="00190E99">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190E99" w:rsidRDefault="00190E99">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190E99" w:rsidRDefault="00190E99">
            <w:pPr>
              <w:spacing w:before="60" w:after="60" w:line="200" w:lineRule="exact"/>
              <w:jc w:val="right"/>
              <w:rPr>
                <w:b/>
                <w:noProof/>
                <w:sz w:val="16"/>
                <w:szCs w:val="16"/>
              </w:rPr>
            </w:pPr>
          </w:p>
        </w:tc>
      </w:tr>
    </w:tbl>
    <w:p w:rsidR="00190E99" w:rsidRDefault="00CD4FBA">
      <w:pPr>
        <w:rPr>
          <w:noProof/>
          <w:sz w:val="18"/>
        </w:rPr>
      </w:pPr>
      <w:r>
        <w:rPr>
          <w:noProof/>
          <w:sz w:val="18"/>
        </w:rPr>
        <w:t xml:space="preserve">The appropriations required for human resources and other expenditure of an administrative nature will be met by appropriations from the DG that are already assigned to management of the action and/or have been redeployed </w:t>
      </w:r>
      <w:r>
        <w:rPr>
          <w:noProof/>
          <w:sz w:val="18"/>
        </w:rPr>
        <w:t>within the DG, together if necessary with any additional allocation which may be granted to the managing DG under the annual allocation procedure and in the light of budgetary constraints.</w:t>
      </w:r>
    </w:p>
    <w:p w:rsidR="00190E99" w:rsidRDefault="00190E99">
      <w:pPr>
        <w:rPr>
          <w:noProof/>
          <w:sz w:val="18"/>
        </w:rPr>
        <w:sectPr w:rsidR="00190E99">
          <w:headerReference w:type="default" r:id="rId22"/>
          <w:footerReference w:type="default" r:id="rId23"/>
          <w:headerReference w:type="first" r:id="rId24"/>
          <w:footerReference w:type="first" r:id="rId25"/>
          <w:pgSz w:w="11907" w:h="16840"/>
          <w:pgMar w:top="1134" w:right="1418" w:bottom="1134" w:left="1418" w:header="709" w:footer="709" w:gutter="0"/>
          <w:cols w:space="708"/>
          <w:docGrid w:linePitch="360"/>
        </w:sectPr>
      </w:pPr>
    </w:p>
    <w:p w:rsidR="00190E99" w:rsidRDefault="00CD4FBA">
      <w:pPr>
        <w:pStyle w:val="ManualHeading4"/>
        <w:rPr>
          <w:bCs/>
          <w:noProof/>
          <w:szCs w:val="24"/>
        </w:rPr>
      </w:pPr>
      <w:r>
        <w:t>3.2.3.1.</w:t>
      </w:r>
      <w:r>
        <w:tab/>
      </w:r>
      <w:r>
        <w:rPr>
          <w:noProof/>
        </w:rPr>
        <w:t xml:space="preserve">Estimated requirements of human resources </w:t>
      </w:r>
    </w:p>
    <w:p w:rsidR="00190E99" w:rsidRDefault="00CD4FBA">
      <w:pPr>
        <w:pStyle w:val="ListDash1"/>
        <w:rPr>
          <w:noProof/>
        </w:rPr>
      </w:pPr>
      <w:r>
        <w:rPr>
          <w:noProof/>
        </w:rPr>
        <w:sym w:font="Wingdings" w:char="F0A8"/>
      </w:r>
      <w:r>
        <w:rPr>
          <w:noProof/>
        </w:rPr>
        <w:tab/>
        <w:t xml:space="preserve">The proposal/initiative does not require the use of human resources. </w:t>
      </w:r>
    </w:p>
    <w:p w:rsidR="00190E99" w:rsidRDefault="00CD4FBA">
      <w:pPr>
        <w:pStyle w:val="ListDash1"/>
        <w:rPr>
          <w:noProof/>
        </w:rPr>
      </w:pPr>
      <w:r>
        <w:rPr>
          <w:noProof/>
        </w:rPr>
        <w:sym w:font="Wingdings" w:char="F0A8"/>
      </w:r>
      <w:r>
        <w:rPr>
          <w:noProof/>
        </w:rPr>
        <w:tab/>
        <w:t>The proposal/initiative requires the use of human resources, as explained below:</w:t>
      </w:r>
    </w:p>
    <w:p w:rsidR="00190E99" w:rsidRDefault="00CD4FBA">
      <w:pPr>
        <w:spacing w:after="60"/>
        <w:jc w:val="right"/>
        <w:rPr>
          <w:i/>
          <w:noProof/>
          <w:sz w:val="20"/>
        </w:rPr>
      </w:pPr>
      <w:r>
        <w:rPr>
          <w:i/>
          <w:noProof/>
          <w:sz w:val="20"/>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190E99">
        <w:trPr>
          <w:gridBefore w:val="1"/>
          <w:wBefore w:w="13" w:type="dxa"/>
          <w:trHeight w:val="289"/>
          <w:jc w:val="center"/>
        </w:trPr>
        <w:tc>
          <w:tcPr>
            <w:tcW w:w="3906" w:type="dxa"/>
            <w:gridSpan w:val="2"/>
            <w:shd w:val="clear" w:color="auto" w:fill="auto"/>
          </w:tcPr>
          <w:p w:rsidR="00190E99" w:rsidRDefault="00190E99">
            <w:pPr>
              <w:pStyle w:val="Text1"/>
              <w:spacing w:before="40" w:after="40"/>
              <w:ind w:left="0"/>
              <w:jc w:val="center"/>
              <w:rPr>
                <w:i/>
                <w:noProof/>
                <w:sz w:val="16"/>
                <w:szCs w:val="16"/>
              </w:rPr>
            </w:pPr>
          </w:p>
        </w:tc>
        <w:tc>
          <w:tcPr>
            <w:tcW w:w="600" w:type="dxa"/>
            <w:shd w:val="clear" w:color="auto" w:fill="auto"/>
            <w:vAlign w:val="center"/>
          </w:tcPr>
          <w:p w:rsidR="00190E99" w:rsidRDefault="00CD4FBA">
            <w:pPr>
              <w:spacing w:before="20" w:after="20"/>
              <w:jc w:val="center"/>
              <w:rPr>
                <w:noProof/>
                <w:sz w:val="16"/>
                <w:szCs w:val="16"/>
              </w:rPr>
            </w:pPr>
            <w:r>
              <w:rPr>
                <w:noProof/>
                <w:sz w:val="16"/>
              </w:rPr>
              <w:t>Year</w:t>
            </w:r>
            <w:r>
              <w:rPr>
                <w:noProof/>
                <w:sz w:val="22"/>
              </w:rPr>
              <w:br/>
            </w:r>
            <w:r>
              <w:rPr>
                <w:b/>
                <w:noProof/>
                <w:sz w:val="16"/>
              </w:rPr>
              <w:t>N</w:t>
            </w:r>
          </w:p>
        </w:tc>
        <w:tc>
          <w:tcPr>
            <w:tcW w:w="600" w:type="dxa"/>
            <w:shd w:val="clear" w:color="auto" w:fill="auto"/>
            <w:vAlign w:val="center"/>
          </w:tcPr>
          <w:p w:rsidR="00190E99" w:rsidRDefault="00CD4FBA">
            <w:pPr>
              <w:spacing w:before="20" w:after="20"/>
              <w:jc w:val="center"/>
              <w:rPr>
                <w:noProof/>
                <w:sz w:val="16"/>
                <w:szCs w:val="16"/>
              </w:rPr>
            </w:pPr>
            <w:r>
              <w:rPr>
                <w:noProof/>
                <w:sz w:val="16"/>
              </w:rPr>
              <w:t>Year</w:t>
            </w:r>
            <w:r>
              <w:rPr>
                <w:noProof/>
                <w:sz w:val="22"/>
              </w:rPr>
              <w:br/>
            </w:r>
            <w:r>
              <w:rPr>
                <w:b/>
                <w:noProof/>
                <w:sz w:val="16"/>
              </w:rPr>
              <w:t>N+1</w:t>
            </w:r>
          </w:p>
        </w:tc>
        <w:tc>
          <w:tcPr>
            <w:tcW w:w="600" w:type="dxa"/>
            <w:shd w:val="clear" w:color="auto" w:fill="auto"/>
            <w:vAlign w:val="center"/>
          </w:tcPr>
          <w:p w:rsidR="00190E99" w:rsidRDefault="00CD4FBA">
            <w:pPr>
              <w:spacing w:before="20" w:after="20"/>
              <w:jc w:val="center"/>
              <w:rPr>
                <w:noProof/>
                <w:sz w:val="16"/>
                <w:szCs w:val="16"/>
              </w:rPr>
            </w:pPr>
            <w:r>
              <w:rPr>
                <w:noProof/>
                <w:sz w:val="16"/>
                <w:szCs w:val="16"/>
              </w:rPr>
              <w:t xml:space="preserve">Year </w:t>
            </w:r>
            <w:r>
              <w:rPr>
                <w:b/>
                <w:noProof/>
                <w:sz w:val="16"/>
                <w:szCs w:val="16"/>
              </w:rPr>
              <w:t>N+2</w:t>
            </w:r>
          </w:p>
        </w:tc>
        <w:tc>
          <w:tcPr>
            <w:tcW w:w="600" w:type="dxa"/>
            <w:shd w:val="clear" w:color="auto" w:fill="auto"/>
            <w:vAlign w:val="center"/>
          </w:tcPr>
          <w:p w:rsidR="00190E99" w:rsidRDefault="00CD4FBA">
            <w:pPr>
              <w:spacing w:before="20" w:after="20"/>
              <w:jc w:val="center"/>
              <w:rPr>
                <w:noProof/>
                <w:sz w:val="16"/>
                <w:szCs w:val="16"/>
              </w:rPr>
            </w:pPr>
            <w:r>
              <w:rPr>
                <w:noProof/>
                <w:sz w:val="16"/>
                <w:szCs w:val="16"/>
              </w:rPr>
              <w:t xml:space="preserve">Year </w:t>
            </w:r>
            <w:r>
              <w:rPr>
                <w:b/>
                <w:noProof/>
                <w:sz w:val="16"/>
                <w:szCs w:val="16"/>
              </w:rPr>
              <w:t>N+3</w:t>
            </w:r>
          </w:p>
        </w:tc>
        <w:tc>
          <w:tcPr>
            <w:tcW w:w="600" w:type="dxa"/>
            <w:gridSpan w:val="3"/>
            <w:shd w:val="clear" w:color="auto" w:fill="auto"/>
            <w:vAlign w:val="center"/>
          </w:tcPr>
          <w:p w:rsidR="00190E99" w:rsidRDefault="00CD4FBA">
            <w:pPr>
              <w:jc w:val="center"/>
              <w:rPr>
                <w:b/>
                <w:noProof/>
                <w:sz w:val="16"/>
                <w:szCs w:val="16"/>
              </w:rPr>
            </w:pPr>
            <w:r>
              <w:rPr>
                <w:noProof/>
                <w:sz w:val="16"/>
              </w:rPr>
              <w:t>Enter as many years as necessary to show the duration of the impact (see point 1.6)</w:t>
            </w:r>
          </w:p>
        </w:tc>
      </w:tr>
      <w:tr w:rsidR="00190E99">
        <w:trPr>
          <w:gridBefore w:val="1"/>
          <w:wBefore w:w="13" w:type="dxa"/>
          <w:trHeight w:val="289"/>
          <w:jc w:val="center"/>
        </w:trPr>
        <w:tc>
          <w:tcPr>
            <w:tcW w:w="600" w:type="dxa"/>
            <w:gridSpan w:val="9"/>
            <w:shd w:val="clear" w:color="auto" w:fill="auto"/>
          </w:tcPr>
          <w:p w:rsidR="00190E99" w:rsidRDefault="00CD4FBA">
            <w:pPr>
              <w:jc w:val="left"/>
              <w:rPr>
                <w:noProof/>
                <w:sz w:val="16"/>
                <w:szCs w:val="16"/>
              </w:rPr>
            </w:pPr>
            <w:r>
              <w:rPr>
                <w:b/>
                <w:noProof/>
                <w:sz w:val="16"/>
              </w:rPr>
              <w:sym w:font="Wingdings" w:char="F09F"/>
            </w:r>
            <w:r>
              <w:rPr>
                <w:b/>
                <w:noProof/>
                <w:sz w:val="16"/>
              </w:rPr>
              <w:t xml:space="preserve"> Establishment plan posts (officials and temporary staff)</w:t>
            </w:r>
          </w:p>
        </w:tc>
      </w:tr>
      <w:tr w:rsidR="00190E99">
        <w:trPr>
          <w:gridBefore w:val="1"/>
          <w:wBefore w:w="13" w:type="dxa"/>
          <w:trHeight w:val="289"/>
          <w:jc w:val="center"/>
        </w:trPr>
        <w:tc>
          <w:tcPr>
            <w:tcW w:w="3906" w:type="dxa"/>
            <w:gridSpan w:val="2"/>
            <w:shd w:val="clear" w:color="auto" w:fill="auto"/>
            <w:vAlign w:val="center"/>
          </w:tcPr>
          <w:p w:rsidR="00190E99" w:rsidRDefault="00CD4FBA">
            <w:pPr>
              <w:pStyle w:val="Text1"/>
              <w:spacing w:beforeLines="20" w:before="48" w:afterLines="20" w:after="48"/>
              <w:ind w:left="134"/>
              <w:jc w:val="left"/>
              <w:rPr>
                <w:b/>
                <w:noProof/>
                <w:sz w:val="16"/>
                <w:szCs w:val="16"/>
              </w:rPr>
            </w:pPr>
            <w:r>
              <w:rPr>
                <w:noProof/>
                <w:sz w:val="16"/>
              </w:rPr>
              <w:t>XX 01 01 01 (Headquarters and Commission’s Representation Offices)</w:t>
            </w:r>
          </w:p>
        </w:tc>
        <w:tc>
          <w:tcPr>
            <w:tcW w:w="600" w:type="dxa"/>
            <w:shd w:val="clear" w:color="auto" w:fill="auto"/>
            <w:vAlign w:val="center"/>
          </w:tcPr>
          <w:p w:rsidR="00190E99" w:rsidRDefault="00CD4FBA">
            <w:pPr>
              <w:spacing w:beforeLines="20" w:before="48" w:afterLines="20" w:after="48"/>
              <w:jc w:val="center"/>
              <w:rPr>
                <w:noProof/>
                <w:sz w:val="16"/>
                <w:szCs w:val="16"/>
              </w:rPr>
            </w:pPr>
            <w:r>
              <w:rPr>
                <w:noProof/>
                <w:sz w:val="16"/>
                <w:szCs w:val="16"/>
              </w:rPr>
              <w:t>2</w:t>
            </w:r>
          </w:p>
        </w:tc>
        <w:tc>
          <w:tcPr>
            <w:tcW w:w="600" w:type="dxa"/>
            <w:shd w:val="clear" w:color="auto" w:fill="auto"/>
            <w:vAlign w:val="center"/>
          </w:tcPr>
          <w:p w:rsidR="00190E99" w:rsidRDefault="00CD4FBA">
            <w:pPr>
              <w:spacing w:beforeLines="20" w:before="48" w:afterLines="20" w:after="48"/>
              <w:jc w:val="center"/>
              <w:rPr>
                <w:noProof/>
                <w:sz w:val="16"/>
                <w:szCs w:val="16"/>
              </w:rPr>
            </w:pPr>
            <w:r>
              <w:rPr>
                <w:noProof/>
                <w:sz w:val="16"/>
                <w:szCs w:val="16"/>
              </w:rPr>
              <w:t>2</w:t>
            </w:r>
          </w:p>
        </w:tc>
        <w:tc>
          <w:tcPr>
            <w:tcW w:w="600" w:type="dxa"/>
            <w:shd w:val="clear" w:color="auto" w:fill="auto"/>
            <w:vAlign w:val="center"/>
          </w:tcPr>
          <w:p w:rsidR="00190E99" w:rsidRDefault="00CD4FBA">
            <w:pPr>
              <w:spacing w:beforeLines="20" w:before="48" w:afterLines="20" w:after="48"/>
              <w:jc w:val="center"/>
              <w:rPr>
                <w:noProof/>
                <w:sz w:val="16"/>
                <w:szCs w:val="16"/>
              </w:rPr>
            </w:pPr>
            <w:r>
              <w:rPr>
                <w:noProof/>
                <w:sz w:val="16"/>
                <w:szCs w:val="16"/>
              </w:rPr>
              <w:t>2</w:t>
            </w:r>
          </w:p>
        </w:tc>
        <w:tc>
          <w:tcPr>
            <w:tcW w:w="600" w:type="dxa"/>
            <w:shd w:val="clear" w:color="auto" w:fill="auto"/>
            <w:vAlign w:val="center"/>
          </w:tcPr>
          <w:p w:rsidR="00190E99" w:rsidRDefault="00CD4FBA">
            <w:pPr>
              <w:spacing w:beforeLines="20" w:before="48" w:afterLines="20" w:after="48"/>
              <w:jc w:val="center"/>
              <w:rPr>
                <w:noProof/>
                <w:sz w:val="16"/>
                <w:szCs w:val="16"/>
              </w:rPr>
            </w:pPr>
            <w:r>
              <w:rPr>
                <w:noProof/>
                <w:sz w:val="16"/>
                <w:szCs w:val="16"/>
              </w:rPr>
              <w:t>2</w:t>
            </w: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r>
      <w:tr w:rsidR="00190E99">
        <w:trPr>
          <w:gridBefore w:val="1"/>
          <w:wBefore w:w="13" w:type="dxa"/>
          <w:trHeight w:val="289"/>
          <w:jc w:val="center"/>
        </w:trPr>
        <w:tc>
          <w:tcPr>
            <w:tcW w:w="3906" w:type="dxa"/>
            <w:gridSpan w:val="2"/>
            <w:shd w:val="clear" w:color="auto" w:fill="auto"/>
            <w:vAlign w:val="center"/>
          </w:tcPr>
          <w:p w:rsidR="00190E99" w:rsidRDefault="00CD4FBA">
            <w:pPr>
              <w:pStyle w:val="Text1"/>
              <w:spacing w:beforeLines="20" w:before="48" w:afterLines="20" w:after="48"/>
              <w:ind w:left="134"/>
              <w:jc w:val="left"/>
              <w:rPr>
                <w:noProof/>
                <w:sz w:val="16"/>
                <w:szCs w:val="16"/>
              </w:rPr>
            </w:pPr>
            <w:r>
              <w:rPr>
                <w:noProof/>
                <w:sz w:val="16"/>
              </w:rPr>
              <w:t>XX 01 01 02 (Delegations)</w:t>
            </w: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r>
      <w:tr w:rsidR="00190E99">
        <w:trPr>
          <w:gridBefore w:val="1"/>
          <w:wBefore w:w="13" w:type="dxa"/>
          <w:trHeight w:val="289"/>
          <w:jc w:val="center"/>
        </w:trPr>
        <w:tc>
          <w:tcPr>
            <w:tcW w:w="3906" w:type="dxa"/>
            <w:gridSpan w:val="2"/>
            <w:shd w:val="clear" w:color="auto" w:fill="auto"/>
            <w:vAlign w:val="center"/>
          </w:tcPr>
          <w:p w:rsidR="00190E99" w:rsidRDefault="00CD4FBA">
            <w:pPr>
              <w:pStyle w:val="Text1"/>
              <w:spacing w:beforeLines="20" w:before="48" w:afterLines="20" w:after="48"/>
              <w:ind w:left="134"/>
              <w:jc w:val="left"/>
              <w:rPr>
                <w:noProof/>
                <w:sz w:val="16"/>
                <w:szCs w:val="16"/>
              </w:rPr>
            </w:pPr>
            <w:r>
              <w:rPr>
                <w:noProof/>
                <w:sz w:val="16"/>
              </w:rPr>
              <w:t>XX 01 05 01/11/21 (Indirect research)</w:t>
            </w: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r>
      <w:tr w:rsidR="00190E99">
        <w:trPr>
          <w:gridBefore w:val="1"/>
          <w:wBefore w:w="13" w:type="dxa"/>
          <w:trHeight w:val="289"/>
          <w:jc w:val="center"/>
        </w:trPr>
        <w:tc>
          <w:tcPr>
            <w:tcW w:w="3906" w:type="dxa"/>
            <w:gridSpan w:val="2"/>
            <w:shd w:val="clear" w:color="auto" w:fill="auto"/>
            <w:vAlign w:val="center"/>
          </w:tcPr>
          <w:p w:rsidR="00190E99" w:rsidRDefault="00CD4FBA">
            <w:pPr>
              <w:pStyle w:val="Text1"/>
              <w:spacing w:beforeLines="20" w:before="48" w:afterLines="20" w:after="48"/>
              <w:ind w:left="134"/>
              <w:jc w:val="left"/>
              <w:rPr>
                <w:noProof/>
                <w:sz w:val="16"/>
                <w:szCs w:val="16"/>
              </w:rPr>
            </w:pPr>
            <w:r>
              <w:rPr>
                <w:noProof/>
                <w:sz w:val="16"/>
              </w:rPr>
              <w:t>10 01 05 01/11 (Direct research)</w:t>
            </w: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r>
      <w:tr w:rsidR="00190E99">
        <w:trPr>
          <w:trHeight w:val="248"/>
          <w:jc w:val="center"/>
        </w:trPr>
        <w:tc>
          <w:tcPr>
            <w:tcW w:w="600" w:type="dxa"/>
            <w:gridSpan w:val="10"/>
            <w:shd w:val="clear" w:color="auto" w:fill="auto"/>
            <w:vAlign w:val="center"/>
          </w:tcPr>
          <w:p w:rsidR="00190E99" w:rsidRDefault="00CD4FBA">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b/>
                <w:noProof/>
                <w:sz w:val="16"/>
              </w:rPr>
              <w:footnoteReference w:id="16"/>
            </w:r>
          </w:p>
          <w:p w:rsidR="00190E99" w:rsidRDefault="00190E99">
            <w:pPr>
              <w:pStyle w:val="Text1"/>
              <w:spacing w:before="0" w:after="0"/>
              <w:ind w:left="0"/>
              <w:jc w:val="left"/>
              <w:rPr>
                <w:noProof/>
                <w:sz w:val="16"/>
                <w:szCs w:val="16"/>
              </w:rPr>
            </w:pPr>
          </w:p>
        </w:tc>
      </w:tr>
      <w:tr w:rsidR="00190E99">
        <w:trPr>
          <w:gridBefore w:val="1"/>
          <w:wBefore w:w="13" w:type="dxa"/>
          <w:trHeight w:val="289"/>
          <w:jc w:val="center"/>
        </w:trPr>
        <w:tc>
          <w:tcPr>
            <w:tcW w:w="3906" w:type="dxa"/>
            <w:gridSpan w:val="2"/>
            <w:shd w:val="clear" w:color="auto" w:fill="auto"/>
            <w:vAlign w:val="center"/>
          </w:tcPr>
          <w:p w:rsidR="00190E99" w:rsidRDefault="00CD4FBA">
            <w:pPr>
              <w:pStyle w:val="Text1"/>
              <w:spacing w:beforeLines="20" w:before="48" w:afterLines="20" w:after="48"/>
              <w:ind w:left="136"/>
              <w:jc w:val="left"/>
              <w:rPr>
                <w:b/>
                <w:noProof/>
                <w:sz w:val="16"/>
                <w:szCs w:val="16"/>
              </w:rPr>
            </w:pPr>
            <w:r>
              <w:rPr>
                <w:noProof/>
                <w:sz w:val="16"/>
              </w:rPr>
              <w:t>XX 01 02 01 (AC, END, INT from the ‘global envelope’)</w:t>
            </w: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r>
      <w:tr w:rsidR="00190E99">
        <w:trPr>
          <w:gridBefore w:val="1"/>
          <w:wBefore w:w="13" w:type="dxa"/>
          <w:trHeight w:val="289"/>
          <w:jc w:val="center"/>
        </w:trPr>
        <w:tc>
          <w:tcPr>
            <w:tcW w:w="3906" w:type="dxa"/>
            <w:gridSpan w:val="2"/>
            <w:shd w:val="clear" w:color="auto" w:fill="auto"/>
            <w:vAlign w:val="center"/>
          </w:tcPr>
          <w:p w:rsidR="00190E99" w:rsidRDefault="00CD4FBA">
            <w:pPr>
              <w:pStyle w:val="Text1"/>
              <w:spacing w:beforeLines="20" w:before="48" w:afterLines="20" w:after="48"/>
              <w:ind w:left="136"/>
              <w:jc w:val="left"/>
              <w:rPr>
                <w:noProof/>
                <w:sz w:val="16"/>
                <w:szCs w:val="16"/>
              </w:rPr>
            </w:pPr>
            <w:r>
              <w:rPr>
                <w:noProof/>
                <w:sz w:val="16"/>
              </w:rPr>
              <w:t xml:space="preserve">XX 01 02 02 </w:t>
            </w:r>
            <w:r>
              <w:rPr>
                <w:noProof/>
                <w:sz w:val="16"/>
              </w:rPr>
              <w:t>(AC, AL, END, INT and JPD in the delegations)</w:t>
            </w: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r>
      <w:tr w:rsidR="00190E99">
        <w:trPr>
          <w:gridBefore w:val="1"/>
          <w:wBefore w:w="13" w:type="dxa"/>
          <w:trHeight w:val="289"/>
          <w:jc w:val="center"/>
        </w:trPr>
        <w:tc>
          <w:tcPr>
            <w:tcW w:w="1952" w:type="dxa"/>
            <w:vMerge w:val="restart"/>
            <w:shd w:val="clear" w:color="auto" w:fill="auto"/>
            <w:vAlign w:val="center"/>
          </w:tcPr>
          <w:p w:rsidR="00190E99" w:rsidRDefault="00CD4FBA">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17"/>
            </w:r>
          </w:p>
          <w:p w:rsidR="00190E99" w:rsidRDefault="00190E99">
            <w:pPr>
              <w:pStyle w:val="Text1"/>
              <w:spacing w:beforeLines="20" w:before="48" w:afterLines="20" w:after="48"/>
              <w:ind w:left="136"/>
              <w:jc w:val="left"/>
              <w:rPr>
                <w:b/>
                <w:noProof/>
                <w:sz w:val="16"/>
                <w:szCs w:val="16"/>
              </w:rPr>
            </w:pPr>
          </w:p>
        </w:tc>
        <w:tc>
          <w:tcPr>
            <w:tcW w:w="1954" w:type="dxa"/>
            <w:shd w:val="clear" w:color="auto" w:fill="auto"/>
            <w:vAlign w:val="center"/>
          </w:tcPr>
          <w:p w:rsidR="00190E99" w:rsidRDefault="00CD4FBA">
            <w:pPr>
              <w:pStyle w:val="Text1"/>
              <w:spacing w:beforeLines="20" w:before="48" w:afterLines="20" w:after="48"/>
              <w:ind w:left="136"/>
              <w:jc w:val="left"/>
              <w:rPr>
                <w:b/>
                <w:noProof/>
                <w:sz w:val="16"/>
                <w:szCs w:val="16"/>
              </w:rPr>
            </w:pPr>
            <w:r>
              <w:rPr>
                <w:noProof/>
                <w:sz w:val="16"/>
              </w:rPr>
              <w:t>- at Headquarters</w:t>
            </w:r>
          </w:p>
          <w:p w:rsidR="00190E99" w:rsidRDefault="00190E99">
            <w:pPr>
              <w:pStyle w:val="Text1"/>
              <w:spacing w:beforeLines="20" w:before="48" w:afterLines="20" w:after="48"/>
              <w:ind w:left="136"/>
              <w:jc w:val="left"/>
              <w:rPr>
                <w:b/>
                <w:noProof/>
                <w:sz w:val="16"/>
                <w:szCs w:val="16"/>
              </w:rPr>
            </w:pPr>
          </w:p>
        </w:tc>
        <w:tc>
          <w:tcPr>
            <w:tcW w:w="600" w:type="dxa"/>
            <w:shd w:val="clear" w:color="auto" w:fill="auto"/>
            <w:vAlign w:val="center"/>
          </w:tcPr>
          <w:p w:rsidR="00190E99" w:rsidRDefault="00190E99">
            <w:pPr>
              <w:pStyle w:val="Text1"/>
              <w:spacing w:beforeLines="20" w:before="48" w:afterLines="20" w:after="48"/>
              <w:ind w:left="0"/>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r>
      <w:tr w:rsidR="00190E99">
        <w:trPr>
          <w:gridBefore w:val="1"/>
          <w:wBefore w:w="13" w:type="dxa"/>
          <w:trHeight w:val="289"/>
          <w:jc w:val="center"/>
        </w:trPr>
        <w:tc>
          <w:tcPr>
            <w:tcW w:w="1952" w:type="dxa"/>
            <w:vMerge/>
            <w:shd w:val="clear" w:color="auto" w:fill="auto"/>
            <w:vAlign w:val="center"/>
          </w:tcPr>
          <w:p w:rsidR="00190E99" w:rsidRDefault="00190E99">
            <w:pPr>
              <w:pStyle w:val="Text1"/>
              <w:spacing w:beforeLines="20" w:before="48" w:afterLines="20" w:after="48"/>
              <w:ind w:left="136"/>
              <w:jc w:val="left"/>
              <w:rPr>
                <w:b/>
                <w:noProof/>
                <w:sz w:val="16"/>
                <w:szCs w:val="16"/>
              </w:rPr>
            </w:pPr>
          </w:p>
        </w:tc>
        <w:tc>
          <w:tcPr>
            <w:tcW w:w="1954" w:type="dxa"/>
            <w:shd w:val="clear" w:color="auto" w:fill="auto"/>
            <w:vAlign w:val="center"/>
          </w:tcPr>
          <w:p w:rsidR="00190E99" w:rsidRDefault="00CD4FBA">
            <w:pPr>
              <w:pStyle w:val="Text1"/>
              <w:spacing w:beforeLines="20" w:before="48" w:afterLines="20" w:after="48"/>
              <w:ind w:left="136"/>
              <w:jc w:val="left"/>
              <w:rPr>
                <w:b/>
                <w:noProof/>
                <w:sz w:val="16"/>
                <w:szCs w:val="16"/>
              </w:rPr>
            </w:pPr>
            <w:r>
              <w:rPr>
                <w:noProof/>
                <w:sz w:val="16"/>
              </w:rPr>
              <w:t xml:space="preserve">- in Delegations </w:t>
            </w:r>
          </w:p>
        </w:tc>
        <w:tc>
          <w:tcPr>
            <w:tcW w:w="600" w:type="dxa"/>
            <w:shd w:val="clear" w:color="auto" w:fill="auto"/>
            <w:vAlign w:val="center"/>
          </w:tcPr>
          <w:p w:rsidR="00190E99" w:rsidRDefault="00190E99">
            <w:pPr>
              <w:pStyle w:val="Text1"/>
              <w:spacing w:beforeLines="20" w:before="48" w:afterLines="20" w:after="48"/>
              <w:ind w:left="0"/>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r>
      <w:tr w:rsidR="00190E99">
        <w:trPr>
          <w:gridBefore w:val="1"/>
          <w:wBefore w:w="13" w:type="dxa"/>
          <w:trHeight w:val="289"/>
          <w:jc w:val="center"/>
        </w:trPr>
        <w:tc>
          <w:tcPr>
            <w:tcW w:w="3906" w:type="dxa"/>
            <w:gridSpan w:val="2"/>
            <w:shd w:val="clear" w:color="auto" w:fill="auto"/>
            <w:vAlign w:val="center"/>
          </w:tcPr>
          <w:p w:rsidR="00190E99" w:rsidRDefault="00CD4FBA">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02/12/22 (AC, END, INT - Indirect research)</w:t>
            </w: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r>
      <w:tr w:rsidR="00190E99">
        <w:trPr>
          <w:gridBefore w:val="1"/>
          <w:wBefore w:w="13" w:type="dxa"/>
          <w:trHeight w:val="289"/>
          <w:jc w:val="center"/>
        </w:trPr>
        <w:tc>
          <w:tcPr>
            <w:tcW w:w="3906" w:type="dxa"/>
            <w:gridSpan w:val="2"/>
            <w:shd w:val="clear" w:color="auto" w:fill="auto"/>
            <w:vAlign w:val="center"/>
          </w:tcPr>
          <w:p w:rsidR="00190E99" w:rsidRDefault="00CD4FBA">
            <w:pPr>
              <w:pStyle w:val="Text1"/>
              <w:spacing w:beforeLines="20" w:before="48" w:afterLines="20" w:after="48"/>
              <w:ind w:left="136"/>
              <w:jc w:val="left"/>
              <w:rPr>
                <w:noProof/>
                <w:sz w:val="16"/>
                <w:szCs w:val="16"/>
              </w:rPr>
            </w:pPr>
            <w:r>
              <w:rPr>
                <w:noProof/>
                <w:sz w:val="16"/>
              </w:rPr>
              <w:t>10 01 05 02/12 (AC, END, INT - Direct research)</w:t>
            </w: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c>
          <w:tcPr>
            <w:tcW w:w="600" w:type="dxa"/>
            <w:shd w:val="clear" w:color="auto" w:fill="auto"/>
            <w:vAlign w:val="center"/>
          </w:tcPr>
          <w:p w:rsidR="00190E99" w:rsidRDefault="00190E99">
            <w:pPr>
              <w:spacing w:beforeLines="20" w:before="48" w:afterLines="20" w:after="48"/>
              <w:jc w:val="center"/>
              <w:rPr>
                <w:noProof/>
                <w:sz w:val="16"/>
                <w:szCs w:val="16"/>
              </w:rPr>
            </w:pPr>
          </w:p>
        </w:tc>
      </w:tr>
      <w:tr w:rsidR="00190E99">
        <w:trPr>
          <w:gridBefore w:val="1"/>
          <w:wBefore w:w="13" w:type="dxa"/>
          <w:trHeight w:val="289"/>
          <w:jc w:val="center"/>
        </w:trPr>
        <w:tc>
          <w:tcPr>
            <w:tcW w:w="3906" w:type="dxa"/>
            <w:gridSpan w:val="2"/>
            <w:tcBorders>
              <w:bottom w:val="double" w:sz="4" w:space="0" w:color="auto"/>
            </w:tcBorders>
            <w:shd w:val="clear" w:color="auto" w:fill="auto"/>
            <w:vAlign w:val="center"/>
          </w:tcPr>
          <w:p w:rsidR="00190E99" w:rsidRDefault="00CD4FBA">
            <w:pPr>
              <w:pStyle w:val="Text1"/>
              <w:spacing w:beforeLines="20" w:before="48" w:afterLines="20" w:after="48"/>
              <w:ind w:left="134"/>
              <w:jc w:val="left"/>
              <w:rPr>
                <w:noProof/>
                <w:sz w:val="16"/>
                <w:szCs w:val="16"/>
              </w:rPr>
            </w:pPr>
            <w:r>
              <w:rPr>
                <w:noProof/>
                <w:sz w:val="16"/>
              </w:rPr>
              <w:t xml:space="preserve">Other budget </w:t>
            </w:r>
            <w:r>
              <w:rPr>
                <w:noProof/>
                <w:sz w:val="16"/>
              </w:rPr>
              <w:t>lines (specify)</w:t>
            </w:r>
          </w:p>
        </w:tc>
        <w:tc>
          <w:tcPr>
            <w:tcW w:w="600" w:type="dxa"/>
            <w:tcBorders>
              <w:bottom w:val="double" w:sz="4" w:space="0" w:color="auto"/>
            </w:tcBorders>
            <w:shd w:val="clear" w:color="auto" w:fill="auto"/>
            <w:vAlign w:val="center"/>
          </w:tcPr>
          <w:p w:rsidR="00190E99" w:rsidRDefault="00190E99">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rsidR="00190E99" w:rsidRDefault="00190E99">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rsidR="00190E99" w:rsidRDefault="00190E99">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rsidR="00190E99" w:rsidRDefault="00190E99">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rsidR="00190E99" w:rsidRDefault="00190E99">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rsidR="00190E99" w:rsidRDefault="00190E99">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rsidR="00190E99" w:rsidRDefault="00190E99">
            <w:pPr>
              <w:spacing w:beforeLines="20" w:before="48" w:afterLines="20" w:after="48"/>
              <w:jc w:val="center"/>
              <w:rPr>
                <w:noProof/>
                <w:sz w:val="16"/>
                <w:szCs w:val="16"/>
              </w:rPr>
            </w:pPr>
          </w:p>
        </w:tc>
      </w:tr>
      <w:tr w:rsidR="00190E99">
        <w:trPr>
          <w:gridBefore w:val="1"/>
          <w:wBefore w:w="13" w:type="dxa"/>
          <w:trHeight w:val="289"/>
          <w:jc w:val="center"/>
        </w:trPr>
        <w:tc>
          <w:tcPr>
            <w:tcW w:w="3906" w:type="dxa"/>
            <w:gridSpan w:val="2"/>
            <w:tcBorders>
              <w:top w:val="double" w:sz="4" w:space="0" w:color="auto"/>
            </w:tcBorders>
            <w:shd w:val="clear" w:color="auto" w:fill="auto"/>
            <w:vAlign w:val="center"/>
          </w:tcPr>
          <w:p w:rsidR="00190E99" w:rsidRDefault="00CD4FBA">
            <w:pPr>
              <w:pStyle w:val="Text1"/>
              <w:spacing w:beforeLines="20" w:before="48" w:afterLines="20" w:after="48"/>
              <w:ind w:left="136"/>
              <w:jc w:val="left"/>
              <w:rPr>
                <w:noProof/>
                <w:sz w:val="16"/>
                <w:szCs w:val="16"/>
              </w:rPr>
            </w:pPr>
            <w:r>
              <w:rPr>
                <w:b/>
                <w:noProof/>
                <w:sz w:val="16"/>
              </w:rPr>
              <w:t>TOTAL</w:t>
            </w:r>
          </w:p>
        </w:tc>
        <w:tc>
          <w:tcPr>
            <w:tcW w:w="600" w:type="dxa"/>
            <w:tcBorders>
              <w:top w:val="double" w:sz="4" w:space="0" w:color="auto"/>
            </w:tcBorders>
            <w:shd w:val="clear" w:color="auto" w:fill="auto"/>
            <w:vAlign w:val="center"/>
          </w:tcPr>
          <w:p w:rsidR="00190E99" w:rsidRDefault="00CD4FBA">
            <w:pPr>
              <w:spacing w:beforeLines="20" w:before="48" w:afterLines="20" w:after="48"/>
              <w:jc w:val="center"/>
              <w:rPr>
                <w:b/>
                <w:noProof/>
                <w:sz w:val="16"/>
                <w:szCs w:val="16"/>
              </w:rPr>
            </w:pPr>
            <w:r>
              <w:rPr>
                <w:b/>
                <w:noProof/>
                <w:sz w:val="16"/>
                <w:szCs w:val="16"/>
              </w:rPr>
              <w:t>2</w:t>
            </w:r>
          </w:p>
        </w:tc>
        <w:tc>
          <w:tcPr>
            <w:tcW w:w="600" w:type="dxa"/>
            <w:tcBorders>
              <w:top w:val="double" w:sz="4" w:space="0" w:color="auto"/>
            </w:tcBorders>
            <w:shd w:val="clear" w:color="auto" w:fill="auto"/>
            <w:vAlign w:val="center"/>
          </w:tcPr>
          <w:p w:rsidR="00190E99" w:rsidRDefault="00CD4FBA">
            <w:pPr>
              <w:spacing w:beforeLines="20" w:before="48" w:afterLines="20" w:after="48"/>
              <w:jc w:val="center"/>
              <w:rPr>
                <w:b/>
                <w:noProof/>
                <w:sz w:val="16"/>
                <w:szCs w:val="16"/>
              </w:rPr>
            </w:pPr>
            <w:r>
              <w:rPr>
                <w:b/>
                <w:noProof/>
                <w:sz w:val="16"/>
                <w:szCs w:val="16"/>
              </w:rPr>
              <w:t>2</w:t>
            </w:r>
          </w:p>
        </w:tc>
        <w:tc>
          <w:tcPr>
            <w:tcW w:w="600" w:type="dxa"/>
            <w:tcBorders>
              <w:top w:val="double" w:sz="4" w:space="0" w:color="auto"/>
            </w:tcBorders>
            <w:shd w:val="clear" w:color="auto" w:fill="auto"/>
            <w:vAlign w:val="center"/>
          </w:tcPr>
          <w:p w:rsidR="00190E99" w:rsidRDefault="00CD4FBA">
            <w:pPr>
              <w:spacing w:beforeLines="20" w:before="48" w:afterLines="20" w:after="48"/>
              <w:jc w:val="center"/>
              <w:rPr>
                <w:b/>
                <w:noProof/>
                <w:sz w:val="16"/>
                <w:szCs w:val="16"/>
              </w:rPr>
            </w:pPr>
            <w:r>
              <w:rPr>
                <w:b/>
                <w:noProof/>
                <w:sz w:val="16"/>
                <w:szCs w:val="16"/>
              </w:rPr>
              <w:t>2</w:t>
            </w:r>
          </w:p>
        </w:tc>
        <w:tc>
          <w:tcPr>
            <w:tcW w:w="600" w:type="dxa"/>
            <w:tcBorders>
              <w:top w:val="double" w:sz="4" w:space="0" w:color="auto"/>
            </w:tcBorders>
            <w:shd w:val="clear" w:color="auto" w:fill="auto"/>
            <w:vAlign w:val="center"/>
          </w:tcPr>
          <w:p w:rsidR="00190E99" w:rsidRDefault="00CD4FBA">
            <w:pPr>
              <w:spacing w:beforeLines="20" w:before="48" w:afterLines="20" w:after="48"/>
              <w:jc w:val="center"/>
              <w:rPr>
                <w:b/>
                <w:noProof/>
                <w:sz w:val="16"/>
                <w:szCs w:val="16"/>
              </w:rPr>
            </w:pPr>
            <w:r>
              <w:rPr>
                <w:b/>
                <w:noProof/>
                <w:sz w:val="16"/>
                <w:szCs w:val="16"/>
              </w:rPr>
              <w:t>2</w:t>
            </w:r>
          </w:p>
        </w:tc>
        <w:tc>
          <w:tcPr>
            <w:tcW w:w="600" w:type="dxa"/>
            <w:tcBorders>
              <w:top w:val="double" w:sz="4" w:space="0" w:color="auto"/>
            </w:tcBorders>
            <w:shd w:val="clear" w:color="auto" w:fill="auto"/>
            <w:vAlign w:val="center"/>
          </w:tcPr>
          <w:p w:rsidR="00190E99" w:rsidRDefault="00190E99">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rsidR="00190E99" w:rsidRDefault="00190E99">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rsidR="00190E99" w:rsidRDefault="00190E99">
            <w:pPr>
              <w:spacing w:beforeLines="20" w:before="48" w:afterLines="20" w:after="48"/>
              <w:jc w:val="center"/>
              <w:rPr>
                <w:b/>
                <w:noProof/>
                <w:sz w:val="16"/>
                <w:szCs w:val="16"/>
              </w:rPr>
            </w:pPr>
          </w:p>
        </w:tc>
      </w:tr>
    </w:tbl>
    <w:p w:rsidR="00190E99" w:rsidRDefault="00CD4FBA">
      <w:pPr>
        <w:pStyle w:val="Text1"/>
        <w:spacing w:before="60" w:after="60"/>
        <w:ind w:left="851"/>
        <w:rPr>
          <w:noProof/>
          <w:sz w:val="18"/>
          <w:szCs w:val="18"/>
        </w:rPr>
      </w:pPr>
      <w:r>
        <w:rPr>
          <w:b/>
          <w:noProof/>
          <w:sz w:val="18"/>
          <w:szCs w:val="18"/>
        </w:rPr>
        <w:t>XX</w:t>
      </w:r>
      <w:r>
        <w:rPr>
          <w:noProof/>
          <w:sz w:val="18"/>
          <w:szCs w:val="18"/>
        </w:rPr>
        <w:t xml:space="preserve"> is the policy area or budget title concerned.</w:t>
      </w:r>
    </w:p>
    <w:p w:rsidR="00190E99" w:rsidRDefault="00CD4FBA">
      <w:pPr>
        <w:pStyle w:val="Text1"/>
        <w:rPr>
          <w:noProof/>
          <w:sz w:val="18"/>
          <w:szCs w:val="18"/>
        </w:rPr>
      </w:pPr>
      <w:r>
        <w:rPr>
          <w:noProof/>
          <w:sz w:val="18"/>
        </w:rPr>
        <w:t xml:space="preserve">The human resources required will be met by staff from the DG who are already assigned to management of the action and/or have been redeployed within the DG, </w:t>
      </w:r>
      <w:r>
        <w:rPr>
          <w:noProof/>
          <w:sz w:val="18"/>
        </w:rPr>
        <w:t>together if necessary with any additional allocation which may be granted to the managing DG under the annual allocation procedure and in the light of budgetary constraints.</w:t>
      </w:r>
    </w:p>
    <w:p w:rsidR="00190E99" w:rsidRDefault="00CD4FBA">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190E99">
        <w:tc>
          <w:tcPr>
            <w:tcW w:w="3240" w:type="dxa"/>
          </w:tcPr>
          <w:p w:rsidR="00190E99" w:rsidRDefault="00CD4FBA">
            <w:pPr>
              <w:rPr>
                <w:noProof/>
                <w:sz w:val="20"/>
              </w:rPr>
            </w:pPr>
            <w:r>
              <w:rPr>
                <w:noProof/>
                <w:sz w:val="20"/>
              </w:rPr>
              <w:t>Officials and temporary staff</w:t>
            </w:r>
          </w:p>
        </w:tc>
        <w:tc>
          <w:tcPr>
            <w:tcW w:w="7200" w:type="dxa"/>
          </w:tcPr>
          <w:p w:rsidR="00190E99" w:rsidRDefault="00CD4FBA">
            <w:pPr>
              <w:rPr>
                <w:noProof/>
                <w:sz w:val="20"/>
              </w:rPr>
            </w:pPr>
            <w:r>
              <w:rPr>
                <w:noProof/>
                <w:sz w:val="20"/>
              </w:rPr>
              <w:t>Preparation,</w:t>
            </w:r>
            <w:r>
              <w:rPr>
                <w:noProof/>
                <w:sz w:val="20"/>
              </w:rPr>
              <w:t xml:space="preserve"> participation and follow up of the meetings of the Joint Committee. Preparation and adoption of an annual report on the functioning of the Agreement.</w:t>
            </w:r>
          </w:p>
        </w:tc>
      </w:tr>
      <w:tr w:rsidR="00190E99">
        <w:tc>
          <w:tcPr>
            <w:tcW w:w="3240" w:type="dxa"/>
          </w:tcPr>
          <w:p w:rsidR="00190E99" w:rsidRDefault="00CD4FBA">
            <w:pPr>
              <w:spacing w:before="60" w:after="60"/>
              <w:rPr>
                <w:noProof/>
                <w:sz w:val="20"/>
              </w:rPr>
            </w:pPr>
            <w:r>
              <w:rPr>
                <w:noProof/>
                <w:sz w:val="20"/>
              </w:rPr>
              <w:t>External staff</w:t>
            </w:r>
          </w:p>
        </w:tc>
        <w:tc>
          <w:tcPr>
            <w:tcW w:w="7200" w:type="dxa"/>
          </w:tcPr>
          <w:p w:rsidR="00190E99" w:rsidRDefault="00190E99">
            <w:pPr>
              <w:rPr>
                <w:noProof/>
                <w:sz w:val="20"/>
              </w:rPr>
            </w:pPr>
          </w:p>
        </w:tc>
      </w:tr>
    </w:tbl>
    <w:p w:rsidR="00190E99" w:rsidRDefault="00190E99">
      <w:pPr>
        <w:rPr>
          <w:noProof/>
        </w:rPr>
        <w:sectPr w:rsidR="00190E99">
          <w:pgSz w:w="11907" w:h="16840"/>
          <w:pgMar w:top="1134" w:right="1418" w:bottom="1134" w:left="1418" w:header="709" w:footer="709" w:gutter="0"/>
          <w:cols w:space="708"/>
          <w:docGrid w:linePitch="360"/>
        </w:sectPr>
      </w:pPr>
    </w:p>
    <w:p w:rsidR="00190E99" w:rsidRDefault="00CD4FBA">
      <w:pPr>
        <w:pStyle w:val="ManualHeading3"/>
        <w:rPr>
          <w:noProof/>
        </w:rPr>
      </w:pPr>
      <w:bookmarkStart w:id="61" w:name="_Toc514938056"/>
      <w:bookmarkStart w:id="62" w:name="_Toc520485055"/>
      <w:r>
        <w:t>3.2.4.</w:t>
      </w:r>
      <w:r>
        <w:tab/>
      </w:r>
      <w:r>
        <w:rPr>
          <w:noProof/>
        </w:rPr>
        <w:t xml:space="preserve">Compatibility with the current multiannual financial </w:t>
      </w:r>
      <w:r>
        <w:rPr>
          <w:noProof/>
        </w:rPr>
        <w:t>framework</w:t>
      </w:r>
      <w:bookmarkEnd w:id="61"/>
      <w:bookmarkEnd w:id="62"/>
      <w:r>
        <w:rPr>
          <w:noProof/>
        </w:rPr>
        <w:t xml:space="preserve"> </w:t>
      </w:r>
    </w:p>
    <w:p w:rsidR="00190E99" w:rsidRDefault="00CD4FBA">
      <w:pPr>
        <w:pStyle w:val="Text1"/>
        <w:rPr>
          <w:noProof/>
        </w:rPr>
      </w:pPr>
      <w:r>
        <w:rPr>
          <w:noProof/>
        </w:rPr>
        <w:t>The proposal/initiative:</w:t>
      </w:r>
    </w:p>
    <w:p w:rsidR="00190E99" w:rsidRDefault="00CD4FBA">
      <w:pPr>
        <w:pStyle w:val="ListDash1"/>
        <w:rPr>
          <w:noProof/>
        </w:rPr>
      </w:pPr>
      <w:r>
        <w:rPr>
          <w:noProof/>
        </w:rPr>
        <w:sym w:font="Wingdings" w:char="F0FE"/>
      </w:r>
      <w:r>
        <w:rPr>
          <w:noProof/>
        </w:rPr>
        <w:tab/>
        <w:t>can be fully financed through redeployment within the relevant heading of the Multiannual Financial Framework (MFF).</w:t>
      </w:r>
    </w:p>
    <w:p w:rsidR="00190E99" w:rsidRDefault="00CD4FBA">
      <w:pPr>
        <w:pStyle w:val="Text1"/>
        <w:pBdr>
          <w:top w:val="single" w:sz="4" w:space="1" w:color="auto"/>
          <w:left w:val="single" w:sz="4" w:space="4" w:color="auto"/>
          <w:bottom w:val="single" w:sz="4" w:space="1" w:color="auto"/>
          <w:right w:val="single" w:sz="4" w:space="4" w:color="auto"/>
        </w:pBdr>
        <w:rPr>
          <w:noProof/>
          <w:sz w:val="20"/>
        </w:rPr>
      </w:pPr>
      <w:r>
        <w:rPr>
          <w:noProof/>
          <w:sz w:val="20"/>
        </w:rPr>
        <w:t xml:space="preserve">The proposal only implies administrative expenditure which will be identified by redeployment during </w:t>
      </w:r>
      <w:r>
        <w:rPr>
          <w:noProof/>
          <w:sz w:val="20"/>
        </w:rPr>
        <w:t>the exercise of allocation of resources.</w:t>
      </w:r>
    </w:p>
    <w:p w:rsidR="00190E99" w:rsidRDefault="00CD4FBA">
      <w:pPr>
        <w:pStyle w:val="ListDash1"/>
        <w:rPr>
          <w:noProof/>
        </w:rPr>
      </w:pPr>
      <w:r>
        <w:rPr>
          <w:noProof/>
        </w:rPr>
        <w:sym w:font="Wingdings" w:char="F0A8"/>
      </w:r>
      <w:r>
        <w:rPr>
          <w:noProof/>
        </w:rPr>
        <w:tab/>
        <w:t>requires use of the unallocated margin under the relevant heading of the MFF and/or use of the special instruments as defined in the MFF Regulation.</w:t>
      </w:r>
    </w:p>
    <w:p w:rsidR="00190E99" w:rsidRDefault="00CD4FBA">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w:t>
      </w:r>
      <w:r>
        <w:rPr>
          <w:noProof/>
          <w:sz w:val="20"/>
        </w:rPr>
        <w:t>es concerned, the corresponding amounts, and the instruments proposed to be used.</w:t>
      </w:r>
    </w:p>
    <w:p w:rsidR="00190E99" w:rsidRDefault="00CD4FBA">
      <w:pPr>
        <w:pStyle w:val="ListDash1"/>
        <w:rPr>
          <w:noProof/>
        </w:rPr>
      </w:pPr>
      <w:r>
        <w:rPr>
          <w:noProof/>
        </w:rPr>
        <w:sym w:font="Wingdings" w:char="F0A8"/>
      </w:r>
      <w:r>
        <w:rPr>
          <w:noProof/>
        </w:rPr>
        <w:tab/>
        <w:t>requires a revision of the MFF.</w:t>
      </w:r>
    </w:p>
    <w:p w:rsidR="00190E99" w:rsidRDefault="00CD4FBA">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rsidR="00190E99" w:rsidRDefault="00CD4FBA">
      <w:pPr>
        <w:pStyle w:val="ManualHeading3"/>
        <w:rPr>
          <w:bCs/>
          <w:noProof/>
          <w:szCs w:val="24"/>
        </w:rPr>
      </w:pPr>
      <w:bookmarkStart w:id="63" w:name="_Toc514938058"/>
      <w:bookmarkStart w:id="64" w:name="_Toc520485056"/>
      <w:r>
        <w:t>3.2.5.</w:t>
      </w:r>
      <w:r>
        <w:tab/>
      </w:r>
      <w:r>
        <w:rPr>
          <w:noProof/>
        </w:rPr>
        <w:t>Third-party contributions</w:t>
      </w:r>
      <w:bookmarkEnd w:id="63"/>
      <w:bookmarkEnd w:id="64"/>
      <w:r>
        <w:rPr>
          <w:noProof/>
        </w:rPr>
        <w:t xml:space="preserve"> </w:t>
      </w:r>
    </w:p>
    <w:p w:rsidR="00190E99" w:rsidRDefault="00CD4FBA">
      <w:pPr>
        <w:pStyle w:val="Text1"/>
        <w:rPr>
          <w:noProof/>
        </w:rPr>
      </w:pPr>
      <w:r>
        <w:rPr>
          <w:noProof/>
        </w:rPr>
        <w:t>The proposal/initiative:</w:t>
      </w:r>
    </w:p>
    <w:p w:rsidR="00190E99" w:rsidRDefault="00CD4FBA">
      <w:pPr>
        <w:pStyle w:val="ListDash1"/>
        <w:rPr>
          <w:noProof/>
        </w:rPr>
      </w:pPr>
      <w:r>
        <w:rPr>
          <w:noProof/>
        </w:rPr>
        <w:sym w:font="Wingdings" w:char="F0FE"/>
      </w:r>
      <w:r>
        <w:rPr>
          <w:noProof/>
        </w:rPr>
        <w:tab/>
        <w:t>does not provide for co-financing by third parties</w:t>
      </w:r>
    </w:p>
    <w:p w:rsidR="00190E99" w:rsidRDefault="00CD4FBA">
      <w:pPr>
        <w:pStyle w:val="ListDash1"/>
        <w:rPr>
          <w:noProof/>
        </w:rPr>
      </w:pPr>
      <w:r>
        <w:rPr>
          <w:noProof/>
        </w:rPr>
        <w:sym w:font="Wingdings" w:char="F0A8"/>
      </w:r>
      <w:r>
        <w:rPr>
          <w:noProof/>
        </w:rPr>
        <w:tab/>
        <w:t>provides for the co-financing by third parties estimated below:</w:t>
      </w:r>
    </w:p>
    <w:p w:rsidR="00190E99" w:rsidRDefault="00CD4FBA">
      <w:pPr>
        <w:jc w:val="right"/>
        <w:rPr>
          <w:noProof/>
          <w:sz w:val="20"/>
        </w:rPr>
      </w:pPr>
      <w:r>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190E99">
        <w:trPr>
          <w:cantSplit/>
        </w:trPr>
        <w:tc>
          <w:tcPr>
            <w:tcW w:w="2340" w:type="dxa"/>
          </w:tcPr>
          <w:p w:rsidR="00190E99" w:rsidRDefault="00190E99">
            <w:pPr>
              <w:spacing w:before="60" w:after="60"/>
              <w:rPr>
                <w:noProof/>
                <w:sz w:val="20"/>
              </w:rPr>
            </w:pPr>
          </w:p>
        </w:tc>
        <w:tc>
          <w:tcPr>
            <w:tcW w:w="964" w:type="dxa"/>
            <w:vAlign w:val="center"/>
          </w:tcPr>
          <w:p w:rsidR="00190E99" w:rsidRDefault="00CD4FBA">
            <w:pPr>
              <w:jc w:val="center"/>
              <w:rPr>
                <w:noProof/>
                <w:sz w:val="20"/>
              </w:rPr>
            </w:pPr>
            <w:r>
              <w:rPr>
                <w:noProof/>
                <w:sz w:val="20"/>
              </w:rPr>
              <w:t>Year</w:t>
            </w:r>
            <w:r>
              <w:rPr>
                <w:noProof/>
                <w:sz w:val="22"/>
              </w:rPr>
              <w:br/>
            </w:r>
            <w:r>
              <w:rPr>
                <w:b/>
                <w:noProof/>
                <w:sz w:val="20"/>
              </w:rPr>
              <w:t>N</w:t>
            </w:r>
            <w:r>
              <w:rPr>
                <w:rStyle w:val="FootnoteReference"/>
                <w:b/>
                <w:noProof/>
                <w:sz w:val="20"/>
              </w:rPr>
              <w:footnoteReference w:id="18"/>
            </w:r>
          </w:p>
        </w:tc>
        <w:tc>
          <w:tcPr>
            <w:tcW w:w="964" w:type="dxa"/>
            <w:vAlign w:val="center"/>
          </w:tcPr>
          <w:p w:rsidR="00190E99" w:rsidRDefault="00CD4FBA">
            <w:pPr>
              <w:jc w:val="center"/>
              <w:rPr>
                <w:noProof/>
                <w:sz w:val="20"/>
              </w:rPr>
            </w:pPr>
            <w:r>
              <w:rPr>
                <w:noProof/>
                <w:sz w:val="20"/>
              </w:rPr>
              <w:t>Year</w:t>
            </w:r>
            <w:r>
              <w:rPr>
                <w:noProof/>
                <w:sz w:val="22"/>
              </w:rPr>
              <w:br/>
            </w:r>
            <w:r>
              <w:rPr>
                <w:b/>
                <w:noProof/>
                <w:sz w:val="20"/>
              </w:rPr>
              <w:t>N+1</w:t>
            </w:r>
          </w:p>
        </w:tc>
        <w:tc>
          <w:tcPr>
            <w:tcW w:w="964" w:type="dxa"/>
            <w:vAlign w:val="center"/>
          </w:tcPr>
          <w:p w:rsidR="00190E99" w:rsidRDefault="00CD4FBA">
            <w:pPr>
              <w:jc w:val="center"/>
              <w:rPr>
                <w:noProof/>
                <w:sz w:val="20"/>
              </w:rPr>
            </w:pPr>
            <w:r>
              <w:rPr>
                <w:noProof/>
                <w:sz w:val="20"/>
              </w:rPr>
              <w:t>Year</w:t>
            </w:r>
            <w:r>
              <w:rPr>
                <w:noProof/>
                <w:sz w:val="22"/>
              </w:rPr>
              <w:br/>
            </w:r>
            <w:r>
              <w:rPr>
                <w:b/>
                <w:noProof/>
                <w:sz w:val="20"/>
              </w:rPr>
              <w:t>N+2</w:t>
            </w:r>
          </w:p>
        </w:tc>
        <w:tc>
          <w:tcPr>
            <w:tcW w:w="964" w:type="dxa"/>
            <w:vAlign w:val="center"/>
          </w:tcPr>
          <w:p w:rsidR="00190E99" w:rsidRDefault="00CD4FBA">
            <w:pPr>
              <w:jc w:val="center"/>
              <w:rPr>
                <w:noProof/>
                <w:sz w:val="20"/>
              </w:rPr>
            </w:pPr>
            <w:r>
              <w:rPr>
                <w:noProof/>
                <w:sz w:val="20"/>
              </w:rPr>
              <w:t>Year</w:t>
            </w:r>
            <w:r>
              <w:rPr>
                <w:noProof/>
                <w:sz w:val="22"/>
              </w:rPr>
              <w:br/>
            </w:r>
            <w:r>
              <w:rPr>
                <w:b/>
                <w:noProof/>
                <w:sz w:val="20"/>
              </w:rPr>
              <w:t>N+3</w:t>
            </w:r>
          </w:p>
        </w:tc>
        <w:tc>
          <w:tcPr>
            <w:tcW w:w="2892" w:type="dxa"/>
            <w:gridSpan w:val="3"/>
            <w:vAlign w:val="center"/>
          </w:tcPr>
          <w:p w:rsidR="00190E99" w:rsidRDefault="00CD4FBA">
            <w:pPr>
              <w:jc w:val="center"/>
              <w:rPr>
                <w:b/>
                <w:noProof/>
                <w:sz w:val="20"/>
              </w:rPr>
            </w:pPr>
            <w:r>
              <w:rPr>
                <w:noProof/>
                <w:sz w:val="20"/>
              </w:rPr>
              <w:t xml:space="preserve">Enter as many </w:t>
            </w:r>
            <w:r>
              <w:rPr>
                <w:noProof/>
                <w:sz w:val="20"/>
              </w:rPr>
              <w:t>years as necessary to show the duration of the impact (see point 1.6)</w:t>
            </w:r>
          </w:p>
        </w:tc>
        <w:tc>
          <w:tcPr>
            <w:tcW w:w="1158" w:type="dxa"/>
            <w:vAlign w:val="center"/>
          </w:tcPr>
          <w:p w:rsidR="00190E99" w:rsidRDefault="00CD4FBA">
            <w:pPr>
              <w:spacing w:before="60" w:after="60"/>
              <w:jc w:val="center"/>
              <w:rPr>
                <w:noProof/>
                <w:sz w:val="20"/>
              </w:rPr>
            </w:pPr>
            <w:r>
              <w:rPr>
                <w:noProof/>
                <w:sz w:val="20"/>
              </w:rPr>
              <w:t>Total</w:t>
            </w:r>
          </w:p>
        </w:tc>
      </w:tr>
      <w:tr w:rsidR="00190E99">
        <w:trPr>
          <w:cantSplit/>
        </w:trPr>
        <w:tc>
          <w:tcPr>
            <w:tcW w:w="2340" w:type="dxa"/>
          </w:tcPr>
          <w:p w:rsidR="00190E99" w:rsidRDefault="00CD4FBA">
            <w:pPr>
              <w:rPr>
                <w:noProof/>
              </w:rPr>
            </w:pPr>
            <w:r>
              <w:rPr>
                <w:noProof/>
                <w:sz w:val="20"/>
              </w:rPr>
              <w:t>Specify the co-financing body</w:t>
            </w:r>
            <w:r>
              <w:rPr>
                <w:i/>
                <w:noProof/>
                <w:sz w:val="20"/>
              </w:rPr>
              <w:t xml:space="preserve"> </w:t>
            </w:r>
          </w:p>
        </w:tc>
        <w:tc>
          <w:tcPr>
            <w:tcW w:w="964" w:type="dxa"/>
            <w:vAlign w:val="center"/>
          </w:tcPr>
          <w:p w:rsidR="00190E99" w:rsidRDefault="00190E99">
            <w:pPr>
              <w:spacing w:before="60" w:after="60"/>
              <w:jc w:val="center"/>
              <w:rPr>
                <w:noProof/>
                <w:sz w:val="20"/>
              </w:rPr>
            </w:pPr>
          </w:p>
        </w:tc>
        <w:tc>
          <w:tcPr>
            <w:tcW w:w="964" w:type="dxa"/>
            <w:vAlign w:val="center"/>
          </w:tcPr>
          <w:p w:rsidR="00190E99" w:rsidRDefault="00190E99">
            <w:pPr>
              <w:spacing w:before="60" w:after="60"/>
              <w:jc w:val="center"/>
              <w:rPr>
                <w:noProof/>
                <w:sz w:val="20"/>
              </w:rPr>
            </w:pPr>
          </w:p>
        </w:tc>
        <w:tc>
          <w:tcPr>
            <w:tcW w:w="964" w:type="dxa"/>
            <w:vAlign w:val="center"/>
          </w:tcPr>
          <w:p w:rsidR="00190E99" w:rsidRDefault="00190E99">
            <w:pPr>
              <w:spacing w:before="60" w:after="60"/>
              <w:jc w:val="center"/>
              <w:rPr>
                <w:noProof/>
                <w:sz w:val="20"/>
              </w:rPr>
            </w:pPr>
          </w:p>
        </w:tc>
        <w:tc>
          <w:tcPr>
            <w:tcW w:w="964" w:type="dxa"/>
            <w:vAlign w:val="center"/>
          </w:tcPr>
          <w:p w:rsidR="00190E99" w:rsidRDefault="00190E99">
            <w:pPr>
              <w:spacing w:before="60" w:after="60"/>
              <w:jc w:val="center"/>
              <w:rPr>
                <w:noProof/>
                <w:sz w:val="20"/>
              </w:rPr>
            </w:pPr>
          </w:p>
        </w:tc>
        <w:tc>
          <w:tcPr>
            <w:tcW w:w="964" w:type="dxa"/>
            <w:vAlign w:val="center"/>
          </w:tcPr>
          <w:p w:rsidR="00190E99" w:rsidRDefault="00190E99">
            <w:pPr>
              <w:spacing w:before="60" w:after="60"/>
              <w:jc w:val="center"/>
              <w:rPr>
                <w:noProof/>
                <w:sz w:val="20"/>
              </w:rPr>
            </w:pPr>
          </w:p>
        </w:tc>
        <w:tc>
          <w:tcPr>
            <w:tcW w:w="964" w:type="dxa"/>
            <w:vAlign w:val="center"/>
          </w:tcPr>
          <w:p w:rsidR="00190E99" w:rsidRDefault="00190E99">
            <w:pPr>
              <w:spacing w:before="60" w:after="60"/>
              <w:jc w:val="center"/>
              <w:rPr>
                <w:noProof/>
                <w:sz w:val="20"/>
              </w:rPr>
            </w:pPr>
          </w:p>
        </w:tc>
        <w:tc>
          <w:tcPr>
            <w:tcW w:w="964" w:type="dxa"/>
            <w:vAlign w:val="center"/>
          </w:tcPr>
          <w:p w:rsidR="00190E99" w:rsidRDefault="00190E99">
            <w:pPr>
              <w:spacing w:before="60" w:after="60"/>
              <w:jc w:val="center"/>
              <w:rPr>
                <w:noProof/>
                <w:sz w:val="20"/>
              </w:rPr>
            </w:pPr>
          </w:p>
        </w:tc>
        <w:tc>
          <w:tcPr>
            <w:tcW w:w="1158" w:type="dxa"/>
            <w:vAlign w:val="center"/>
          </w:tcPr>
          <w:p w:rsidR="00190E99" w:rsidRDefault="00190E99">
            <w:pPr>
              <w:spacing w:before="60" w:after="60"/>
              <w:jc w:val="center"/>
              <w:rPr>
                <w:noProof/>
                <w:sz w:val="20"/>
              </w:rPr>
            </w:pPr>
          </w:p>
        </w:tc>
      </w:tr>
      <w:tr w:rsidR="00190E99">
        <w:trPr>
          <w:cantSplit/>
        </w:trPr>
        <w:tc>
          <w:tcPr>
            <w:tcW w:w="2340" w:type="dxa"/>
          </w:tcPr>
          <w:p w:rsidR="00190E99" w:rsidRDefault="00CD4FBA">
            <w:pPr>
              <w:spacing w:before="60" w:after="60"/>
              <w:jc w:val="left"/>
              <w:rPr>
                <w:noProof/>
                <w:sz w:val="20"/>
              </w:rPr>
            </w:pPr>
            <w:r>
              <w:rPr>
                <w:noProof/>
                <w:sz w:val="20"/>
              </w:rPr>
              <w:t xml:space="preserve">TOTAL appropriations co-financed </w:t>
            </w:r>
          </w:p>
        </w:tc>
        <w:tc>
          <w:tcPr>
            <w:tcW w:w="964" w:type="dxa"/>
            <w:vAlign w:val="center"/>
          </w:tcPr>
          <w:p w:rsidR="00190E99" w:rsidRDefault="00190E99">
            <w:pPr>
              <w:spacing w:before="60" w:after="60"/>
              <w:jc w:val="center"/>
              <w:rPr>
                <w:noProof/>
                <w:sz w:val="20"/>
              </w:rPr>
            </w:pPr>
          </w:p>
        </w:tc>
        <w:tc>
          <w:tcPr>
            <w:tcW w:w="964" w:type="dxa"/>
            <w:vAlign w:val="center"/>
          </w:tcPr>
          <w:p w:rsidR="00190E99" w:rsidRDefault="00190E99">
            <w:pPr>
              <w:spacing w:before="60" w:after="60"/>
              <w:jc w:val="center"/>
              <w:rPr>
                <w:noProof/>
                <w:sz w:val="20"/>
              </w:rPr>
            </w:pPr>
          </w:p>
        </w:tc>
        <w:tc>
          <w:tcPr>
            <w:tcW w:w="964" w:type="dxa"/>
            <w:vAlign w:val="center"/>
          </w:tcPr>
          <w:p w:rsidR="00190E99" w:rsidRDefault="00190E99">
            <w:pPr>
              <w:spacing w:before="60" w:after="60"/>
              <w:jc w:val="center"/>
              <w:rPr>
                <w:noProof/>
                <w:sz w:val="20"/>
              </w:rPr>
            </w:pPr>
          </w:p>
        </w:tc>
        <w:tc>
          <w:tcPr>
            <w:tcW w:w="964" w:type="dxa"/>
            <w:vAlign w:val="center"/>
          </w:tcPr>
          <w:p w:rsidR="00190E99" w:rsidRDefault="00190E99">
            <w:pPr>
              <w:spacing w:before="60" w:after="60"/>
              <w:jc w:val="center"/>
              <w:rPr>
                <w:noProof/>
                <w:sz w:val="20"/>
              </w:rPr>
            </w:pPr>
          </w:p>
        </w:tc>
        <w:tc>
          <w:tcPr>
            <w:tcW w:w="964" w:type="dxa"/>
            <w:vAlign w:val="center"/>
          </w:tcPr>
          <w:p w:rsidR="00190E99" w:rsidRDefault="00190E99">
            <w:pPr>
              <w:spacing w:before="60" w:after="60"/>
              <w:jc w:val="center"/>
              <w:rPr>
                <w:noProof/>
                <w:sz w:val="20"/>
              </w:rPr>
            </w:pPr>
          </w:p>
        </w:tc>
        <w:tc>
          <w:tcPr>
            <w:tcW w:w="964" w:type="dxa"/>
            <w:vAlign w:val="center"/>
          </w:tcPr>
          <w:p w:rsidR="00190E99" w:rsidRDefault="00190E99">
            <w:pPr>
              <w:spacing w:before="60" w:after="60"/>
              <w:jc w:val="center"/>
              <w:rPr>
                <w:noProof/>
                <w:sz w:val="20"/>
              </w:rPr>
            </w:pPr>
          </w:p>
        </w:tc>
        <w:tc>
          <w:tcPr>
            <w:tcW w:w="964" w:type="dxa"/>
            <w:vAlign w:val="center"/>
          </w:tcPr>
          <w:p w:rsidR="00190E99" w:rsidRDefault="00190E99">
            <w:pPr>
              <w:spacing w:before="60" w:after="60"/>
              <w:jc w:val="center"/>
              <w:rPr>
                <w:noProof/>
                <w:sz w:val="20"/>
              </w:rPr>
            </w:pPr>
          </w:p>
        </w:tc>
        <w:tc>
          <w:tcPr>
            <w:tcW w:w="1158" w:type="dxa"/>
            <w:vAlign w:val="center"/>
          </w:tcPr>
          <w:p w:rsidR="00190E99" w:rsidRDefault="00190E99">
            <w:pPr>
              <w:spacing w:before="60" w:after="60"/>
              <w:jc w:val="center"/>
              <w:rPr>
                <w:noProof/>
                <w:sz w:val="20"/>
              </w:rPr>
            </w:pPr>
          </w:p>
        </w:tc>
      </w:tr>
    </w:tbl>
    <w:p w:rsidR="00190E99" w:rsidRDefault="00CD4FBA">
      <w:pPr>
        <w:rPr>
          <w:noProof/>
        </w:rPr>
      </w:pPr>
      <w:r>
        <w:rPr>
          <w:noProof/>
        </w:rPr>
        <w:br/>
      </w:r>
    </w:p>
    <w:p w:rsidR="00190E99" w:rsidRDefault="00CD4FBA">
      <w:pPr>
        <w:pStyle w:val="ManualHeading2"/>
        <w:rPr>
          <w:bCs/>
          <w:noProof/>
          <w:szCs w:val="24"/>
        </w:rPr>
      </w:pPr>
      <w:r>
        <w:rPr>
          <w:noProof/>
        </w:rPr>
        <w:br w:type="page"/>
      </w:r>
      <w:bookmarkStart w:id="65" w:name="_Toc514938059"/>
      <w:bookmarkStart w:id="66" w:name="_Toc520485057"/>
      <w:r>
        <w:t>3.3.</w:t>
      </w:r>
      <w:r>
        <w:tab/>
      </w:r>
      <w:r>
        <w:rPr>
          <w:noProof/>
        </w:rPr>
        <w:t>Estimated impact on revenue</w:t>
      </w:r>
      <w:bookmarkEnd w:id="65"/>
      <w:bookmarkEnd w:id="66"/>
      <w:r>
        <w:rPr>
          <w:noProof/>
        </w:rPr>
        <w:t xml:space="preserve"> </w:t>
      </w:r>
    </w:p>
    <w:p w:rsidR="00190E99" w:rsidRDefault="00CD4FBA">
      <w:pPr>
        <w:pStyle w:val="ListDash1"/>
        <w:rPr>
          <w:noProof/>
        </w:rPr>
      </w:pPr>
      <w:r>
        <w:rPr>
          <w:noProof/>
        </w:rPr>
        <w:sym w:font="Wingdings" w:char="F0FE"/>
      </w:r>
      <w:r>
        <w:rPr>
          <w:noProof/>
        </w:rPr>
        <w:tab/>
        <w:t xml:space="preserve">The proposal/initiative has no financial impact on </w:t>
      </w:r>
      <w:r>
        <w:rPr>
          <w:noProof/>
        </w:rPr>
        <w:t>revenue.</w:t>
      </w:r>
    </w:p>
    <w:p w:rsidR="00190E99" w:rsidRDefault="00CD4FBA">
      <w:pPr>
        <w:pStyle w:val="ListDash1"/>
        <w:rPr>
          <w:noProof/>
        </w:rPr>
      </w:pPr>
      <w:r>
        <w:rPr>
          <w:noProof/>
        </w:rPr>
        <w:sym w:font="Wingdings" w:char="F0A8"/>
      </w:r>
      <w:r>
        <w:rPr>
          <w:noProof/>
        </w:rPr>
        <w:tab/>
        <w:t>The proposal/initiative has the following financial impact:</w:t>
      </w:r>
    </w:p>
    <w:p w:rsidR="00190E99" w:rsidRDefault="00CD4FBA">
      <w:pPr>
        <w:pStyle w:val="ListNumberLevel3"/>
        <w:tabs>
          <w:tab w:val="clear" w:pos="2126"/>
        </w:tabs>
        <w:rPr>
          <w:noProof/>
        </w:rPr>
      </w:pPr>
      <w:r>
        <w:rPr>
          <w:noProof/>
        </w:rPr>
        <w:sym w:font="Wingdings" w:char="F0A8"/>
      </w:r>
      <w:r>
        <w:rPr>
          <w:noProof/>
        </w:rPr>
        <w:tab/>
        <w:t xml:space="preserve">on own resources </w:t>
      </w:r>
    </w:p>
    <w:p w:rsidR="00190E99" w:rsidRDefault="00CD4FBA">
      <w:pPr>
        <w:pStyle w:val="ListNumberLevel3"/>
        <w:tabs>
          <w:tab w:val="clear" w:pos="2126"/>
        </w:tabs>
        <w:rPr>
          <w:noProof/>
        </w:rPr>
      </w:pPr>
      <w:r>
        <w:rPr>
          <w:noProof/>
        </w:rPr>
        <w:sym w:font="Wingdings" w:char="F0A8"/>
      </w:r>
      <w:r>
        <w:rPr>
          <w:noProof/>
        </w:rPr>
        <w:tab/>
        <w:t>on other revenue</w:t>
      </w:r>
    </w:p>
    <w:p w:rsidR="00190E99" w:rsidRDefault="00CD4FBA">
      <w:pPr>
        <w:pStyle w:val="ListNumberLevel3"/>
        <w:tabs>
          <w:tab w:val="clear" w:pos="2126"/>
        </w:tabs>
        <w:rPr>
          <w:noProof/>
        </w:rPr>
      </w:pPr>
      <w:r>
        <w:rPr>
          <w:noProof/>
        </w:rPr>
        <w:sym w:font="Wingdings" w:char="F0A8"/>
      </w:r>
      <w:r>
        <w:rPr>
          <w:noProof/>
        </w:rPr>
        <w:tab/>
        <w:t xml:space="preserve">please indicate, if the revenue is assigned to expenditure lines </w:t>
      </w:r>
    </w:p>
    <w:p w:rsidR="00190E99" w:rsidRDefault="00CD4FBA">
      <w:pPr>
        <w:ind w:left="4320"/>
        <w:rPr>
          <w:i/>
          <w:noProof/>
          <w:sz w:val="20"/>
        </w:rPr>
      </w:pPr>
      <w:r>
        <w:rPr>
          <w:noProof/>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190E99">
        <w:trPr>
          <w:trHeight w:val="388"/>
        </w:trPr>
        <w:tc>
          <w:tcPr>
            <w:tcW w:w="2144" w:type="dxa"/>
            <w:vMerge w:val="restart"/>
            <w:vAlign w:val="center"/>
          </w:tcPr>
          <w:p w:rsidR="00190E99" w:rsidRDefault="00CD4FBA">
            <w:pPr>
              <w:spacing w:before="40" w:after="40"/>
              <w:rPr>
                <w:noProof/>
                <w:sz w:val="18"/>
              </w:rPr>
            </w:pPr>
            <w:r>
              <w:rPr>
                <w:noProof/>
                <w:sz w:val="18"/>
              </w:rPr>
              <w:t>Budget revenue line:</w:t>
            </w:r>
          </w:p>
        </w:tc>
        <w:tc>
          <w:tcPr>
            <w:tcW w:w="1325" w:type="dxa"/>
            <w:vMerge w:val="restart"/>
            <w:vAlign w:val="center"/>
          </w:tcPr>
          <w:p w:rsidR="00190E99" w:rsidRDefault="00CD4FBA">
            <w:pPr>
              <w:jc w:val="center"/>
              <w:rPr>
                <w:noProof/>
                <w:sz w:val="18"/>
              </w:rPr>
            </w:pPr>
            <w:r>
              <w:rPr>
                <w:noProof/>
                <w:sz w:val="18"/>
              </w:rPr>
              <w:t>Appropriations</w:t>
            </w:r>
            <w:r>
              <w:rPr>
                <w:noProof/>
                <w:sz w:val="18"/>
              </w:rPr>
              <w:t xml:space="preserve"> available for the current financial year</w:t>
            </w:r>
          </w:p>
        </w:tc>
        <w:tc>
          <w:tcPr>
            <w:tcW w:w="7151" w:type="dxa"/>
            <w:gridSpan w:val="7"/>
            <w:vAlign w:val="center"/>
          </w:tcPr>
          <w:p w:rsidR="00190E99" w:rsidRDefault="00CD4FBA">
            <w:pPr>
              <w:jc w:val="center"/>
              <w:rPr>
                <w:noProof/>
                <w:sz w:val="18"/>
              </w:rPr>
            </w:pPr>
            <w:r>
              <w:rPr>
                <w:noProof/>
                <w:sz w:val="18"/>
              </w:rPr>
              <w:t>Impact of the proposal/initiative</w:t>
            </w:r>
            <w:r>
              <w:rPr>
                <w:rStyle w:val="FootnoteReference"/>
                <w:noProof/>
                <w:sz w:val="18"/>
              </w:rPr>
              <w:footnoteReference w:id="19"/>
            </w:r>
          </w:p>
        </w:tc>
      </w:tr>
      <w:tr w:rsidR="00190E99">
        <w:trPr>
          <w:trHeight w:val="388"/>
        </w:trPr>
        <w:tc>
          <w:tcPr>
            <w:tcW w:w="2144" w:type="dxa"/>
            <w:vMerge/>
          </w:tcPr>
          <w:p w:rsidR="00190E99" w:rsidRDefault="00190E99">
            <w:pPr>
              <w:spacing w:before="40" w:after="40"/>
              <w:rPr>
                <w:noProof/>
                <w:sz w:val="18"/>
              </w:rPr>
            </w:pPr>
          </w:p>
        </w:tc>
        <w:tc>
          <w:tcPr>
            <w:tcW w:w="1325" w:type="dxa"/>
            <w:vMerge/>
          </w:tcPr>
          <w:p w:rsidR="00190E99" w:rsidRDefault="00190E99">
            <w:pPr>
              <w:spacing w:beforeLines="40" w:before="96" w:afterLines="40" w:after="96"/>
              <w:rPr>
                <w:i/>
                <w:noProof/>
                <w:sz w:val="18"/>
              </w:rPr>
            </w:pPr>
          </w:p>
        </w:tc>
        <w:tc>
          <w:tcPr>
            <w:tcW w:w="1031" w:type="dxa"/>
            <w:vAlign w:val="center"/>
          </w:tcPr>
          <w:p w:rsidR="00190E99" w:rsidRDefault="00CD4FBA">
            <w:pPr>
              <w:jc w:val="center"/>
              <w:rPr>
                <w:noProof/>
                <w:sz w:val="18"/>
              </w:rPr>
            </w:pPr>
            <w:r>
              <w:rPr>
                <w:noProof/>
                <w:sz w:val="18"/>
              </w:rPr>
              <w:t>Year</w:t>
            </w:r>
            <w:r>
              <w:rPr>
                <w:noProof/>
                <w:sz w:val="22"/>
              </w:rPr>
              <w:br/>
            </w:r>
            <w:r>
              <w:rPr>
                <w:b/>
                <w:noProof/>
                <w:sz w:val="18"/>
              </w:rPr>
              <w:t>N</w:t>
            </w:r>
          </w:p>
        </w:tc>
        <w:tc>
          <w:tcPr>
            <w:tcW w:w="900" w:type="dxa"/>
            <w:vAlign w:val="center"/>
          </w:tcPr>
          <w:p w:rsidR="00190E99" w:rsidRDefault="00CD4FBA">
            <w:pPr>
              <w:jc w:val="center"/>
              <w:rPr>
                <w:noProof/>
                <w:sz w:val="18"/>
              </w:rPr>
            </w:pPr>
            <w:r>
              <w:rPr>
                <w:noProof/>
                <w:sz w:val="18"/>
              </w:rPr>
              <w:t>Year</w:t>
            </w:r>
            <w:r>
              <w:rPr>
                <w:noProof/>
                <w:sz w:val="22"/>
              </w:rPr>
              <w:br/>
            </w:r>
            <w:r>
              <w:rPr>
                <w:b/>
                <w:noProof/>
                <w:sz w:val="18"/>
              </w:rPr>
              <w:t>N+1</w:t>
            </w:r>
          </w:p>
        </w:tc>
        <w:tc>
          <w:tcPr>
            <w:tcW w:w="900" w:type="dxa"/>
            <w:vAlign w:val="center"/>
          </w:tcPr>
          <w:p w:rsidR="00190E99" w:rsidRDefault="00CD4FBA">
            <w:pPr>
              <w:jc w:val="center"/>
              <w:rPr>
                <w:noProof/>
                <w:sz w:val="18"/>
              </w:rPr>
            </w:pPr>
            <w:r>
              <w:rPr>
                <w:noProof/>
                <w:sz w:val="18"/>
              </w:rPr>
              <w:t>Year</w:t>
            </w:r>
            <w:r>
              <w:rPr>
                <w:noProof/>
                <w:sz w:val="22"/>
              </w:rPr>
              <w:br/>
            </w:r>
            <w:r>
              <w:rPr>
                <w:b/>
                <w:noProof/>
                <w:sz w:val="18"/>
              </w:rPr>
              <w:t>N+2</w:t>
            </w:r>
          </w:p>
        </w:tc>
        <w:tc>
          <w:tcPr>
            <w:tcW w:w="1080" w:type="dxa"/>
            <w:vAlign w:val="center"/>
          </w:tcPr>
          <w:p w:rsidR="00190E99" w:rsidRDefault="00CD4FBA">
            <w:pPr>
              <w:jc w:val="center"/>
              <w:rPr>
                <w:noProof/>
                <w:sz w:val="18"/>
              </w:rPr>
            </w:pPr>
            <w:r>
              <w:rPr>
                <w:noProof/>
                <w:sz w:val="18"/>
              </w:rPr>
              <w:t>Year</w:t>
            </w:r>
            <w:r>
              <w:rPr>
                <w:noProof/>
                <w:sz w:val="22"/>
              </w:rPr>
              <w:br/>
            </w:r>
            <w:r>
              <w:rPr>
                <w:b/>
                <w:noProof/>
                <w:sz w:val="18"/>
              </w:rPr>
              <w:t>N+3</w:t>
            </w:r>
          </w:p>
        </w:tc>
        <w:tc>
          <w:tcPr>
            <w:tcW w:w="3240" w:type="dxa"/>
            <w:gridSpan w:val="3"/>
            <w:vAlign w:val="center"/>
          </w:tcPr>
          <w:p w:rsidR="00190E99" w:rsidRDefault="00CD4FBA">
            <w:pPr>
              <w:jc w:val="center"/>
              <w:rPr>
                <w:b/>
                <w:noProof/>
                <w:sz w:val="18"/>
              </w:rPr>
            </w:pPr>
            <w:r>
              <w:rPr>
                <w:noProof/>
                <w:sz w:val="18"/>
              </w:rPr>
              <w:t>Enter as many years as necessary to show the duration of the impact (see point 1.6)</w:t>
            </w:r>
          </w:p>
        </w:tc>
      </w:tr>
      <w:tr w:rsidR="00190E99">
        <w:trPr>
          <w:trHeight w:val="388"/>
        </w:trPr>
        <w:tc>
          <w:tcPr>
            <w:tcW w:w="2144" w:type="dxa"/>
            <w:vAlign w:val="center"/>
          </w:tcPr>
          <w:p w:rsidR="00190E99" w:rsidRDefault="00CD4FBA">
            <w:pPr>
              <w:spacing w:before="40" w:after="40"/>
              <w:rPr>
                <w:noProof/>
                <w:sz w:val="18"/>
              </w:rPr>
            </w:pPr>
            <w:r>
              <w:rPr>
                <w:noProof/>
                <w:sz w:val="18"/>
              </w:rPr>
              <w:t>Article ………….</w:t>
            </w:r>
          </w:p>
        </w:tc>
        <w:tc>
          <w:tcPr>
            <w:tcW w:w="1325" w:type="dxa"/>
          </w:tcPr>
          <w:p w:rsidR="00190E99" w:rsidRDefault="00190E99">
            <w:pPr>
              <w:spacing w:beforeLines="40" w:before="96" w:afterLines="40" w:after="96"/>
              <w:jc w:val="center"/>
              <w:rPr>
                <w:i/>
                <w:noProof/>
                <w:sz w:val="18"/>
              </w:rPr>
            </w:pPr>
          </w:p>
        </w:tc>
        <w:tc>
          <w:tcPr>
            <w:tcW w:w="1031" w:type="dxa"/>
          </w:tcPr>
          <w:p w:rsidR="00190E99" w:rsidRDefault="00190E99">
            <w:pPr>
              <w:spacing w:beforeLines="40" w:before="96" w:afterLines="40" w:after="96"/>
              <w:jc w:val="center"/>
              <w:rPr>
                <w:noProof/>
                <w:sz w:val="18"/>
              </w:rPr>
            </w:pPr>
          </w:p>
        </w:tc>
        <w:tc>
          <w:tcPr>
            <w:tcW w:w="900" w:type="dxa"/>
          </w:tcPr>
          <w:p w:rsidR="00190E99" w:rsidRDefault="00190E99">
            <w:pPr>
              <w:spacing w:beforeLines="40" w:before="96" w:afterLines="40" w:after="96"/>
              <w:jc w:val="center"/>
              <w:rPr>
                <w:noProof/>
                <w:sz w:val="18"/>
              </w:rPr>
            </w:pPr>
          </w:p>
        </w:tc>
        <w:tc>
          <w:tcPr>
            <w:tcW w:w="900" w:type="dxa"/>
          </w:tcPr>
          <w:p w:rsidR="00190E99" w:rsidRDefault="00190E99">
            <w:pPr>
              <w:spacing w:beforeLines="40" w:before="96" w:afterLines="40" w:after="96"/>
              <w:jc w:val="center"/>
              <w:rPr>
                <w:noProof/>
                <w:sz w:val="18"/>
              </w:rPr>
            </w:pPr>
          </w:p>
        </w:tc>
        <w:tc>
          <w:tcPr>
            <w:tcW w:w="1080" w:type="dxa"/>
          </w:tcPr>
          <w:p w:rsidR="00190E99" w:rsidRDefault="00190E99">
            <w:pPr>
              <w:spacing w:beforeLines="40" w:before="96" w:afterLines="40" w:after="96"/>
              <w:jc w:val="center"/>
              <w:rPr>
                <w:noProof/>
                <w:sz w:val="18"/>
              </w:rPr>
            </w:pPr>
          </w:p>
        </w:tc>
        <w:tc>
          <w:tcPr>
            <w:tcW w:w="1080" w:type="dxa"/>
          </w:tcPr>
          <w:p w:rsidR="00190E99" w:rsidRDefault="00190E99">
            <w:pPr>
              <w:spacing w:beforeLines="40" w:before="96" w:afterLines="40" w:after="96"/>
              <w:jc w:val="center"/>
              <w:rPr>
                <w:noProof/>
                <w:sz w:val="18"/>
              </w:rPr>
            </w:pPr>
          </w:p>
        </w:tc>
        <w:tc>
          <w:tcPr>
            <w:tcW w:w="1080" w:type="dxa"/>
          </w:tcPr>
          <w:p w:rsidR="00190E99" w:rsidRDefault="00190E99">
            <w:pPr>
              <w:spacing w:beforeLines="40" w:before="96" w:afterLines="40" w:after="96"/>
              <w:jc w:val="center"/>
              <w:rPr>
                <w:noProof/>
                <w:sz w:val="18"/>
              </w:rPr>
            </w:pPr>
          </w:p>
        </w:tc>
        <w:tc>
          <w:tcPr>
            <w:tcW w:w="1080" w:type="dxa"/>
          </w:tcPr>
          <w:p w:rsidR="00190E99" w:rsidRDefault="00190E99">
            <w:pPr>
              <w:spacing w:beforeLines="40" w:before="96" w:afterLines="40" w:after="96"/>
              <w:jc w:val="center"/>
              <w:rPr>
                <w:noProof/>
                <w:sz w:val="18"/>
              </w:rPr>
            </w:pPr>
          </w:p>
        </w:tc>
      </w:tr>
    </w:tbl>
    <w:p w:rsidR="00190E99" w:rsidRDefault="00CD4FBA">
      <w:pPr>
        <w:pStyle w:val="Text1"/>
        <w:rPr>
          <w:noProof/>
          <w:sz w:val="20"/>
        </w:rPr>
      </w:pPr>
      <w:r>
        <w:rPr>
          <w:noProof/>
          <w:sz w:val="20"/>
        </w:rPr>
        <w:t xml:space="preserve">For assigned revenue, specify the </w:t>
      </w:r>
      <w:r>
        <w:rPr>
          <w:noProof/>
          <w:sz w:val="20"/>
        </w:rPr>
        <w:t>budget expenditure line(s) affected.</w:t>
      </w:r>
    </w:p>
    <w:p w:rsidR="00190E99" w:rsidRDefault="00190E99">
      <w:pPr>
        <w:pStyle w:val="Text1"/>
        <w:pBdr>
          <w:top w:val="single" w:sz="4" w:space="1" w:color="auto"/>
          <w:left w:val="single" w:sz="4" w:space="4" w:color="auto"/>
          <w:bottom w:val="single" w:sz="4" w:space="1" w:color="auto"/>
          <w:right w:val="single" w:sz="4" w:space="4" w:color="auto"/>
        </w:pBdr>
        <w:rPr>
          <w:noProof/>
        </w:rPr>
      </w:pPr>
    </w:p>
    <w:p w:rsidR="00190E99" w:rsidRDefault="00CD4FBA">
      <w:pPr>
        <w:pStyle w:val="Text1"/>
        <w:rPr>
          <w:noProof/>
          <w:sz w:val="20"/>
        </w:rPr>
      </w:pPr>
      <w:r>
        <w:rPr>
          <w:noProof/>
          <w:sz w:val="20"/>
        </w:rPr>
        <w:t>Other remarks (e.g. method/formula used for calculating the impact on revenue or any other information).</w:t>
      </w:r>
    </w:p>
    <w:p w:rsidR="00190E99" w:rsidRDefault="00190E99">
      <w:pPr>
        <w:pStyle w:val="Text1"/>
        <w:pBdr>
          <w:top w:val="single" w:sz="4" w:space="1" w:color="auto"/>
          <w:left w:val="single" w:sz="4" w:space="4" w:color="auto"/>
          <w:bottom w:val="single" w:sz="4" w:space="1" w:color="auto"/>
          <w:right w:val="single" w:sz="4" w:space="4" w:color="auto"/>
        </w:pBdr>
        <w:rPr>
          <w:noProof/>
        </w:rPr>
      </w:pPr>
    </w:p>
    <w:sectPr w:rsidR="00190E99">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E99" w:rsidRDefault="00CD4FBA">
      <w:pPr>
        <w:spacing w:before="0" w:after="0"/>
      </w:pPr>
      <w:r>
        <w:separator/>
      </w:r>
    </w:p>
  </w:endnote>
  <w:endnote w:type="continuationSeparator" w:id="0">
    <w:p w:rsidR="00190E99" w:rsidRDefault="00CD4F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99" w:rsidRDefault="00190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99" w:rsidRDefault="00CD4FBA">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99" w:rsidRDefault="00190E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99" w:rsidRDefault="00CD4FBA">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99" w:rsidRDefault="00190E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99" w:rsidRDefault="00CD4FBA">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tab/>
    </w:r>
    <w:r>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99" w:rsidRDefault="00190E99">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99" w:rsidRDefault="00CD4FBA">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23</w:t>
    </w:r>
    <w:r>
      <w:fldChar w:fldCharType="end"/>
    </w:r>
    <w:r>
      <w:tab/>
    </w:r>
    <w:r>
      <w:tab/>
    </w:r>
    <w:r>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99" w:rsidRDefault="00190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E99" w:rsidRDefault="00CD4FBA">
      <w:pPr>
        <w:spacing w:before="0" w:after="0"/>
      </w:pPr>
      <w:r>
        <w:separator/>
      </w:r>
    </w:p>
  </w:footnote>
  <w:footnote w:type="continuationSeparator" w:id="0">
    <w:p w:rsidR="00190E99" w:rsidRDefault="00CD4FBA">
      <w:pPr>
        <w:spacing w:before="0" w:after="0"/>
      </w:pPr>
      <w:r>
        <w:continuationSeparator/>
      </w:r>
    </w:p>
  </w:footnote>
  <w:footnote w:id="1">
    <w:p w:rsidR="00190E99" w:rsidRDefault="00CD4FBA">
      <w:pPr>
        <w:pStyle w:val="FootnoteText"/>
      </w:pPr>
      <w:r>
        <w:rPr>
          <w:rStyle w:val="FootnoteReference"/>
        </w:rPr>
        <w:footnoteRef/>
      </w:r>
      <w:r>
        <w:tab/>
      </w:r>
      <w:r>
        <w:rPr>
          <w:lang w:val="en-IE"/>
        </w:rPr>
        <w:t xml:space="preserve">This </w:t>
      </w:r>
      <w:r>
        <w:t>legally reviewed text of the Withdrawal Agreement was made public on DD.MM.YYYY and can be found on t</w:t>
      </w:r>
      <w:r>
        <w:t xml:space="preserve">he following link: </w:t>
      </w:r>
      <w:hyperlink r:id="rId1" w:history="1">
        <w:r>
          <w:rPr>
            <w:rStyle w:val="Hyperlink"/>
          </w:rPr>
          <w:t>https://ec.europa.eu/commission/publications/XXXX_en</w:t>
        </w:r>
      </w:hyperlink>
      <w:r>
        <w:rPr>
          <w:rStyle w:val="Hyperlink"/>
        </w:rPr>
        <w:t>.</w:t>
      </w:r>
    </w:p>
  </w:footnote>
  <w:footnote w:id="2">
    <w:p w:rsidR="00190E99" w:rsidRDefault="00CD4FBA">
      <w:pPr>
        <w:pStyle w:val="FootnoteText"/>
      </w:pPr>
      <w:r>
        <w:rPr>
          <w:rStyle w:val="FootnoteReference"/>
        </w:rPr>
        <w:footnoteRef/>
      </w:r>
      <w:r>
        <w:tab/>
      </w:r>
      <w:hyperlink r:id="rId2" w:history="1">
        <w:r>
          <w:rPr>
            <w:rStyle w:val="Hyperlink"/>
          </w:rPr>
          <w:t>https://www</w:t>
        </w:r>
        <w:r>
          <w:rPr>
            <w:rStyle w:val="Hyperlink"/>
          </w:rPr>
          <w:t>.consilium.europa.eu/media/37100/20181121-cover-political-declaration.pdf</w:t>
        </w:r>
      </w:hyperlink>
      <w:r>
        <w:t xml:space="preserve"> </w:t>
      </w:r>
    </w:p>
  </w:footnote>
  <w:footnote w:id="3">
    <w:p w:rsidR="00190E99" w:rsidRDefault="00CD4FBA">
      <w:pPr>
        <w:pStyle w:val="FootnoteText"/>
        <w:rPr>
          <w:szCs w:val="24"/>
        </w:rPr>
      </w:pPr>
      <w:r>
        <w:rPr>
          <w:rStyle w:val="FootnoteReference"/>
        </w:rPr>
        <w:footnoteRef/>
      </w:r>
      <w:r>
        <w:tab/>
        <w:t>As referred to in Article 58(2)(a) or (b) of the Financial Regulation.</w:t>
      </w:r>
    </w:p>
  </w:footnote>
  <w:footnote w:id="4">
    <w:p w:rsidR="00190E99" w:rsidRDefault="00CD4FBA">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3" w:history="1">
        <w:r>
          <w:rPr>
            <w:rStyle w:val="Hyperlink"/>
            <w:szCs w:val="24"/>
          </w:rPr>
          <w:t>https://myintracomm.ec.europa.eu/budgweb/EN/man/budgmanag/Pages/budgmanag.aspx</w:t>
        </w:r>
      </w:hyperlink>
      <w:r>
        <w:rPr>
          <w:szCs w:val="24"/>
        </w:rPr>
        <w:t xml:space="preserve"> </w:t>
      </w:r>
    </w:p>
  </w:footnote>
  <w:footnote w:id="5">
    <w:p w:rsidR="00190E99" w:rsidRDefault="00CD4FBA">
      <w:pPr>
        <w:pStyle w:val="FootnoteText"/>
        <w:rPr>
          <w:szCs w:val="24"/>
        </w:rPr>
      </w:pPr>
      <w:r>
        <w:rPr>
          <w:rStyle w:val="FootnoteReference"/>
        </w:rPr>
        <w:footnoteRef/>
      </w:r>
      <w:r>
        <w:tab/>
        <w:t>Diff. = Differentiated appropriations / Non-diff. = Non-differentiated appropria</w:t>
      </w:r>
      <w:r>
        <w:t>tions.</w:t>
      </w:r>
    </w:p>
  </w:footnote>
  <w:footnote w:id="6">
    <w:p w:rsidR="00190E99" w:rsidRDefault="00CD4FBA">
      <w:pPr>
        <w:pStyle w:val="FootnoteText"/>
        <w:rPr>
          <w:szCs w:val="24"/>
        </w:rPr>
      </w:pPr>
      <w:r>
        <w:rPr>
          <w:rStyle w:val="FootnoteReference"/>
        </w:rPr>
        <w:footnoteRef/>
      </w:r>
      <w:r>
        <w:tab/>
        <w:t xml:space="preserve">EFTA: European Free Trade Association. </w:t>
      </w:r>
    </w:p>
  </w:footnote>
  <w:footnote w:id="7">
    <w:p w:rsidR="00190E99" w:rsidRDefault="00CD4FBA">
      <w:pPr>
        <w:pStyle w:val="FootnoteText"/>
        <w:rPr>
          <w:szCs w:val="24"/>
        </w:rPr>
      </w:pPr>
      <w:r>
        <w:rPr>
          <w:rStyle w:val="FootnoteReference"/>
        </w:rPr>
        <w:footnoteRef/>
      </w:r>
      <w:r>
        <w:tab/>
        <w:t>Candidate countries and, where applicable, potential candidates from the Western Balkans.</w:t>
      </w:r>
    </w:p>
  </w:footnote>
  <w:footnote w:id="8">
    <w:p w:rsidR="00190E99" w:rsidRDefault="00CD4FBA">
      <w:pPr>
        <w:pStyle w:val="FootnoteText"/>
        <w:rPr>
          <w:sz w:val="18"/>
          <w:szCs w:val="18"/>
        </w:rPr>
      </w:pPr>
      <w:r>
        <w:rPr>
          <w:rStyle w:val="FootnoteReference"/>
        </w:rPr>
        <w:footnoteRef/>
      </w:r>
      <w:r>
        <w:tab/>
      </w:r>
      <w:r>
        <w:rPr>
          <w:sz w:val="18"/>
          <w:szCs w:val="18"/>
        </w:rPr>
        <w:t xml:space="preserve">Year N is the year in which implementation of the proposal/initiative starts. Please replace "N" by the expected </w:t>
      </w:r>
      <w:r>
        <w:rPr>
          <w:sz w:val="18"/>
          <w:szCs w:val="18"/>
        </w:rPr>
        <w:t>first year of implementation (for instance: 2021). The same for the following years.</w:t>
      </w:r>
    </w:p>
  </w:footnote>
  <w:footnote w:id="9">
    <w:p w:rsidR="00190E99" w:rsidRDefault="00CD4FBA">
      <w:pPr>
        <w:pStyle w:val="FootnoteText"/>
        <w:rPr>
          <w:sz w:val="18"/>
          <w:szCs w:val="18"/>
        </w:rPr>
      </w:pPr>
      <w:r>
        <w:rPr>
          <w:rStyle w:val="FootnoteReference"/>
        </w:rPr>
        <w:footnoteRef/>
      </w:r>
      <w:r>
        <w:rPr>
          <w:sz w:val="18"/>
          <w:szCs w:val="18"/>
        </w:rPr>
        <w:tab/>
        <w:t>According to the official budget nomenclature.</w:t>
      </w:r>
    </w:p>
  </w:footnote>
  <w:footnote w:id="10">
    <w:p w:rsidR="00190E99" w:rsidRDefault="00CD4FBA">
      <w:pPr>
        <w:pStyle w:val="FootnoteText"/>
        <w:rPr>
          <w:szCs w:val="24"/>
        </w:rPr>
      </w:pPr>
      <w:r>
        <w:rPr>
          <w:rStyle w:val="FootnoteReference"/>
        </w:rPr>
        <w:footnoteRef/>
      </w:r>
      <w:r>
        <w:rPr>
          <w:sz w:val="18"/>
          <w:szCs w:val="18"/>
        </w:rPr>
        <w:tab/>
        <w:t>Technical and/or administrative assistance and expenditure in support of the implementation of EU programmes and/or acti</w:t>
      </w:r>
      <w:r>
        <w:rPr>
          <w:sz w:val="18"/>
          <w:szCs w:val="18"/>
        </w:rPr>
        <w:t>ons (former ‘BA’ lines), indirect research, direct research.</w:t>
      </w:r>
    </w:p>
  </w:footnote>
  <w:footnote w:id="11">
    <w:p w:rsidR="00190E99" w:rsidRDefault="00CD4FBA">
      <w:pPr>
        <w:pStyle w:val="FootnoteText"/>
        <w:rPr>
          <w:szCs w:val="24"/>
        </w:rPr>
      </w:pPr>
      <w:r>
        <w:rPr>
          <w:rStyle w:val="FootnoteReference"/>
        </w:rPr>
        <w:footnoteRef/>
      </w:r>
      <w:r>
        <w:tab/>
      </w:r>
      <w:r>
        <w:rPr>
          <w:sz w:val="18"/>
          <w:szCs w:val="18"/>
        </w:rPr>
        <w:t>Year N is the year in which implementation of the proposal/initiative starts. Please replace "N" by the expected first year of implementation (for instance: 2021). The same for the following ye</w:t>
      </w:r>
      <w:r>
        <w:rPr>
          <w:sz w:val="18"/>
          <w:szCs w:val="18"/>
        </w:rPr>
        <w:t>ars.</w:t>
      </w:r>
    </w:p>
  </w:footnote>
  <w:footnote w:id="12">
    <w:p w:rsidR="00190E99" w:rsidRDefault="00CD4FBA">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13">
    <w:p w:rsidR="00190E99" w:rsidRDefault="00CD4FBA">
      <w:pPr>
        <w:pStyle w:val="FootnoteText"/>
        <w:rPr>
          <w:szCs w:val="24"/>
        </w:rPr>
      </w:pPr>
      <w:r>
        <w:rPr>
          <w:rStyle w:val="FootnoteReference"/>
        </w:rPr>
        <w:footnoteRef/>
      </w:r>
      <w:r>
        <w:tab/>
        <w:t xml:space="preserve">As described in point 1.4.2. ‘Specific objective(s)…’ </w:t>
      </w:r>
    </w:p>
  </w:footnote>
  <w:footnote w:id="14">
    <w:p w:rsidR="00190E99" w:rsidRDefault="00CD4FBA">
      <w:pPr>
        <w:pStyle w:val="FootnoteText"/>
        <w:rPr>
          <w:sz w:val="18"/>
          <w:szCs w:val="18"/>
        </w:rPr>
      </w:pPr>
      <w:r>
        <w:rPr>
          <w:rStyle w:val="FootnoteReference"/>
        </w:rPr>
        <w:footnoteRef/>
      </w:r>
      <w:r>
        <w:tab/>
      </w:r>
      <w:r>
        <w:rPr>
          <w:sz w:val="18"/>
          <w:szCs w:val="18"/>
        </w:rPr>
        <w:t>Year N is the year in which implementation of the proposal/i</w:t>
      </w:r>
      <w:r>
        <w:rPr>
          <w:sz w:val="18"/>
          <w:szCs w:val="18"/>
        </w:rPr>
        <w:t>nitiative starts. Please replace "N" by the expected first year of implementation (for instance: 2021). The same for the following years.</w:t>
      </w:r>
    </w:p>
  </w:footnote>
  <w:footnote w:id="15">
    <w:p w:rsidR="00190E99" w:rsidRDefault="00CD4FBA">
      <w:pPr>
        <w:pStyle w:val="FootnoteText"/>
        <w:rPr>
          <w:szCs w:val="24"/>
        </w:rPr>
      </w:pPr>
      <w:r>
        <w:rPr>
          <w:rStyle w:val="FootnoteReference"/>
        </w:rPr>
        <w:footnoteRef/>
      </w:r>
      <w:r>
        <w:rPr>
          <w:sz w:val="18"/>
          <w:szCs w:val="18"/>
        </w:rPr>
        <w:tab/>
        <w:t xml:space="preserve">Technical and/or administrative assistance and expenditure in support of the implementation of EU programmes and/or </w:t>
      </w:r>
      <w:r>
        <w:rPr>
          <w:sz w:val="18"/>
          <w:szCs w:val="18"/>
        </w:rPr>
        <w:t>actions (former ‘BA’ lines), indirect research, direct research.</w:t>
      </w:r>
    </w:p>
  </w:footnote>
  <w:footnote w:id="16">
    <w:p w:rsidR="00190E99" w:rsidRDefault="00CD4FBA">
      <w:pPr>
        <w:pStyle w:val="FootnoteText"/>
        <w:rPr>
          <w:szCs w:val="24"/>
        </w:rPr>
      </w:pPr>
      <w:r>
        <w:rPr>
          <w:rStyle w:val="FootnoteReference"/>
        </w:rPr>
        <w:footnoteRef/>
      </w:r>
      <w:r>
        <w:tab/>
        <w:t xml:space="preserve">AC= Contract Staff; AL = Local Staff; END= Seconded National Expert; INT = agency staff; JPD= Junior Professionals in Delegations. </w:t>
      </w:r>
    </w:p>
  </w:footnote>
  <w:footnote w:id="17">
    <w:p w:rsidR="00190E99" w:rsidRDefault="00CD4FBA">
      <w:pPr>
        <w:pStyle w:val="FootnoteText"/>
        <w:rPr>
          <w:szCs w:val="24"/>
        </w:rPr>
      </w:pPr>
      <w:r>
        <w:rPr>
          <w:rStyle w:val="FootnoteReference"/>
        </w:rPr>
        <w:footnoteRef/>
      </w:r>
      <w:r>
        <w:tab/>
        <w:t>Sub-ceiling for external staff covered by operational a</w:t>
      </w:r>
      <w:r>
        <w:t>ppropriations (former ‘BA’ lines).</w:t>
      </w:r>
    </w:p>
  </w:footnote>
  <w:footnote w:id="18">
    <w:p w:rsidR="00190E99" w:rsidRDefault="00CD4FBA">
      <w:pPr>
        <w:pStyle w:val="FootnoteText"/>
      </w:pPr>
      <w:r>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19">
    <w:p w:rsidR="00190E99" w:rsidRDefault="00CD4FBA">
      <w:pPr>
        <w:pStyle w:val="FootnoteText"/>
        <w:rPr>
          <w:szCs w:val="24"/>
        </w:rPr>
      </w:pPr>
      <w:r>
        <w:rPr>
          <w:rStyle w:val="FootnoteReference"/>
        </w:rPr>
        <w:footnoteRef/>
      </w:r>
      <w:r>
        <w:tab/>
        <w:t>As regards traditio</w:t>
      </w:r>
      <w:r>
        <w:t>nal own resources (customs duties, sugar levies), the amounts indicated must be net amounts, i.e. gross amounts after deduction of 20 %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99" w:rsidRDefault="00190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99" w:rsidRDefault="00190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99" w:rsidRDefault="00190E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99" w:rsidRDefault="00190E99">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99" w:rsidRDefault="00190E99">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99" w:rsidRDefault="00190E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99" w:rsidRDefault="00190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906024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E3C176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C52113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728FEB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C2DCC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5D2368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AA2EB5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EE20F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1"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num>
  <w:num w:numId="10">
    <w:abstractNumId w:val="8"/>
  </w:num>
  <w:num w:numId="11">
    <w:abstractNumId w:val="15"/>
  </w:num>
  <w:num w:numId="12">
    <w:abstractNumId w:val="21"/>
  </w:num>
  <w:num w:numId="13">
    <w:abstractNumId w:val="2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num>
  <w:num w:numId="17">
    <w:abstractNumId w:val="9"/>
  </w:num>
  <w:num w:numId="18">
    <w:abstractNumId w:val="16"/>
  </w:num>
  <w:num w:numId="19">
    <w:abstractNumId w:val="10"/>
  </w:num>
  <w:num w:numId="20">
    <w:abstractNumId w:val="25"/>
  </w:num>
  <w:num w:numId="21">
    <w:abstractNumId w:val="17"/>
  </w:num>
  <w:num w:numId="22">
    <w:abstractNumId w:val="27"/>
  </w:num>
  <w:num w:numId="23">
    <w:abstractNumId w:val="14"/>
  </w:num>
  <w:num w:numId="24">
    <w:abstractNumId w:val="18"/>
  </w:num>
  <w:num w:numId="25">
    <w:abstractNumId w:val="12"/>
  </w:num>
  <w:num w:numId="26">
    <w:abstractNumId w:val="26"/>
  </w:num>
  <w:num w:numId="27">
    <w:abstractNumId w:val="11"/>
  </w:num>
  <w:num w:numId="28">
    <w:abstractNumId w:val="19"/>
  </w:num>
  <w:num w:numId="29">
    <w:abstractNumId w:val="23"/>
  </w:num>
  <w:num w:numId="30">
    <w:abstractNumId w:val="24"/>
  </w:num>
  <w:num w:numId="31">
    <w:abstractNumId w:val="13"/>
  </w:num>
  <w:num w:numId="32">
    <w:abstractNumId w:val="22"/>
  </w:num>
  <w:num w:numId="33">
    <w:abstractNumId w:val="28"/>
  </w:num>
  <w:num w:numId="34">
    <w:abstractNumId w:val="25"/>
  </w:num>
  <w:num w:numId="35">
    <w:abstractNumId w:val="17"/>
  </w:num>
  <w:num w:numId="36">
    <w:abstractNumId w:val="27"/>
  </w:num>
  <w:num w:numId="37">
    <w:abstractNumId w:val="14"/>
  </w:num>
  <w:num w:numId="38">
    <w:abstractNumId w:val="18"/>
  </w:num>
  <w:num w:numId="39">
    <w:abstractNumId w:val="12"/>
  </w:num>
  <w:num w:numId="40">
    <w:abstractNumId w:val="26"/>
  </w:num>
  <w:num w:numId="41">
    <w:abstractNumId w:val="11"/>
  </w:num>
  <w:num w:numId="42">
    <w:abstractNumId w:val="19"/>
  </w:num>
  <w:num w:numId="43">
    <w:abstractNumId w:val="23"/>
  </w:num>
  <w:num w:numId="44">
    <w:abstractNumId w:val="24"/>
  </w:num>
  <w:num w:numId="45">
    <w:abstractNumId w:val="13"/>
  </w:num>
  <w:num w:numId="46">
    <w:abstractNumId w:val="22"/>
  </w:num>
  <w:num w:numId="47">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2-04 18:46:02"/>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2E6FCB7B-F860-4743-8504-C13BCE90E7D6"/>
    <w:docVar w:name="LW_COVERPAGE_TYPE" w:val="1"/>
    <w:docVar w:name="LW_CROSSREFERENCE" w:val="&lt;UNUSED&gt;"/>
    <w:docVar w:name="LW_DocType" w:val="COM"/>
    <w:docVar w:name="LW_EMISSION" w:val="5.12.2018"/>
    <w:docVar w:name="LW_EMISSION_ISODATE" w:val="2018-12-05"/>
    <w:docVar w:name="LW_EMISSION_LOCATION" w:val="BRX"/>
    <w:docVar w:name="LW_EMISSION_PREFIX" w:val="Brussels, "/>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426"/>
    <w:docVar w:name="LW_REF.II.NEW.CP_YEAR" w:val="2018"/>
    <w:docVar w:name="LW_REF.INST.NEW" w:val="COM"/>
    <w:docVar w:name="LW_REF.INST.NEW_ADOPTED" w:val="final"/>
    <w:docVar w:name="LW_REF.INST.NEW_TEXT" w:val="(2018) 8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n the signing, on behalf of the European Union and of the European Atomic Energy Community, of the Agreement on the withdrawal of the United Kingdom of Great Britain and Northern Ireland from the European Union and the European Atomic Energy Community"/>
    <w:docVar w:name="LW_TYPE.DOC.CP" w:val="COUNCIL DECISION"/>
  </w:docVars>
  <w:rsids>
    <w:rsidRoot w:val="00190E99"/>
    <w:rsid w:val="00190E99"/>
    <w:rsid w:val="00CD4F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7E9CD60-19B4-4D94-8D7F-F07A2AC2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
    <w:basedOn w:val="Normal"/>
    <w:link w:val="ListParagraphChar"/>
    <w:uiPriority w:val="34"/>
    <w:qFormat/>
    <w:pPr>
      <w:spacing w:before="0" w:after="200" w:line="276" w:lineRule="auto"/>
      <w:ind w:left="720"/>
      <w:contextualSpacing/>
      <w:jc w:val="left"/>
    </w:pPr>
    <w:rPr>
      <w:rFonts w:asciiTheme="minorHAnsi" w:hAnsiTheme="minorHAnsi" w:cstheme="minorBidi"/>
      <w:sz w:val="22"/>
      <w:lang w:val="es-ES"/>
    </w:rPr>
  </w:style>
  <w:style w:type="paragraph" w:customStyle="1" w:styleId="ListBullet1">
    <w:name w:val="List Bullet 1"/>
    <w:basedOn w:val="Normal"/>
    <w:pPr>
      <w:numPr>
        <w:numId w:val="10"/>
      </w:numPr>
    </w:pPr>
    <w:rPr>
      <w:rFonts w:eastAsia="Times New Roman"/>
      <w:lang w:eastAsia="en-GB"/>
    </w:rPr>
  </w:style>
  <w:style w:type="paragraph" w:customStyle="1" w:styleId="ListDash">
    <w:name w:val="List Dash"/>
    <w:basedOn w:val="Normal"/>
    <w:pPr>
      <w:numPr>
        <w:numId w:val="11"/>
      </w:numPr>
    </w:pPr>
    <w:rPr>
      <w:rFonts w:eastAsia="Times New Roman"/>
      <w:lang w:eastAsia="en-GB"/>
    </w:rPr>
  </w:style>
  <w:style w:type="paragraph" w:customStyle="1" w:styleId="ListDash1">
    <w:name w:val="List Dash 1"/>
    <w:basedOn w:val="Normal"/>
    <w:pPr>
      <w:numPr>
        <w:numId w:val="12"/>
      </w:numPr>
    </w:pPr>
    <w:rPr>
      <w:rFonts w:eastAsia="Times New Roman"/>
      <w:lang w:eastAsia="en-GB"/>
    </w:rPr>
  </w:style>
  <w:style w:type="paragraph" w:customStyle="1" w:styleId="ListDash2">
    <w:name w:val="List Dash 2"/>
    <w:basedOn w:val="Normal"/>
    <w:pPr>
      <w:numPr>
        <w:numId w:val="13"/>
      </w:numPr>
    </w:pPr>
    <w:rPr>
      <w:rFonts w:eastAsia="Times New Roman"/>
      <w:lang w:eastAsia="en-GB"/>
    </w:rPr>
  </w:style>
  <w:style w:type="paragraph" w:customStyle="1" w:styleId="ListNumberLevel2">
    <w:name w:val="List Number (Level 2)"/>
    <w:basedOn w:val="Normal"/>
    <w:pPr>
      <w:tabs>
        <w:tab w:val="num" w:pos="1417"/>
      </w:tabs>
      <w:ind w:left="1417" w:hanging="708"/>
    </w:pPr>
    <w:rPr>
      <w:rFonts w:eastAsia="Times New Roman"/>
      <w:lang w:eastAsia="en-GB"/>
    </w:rPr>
  </w:style>
  <w:style w:type="paragraph" w:customStyle="1" w:styleId="ListNumberLevel3">
    <w:name w:val="List Number (Level 3)"/>
    <w:basedOn w:val="Normal"/>
    <w:pPr>
      <w:tabs>
        <w:tab w:val="num" w:pos="2126"/>
      </w:tabs>
      <w:ind w:left="2126" w:hanging="709"/>
    </w:pPr>
    <w:rPr>
      <w:rFonts w:eastAsia="Times New Roman"/>
      <w:lang w:eastAsia="en-GB"/>
    </w:rPr>
  </w:style>
  <w:style w:type="paragraph" w:customStyle="1" w:styleId="ListNumberLevel4">
    <w:name w:val="List Number (Level 4)"/>
    <w:basedOn w:val="Normal"/>
    <w:pPr>
      <w:tabs>
        <w:tab w:val="num" w:pos="2835"/>
      </w:tabs>
      <w:ind w:left="2835" w:hanging="709"/>
    </w:pPr>
    <w:rPr>
      <w:rFonts w:eastAsia="Times New Roman"/>
      <w:lang w:eastAsia="en-GB"/>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locked/>
    <w:rPr>
      <w:lang w:val="es-ES"/>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en-GB"/>
    </w:rPr>
  </w:style>
  <w:style w:type="character" w:customStyle="1" w:styleId="FooterSensitivityChar">
    <w:name w:val="Footer Sensitivity Char"/>
    <w:basedOn w:val="DefaultParagraphFont"/>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en-GB"/>
    </w:rPr>
  </w:style>
  <w:style w:type="character" w:customStyle="1" w:styleId="HeaderSensitivityChar">
    <w:name w:val="Header Sensitivity Char"/>
    <w:basedOn w:val="DefaultParagraphFont"/>
    <w:rPr>
      <w:rFonts w:ascii="Times New Roman" w:hAnsi="Times New Roman" w:cs="Times New Roman"/>
      <w:b/>
      <w:sz w:val="32"/>
      <w:lang w:val="en-GB"/>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Titrearticle"/>
    <w:rPr>
      <w:lang w:val="en-US" w:eastAsia="fr-BE"/>
    </w:rPr>
  </w:style>
  <w:style w:type="paragraph" w:customStyle="1" w:styleId="ListDash3">
    <w:name w:val="List Dash 3"/>
    <w:basedOn w:val="Normal"/>
    <w:pPr>
      <w:numPr>
        <w:numId w:val="17"/>
      </w:numPr>
    </w:pPr>
    <w:rPr>
      <w:rFonts w:eastAsia="Times New Roman"/>
      <w:lang w:val="fr-FR" w:eastAsia="en-GB"/>
    </w:rPr>
  </w:style>
  <w:style w:type="paragraph" w:customStyle="1" w:styleId="ListDash4">
    <w:name w:val="List Dash 4"/>
    <w:basedOn w:val="Normal"/>
    <w:pPr>
      <w:numPr>
        <w:numId w:val="18"/>
      </w:numPr>
    </w:pPr>
    <w:rPr>
      <w:rFonts w:eastAsia="Times New Roman"/>
      <w:lang w:val="fr-FR" w:eastAsia="en-GB"/>
    </w:rPr>
  </w:style>
  <w:style w:type="paragraph" w:customStyle="1" w:styleId="ListNumber1">
    <w:name w:val="List Number 1"/>
    <w:basedOn w:val="Text1"/>
    <w:pPr>
      <w:numPr>
        <w:numId w:val="19"/>
      </w:numPr>
    </w:pPr>
    <w:rPr>
      <w:rFonts w:eastAsia="Times New Roman"/>
      <w:lang w:val="fr-FR" w:eastAsia="en-GB"/>
    </w:rPr>
  </w:style>
  <w:style w:type="paragraph" w:customStyle="1" w:styleId="ListNumber1Level2">
    <w:name w:val="List Number 1 (Level 2)"/>
    <w:basedOn w:val="Text1"/>
    <w:pPr>
      <w:numPr>
        <w:ilvl w:val="1"/>
        <w:numId w:val="19"/>
      </w:numPr>
    </w:pPr>
    <w:rPr>
      <w:rFonts w:eastAsia="Times New Roman"/>
      <w:lang w:val="fr-FR" w:eastAsia="en-GB"/>
    </w:rPr>
  </w:style>
  <w:style w:type="paragraph" w:customStyle="1" w:styleId="ListNumber2Level2">
    <w:name w:val="List Number 2 (Level 2)"/>
    <w:basedOn w:val="Text2"/>
    <w:pPr>
      <w:tabs>
        <w:tab w:val="num" w:pos="2268"/>
      </w:tabs>
      <w:ind w:left="2268" w:hanging="708"/>
    </w:pPr>
    <w:rPr>
      <w:rFonts w:eastAsia="Times New Roman"/>
      <w:lang w:val="fr-FR" w:eastAsia="en-GB"/>
    </w:rPr>
  </w:style>
  <w:style w:type="paragraph" w:customStyle="1" w:styleId="ListNumber3Level2">
    <w:name w:val="List Number 3 (Level 2)"/>
    <w:basedOn w:val="Text3"/>
    <w:pPr>
      <w:tabs>
        <w:tab w:val="num" w:pos="2268"/>
      </w:tabs>
      <w:ind w:left="2268" w:hanging="708"/>
    </w:pPr>
    <w:rPr>
      <w:rFonts w:eastAsia="Times New Roman"/>
      <w:lang w:val="fr-FR" w:eastAsia="en-GB"/>
    </w:rPr>
  </w:style>
  <w:style w:type="paragraph" w:customStyle="1" w:styleId="ListNumber4Level2">
    <w:name w:val="List Number 4 (Level 2)"/>
    <w:basedOn w:val="Text4"/>
    <w:pPr>
      <w:tabs>
        <w:tab w:val="num" w:pos="2268"/>
      </w:tabs>
      <w:ind w:left="2268" w:hanging="708"/>
    </w:pPr>
    <w:rPr>
      <w:rFonts w:eastAsia="Times New Roman"/>
      <w:lang w:val="fr-FR" w:eastAsia="en-GB"/>
    </w:rPr>
  </w:style>
  <w:style w:type="paragraph" w:customStyle="1" w:styleId="ListNumber1Level3">
    <w:name w:val="List Number 1 (Level 3)"/>
    <w:basedOn w:val="Text1"/>
    <w:pPr>
      <w:numPr>
        <w:ilvl w:val="2"/>
        <w:numId w:val="19"/>
      </w:numPr>
    </w:pPr>
    <w:rPr>
      <w:rFonts w:eastAsia="Times New Roman"/>
      <w:lang w:val="fr-FR" w:eastAsia="en-GB"/>
    </w:rPr>
  </w:style>
  <w:style w:type="paragraph" w:customStyle="1" w:styleId="ListNumber2Level3">
    <w:name w:val="List Number 2 (Level 3)"/>
    <w:basedOn w:val="Text2"/>
    <w:pPr>
      <w:tabs>
        <w:tab w:val="num" w:pos="2977"/>
      </w:tabs>
      <w:ind w:left="2977" w:hanging="709"/>
    </w:pPr>
    <w:rPr>
      <w:rFonts w:eastAsia="Times New Roman"/>
      <w:lang w:val="fr-FR" w:eastAsia="en-GB"/>
    </w:rPr>
  </w:style>
  <w:style w:type="paragraph" w:customStyle="1" w:styleId="ListNumber3Level3">
    <w:name w:val="List Number 3 (Level 3)"/>
    <w:basedOn w:val="Text3"/>
    <w:pPr>
      <w:tabs>
        <w:tab w:val="num" w:pos="2977"/>
      </w:tabs>
      <w:ind w:left="2977" w:hanging="709"/>
    </w:pPr>
    <w:rPr>
      <w:rFonts w:eastAsia="Times New Roman"/>
      <w:lang w:val="fr-FR" w:eastAsia="en-GB"/>
    </w:rPr>
  </w:style>
  <w:style w:type="paragraph" w:customStyle="1" w:styleId="ListNumber4Level3">
    <w:name w:val="List Number 4 (Level 3)"/>
    <w:basedOn w:val="Text4"/>
    <w:pPr>
      <w:tabs>
        <w:tab w:val="num" w:pos="2977"/>
      </w:tabs>
      <w:ind w:left="2977" w:hanging="709"/>
    </w:pPr>
    <w:rPr>
      <w:rFonts w:eastAsia="Times New Roman"/>
      <w:lang w:val="fr-FR" w:eastAsia="en-GB"/>
    </w:rPr>
  </w:style>
  <w:style w:type="paragraph" w:customStyle="1" w:styleId="ListNumber1Level4">
    <w:name w:val="List Number 1 (Level 4)"/>
    <w:basedOn w:val="Text1"/>
    <w:pPr>
      <w:numPr>
        <w:ilvl w:val="3"/>
        <w:numId w:val="19"/>
      </w:numPr>
    </w:pPr>
    <w:rPr>
      <w:rFonts w:eastAsia="Times New Roman"/>
      <w:lang w:val="fr-FR" w:eastAsia="en-GB"/>
    </w:rPr>
  </w:style>
  <w:style w:type="paragraph" w:customStyle="1" w:styleId="ListNumber2Level4">
    <w:name w:val="List Number 2 (Level 4)"/>
    <w:basedOn w:val="Text2"/>
    <w:pPr>
      <w:tabs>
        <w:tab w:val="num" w:pos="3686"/>
      </w:tabs>
      <w:ind w:left="3686" w:hanging="709"/>
    </w:pPr>
    <w:rPr>
      <w:rFonts w:eastAsia="Times New Roman"/>
      <w:lang w:val="fr-FR" w:eastAsia="en-GB"/>
    </w:rPr>
  </w:style>
  <w:style w:type="paragraph" w:customStyle="1" w:styleId="ListNumber3Level4">
    <w:name w:val="List Number 3 (Level 4)"/>
    <w:basedOn w:val="Text3"/>
    <w:pPr>
      <w:tabs>
        <w:tab w:val="num" w:pos="3686"/>
      </w:tabs>
      <w:ind w:left="3686" w:hanging="709"/>
    </w:pPr>
    <w:rPr>
      <w:rFonts w:eastAsia="Times New Roman"/>
      <w:lang w:val="fr-FR" w:eastAsia="en-GB"/>
    </w:rPr>
  </w:style>
  <w:style w:type="paragraph" w:customStyle="1" w:styleId="ListNumber4Level4">
    <w:name w:val="List Number 4 (Level 4)"/>
    <w:basedOn w:val="Text4"/>
    <w:pPr>
      <w:tabs>
        <w:tab w:val="num" w:pos="3686"/>
      </w:tabs>
      <w:ind w:left="3686" w:hanging="709"/>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PageNumber">
    <w:name w:val="page number"/>
  </w:style>
  <w:style w:type="character" w:customStyle="1" w:styleId="tw4winMark">
    <w:name w:val="tw4winMark"/>
    <w:rPr>
      <w:vanish/>
      <w:color w:val="800080"/>
      <w:vertAlign w:val="subscript"/>
    </w:rPr>
  </w:style>
  <w:style w:type="character" w:customStyle="1" w:styleId="TOCHeadingChar">
    <w:name w:val="TOC Heading Char"/>
    <w:uiPriority w:val="39"/>
    <w:rPr>
      <w:rFonts w:ascii="Times New Roman" w:hAnsi="Times New Roman" w:cs="Times New Roman"/>
      <w:b/>
      <w:sz w:val="28"/>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81621">
      <w:bodyDiv w:val="1"/>
      <w:marLeft w:val="0"/>
      <w:marRight w:val="0"/>
      <w:marTop w:val="0"/>
      <w:marBottom w:val="0"/>
      <w:divBdr>
        <w:top w:val="none" w:sz="0" w:space="0" w:color="auto"/>
        <w:left w:val="none" w:sz="0" w:space="0" w:color="auto"/>
        <w:bottom w:val="none" w:sz="0" w:space="0" w:color="auto"/>
        <w:right w:val="none" w:sz="0" w:space="0" w:color="auto"/>
      </w:divBdr>
    </w:div>
    <w:div w:id="606234461">
      <w:bodyDiv w:val="1"/>
      <w:marLeft w:val="0"/>
      <w:marRight w:val="0"/>
      <w:marTop w:val="0"/>
      <w:marBottom w:val="0"/>
      <w:divBdr>
        <w:top w:val="none" w:sz="0" w:space="0" w:color="auto"/>
        <w:left w:val="none" w:sz="0" w:space="0" w:color="auto"/>
        <w:bottom w:val="none" w:sz="0" w:space="0" w:color="auto"/>
        <w:right w:val="none" w:sz="0" w:space="0" w:color="auto"/>
      </w:divBdr>
      <w:divsChild>
        <w:div w:id="2086487229">
          <w:marLeft w:val="0"/>
          <w:marRight w:val="0"/>
          <w:marTop w:val="0"/>
          <w:marBottom w:val="0"/>
          <w:divBdr>
            <w:top w:val="none" w:sz="0" w:space="0" w:color="auto"/>
            <w:left w:val="none" w:sz="0" w:space="0" w:color="auto"/>
            <w:bottom w:val="none" w:sz="0" w:space="0" w:color="auto"/>
            <w:right w:val="none" w:sz="0" w:space="0" w:color="auto"/>
          </w:divBdr>
          <w:divsChild>
            <w:div w:id="747460571">
              <w:marLeft w:val="0"/>
              <w:marRight w:val="0"/>
              <w:marTop w:val="0"/>
              <w:marBottom w:val="150"/>
              <w:divBdr>
                <w:top w:val="none" w:sz="0" w:space="0" w:color="auto"/>
                <w:left w:val="none" w:sz="0" w:space="0" w:color="auto"/>
                <w:bottom w:val="none" w:sz="0" w:space="0" w:color="auto"/>
                <w:right w:val="none" w:sz="0" w:space="0" w:color="auto"/>
              </w:divBdr>
              <w:divsChild>
                <w:div w:id="1711567601">
                  <w:marLeft w:val="0"/>
                  <w:marRight w:val="0"/>
                  <w:marTop w:val="0"/>
                  <w:marBottom w:val="0"/>
                  <w:divBdr>
                    <w:top w:val="none" w:sz="0" w:space="0" w:color="auto"/>
                    <w:left w:val="none" w:sz="0" w:space="0" w:color="auto"/>
                    <w:bottom w:val="none" w:sz="0" w:space="0" w:color="auto"/>
                    <w:right w:val="none" w:sz="0" w:space="0" w:color="auto"/>
                  </w:divBdr>
                  <w:divsChild>
                    <w:div w:id="57364378">
                      <w:marLeft w:val="0"/>
                      <w:marRight w:val="0"/>
                      <w:marTop w:val="0"/>
                      <w:marBottom w:val="0"/>
                      <w:divBdr>
                        <w:top w:val="none" w:sz="0" w:space="0" w:color="auto"/>
                        <w:left w:val="none" w:sz="0" w:space="0" w:color="auto"/>
                        <w:bottom w:val="none" w:sz="0" w:space="0" w:color="auto"/>
                        <w:right w:val="none" w:sz="0" w:space="0" w:color="auto"/>
                      </w:divBdr>
                      <w:divsChild>
                        <w:div w:id="138155627">
                          <w:marLeft w:val="0"/>
                          <w:marRight w:val="0"/>
                          <w:marTop w:val="0"/>
                          <w:marBottom w:val="0"/>
                          <w:divBdr>
                            <w:top w:val="none" w:sz="0" w:space="0" w:color="auto"/>
                            <w:left w:val="none" w:sz="0" w:space="0" w:color="auto"/>
                            <w:bottom w:val="none" w:sz="0" w:space="0" w:color="auto"/>
                            <w:right w:val="none" w:sz="0" w:space="0" w:color="auto"/>
                          </w:divBdr>
                          <w:divsChild>
                            <w:div w:id="1966964128">
                              <w:marLeft w:val="0"/>
                              <w:marRight w:val="0"/>
                              <w:marTop w:val="0"/>
                              <w:marBottom w:val="0"/>
                              <w:divBdr>
                                <w:top w:val="none" w:sz="0" w:space="0" w:color="auto"/>
                                <w:left w:val="none" w:sz="0" w:space="0" w:color="auto"/>
                                <w:bottom w:val="none" w:sz="0" w:space="0" w:color="auto"/>
                                <w:right w:val="none" w:sz="0" w:space="0" w:color="auto"/>
                              </w:divBdr>
                              <w:divsChild>
                                <w:div w:id="1299384063">
                                  <w:marLeft w:val="0"/>
                                  <w:marRight w:val="-3600"/>
                                  <w:marTop w:val="150"/>
                                  <w:marBottom w:val="0"/>
                                  <w:divBdr>
                                    <w:top w:val="none" w:sz="0" w:space="0" w:color="auto"/>
                                    <w:left w:val="none" w:sz="0" w:space="0" w:color="auto"/>
                                    <w:bottom w:val="none" w:sz="0" w:space="0" w:color="auto"/>
                                    <w:right w:val="none" w:sz="0" w:space="0" w:color="auto"/>
                                  </w:divBdr>
                                  <w:divsChild>
                                    <w:div w:id="1145390697">
                                      <w:marLeft w:val="0"/>
                                      <w:marRight w:val="3600"/>
                                      <w:marTop w:val="0"/>
                                      <w:marBottom w:val="0"/>
                                      <w:divBdr>
                                        <w:top w:val="none" w:sz="0" w:space="0" w:color="auto"/>
                                        <w:left w:val="none" w:sz="0" w:space="0" w:color="auto"/>
                                        <w:bottom w:val="none" w:sz="0" w:space="0" w:color="auto"/>
                                        <w:right w:val="none" w:sz="0" w:space="0" w:color="auto"/>
                                      </w:divBdr>
                                      <w:divsChild>
                                        <w:div w:id="1797487616">
                                          <w:marLeft w:val="0"/>
                                          <w:marRight w:val="0"/>
                                          <w:marTop w:val="0"/>
                                          <w:marBottom w:val="0"/>
                                          <w:divBdr>
                                            <w:top w:val="none" w:sz="0" w:space="0" w:color="auto"/>
                                            <w:left w:val="none" w:sz="0" w:space="0" w:color="auto"/>
                                            <w:bottom w:val="none" w:sz="0" w:space="0" w:color="auto"/>
                                            <w:right w:val="none" w:sz="0" w:space="0" w:color="auto"/>
                                          </w:divBdr>
                                          <w:divsChild>
                                            <w:div w:id="1923291387">
                                              <w:marLeft w:val="0"/>
                                              <w:marRight w:val="0"/>
                                              <w:marTop w:val="0"/>
                                              <w:marBottom w:val="0"/>
                                              <w:divBdr>
                                                <w:top w:val="none" w:sz="0" w:space="0" w:color="auto"/>
                                                <w:left w:val="none" w:sz="0" w:space="0" w:color="auto"/>
                                                <w:bottom w:val="none" w:sz="0" w:space="0" w:color="auto"/>
                                                <w:right w:val="none" w:sz="0" w:space="0" w:color="auto"/>
                                              </w:divBdr>
                                              <w:divsChild>
                                                <w:div w:id="1201359413">
                                                  <w:marLeft w:val="0"/>
                                                  <w:marRight w:val="0"/>
                                                  <w:marTop w:val="0"/>
                                                  <w:marBottom w:val="0"/>
                                                  <w:divBdr>
                                                    <w:top w:val="none" w:sz="0" w:space="0" w:color="auto"/>
                                                    <w:left w:val="none" w:sz="0" w:space="0" w:color="auto"/>
                                                    <w:bottom w:val="none" w:sz="0" w:space="0" w:color="auto"/>
                                                    <w:right w:val="none" w:sz="0" w:space="0" w:color="auto"/>
                                                  </w:divBdr>
                                                  <w:divsChild>
                                                    <w:div w:id="2021588997">
                                                      <w:marLeft w:val="0"/>
                                                      <w:marRight w:val="0"/>
                                                      <w:marTop w:val="0"/>
                                                      <w:marBottom w:val="0"/>
                                                      <w:divBdr>
                                                        <w:top w:val="none" w:sz="0" w:space="0" w:color="auto"/>
                                                        <w:left w:val="none" w:sz="0" w:space="0" w:color="auto"/>
                                                        <w:bottom w:val="none" w:sz="0" w:space="0" w:color="auto"/>
                                                        <w:right w:val="none" w:sz="0" w:space="0" w:color="auto"/>
                                                      </w:divBdr>
                                                      <w:divsChild>
                                                        <w:div w:id="422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1635231">
      <w:bodyDiv w:val="1"/>
      <w:marLeft w:val="0"/>
      <w:marRight w:val="0"/>
      <w:marTop w:val="0"/>
      <w:marBottom w:val="0"/>
      <w:divBdr>
        <w:top w:val="none" w:sz="0" w:space="0" w:color="auto"/>
        <w:left w:val="none" w:sz="0" w:space="0" w:color="auto"/>
        <w:bottom w:val="none" w:sz="0" w:space="0" w:color="auto"/>
        <w:right w:val="none" w:sz="0" w:space="0" w:color="auto"/>
      </w:divBdr>
      <w:divsChild>
        <w:div w:id="1732465468">
          <w:marLeft w:val="0"/>
          <w:marRight w:val="0"/>
          <w:marTop w:val="0"/>
          <w:marBottom w:val="0"/>
          <w:divBdr>
            <w:top w:val="none" w:sz="0" w:space="0" w:color="auto"/>
            <w:left w:val="none" w:sz="0" w:space="0" w:color="auto"/>
            <w:bottom w:val="none" w:sz="0" w:space="0" w:color="auto"/>
            <w:right w:val="none" w:sz="0" w:space="0" w:color="auto"/>
          </w:divBdr>
          <w:divsChild>
            <w:div w:id="1634410217">
              <w:marLeft w:val="0"/>
              <w:marRight w:val="0"/>
              <w:marTop w:val="0"/>
              <w:marBottom w:val="150"/>
              <w:divBdr>
                <w:top w:val="none" w:sz="0" w:space="0" w:color="auto"/>
                <w:left w:val="none" w:sz="0" w:space="0" w:color="auto"/>
                <w:bottom w:val="none" w:sz="0" w:space="0" w:color="auto"/>
                <w:right w:val="none" w:sz="0" w:space="0" w:color="auto"/>
              </w:divBdr>
              <w:divsChild>
                <w:div w:id="1598365430">
                  <w:marLeft w:val="0"/>
                  <w:marRight w:val="0"/>
                  <w:marTop w:val="0"/>
                  <w:marBottom w:val="0"/>
                  <w:divBdr>
                    <w:top w:val="none" w:sz="0" w:space="0" w:color="auto"/>
                    <w:left w:val="none" w:sz="0" w:space="0" w:color="auto"/>
                    <w:bottom w:val="none" w:sz="0" w:space="0" w:color="auto"/>
                    <w:right w:val="none" w:sz="0" w:space="0" w:color="auto"/>
                  </w:divBdr>
                  <w:divsChild>
                    <w:div w:id="422336400">
                      <w:marLeft w:val="0"/>
                      <w:marRight w:val="0"/>
                      <w:marTop w:val="0"/>
                      <w:marBottom w:val="0"/>
                      <w:divBdr>
                        <w:top w:val="none" w:sz="0" w:space="0" w:color="auto"/>
                        <w:left w:val="none" w:sz="0" w:space="0" w:color="auto"/>
                        <w:bottom w:val="none" w:sz="0" w:space="0" w:color="auto"/>
                        <w:right w:val="none" w:sz="0" w:space="0" w:color="auto"/>
                      </w:divBdr>
                      <w:divsChild>
                        <w:div w:id="1392537955">
                          <w:marLeft w:val="0"/>
                          <w:marRight w:val="0"/>
                          <w:marTop w:val="0"/>
                          <w:marBottom w:val="0"/>
                          <w:divBdr>
                            <w:top w:val="none" w:sz="0" w:space="0" w:color="auto"/>
                            <w:left w:val="none" w:sz="0" w:space="0" w:color="auto"/>
                            <w:bottom w:val="none" w:sz="0" w:space="0" w:color="auto"/>
                            <w:right w:val="none" w:sz="0" w:space="0" w:color="auto"/>
                          </w:divBdr>
                          <w:divsChild>
                            <w:div w:id="1583878954">
                              <w:marLeft w:val="0"/>
                              <w:marRight w:val="0"/>
                              <w:marTop w:val="0"/>
                              <w:marBottom w:val="0"/>
                              <w:divBdr>
                                <w:top w:val="none" w:sz="0" w:space="0" w:color="auto"/>
                                <w:left w:val="none" w:sz="0" w:space="0" w:color="auto"/>
                                <w:bottom w:val="none" w:sz="0" w:space="0" w:color="auto"/>
                                <w:right w:val="none" w:sz="0" w:space="0" w:color="auto"/>
                              </w:divBdr>
                              <w:divsChild>
                                <w:div w:id="651253905">
                                  <w:marLeft w:val="0"/>
                                  <w:marRight w:val="-3600"/>
                                  <w:marTop w:val="150"/>
                                  <w:marBottom w:val="0"/>
                                  <w:divBdr>
                                    <w:top w:val="none" w:sz="0" w:space="0" w:color="auto"/>
                                    <w:left w:val="none" w:sz="0" w:space="0" w:color="auto"/>
                                    <w:bottom w:val="none" w:sz="0" w:space="0" w:color="auto"/>
                                    <w:right w:val="none" w:sz="0" w:space="0" w:color="auto"/>
                                  </w:divBdr>
                                  <w:divsChild>
                                    <w:div w:id="970481595">
                                      <w:marLeft w:val="0"/>
                                      <w:marRight w:val="3600"/>
                                      <w:marTop w:val="0"/>
                                      <w:marBottom w:val="0"/>
                                      <w:divBdr>
                                        <w:top w:val="none" w:sz="0" w:space="0" w:color="auto"/>
                                        <w:left w:val="none" w:sz="0" w:space="0" w:color="auto"/>
                                        <w:bottom w:val="none" w:sz="0" w:space="0" w:color="auto"/>
                                        <w:right w:val="none" w:sz="0" w:space="0" w:color="auto"/>
                                      </w:divBdr>
                                      <w:divsChild>
                                        <w:div w:id="1921014592">
                                          <w:marLeft w:val="0"/>
                                          <w:marRight w:val="0"/>
                                          <w:marTop w:val="0"/>
                                          <w:marBottom w:val="0"/>
                                          <w:divBdr>
                                            <w:top w:val="none" w:sz="0" w:space="0" w:color="auto"/>
                                            <w:left w:val="none" w:sz="0" w:space="0" w:color="auto"/>
                                            <w:bottom w:val="none" w:sz="0" w:space="0" w:color="auto"/>
                                            <w:right w:val="none" w:sz="0" w:space="0" w:color="auto"/>
                                          </w:divBdr>
                                          <w:divsChild>
                                            <w:div w:id="1668357989">
                                              <w:marLeft w:val="0"/>
                                              <w:marRight w:val="0"/>
                                              <w:marTop w:val="0"/>
                                              <w:marBottom w:val="0"/>
                                              <w:divBdr>
                                                <w:top w:val="none" w:sz="0" w:space="0" w:color="auto"/>
                                                <w:left w:val="none" w:sz="0" w:space="0" w:color="auto"/>
                                                <w:bottom w:val="none" w:sz="0" w:space="0" w:color="auto"/>
                                                <w:right w:val="none" w:sz="0" w:space="0" w:color="auto"/>
                                              </w:divBdr>
                                              <w:divsChild>
                                                <w:div w:id="1432236735">
                                                  <w:marLeft w:val="0"/>
                                                  <w:marRight w:val="0"/>
                                                  <w:marTop w:val="0"/>
                                                  <w:marBottom w:val="0"/>
                                                  <w:divBdr>
                                                    <w:top w:val="none" w:sz="0" w:space="0" w:color="auto"/>
                                                    <w:left w:val="none" w:sz="0" w:space="0" w:color="auto"/>
                                                    <w:bottom w:val="none" w:sz="0" w:space="0" w:color="auto"/>
                                                    <w:right w:val="none" w:sz="0" w:space="0" w:color="auto"/>
                                                  </w:divBdr>
                                                  <w:divsChild>
                                                    <w:div w:id="1701011168">
                                                      <w:marLeft w:val="0"/>
                                                      <w:marRight w:val="0"/>
                                                      <w:marTop w:val="0"/>
                                                      <w:marBottom w:val="0"/>
                                                      <w:divBdr>
                                                        <w:top w:val="none" w:sz="0" w:space="0" w:color="auto"/>
                                                        <w:left w:val="none" w:sz="0" w:space="0" w:color="auto"/>
                                                        <w:bottom w:val="none" w:sz="0" w:space="0" w:color="auto"/>
                                                        <w:right w:val="none" w:sz="0" w:space="0" w:color="auto"/>
                                                      </w:divBdr>
                                                      <w:divsChild>
                                                        <w:div w:id="16820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yintracomm.ec.europa.eu/budgweb/EN/leg/internal/Documents/2016-5-legislative-financial-statement-ann-en.docx" TargetMode="Externa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yintracomm.ec.europa.eu/budgweb/EN/man/budgmanag/Pages/budgmanag.aspx" TargetMode="External"/><Relationship Id="rId2" Type="http://schemas.openxmlformats.org/officeDocument/2006/relationships/hyperlink" Target="https://www.consilium.europa.eu/media/37100/20181121-cover-political-declaration.pdf" TargetMode="External"/><Relationship Id="rId1" Type="http://schemas.openxmlformats.org/officeDocument/2006/relationships/hyperlink" Target="https://ec.europa.eu/commission/publications/XXXX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EEA6090-14FF-434C-9F07-231C641E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27</Pages>
  <Words>7126</Words>
  <Characters>39195</Characters>
  <Application>Microsoft Office Word</Application>
  <DocSecurity>0</DocSecurity>
  <Lines>1633</Lines>
  <Paragraphs>617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HEILEMANN Stefanie (SG)</cp:lastModifiedBy>
  <cp:revision>20</cp:revision>
  <cp:lastPrinted>2018-12-03T11:04:00Z</cp:lastPrinted>
  <dcterms:created xsi:type="dcterms:W3CDTF">2018-12-05T09:04:00Z</dcterms:created>
  <dcterms:modified xsi:type="dcterms:W3CDTF">2018-12-05T09:59:00Z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Yellow (DQC version 03)</vt:lpwstr>
  </property>
</Properties>
</file>