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alt="EF0C0B60-C01C-4651-9DFB-47D04AB0A725" style="width:450.75pt;height:422.25pt">
            <v:imagedata r:id="rId9" o:title=""/>
          </v:shape>
        </w:pict>
      </w:r>
    </w:p>
    <w:p>
      <w:pPr>
        <w:rPr>
          <w:noProof/>
          <w:szCs w:val="24"/>
        </w:rPr>
        <w:sectPr>
          <w:headerReference w:type="even" r:id="rId10"/>
          <w:headerReference w:type="default" r:id="rId11"/>
          <w:footerReference w:type="even" r:id="rId12"/>
          <w:footerReference w:type="default" r:id="rId13"/>
          <w:headerReference w:type="first" r:id="rId14"/>
          <w:footerReference w:type="first" r:id="rId15"/>
          <w:pgSz w:w="11907" w:h="16839"/>
          <w:pgMar w:top="1134" w:right="1417" w:bottom="1134" w:left="1417" w:header="709" w:footer="709" w:gutter="0"/>
          <w:pgNumType w:start="0"/>
          <w:cols w:space="720"/>
          <w:docGrid w:linePitch="360"/>
        </w:sectPr>
      </w:pPr>
    </w:p>
    <w:p>
      <w:pPr>
        <w:pStyle w:val="Exposdesmotifstitre"/>
        <w:rPr>
          <w:noProof/>
        </w:rPr>
      </w:pPr>
      <w:bookmarkStart w:id="0" w:name="_GoBack"/>
      <w:bookmarkEnd w:id="0"/>
      <w:r>
        <w:rPr>
          <w:noProof/>
        </w:rPr>
        <w:lastRenderedPageBreak/>
        <w:t>EXPOSÉ DES MOTIFS</w:t>
      </w:r>
    </w:p>
    <w:p>
      <w:pPr>
        <w:pStyle w:val="ManualHeading1"/>
        <w:rPr>
          <w:noProof/>
          <w:szCs w:val="24"/>
        </w:rPr>
      </w:pPr>
      <w:r>
        <w:rPr>
          <w:noProof/>
        </w:rPr>
        <w:t>1.</w:t>
      </w:r>
      <w:r>
        <w:rPr>
          <w:noProof/>
        </w:rPr>
        <w:tab/>
        <w:t>CONTEXTE DE LA PROPOSITION</w:t>
      </w:r>
    </w:p>
    <w:p>
      <w:pPr>
        <w:pStyle w:val="ManualHeading2"/>
        <w:rPr>
          <w:noProof/>
          <w:szCs w:val="24"/>
          <w:u w:color="000000"/>
          <w:bdr w:val="nil"/>
        </w:rPr>
      </w:pPr>
      <w:r>
        <w:rPr>
          <w:noProof/>
        </w:rPr>
        <w:t>•</w:t>
      </w:r>
      <w:r>
        <w:rPr>
          <w:noProof/>
        </w:rPr>
        <w:tab/>
        <w:t>Justification et objectifs de la proposition</w:t>
      </w:r>
    </w:p>
    <w:p>
      <w:pPr>
        <w:pBdr>
          <w:top w:val="nil"/>
          <w:left w:val="nil"/>
          <w:bottom w:val="nil"/>
          <w:right w:val="nil"/>
          <w:between w:val="nil"/>
          <w:bar w:val="nil"/>
        </w:pBdr>
        <w:spacing w:after="240"/>
        <w:rPr>
          <w:noProof/>
          <w:szCs w:val="24"/>
        </w:rPr>
      </w:pPr>
      <w:r>
        <w:rPr>
          <w:noProof/>
        </w:rPr>
        <w:t>Le 29 mars 2017, le Royaume-Uni a notifié au Conseil européen, en vertu de l’article 50 du traité sur l’Union européenne, son intention de se retirer de l’Union européenne et de la Communauté européenne de l’énergie atomique. Conformément à l’article 50 du traité sur l’Union européenne, l’Union négocie avec l’État qui se retire un accord fixant les modalités de son retrait (l’accord de retrait), en tenant compte du cadre de ses relations futures avec l’Union. Cet accord doit être conclu par le Conseil au nom de l’Union, après approbation du Parlement européen.</w:t>
      </w:r>
    </w:p>
    <w:p>
      <w:pPr>
        <w:pBdr>
          <w:top w:val="nil"/>
          <w:left w:val="nil"/>
          <w:bottom w:val="nil"/>
          <w:right w:val="nil"/>
          <w:between w:val="nil"/>
          <w:bar w:val="nil"/>
        </w:pBdr>
        <w:spacing w:after="240"/>
        <w:rPr>
          <w:noProof/>
          <w:szCs w:val="24"/>
        </w:rPr>
      </w:pPr>
      <w:r>
        <w:rPr>
          <w:noProof/>
        </w:rPr>
        <w:t>À la suite de la notification, le Conseil européen («article 50») a adopté des orientations, le 29 avril 2017. À la lumière de ces orientations, le Conseil a autorisé la Commission, le 22 mai 2017, à ouvrir des négociations en vue de la conclusion d’un accord avec le Royaume-Uni fixant les modalités du retrait de celui-ci de l’Union européenne et de la Communauté européenne de l’énergie atomique, et a adopté les directives de négociation pour ces négociations. Le 15 décembre 2017, le Conseil européen a adopté des orientations complétant celles du 29 avril 2017 et fixant les principes et conditions applicables à toutes modalités transitoires. Par la suite, le Conseil a adopté, le 29 janvier 2018, des directives de négociation supplémentaires.</w:t>
      </w:r>
    </w:p>
    <w:p>
      <w:pPr>
        <w:pBdr>
          <w:top w:val="nil"/>
          <w:left w:val="nil"/>
          <w:bottom w:val="nil"/>
          <w:right w:val="nil"/>
          <w:between w:val="nil"/>
          <w:bar w:val="nil"/>
        </w:pBdr>
        <w:spacing w:after="240"/>
        <w:rPr>
          <w:noProof/>
          <w:szCs w:val="24"/>
        </w:rPr>
      </w:pPr>
      <w:r>
        <w:rPr>
          <w:noProof/>
        </w:rPr>
        <w:t>Les négociations ont été menées à la lumière des orientations du Conseil européen susmentionnées et conformément aux directives de négociation établies par le Conseil et eu égard aux résolutions du Parlement européen des 5 avril 2017, 3 octobre 2017, 13 décembre 2017 et 14 mars 2018.</w:t>
      </w:r>
    </w:p>
    <w:p>
      <w:pPr>
        <w:pBdr>
          <w:top w:val="nil"/>
          <w:left w:val="nil"/>
          <w:bottom w:val="nil"/>
          <w:right w:val="nil"/>
          <w:between w:val="nil"/>
          <w:bar w:val="nil"/>
        </w:pBdr>
        <w:spacing w:after="240"/>
        <w:rPr>
          <w:noProof/>
          <w:szCs w:val="24"/>
        </w:rPr>
      </w:pPr>
      <w:r>
        <w:rPr>
          <w:noProof/>
        </w:rPr>
        <w:t>Les négociations ont été achevées et paraphées au niveau des négociateurs en chef le 14 novembre 2018. Ce texte a fait l’objet d’une révision juridique</w:t>
      </w:r>
      <w:r>
        <w:rPr>
          <w:rStyle w:val="FootnoteReference"/>
          <w:noProof/>
        </w:rPr>
        <w:footnoteReference w:id="1"/>
      </w:r>
      <w:r>
        <w:rPr>
          <w:noProof/>
        </w:rPr>
        <w:t xml:space="preserve"> et c’est cette version qui est proposée pour signature.</w:t>
      </w:r>
    </w:p>
    <w:p>
      <w:pPr>
        <w:pBdr>
          <w:top w:val="nil"/>
          <w:left w:val="nil"/>
          <w:bottom w:val="nil"/>
          <w:right w:val="nil"/>
          <w:between w:val="nil"/>
          <w:bar w:val="nil"/>
        </w:pBdr>
        <w:spacing w:after="240"/>
        <w:rPr>
          <w:noProof/>
          <w:szCs w:val="24"/>
        </w:rPr>
      </w:pPr>
      <w:r>
        <w:rPr>
          <w:noProof/>
        </w:rPr>
        <w:t>Un accord sur les relations futures entre l’Union et le Royaume-Uni ne pourra être conclu qu’après que le Royaume-Uni sera devenu un pays tiers. Toutefois, l’article 50 du traité sur l’Union européenne exige que le cadre des relations futures avec l’Union soit pris en compte dans l’accord fixant les modalités du retrait. Une conception d’ensemble partagée avec le Royaume-Uni quant au cadre des relations futures a été déterminée au cours des négociations menées en vertu de l’article 50, qui est exposée dans la déclaration politique fixant le cadre des relations futures entre l’Union européenne et le Royaume-Uni approuvée par le Conseil européen le 25 novembre 2018</w:t>
      </w:r>
      <w:r>
        <w:rPr>
          <w:rStyle w:val="FootnoteReference"/>
          <w:noProof/>
        </w:rPr>
        <w:footnoteReference w:id="2"/>
      </w:r>
      <w:r>
        <w:rPr>
          <w:noProof/>
        </w:rPr>
        <w:t>.</w:t>
      </w:r>
    </w:p>
    <w:p>
      <w:pPr>
        <w:pStyle w:val="ManualHeading2"/>
        <w:rPr>
          <w:noProof/>
        </w:rPr>
      </w:pPr>
      <w:r>
        <w:rPr>
          <w:noProof/>
          <w:color w:val="000000"/>
          <w:u w:color="000000"/>
          <w:bdr w:val="nil"/>
        </w:rPr>
        <w:t>•</w:t>
      </w:r>
      <w:r>
        <w:rPr>
          <w:noProof/>
        </w:rPr>
        <w:tab/>
        <w:t>Cohérence avec les autres politiques de l’Union</w:t>
      </w:r>
    </w:p>
    <w:p>
      <w:pPr>
        <w:pBdr>
          <w:top w:val="nil"/>
          <w:left w:val="nil"/>
          <w:bottom w:val="nil"/>
          <w:right w:val="nil"/>
          <w:between w:val="nil"/>
          <w:bar w:val="nil"/>
        </w:pBdr>
        <w:spacing w:after="240"/>
        <w:rPr>
          <w:noProof/>
          <w:szCs w:val="24"/>
        </w:rPr>
      </w:pPr>
      <w:r>
        <w:rPr>
          <w:noProof/>
        </w:rPr>
        <w:t xml:space="preserve">L’accord de retrait respecte pleinement les traités et préserve l’intégrité et l’autonomie de l’ordre juridique de l’Union, ainsi que l’intégrité du marché unique et de l’union douanière. Il promeut les valeurs, les objectifs et les intérêts de l’Union, et il garantit la cohérence, l’efficacité et la continuité de ses politiques et de ses actions. En particulier, l’article 4 de l’accord de retrait énonce les méthodes et principes relatifs à l’effet, à la mise en œuvre et à </w:t>
      </w:r>
      <w:r>
        <w:rPr>
          <w:noProof/>
        </w:rPr>
        <w:lastRenderedPageBreak/>
        <w:t>l’application de l’accord, qui garantissent que les dispositions du droit de l’Union rendues applicables par l’accord de retrait sur le territoire du Royaume-Uni produisent les mêmes effets juridiques que ceux qu’elles produisent dans l’Union et ses États membres.</w:t>
      </w:r>
    </w:p>
    <w:p>
      <w:pPr>
        <w:pStyle w:val="ManualHeading2"/>
        <w:rPr>
          <w:noProof/>
          <w:u w:color="000000"/>
          <w:bdr w:val="nil"/>
        </w:rPr>
      </w:pPr>
      <w:r>
        <w:rPr>
          <w:noProof/>
          <w:color w:val="000000"/>
          <w:u w:color="000000"/>
          <w:bdr w:val="nil"/>
        </w:rPr>
        <w:t>•</w:t>
      </w:r>
      <w:r>
        <w:rPr>
          <w:noProof/>
        </w:rPr>
        <w:tab/>
        <w:t>Droits fondamentaux</w:t>
      </w:r>
    </w:p>
    <w:p>
      <w:pPr>
        <w:pBdr>
          <w:top w:val="nil"/>
          <w:left w:val="nil"/>
          <w:bottom w:val="nil"/>
          <w:right w:val="nil"/>
          <w:between w:val="nil"/>
          <w:bar w:val="nil"/>
        </w:pBdr>
        <w:spacing w:after="240"/>
        <w:rPr>
          <w:noProof/>
          <w:szCs w:val="24"/>
        </w:rPr>
      </w:pPr>
      <w:r>
        <w:rPr>
          <w:noProof/>
        </w:rPr>
        <w:t>Conformément à l’article 6 du traité sur l’Union européenne, l’Union reconnaît les droits, les libertés et les principes énoncés dans la charte des droits fondamentaux de l’Union européenne, qui a la même valeur juridique que les traités. En outre, les droits fondamentaux, tels qu’ils sont garantis par la convention européenne de sauvegarde des droits de l’homme et des libertés fondamentales et tels qu’ils résultent des traditions constitutionnelles communes aux États membres, font partie du droit de l’Union en tant que principes généraux.</w:t>
      </w:r>
    </w:p>
    <w:p>
      <w:pPr>
        <w:pBdr>
          <w:top w:val="nil"/>
          <w:left w:val="nil"/>
          <w:bottom w:val="nil"/>
          <w:right w:val="nil"/>
          <w:between w:val="nil"/>
          <w:bar w:val="nil"/>
        </w:pBdr>
        <w:spacing w:after="240"/>
        <w:rPr>
          <w:rFonts w:eastAsia="Arial Unicode MS"/>
          <w:noProof/>
          <w:szCs w:val="24"/>
        </w:rPr>
      </w:pPr>
      <w:r>
        <w:rPr>
          <w:noProof/>
        </w:rPr>
        <w:t>Ces droits, libertés et principes seront pleinement préservés et protégés dans l’Union après le retrait du Royaume-Uni de l’Union. En outre, l’accord de retrait garantit que chaque fois qu’il sera fait référence à des dispositions ou notions du droit de l’Union, celles-ci seront interprétées et appliquées selon les mêmes méthodes et principes généraux d’interprétation que ceux applicables au sein de l’Union, y compris en assurant une interprétation uniforme au regard de la charte des droits fondamentaux. Ce point est particulièrement pertinent pour la partie de l’accord consacrée aux droits des citoyens, qui se fonde largement sur le droit de l’Union.</w:t>
      </w:r>
    </w:p>
    <w:p>
      <w:pPr>
        <w:pBdr>
          <w:top w:val="nil"/>
          <w:left w:val="nil"/>
          <w:bottom w:val="nil"/>
          <w:right w:val="nil"/>
          <w:between w:val="nil"/>
          <w:bar w:val="nil"/>
        </w:pBdr>
        <w:spacing w:after="240"/>
        <w:rPr>
          <w:rFonts w:eastAsia="Arial Unicode MS"/>
          <w:noProof/>
          <w:szCs w:val="24"/>
        </w:rPr>
      </w:pPr>
    </w:p>
    <w:p>
      <w:pPr>
        <w:pStyle w:val="ManualHeading1"/>
        <w:rPr>
          <w:noProof/>
          <w:szCs w:val="24"/>
        </w:rPr>
      </w:pPr>
      <w:r>
        <w:rPr>
          <w:noProof/>
        </w:rPr>
        <w:t>2.</w:t>
      </w:r>
      <w:r>
        <w:rPr>
          <w:noProof/>
        </w:rPr>
        <w:tab/>
        <w:t>BASE JURIDIQUE, SUBSIDIARITÉ ET PROPORTIONNALITÉ</w:t>
      </w:r>
    </w:p>
    <w:p>
      <w:pPr>
        <w:pStyle w:val="ManualHeading2"/>
        <w:rPr>
          <w:noProof/>
          <w:szCs w:val="24"/>
          <w:u w:color="000000"/>
          <w:bdr w:val="nil"/>
        </w:rPr>
      </w:pPr>
      <w:r>
        <w:rPr>
          <w:noProof/>
        </w:rPr>
        <w:t>•</w:t>
      </w:r>
      <w:r>
        <w:rPr>
          <w:noProof/>
        </w:rPr>
        <w:tab/>
        <w:t>Base juridique</w:t>
      </w:r>
    </w:p>
    <w:p>
      <w:pPr>
        <w:pBdr>
          <w:top w:val="nil"/>
          <w:left w:val="nil"/>
          <w:bottom w:val="nil"/>
          <w:right w:val="nil"/>
          <w:between w:val="nil"/>
          <w:bar w:val="nil"/>
        </w:pBdr>
        <w:spacing w:after="240"/>
        <w:rPr>
          <w:noProof/>
          <w:szCs w:val="24"/>
        </w:rPr>
      </w:pPr>
      <w:r>
        <w:rPr>
          <w:noProof/>
        </w:rPr>
        <w:t>Le Royaume-Uni a notifié son intention de se retirer de l’Union européenne. En conséquence, l’article 50 du traité sur l’Union européenne constitue la base juridique requise pour la signature et la conclusion d’un accord de retrait. Il est rappelé que, conformément à l’article 106 </w:t>
      </w:r>
      <w:r>
        <w:rPr>
          <w:i/>
          <w:noProof/>
        </w:rPr>
        <w:t>bis</w:t>
      </w:r>
      <w:r>
        <w:rPr>
          <w:noProof/>
        </w:rPr>
        <w:t xml:space="preserve"> du traité instituant la Communauté européenne de l’énergie atomique, l’article 50 du traité sur l’Union européenne s’applique également à la Communauté européenne de l’énergie atomique.</w:t>
      </w:r>
    </w:p>
    <w:p>
      <w:pPr>
        <w:pStyle w:val="ManualHeading2"/>
        <w:rPr>
          <w:noProof/>
          <w:u w:color="000000"/>
          <w:bdr w:val="nil"/>
        </w:rPr>
      </w:pPr>
      <w:r>
        <w:rPr>
          <w:noProof/>
        </w:rPr>
        <w:t>•</w:t>
      </w:r>
      <w:r>
        <w:rPr>
          <w:noProof/>
        </w:rPr>
        <w:tab/>
        <w:t>Proportionnalité</w:t>
      </w:r>
    </w:p>
    <w:p>
      <w:pPr>
        <w:pBdr>
          <w:top w:val="nil"/>
          <w:left w:val="nil"/>
          <w:bottom w:val="nil"/>
          <w:right w:val="nil"/>
          <w:between w:val="nil"/>
          <w:bar w:val="nil"/>
        </w:pBdr>
        <w:spacing w:after="240"/>
        <w:rPr>
          <w:noProof/>
          <w:szCs w:val="24"/>
        </w:rPr>
      </w:pPr>
      <w:r>
        <w:rPr>
          <w:noProof/>
        </w:rPr>
        <w:t>L’accord de retrait fixe toutes les modalités de séparation et définit clairement les termes et les conditions de la transition et sa durée. L’accord de retrait est donc adéquat et proportionné au regard de l’objectif consistant à assurer un retrait ordonné du Royaume-Uni de l’Union.</w:t>
      </w:r>
    </w:p>
    <w:p>
      <w:pPr>
        <w:pStyle w:val="ManualHeading2"/>
        <w:rPr>
          <w:noProof/>
          <w:szCs w:val="24"/>
          <w:u w:color="000000"/>
          <w:bdr w:val="nil"/>
        </w:rPr>
      </w:pPr>
      <w:r>
        <w:rPr>
          <w:noProof/>
        </w:rPr>
        <w:t>•</w:t>
      </w:r>
      <w:r>
        <w:rPr>
          <w:noProof/>
        </w:rPr>
        <w:tab/>
        <w:t>Choix de l’instrument</w:t>
      </w:r>
    </w:p>
    <w:p>
      <w:pPr>
        <w:pBdr>
          <w:top w:val="nil"/>
          <w:left w:val="nil"/>
          <w:bottom w:val="nil"/>
          <w:right w:val="nil"/>
          <w:between w:val="nil"/>
          <w:bar w:val="nil"/>
        </w:pBdr>
        <w:spacing w:after="240"/>
        <w:rPr>
          <w:noProof/>
          <w:szCs w:val="24"/>
        </w:rPr>
      </w:pPr>
      <w:r>
        <w:rPr>
          <w:noProof/>
        </w:rPr>
        <w:t>Conformément à l’article 50, paragraphe 2, du traité sur l’Union européenne, les modalités du retrait doivent être définies dans un accord conclu entre l’État qui se retire et l’Union; la signature de cet accord doit être décidée au moyen d’une décision du Conseil.</w:t>
      </w:r>
    </w:p>
    <w:p>
      <w:pPr>
        <w:pStyle w:val="ManualHeading1"/>
        <w:rPr>
          <w:noProof/>
          <w:szCs w:val="24"/>
        </w:rPr>
      </w:pPr>
      <w:r>
        <w:rPr>
          <w:noProof/>
        </w:rPr>
        <w:t>3.</w:t>
      </w:r>
      <w:r>
        <w:rPr>
          <w:noProof/>
        </w:rPr>
        <w:tab/>
        <w:t>INCIDENCE BUDGÉTAIRE</w:t>
      </w:r>
    </w:p>
    <w:p>
      <w:pPr>
        <w:pBdr>
          <w:top w:val="nil"/>
          <w:left w:val="nil"/>
          <w:bottom w:val="nil"/>
          <w:right w:val="nil"/>
          <w:between w:val="nil"/>
          <w:bar w:val="nil"/>
        </w:pBdr>
        <w:spacing w:after="240"/>
        <w:rPr>
          <w:rFonts w:eastAsia="Arial Unicode MS"/>
          <w:noProof/>
          <w:szCs w:val="24"/>
        </w:rPr>
      </w:pPr>
      <w:r>
        <w:rPr>
          <w:noProof/>
        </w:rPr>
        <w:t xml:space="preserve">Étant donné que l’accord de retrait fait en sorte que l’Union comme le Royaume-Uni respectent les obligations financières résultant de l’ensemble de la période durant laquelle le Royaume-Uni était membre de l’Union, la seule incidence budgétaire de l’accord de retrait pour l’Union découle essentiellement de la mise en place du comité mixte, composé de représentants de l’Union et de représentants du Royaume-Uni. Le comité mixte sera </w:t>
      </w:r>
      <w:r>
        <w:rPr>
          <w:noProof/>
        </w:rPr>
        <w:lastRenderedPageBreak/>
        <w:t>notamment chargé de superviser et de faciliter la mise en œuvre et l’application de l’accord de retrait. Le comité mixte se réunira au moins une fois par an, à la demande de l’une ou l’autre des parties. En outre, d’autres coûts pourraient résulter de l’ouverture éventuelle d’une procédure d’arbitrage en vertu des procédures de règlement des différends prévues dans l’accord. Si la période de transition devait être prolongée, le Royaume-Uni apportera une nouvelle contribution au budget de l’Union pour cette nouvelle période, qui sera considérée comme faisant partie des recettes générales. La fiche financière législative jointe à la proposition détaille l’incidence financière estimée de la proposition pour le budget de l’Union.</w:t>
      </w:r>
    </w:p>
    <w:p>
      <w:pPr>
        <w:pStyle w:val="ManualHeading1"/>
        <w:rPr>
          <w:noProof/>
          <w:szCs w:val="24"/>
        </w:rPr>
      </w:pPr>
      <w:r>
        <w:rPr>
          <w:noProof/>
        </w:rPr>
        <w:t>4.</w:t>
      </w:r>
      <w:r>
        <w:rPr>
          <w:noProof/>
        </w:rPr>
        <w:tab/>
        <w:t>AUTRES ÉLÉMENTS</w:t>
      </w:r>
    </w:p>
    <w:p>
      <w:pPr>
        <w:pStyle w:val="ManualHeading2"/>
        <w:rPr>
          <w:noProof/>
          <w:szCs w:val="24"/>
          <w:u w:color="000000"/>
          <w:bdr w:val="nil"/>
        </w:rPr>
      </w:pPr>
      <w:r>
        <w:rPr>
          <w:noProof/>
        </w:rPr>
        <w:t>•</w:t>
      </w:r>
      <w:r>
        <w:rPr>
          <w:noProof/>
        </w:rPr>
        <w:tab/>
        <w:t>Plans de mise en œuvre et modalités de suivi, d’évaluation et d’information</w:t>
      </w:r>
    </w:p>
    <w:p>
      <w:pPr>
        <w:keepNext/>
        <w:outlineLvl w:val="1"/>
        <w:rPr>
          <w:rFonts w:eastAsia="Arial Unicode MS"/>
          <w:noProof/>
          <w:szCs w:val="24"/>
          <w:u w:color="000000"/>
          <w:bdr w:val="nil"/>
        </w:rPr>
      </w:pPr>
      <w:r>
        <w:rPr>
          <w:noProof/>
        </w:rPr>
        <w:t>Le titre 2 de la sixième partie de l’accord institue un comité mixte qui assurera un suivi permanent de la mise en œuvre, du fonctionnement et de l’incidence de l’accord. Le comité mixte est composé de représentants de l’Union européenne et de représentants du Royaume-Uni qui se réuniront au moins une fois par an; ceux-ci superviseront et faciliteront la mise en œuvre et l’application de l’accord, décideront des tâches des comités spécialisés, superviseront leurs travaux et apporteront des modifications à l’accord lorsque cela est expressément prévu dans l’accord proprement dit. Le comité mixte ne pourra adopter ses décisions et formuler ses recommandations que par consentement mutuel entre l’Union et le Royaume-Uni. Il ne pourra en aucun cas limiter le pouvoir de décision au niveau de l’Union. L’Union et le Royaume-Uni pourront, par l’intermédiaire du comité mixte, décider de modifier certains aspects de l’accord, dans les seuls cas où cela est expressément prévu dans ledit accord. Lorsque les parties approuveront une telle décision, celle-ci devra être soumise à leurs exigences et procédures internes respectives applicables.</w:t>
      </w:r>
    </w:p>
    <w:p>
      <w:pPr>
        <w:keepNext/>
        <w:outlineLvl w:val="1"/>
        <w:rPr>
          <w:rFonts w:eastAsia="Arial Unicode MS"/>
          <w:noProof/>
          <w:szCs w:val="24"/>
          <w:u w:color="000000"/>
          <w:bdr w:val="nil"/>
        </w:rPr>
      </w:pPr>
      <w:r>
        <w:rPr>
          <w:noProof/>
        </w:rPr>
        <w:t xml:space="preserve">Les comités spécialisés suivants agiront sous le contrôle du comité mixte, c’est-à-dire qu’il y aura un sous-comité pour chacune des principales parties de l’accord de retrait: </w:t>
      </w:r>
    </w:p>
    <w:p>
      <w:pPr>
        <w:pStyle w:val="Point1letter"/>
        <w:numPr>
          <w:ilvl w:val="3"/>
          <w:numId w:val="15"/>
        </w:numPr>
        <w:rPr>
          <w:noProof/>
        </w:rPr>
      </w:pPr>
      <w:r>
        <w:rPr>
          <w:noProof/>
        </w:rPr>
        <w:t>le comité des droits des citoyens;</w:t>
      </w:r>
    </w:p>
    <w:p>
      <w:pPr>
        <w:pStyle w:val="Point1letter"/>
        <w:numPr>
          <w:ilvl w:val="3"/>
          <w:numId w:val="20"/>
        </w:numPr>
        <w:rPr>
          <w:noProof/>
        </w:rPr>
      </w:pPr>
      <w:r>
        <w:rPr>
          <w:noProof/>
        </w:rPr>
        <w:t>le comité sur les autres dispositions relatives à la séparation;</w:t>
      </w:r>
    </w:p>
    <w:p>
      <w:pPr>
        <w:pStyle w:val="Point1letter"/>
        <w:numPr>
          <w:ilvl w:val="3"/>
          <w:numId w:val="20"/>
        </w:numPr>
        <w:rPr>
          <w:noProof/>
        </w:rPr>
      </w:pPr>
      <w:r>
        <w:rPr>
          <w:noProof/>
        </w:rPr>
        <w:t>le comité sur les questions relatives à la mise en œuvre du protocole sur l’Irlande et l’Irlande du Nord;</w:t>
      </w:r>
    </w:p>
    <w:p>
      <w:pPr>
        <w:pStyle w:val="Point1letter"/>
        <w:numPr>
          <w:ilvl w:val="3"/>
          <w:numId w:val="20"/>
        </w:numPr>
        <w:rPr>
          <w:noProof/>
        </w:rPr>
      </w:pPr>
      <w:r>
        <w:rPr>
          <w:noProof/>
        </w:rPr>
        <w:t xml:space="preserve">le comité sur les questions relatives à la mise en œuvre du protocole relatif aux zones de souveraineté à Chypre; </w:t>
      </w:r>
    </w:p>
    <w:p>
      <w:pPr>
        <w:pStyle w:val="Point1letter"/>
        <w:numPr>
          <w:ilvl w:val="3"/>
          <w:numId w:val="20"/>
        </w:numPr>
        <w:rPr>
          <w:noProof/>
        </w:rPr>
      </w:pPr>
      <w:r>
        <w:rPr>
          <w:noProof/>
        </w:rPr>
        <w:t>le comité sur les questions relatives à la mise en œuvre du protocole sur Gibraltar; et</w:t>
      </w:r>
    </w:p>
    <w:p>
      <w:pPr>
        <w:pStyle w:val="Point1letter"/>
        <w:numPr>
          <w:ilvl w:val="3"/>
          <w:numId w:val="20"/>
        </w:numPr>
        <w:rPr>
          <w:noProof/>
        </w:rPr>
      </w:pPr>
      <w:r>
        <w:rPr>
          <w:noProof/>
        </w:rPr>
        <w:t>le comité des dispositions financières.</w:t>
      </w:r>
    </w:p>
    <w:p>
      <w:pPr>
        <w:keepNext/>
        <w:outlineLvl w:val="1"/>
        <w:rPr>
          <w:rFonts w:eastAsia="Arial Unicode MS"/>
          <w:noProof/>
          <w:szCs w:val="24"/>
          <w:u w:color="000000"/>
          <w:bdr w:val="nil"/>
        </w:rPr>
      </w:pPr>
      <w:r>
        <w:rPr>
          <w:noProof/>
        </w:rPr>
        <w:t>En outre, la proposition confère au comité mixte un rôle dans le règlement des différends, qui fait l’objet du titre 3 de la sixième partie de l’accord de retrait.</w:t>
      </w:r>
    </w:p>
    <w:p>
      <w:pPr>
        <w:pStyle w:val="ManualHeading2"/>
        <w:rPr>
          <w:noProof/>
          <w:szCs w:val="24"/>
          <w:u w:color="000000"/>
          <w:bdr w:val="nil"/>
        </w:rPr>
      </w:pPr>
      <w:r>
        <w:rPr>
          <w:noProof/>
        </w:rPr>
        <w:t>•</w:t>
      </w:r>
      <w:r>
        <w:rPr>
          <w:noProof/>
        </w:rPr>
        <w:tab/>
        <w:t>Explication détaillée des différentes dispositions de la proposition</w:t>
      </w:r>
    </w:p>
    <w:p>
      <w:pPr>
        <w:rPr>
          <w:noProof/>
          <w:szCs w:val="24"/>
        </w:rPr>
      </w:pPr>
      <w:r>
        <w:rPr>
          <w:noProof/>
        </w:rPr>
        <w:t>Le projet de proposition de texte de la Commission concernant l'accord de retrait comporte 185 articles structurés en six parties (subdivisées en titres et en chapitres), trois protocoles et neuf annexes, comme suit:</w:t>
      </w:r>
    </w:p>
    <w:p>
      <w:pPr>
        <w:rPr>
          <w:noProof/>
          <w:szCs w:val="24"/>
        </w:rPr>
      </w:pPr>
      <w:r>
        <w:rPr>
          <w:b/>
          <w:noProof/>
        </w:rPr>
        <w:t>la première partie</w:t>
      </w:r>
      <w:r>
        <w:rPr>
          <w:noProof/>
        </w:rPr>
        <w:t xml:space="preserve"> (Dispositions communes) contient les dispositions communes de l’accord de retrait (ci-après «l’accord»), y compris des définitions, le champ d’application territorial de l’accord de retrait, les méthodes et principes relatifs à l’effet, à la mise en œuvre et à l’application de l’accord;</w:t>
      </w:r>
    </w:p>
    <w:p>
      <w:pPr>
        <w:rPr>
          <w:noProof/>
          <w:szCs w:val="24"/>
        </w:rPr>
      </w:pPr>
      <w:r>
        <w:rPr>
          <w:b/>
          <w:noProof/>
        </w:rPr>
        <w:lastRenderedPageBreak/>
        <w:t>la deuxième partie</w:t>
      </w:r>
      <w:r>
        <w:rPr>
          <w:noProof/>
        </w:rPr>
        <w:t xml:space="preserve"> (Droits des citoyens) énonce les dispositions visant à préserver le statut et les droits, tels qu’ils découlent du droit de l’Union, des citoyens de l’Union et du Royaume-Uni et de leur famille qui sont concernés par le retrait du Royaume-Uni. La deuxième partie comprend 4 titres: titre I (Dispositions générales), titre II (Droits et obligations), titre III (Coordination des systèmes de sécurité sociale), et titre IV (Autres dispositions);</w:t>
      </w:r>
    </w:p>
    <w:p>
      <w:pPr>
        <w:rPr>
          <w:noProof/>
          <w:szCs w:val="24"/>
        </w:rPr>
      </w:pPr>
      <w:r>
        <w:rPr>
          <w:b/>
          <w:noProof/>
        </w:rPr>
        <w:t>la troisième partie</w:t>
      </w:r>
      <w:r>
        <w:rPr>
          <w:noProof/>
        </w:rPr>
        <w:t xml:space="preserve"> (Dispositions relatives à la séparation) fixe les dispositions relatives aux autres questions liées à la séparation du Royaume-Uni de l’Union. La troisième partie comprend 13 titres: titre I (Marchandises mises sur le marché), titre II (Régimes douaniers en cours), titre III (Questions en cours relatives à la taxe sur la valeur ajoutée et aux droits d’accise), titre IV (Propriété intellectuelle), titre V (Coopération policière et judiciaire en cours en matière pénale ), titre VI (Coopération judiciaire en cours en matière civile et commerciale), titre VII (Données et informations traitées ou obtenues avant la date d’entrée en vigueur, ou sur la base du présent accord), titre VIII (Marchés publics et procédures similaires en cours), titre IX (Questions relatives à Euratom), titre X (Procédures judiciaires et administratives de l’Union), titre XI (Procédures de coopération administrative entre les États membres et le Royaume-Uni), titre XII (Privilèges et immunités) et titre XIII (Autres questions relatives au fonctionnement des institutions, organes et organismes de l’Union); </w:t>
      </w:r>
    </w:p>
    <w:p>
      <w:pPr>
        <w:rPr>
          <w:noProof/>
          <w:szCs w:val="24"/>
        </w:rPr>
      </w:pPr>
      <w:r>
        <w:rPr>
          <w:b/>
          <w:noProof/>
        </w:rPr>
        <w:t>la quatrième partie</w:t>
      </w:r>
      <w:r>
        <w:rPr>
          <w:noProof/>
        </w:rPr>
        <w:t xml:space="preserve"> (Dispositions transitoires) établit une période de transition au cours de laquelle l’ensemble de l’acquis de l’Union s’appliquera au Royaume-Uni, avec quelques exceptions. Au cours de cette transition, le Royaume-Uni ne sera plus représenté dans les institutions de l’Union, ni ne participera à l’élaboration des décisions ou au processus de prise de décision de l’Union. En outre, la quatrième partie fixe les dispositions transitoires applicables au Royaume-Uni en ce qui concerne les accords internationaux conclus par l’Union, ou par des États membres agissant en son nom, ou par l’Union et ses États membres agissant conjointement. Conformément à l’article 129, le Royaume-Uni sera lié par les obligations découlant de ces accords. L’article 130 prévoit un mécanisme de consultation en ce qui concerne la fixation des possibilités de pêche du Royaume-Uni pour la période de transition. L’article 131 garantit que toutes les institutions de l’Union conservent pleinement leurs compétences à l’égard du Royaume-Uni, y compris en ce qui concerne les compétences de la Cour de justice de l’Union européenne. L’article 132, prévoit la possibilité d’adopter une seule décision prolongeant la période de transition d’une période maximale d’un ou deux ans;</w:t>
      </w:r>
    </w:p>
    <w:p>
      <w:pPr>
        <w:rPr>
          <w:noProof/>
          <w:szCs w:val="24"/>
        </w:rPr>
      </w:pPr>
      <w:r>
        <w:rPr>
          <w:b/>
          <w:noProof/>
        </w:rPr>
        <w:t>la cinquième partie</w:t>
      </w:r>
      <w:r>
        <w:rPr>
          <w:noProof/>
        </w:rPr>
        <w:t xml:space="preserve"> (Dispositions financières) fixe les modalités détaillées du règlement financier, y compris les modalités détaillées relatives aux composantes du règlement financier ainsi que celles relatives au calcul de la valeur du règlement financier et des modalités de paiement.  Des règles sont également fixées en ce qui concerne les modalités de la participation du Royaume-Uni aux programmes de l’actuel cadre financier pluriannuel (CFP), jusqu’à leur clôture;</w:t>
      </w:r>
    </w:p>
    <w:p>
      <w:pPr>
        <w:rPr>
          <w:noProof/>
          <w:szCs w:val="24"/>
        </w:rPr>
      </w:pPr>
      <w:r>
        <w:rPr>
          <w:b/>
          <w:noProof/>
        </w:rPr>
        <w:t>la sixième partie</w:t>
      </w:r>
      <w:r>
        <w:rPr>
          <w:noProof/>
        </w:rPr>
        <w:t xml:space="preserve"> (Dispositions institutionnelles et finales) établit les règles pour l’interprétation et l’application uniformes de l’accord et institue un comité mixte ainsi qu’un mécanisme de règlement des différends. Cette partie prévoit également à l’égard des parties une obligation de moyens afin qu'elles s'efforcent de parvenir à un accord sur leurs relations futures avant la fin de la période de transition, et elle contient des dispositions sur l’entrée en vigueur de l’accord. </w:t>
      </w:r>
    </w:p>
    <w:p>
      <w:pPr>
        <w:rPr>
          <w:noProof/>
          <w:szCs w:val="24"/>
        </w:rPr>
      </w:pPr>
      <w:r>
        <w:rPr>
          <w:noProof/>
        </w:rPr>
        <w:t xml:space="preserve">Le </w:t>
      </w:r>
      <w:r>
        <w:rPr>
          <w:b/>
          <w:noProof/>
        </w:rPr>
        <w:t>protocole sur l’Irlande et l’Irlande du Nord</w:t>
      </w:r>
      <w:r>
        <w:rPr>
          <w:noProof/>
        </w:rPr>
        <w:t xml:space="preserve"> et ses 10 annexes comprend les dispositions nécessaires pour la «solution de dernier recours» visant à éviter une frontière physique entre l’Irlande et l’Irlande du Nord. Il s’appliquera jusqu’à ce qu’il soit remplacé, en tout ou en partie, par un accord ultérieur. Le protocole crée un territoire douanier unique UE-Royaume-Uni. Cela permet d’éviter le recours aux tarifs, quotas ou règles d’origine entre l’UE et le </w:t>
      </w:r>
      <w:r>
        <w:rPr>
          <w:noProof/>
        </w:rPr>
        <w:lastRenderedPageBreak/>
        <w:t>Royaume-Uni. Il prévoit aussi un éventail de mesures garantissant des conditions de concurrence équitables entre l’UE et le Royaume-Uni. De plus, le protocole garantit que le code des douanes de l'Union, qui fixe, notamment, les dispositions de mise en libre pratique des produits dans l’Union, continuera de s’appliquer à l’Irlande du Nord. Cela évitera que les entreprises d’Irlande du Nord se voient imposer des restrictions lorsqu’elles mettront des produits sur le marché unique de l’Union. Le protocole prévoit aussi qu’en ce qui concerne l’Irlande du Nord, le Royaume-Uni demeure aligné sur un ensemble limité de règles qui sont liées au marché unique de l’Union et qui sont indispensables pour éviter une frontière physique: la législation sur les marchandises, les règles sanitaires et phytosanitaires («réglementation SPS»), les règles relatives à la production agricole, la TVA et les accises, et les règles en matière d’aides d’État. Il contient aussi des dispositions régissant le marché unique de l’électricité sur l’île d’Irlande. En vertu du protocole, la zone de voyage commune entre l’Irlande et le Royaume-Uni et les droits et privilèges qui y sont associés continueront à s’appliquer conformément au droit de l’Union, notamment en matière de libre circulation des citoyens de l’Union. La coopération Nord-Sud sera également poursuivie, comme énoncé dans le protocole, y compris dans les domaines de l’environnement, de la santé, de l’agriculture, des transports, de l’enseignement et du tourisme, ainsi que dans les secteurs de l’énergie, des télécommunications, de la radiodiffusion, de la pêche dans les eaux intérieures, de la justice et de la sécurité, de l’enseignement supérieur et du sport.</w:t>
      </w:r>
    </w:p>
    <w:p>
      <w:pPr>
        <w:rPr>
          <w:noProof/>
          <w:szCs w:val="24"/>
        </w:rPr>
      </w:pPr>
      <w:r>
        <w:rPr>
          <w:noProof/>
        </w:rPr>
        <w:t xml:space="preserve">L’accord de retrait comprend également un </w:t>
      </w:r>
      <w:r>
        <w:rPr>
          <w:b/>
          <w:noProof/>
        </w:rPr>
        <w:t>protocole relatif aux zones de souveraineté du Royaume-Uni à Chypre</w:t>
      </w:r>
      <w:r>
        <w:rPr>
          <w:noProof/>
        </w:rPr>
        <w:t xml:space="preserve"> (le protocole relatif aux zones de souveraineté). Étant donné que les relations entre l’Union et les zones de souveraineté doivent être définies dans le cadre de l’appartenance de la République de Chypre à l’Union, le protocole relatif aux zones de souveraineté devrait établir des mécanismes appropriés pour atteindre les objectifs du régime défini dans le protocole nº 3 de l’acte d’adhésion de la République de Chypre à l’Union, après le retrait du Royaume-Uni de l’Union. Comme souligné dans la déclaration commune du 19 juin 2018, tant l’Union que le Royaume-Uni se sont engagés à mettre en place des modalités appropriées pour les zones de souveraineté, «en particulier pour protéger les intérêts des Chypriotes qui vivent et travaillent dans ces zones, à la suite du retrait du Royaume-Uni de l’Union, dans le plein respect des droits et obligations découlant du traité d’établissement.»  L’Union et le Royaume-Uni sont convenus d’un protocole donnant effet à cela et qui est annexé à l’accord de retrait. L’objectif de ce protocole est de garantir que le droit de l’UE, dans les domaines mentionnés dans le protocole n° 3 de l’acte d’adhésion de Chypre, continuera de s’appliquer dans les zones de souveraineté, sans interruption ni perte de droits, en particulier pour les quelque 11 000 civils chypriotes vivant et travaillant dans les zones de souveraineté. Cela s’applique à un certain nombre de domaines politiques tels que la fiscalité, les biens, l’agriculture, la pêche et les règles vétérinaires et phytosanitaires. Le protocole confère à la République de Chypre la responsabilité de la mise en œuvre et de l’application du droit de l’Union dans la plupart des domaines couverts, à l’exception des affaires militaires et de sécurité. </w:t>
      </w:r>
    </w:p>
    <w:p>
      <w:pPr>
        <w:rPr>
          <w:rStyle w:val="Emphasis"/>
          <w:i w:val="0"/>
          <w:noProof/>
        </w:rPr>
      </w:pPr>
      <w:r>
        <w:rPr>
          <w:noProof/>
        </w:rPr>
        <w:t xml:space="preserve">Enfin, l’accord de retrait comprend </w:t>
      </w:r>
      <w:r>
        <w:rPr>
          <w:b/>
          <w:noProof/>
          <w:u w:color="000000"/>
          <w:bdr w:val="nil"/>
        </w:rPr>
        <w:t>un protocole sur Gibraltar</w:t>
      </w:r>
      <w:r>
        <w:rPr>
          <w:noProof/>
        </w:rPr>
        <w:t xml:space="preserve"> régissant les problèmes spécifiques que le retrait du Royaume-Uni de l’Union crée en ce qui concerne Gibraltar.  Les orientations du Conseil européen du 29 avril 2017 prévoient que lorsque le Royaume-Uni aura quitté l'Union</w:t>
      </w:r>
      <w:r>
        <w:rPr>
          <w:i/>
          <w:noProof/>
        </w:rPr>
        <w:t xml:space="preserve">, </w:t>
      </w:r>
      <w:r>
        <w:rPr>
          <w:rStyle w:val="Emphasis"/>
          <w:i w:val="0"/>
          <w:noProof/>
        </w:rPr>
        <w:t xml:space="preserve">«aucun accord entre l’Union européenne et le Royaume-Uni ne pourra s’appliquer au territoire de Gibraltar sans accord entre le Royaume d’Espagne et le Royaume-Uni». Cela a été rappelé dans les directives de négociation supplémentaires du 29 janvier 2018  et dans les orientations du Conseil européen du 14 mars 2018. Dans les déclarations à inscrire au procès-verbal de la réunion du Conseil européen du 25 novembre 2018, la déclaration suivante du Conseil européen et de la Commission a été ajoutée: «Après que le Royaume-Uni aura quitté l'Union, Gibraltar ne sera pas inclus dans le champ d'application </w:t>
      </w:r>
      <w:r>
        <w:rPr>
          <w:rStyle w:val="Emphasis"/>
          <w:i w:val="0"/>
          <w:noProof/>
        </w:rPr>
        <w:lastRenderedPageBreak/>
        <w:t>territorial des accords qui seront conclus entre l'Union et le Royaume-Uni.  Cependant, cela ne fait pas obstacle à la possibilité d'avoir des accords séparés entre l'Union et le Royaume-Uni en ce qui concerne Gibraltar. Sans préjudice des compétences de l'Union et dans le plein respect de l'intégrité territoriale de ses États membres, telle qu'elle est garantie par l'article 4, paragraphe 2, du traité sur l'Union européenne, ces accords séparés nécessiteront un accord préalable du Royaume d'Espagne».  En outre, à la même occasion, le Conseil européen et la Commission ont adopté une déclaration interprétative concernant l’article 184 de l’accord de retrait et le champ d'application territorial des accords futurs.</w:t>
      </w:r>
      <w:r>
        <w:rPr>
          <w:rStyle w:val="Emphasis"/>
          <w:noProof/>
        </w:rPr>
        <w:t xml:space="preserve">  </w:t>
      </w:r>
    </w:p>
    <w:p>
      <w:pPr>
        <w:rPr>
          <w:noProof/>
        </w:rPr>
      </w:pPr>
      <w:r>
        <w:rPr>
          <w:noProof/>
        </w:rPr>
        <w:t>Les négociations bilatérales entre l’Espagne et le Royaume-Uni sont à présent achevées. Un protocole mentionnant ces accords bilatéraux est annexé à l’accord de retrait. Le protocole forme un ensemble de mémorandums d’accord bilatéraux entre l’Espagne et le Royaume-Uni en ce qui concerne Gibraltar. Il s’agit d’une coopération bilatérale portant sur les droits des citoyens, les produits du tabac et autres produits, l’environnement, et d'une coopération en matière policière et douanière, ainsi que d’un accord bilatéral en matière de fiscalité et de protection des intérêts financiers. En ce qui concerne les droits des citoyens, le protocole jette les bases d’une coopération administrative entre les autorités compétentes pour la mise en œuvre du retrait à l’égard des personnes vivant dans la région de Gibraltar, et en particulier des travailleurs frontaliers. En ce qui concerne le droit du transport aérien, il prévoit la possibilité, en cas d’accord entre l’Espagne et le Royaume-Uni sur l’utilisation de l’aéroport de Gibraltar, de rendre applicable à Gibraltar pendant la période de transition la législation de l’UE qui n’y était pas applicable auparavant. En matière fiscale et de protection des intérêts financiers, le protocole jette les bases d’une coopération administrative entre les autorités compétentes pour parvenir à une transparence totale en matière fiscale et lutter contre la fraude, la contrebande et le blanchiment de capitaux.  Le Royaume-Uni s’engage également à ce que les normes internationales dans ce domaine soient respectées à Gibraltar. En ce qui concerne le tabac, le Royaume-Uni s’engage à ratifier certaines conventions relatives à Gibraltar et à mettre en place avant le 30 juin 2020 un système de traçabilité et de mesures de sécurité pour les cigarettes. En ce qui concerne l’alcool et l’essence, le Royaume-Uni s’engage à faire en sorte qu’un système fiscal visant à prévenir la fraude entre en vigueur à Gibraltar.  En matière de protection de l’environnement, de pêche et de coopération policière et douanière, le protocole jette les bases d’une coopération administrative entre les autorités compétentes. Un comité spécialisé est également créé pour superviser l’application de ce protocole.</w:t>
      </w:r>
    </w:p>
    <w:p>
      <w:pPr>
        <w:rPr>
          <w:noProof/>
          <w:szCs w:val="24"/>
        </w:rPr>
      </w:pPr>
    </w:p>
    <w:p>
      <w:pPr>
        <w:rPr>
          <w:noProof/>
          <w:szCs w:val="24"/>
        </w:rPr>
      </w:pPr>
      <w:r>
        <w:rPr>
          <w:noProof/>
        </w:rPr>
        <w:t>L’accord comprend également les annexes suivantes:</w:t>
      </w:r>
    </w:p>
    <w:p>
      <w:pPr>
        <w:pStyle w:val="Bullet0"/>
        <w:numPr>
          <w:ilvl w:val="0"/>
          <w:numId w:val="9"/>
        </w:numPr>
        <w:rPr>
          <w:noProof/>
          <w:szCs w:val="24"/>
        </w:rPr>
      </w:pPr>
      <w:r>
        <w:rPr>
          <w:noProof/>
        </w:rPr>
        <w:t>l’annexe I sur la coordination de la sécurité sociale;</w:t>
      </w:r>
    </w:p>
    <w:p>
      <w:pPr>
        <w:pStyle w:val="Bullet0"/>
        <w:numPr>
          <w:ilvl w:val="0"/>
          <w:numId w:val="9"/>
        </w:numPr>
        <w:rPr>
          <w:noProof/>
          <w:szCs w:val="24"/>
        </w:rPr>
      </w:pPr>
      <w:r>
        <w:rPr>
          <w:noProof/>
        </w:rPr>
        <w:t>l’annexe II sur les dispositions du droit de l’Union visées à l’article 41, paragraphe 4;</w:t>
      </w:r>
    </w:p>
    <w:p>
      <w:pPr>
        <w:pStyle w:val="Bullet0"/>
        <w:numPr>
          <w:ilvl w:val="0"/>
          <w:numId w:val="21"/>
        </w:numPr>
        <w:rPr>
          <w:noProof/>
          <w:szCs w:val="24"/>
        </w:rPr>
      </w:pPr>
      <w:r>
        <w:rPr>
          <w:noProof/>
        </w:rPr>
        <w:t>l’annexe III sur les délais pour les situations ou les régimes douaniers visés à l’article 49, paragraphe 1;</w:t>
      </w:r>
    </w:p>
    <w:p>
      <w:pPr>
        <w:pStyle w:val="Bullet0"/>
        <w:numPr>
          <w:ilvl w:val="0"/>
          <w:numId w:val="21"/>
        </w:numPr>
        <w:rPr>
          <w:noProof/>
          <w:szCs w:val="24"/>
        </w:rPr>
      </w:pPr>
      <w:r>
        <w:rPr>
          <w:noProof/>
        </w:rPr>
        <w:t>l’annexe IV sur la liste des réseaux, systèmes d’information et bases de données visés aux articles 50, 53, 99 et 100;</w:t>
      </w:r>
    </w:p>
    <w:p>
      <w:pPr>
        <w:pStyle w:val="Bullet0"/>
        <w:numPr>
          <w:ilvl w:val="0"/>
          <w:numId w:val="21"/>
        </w:numPr>
        <w:rPr>
          <w:noProof/>
          <w:szCs w:val="24"/>
        </w:rPr>
      </w:pPr>
      <w:r>
        <w:rPr>
          <w:noProof/>
        </w:rPr>
        <w:t>l’annexe V sur EURATOM;</w:t>
      </w:r>
    </w:p>
    <w:p>
      <w:pPr>
        <w:pStyle w:val="Bullet0"/>
        <w:numPr>
          <w:ilvl w:val="0"/>
          <w:numId w:val="21"/>
        </w:numPr>
        <w:rPr>
          <w:noProof/>
          <w:szCs w:val="24"/>
        </w:rPr>
      </w:pPr>
      <w:r>
        <w:rPr>
          <w:noProof/>
        </w:rPr>
        <w:t>l’annexe VI sur la liste des procédures de coopération administrative visées à l’article 98;</w:t>
      </w:r>
    </w:p>
    <w:p>
      <w:pPr>
        <w:pStyle w:val="Bullet0"/>
        <w:numPr>
          <w:ilvl w:val="0"/>
          <w:numId w:val="21"/>
        </w:numPr>
        <w:rPr>
          <w:noProof/>
          <w:szCs w:val="24"/>
        </w:rPr>
      </w:pPr>
      <w:r>
        <w:rPr>
          <w:noProof/>
        </w:rPr>
        <w:t>l’annexe VII sur la liste des actes/dispositions visés à l’article 128, paragraphe 6;</w:t>
      </w:r>
    </w:p>
    <w:p>
      <w:pPr>
        <w:pStyle w:val="Bullet0"/>
        <w:numPr>
          <w:ilvl w:val="0"/>
          <w:numId w:val="21"/>
        </w:numPr>
        <w:rPr>
          <w:noProof/>
          <w:szCs w:val="24"/>
        </w:rPr>
      </w:pPr>
      <w:r>
        <w:rPr>
          <w:noProof/>
        </w:rPr>
        <w:lastRenderedPageBreak/>
        <w:t>l’annexe VIII sur le règlement intérieur du comité mixte et des comités spécialisés;</w:t>
      </w:r>
    </w:p>
    <w:p>
      <w:pPr>
        <w:pStyle w:val="Bullet0"/>
        <w:numPr>
          <w:ilvl w:val="0"/>
          <w:numId w:val="21"/>
        </w:numPr>
        <w:rPr>
          <w:noProof/>
          <w:szCs w:val="24"/>
        </w:rPr>
      </w:pPr>
      <w:r>
        <w:rPr>
          <w:noProof/>
        </w:rPr>
        <w:t>l’annexe IX sur les règles de procédure pour le règlement des différends;</w:t>
      </w:r>
    </w:p>
    <w:p>
      <w:pPr>
        <w:pStyle w:val="ManualHeading2"/>
        <w:rPr>
          <w:b w:val="0"/>
          <w:noProof/>
        </w:rPr>
      </w:pPr>
      <w:r>
        <w:rPr>
          <w:b w:val="0"/>
          <w:noProof/>
        </w:rPr>
        <w:t>L'accord entrera en vigueur le 30 mars 2019.</w:t>
      </w:r>
    </w:p>
    <w:p>
      <w:pPr>
        <w:pStyle w:val="Text1"/>
        <w:rPr>
          <w:noProof/>
        </w:rPr>
        <w:sectPr>
          <w:footerReference w:type="default" r:id="rId16"/>
          <w:footerReference w:type="first" r:id="rId17"/>
          <w:pgSz w:w="11907" w:h="16839"/>
          <w:pgMar w:top="1134" w:right="1417" w:bottom="1134" w:left="1417" w:header="709" w:footer="709" w:gutter="0"/>
          <w:cols w:space="708"/>
          <w:docGrid w:linePitch="360"/>
        </w:sectPr>
      </w:pPr>
    </w:p>
    <w:p>
      <w:pPr>
        <w:pStyle w:val="Rfrenceinterinstitutionnelle"/>
        <w:rPr>
          <w:noProof/>
        </w:rPr>
      </w:pPr>
      <w:r>
        <w:rPr>
          <w:noProof/>
        </w:rPr>
        <w:lastRenderedPageBreak/>
        <w:t>2018/0426 (NLE)</w:t>
      </w:r>
    </w:p>
    <w:p>
      <w:pPr>
        <w:pStyle w:val="Statut"/>
        <w:rPr>
          <w:noProof/>
        </w:rPr>
      </w:pPr>
      <w:r>
        <w:rPr>
          <w:noProof/>
        </w:rPr>
        <w:t>Proposition de</w:t>
      </w:r>
    </w:p>
    <w:p>
      <w:pPr>
        <w:pStyle w:val="Typedudocument"/>
        <w:rPr>
          <w:noProof/>
        </w:rPr>
      </w:pPr>
      <w:r>
        <w:rPr>
          <w:noProof/>
        </w:rPr>
        <w:t>DÉCISION DU CONSEIL</w:t>
      </w:r>
    </w:p>
    <w:p>
      <w:pPr>
        <w:pStyle w:val="Titreobjet"/>
        <w:rPr>
          <w:noProof/>
        </w:rPr>
      </w:pPr>
      <w:r>
        <w:rPr>
          <w:noProof/>
        </w:rPr>
        <w:t>relative à la signature, au nom de l’Union européenne et de la Communauté européenne de l’énergie atomique, de l'accord sur le retrait du Royaume-Uni de Grande-Bretagne et d'Irlande du Nord de l'Union européenne et de la Communauté européenne de l'énergie atomique</w:t>
      </w:r>
    </w:p>
    <w:p>
      <w:pPr>
        <w:pStyle w:val="IntrtEEE"/>
        <w:rPr>
          <w:noProof/>
        </w:rPr>
      </w:pPr>
      <w:r>
        <w:rPr>
          <w:noProof/>
        </w:rPr>
        <w:t>(Texte présentant de l'intérêt pour l'EEE)</w:t>
      </w:r>
    </w:p>
    <w:p>
      <w:pPr>
        <w:pStyle w:val="Institutionquiagit"/>
        <w:rPr>
          <w:noProof/>
          <w:szCs w:val="24"/>
        </w:rPr>
      </w:pPr>
      <w:r>
        <w:rPr>
          <w:noProof/>
        </w:rPr>
        <w:t>LE CONSEIL DE L'UNION EUROPÉENNE,</w:t>
      </w:r>
    </w:p>
    <w:p>
      <w:pPr>
        <w:rPr>
          <w:noProof/>
          <w:szCs w:val="24"/>
        </w:rPr>
      </w:pPr>
      <w:r>
        <w:rPr>
          <w:noProof/>
        </w:rPr>
        <w:t xml:space="preserve">vu le traité sur l'Union européenne, et notamment son article 50, </w:t>
      </w:r>
    </w:p>
    <w:p>
      <w:pPr>
        <w:rPr>
          <w:noProof/>
          <w:szCs w:val="24"/>
        </w:rPr>
      </w:pPr>
      <w:r>
        <w:rPr>
          <w:noProof/>
        </w:rPr>
        <w:t>vu le traité instituant la Communauté européenne de l'énergie atomique, et notamment son article 106 </w:t>
      </w:r>
      <w:r>
        <w:rPr>
          <w:i/>
          <w:noProof/>
        </w:rPr>
        <w:t>bis</w:t>
      </w:r>
      <w:r>
        <w:rPr>
          <w:noProof/>
        </w:rPr>
        <w:t xml:space="preserve">, </w:t>
      </w:r>
    </w:p>
    <w:p>
      <w:pPr>
        <w:rPr>
          <w:noProof/>
          <w:szCs w:val="24"/>
        </w:rPr>
      </w:pPr>
      <w:r>
        <w:rPr>
          <w:noProof/>
        </w:rPr>
        <w:t>vu la proposition de la Commission européenne,</w:t>
      </w:r>
    </w:p>
    <w:p>
      <w:pPr>
        <w:rPr>
          <w:noProof/>
          <w:szCs w:val="24"/>
        </w:rPr>
      </w:pPr>
      <w:r>
        <w:rPr>
          <w:noProof/>
        </w:rPr>
        <w:t>considérant ce qui suit:</w:t>
      </w:r>
    </w:p>
    <w:p>
      <w:pPr>
        <w:pStyle w:val="ManualConsidrant"/>
        <w:rPr>
          <w:noProof/>
          <w:szCs w:val="24"/>
        </w:rPr>
      </w:pPr>
      <w:r>
        <w:t>(1)</w:t>
      </w:r>
      <w:r>
        <w:tab/>
      </w:r>
      <w:r>
        <w:rPr>
          <w:noProof/>
        </w:rPr>
        <w:t>Le 29 mars 2017, le Royaume-Uni a notifié au Conseil européen son intention de se retirer de l’Union européenne et de la Communauté européenne de l’énergie atomique (ci-après dénommée «Euratom») conformément à l’article 50 du traité sur l’Union européenne, qui s’applique à Euratom en vertu de l’article 106 </w:t>
      </w:r>
      <w:r>
        <w:rPr>
          <w:i/>
          <w:noProof/>
        </w:rPr>
        <w:t>bis</w:t>
      </w:r>
      <w:r>
        <w:rPr>
          <w:noProof/>
        </w:rPr>
        <w:t xml:space="preserve"> du traité instituant la Communauté européenne de l’énergie atomique. </w:t>
      </w:r>
    </w:p>
    <w:p>
      <w:pPr>
        <w:pStyle w:val="ManualConsidrant"/>
        <w:rPr>
          <w:noProof/>
          <w:szCs w:val="24"/>
        </w:rPr>
      </w:pPr>
      <w:r>
        <w:t>(2)</w:t>
      </w:r>
      <w:r>
        <w:tab/>
      </w:r>
      <w:r>
        <w:rPr>
          <w:noProof/>
        </w:rPr>
        <w:t xml:space="preserve">Le 22 mai 2017, le Conseil a autorisé la Commission à ouvrir des négociations avec le Royaume-Uni en vue de la conclusion d’un accord fixant les modalités de son retrait, en tenant compte du cadre de ses relations futures avec l’Union. </w:t>
      </w:r>
    </w:p>
    <w:p>
      <w:pPr>
        <w:pStyle w:val="ManualConsidrant"/>
        <w:rPr>
          <w:noProof/>
          <w:szCs w:val="24"/>
        </w:rPr>
      </w:pPr>
      <w:r>
        <w:t>(3)</w:t>
      </w:r>
      <w:r>
        <w:tab/>
      </w:r>
      <w:r>
        <w:rPr>
          <w:noProof/>
        </w:rPr>
        <w:t>Les négociations ont été menées à la lumière des orientations du Conseil européen des 29 avril et 15 décembre 2017 et du 23 mars 2018, avec l’objectif général d’assurer un retrait ordonné du Royaume-Uni de l’Union et d’Euratom.</w:t>
      </w:r>
    </w:p>
    <w:p>
      <w:pPr>
        <w:pStyle w:val="ManualConsidrant"/>
        <w:rPr>
          <w:noProof/>
          <w:szCs w:val="24"/>
        </w:rPr>
      </w:pPr>
      <w:r>
        <w:t>(4)</w:t>
      </w:r>
      <w:r>
        <w:tab/>
      </w:r>
      <w:r>
        <w:rPr>
          <w:noProof/>
        </w:rPr>
        <w:t>Le 25 novembre 2018, le Conseil européen a approuvé l'accord sur le retrait du Royaume-Uni de Grande-Bretagne et d'Irlande du Nord de l'Union européenne et de la Communauté européenne de l'énergie atomique (ci-après dénommé «accord»).</w:t>
      </w:r>
    </w:p>
    <w:p>
      <w:pPr>
        <w:pStyle w:val="ManualConsidrant"/>
        <w:rPr>
          <w:noProof/>
          <w:szCs w:val="24"/>
        </w:rPr>
      </w:pPr>
      <w:r>
        <w:t>(5)</w:t>
      </w:r>
      <w:r>
        <w:tab/>
      </w:r>
      <w:r>
        <w:rPr>
          <w:noProof/>
        </w:rPr>
        <w:t>Les négociations ayant été menées à bien, l’accord devrait être signé au nom de l’Union, sous réserve de l’accomplissement des procédures requises pour sa conclusion à une date ultérieure.</w:t>
      </w:r>
    </w:p>
    <w:p>
      <w:pPr>
        <w:pStyle w:val="ManualConsidrant"/>
        <w:rPr>
          <w:noProof/>
          <w:szCs w:val="24"/>
        </w:rPr>
      </w:pPr>
      <w:r>
        <w:t>(6)</w:t>
      </w:r>
      <w:r>
        <w:tab/>
      </w:r>
      <w:r>
        <w:rPr>
          <w:noProof/>
        </w:rPr>
        <w:t>Conformément à l’article 106 </w:t>
      </w:r>
      <w:r>
        <w:rPr>
          <w:i/>
          <w:noProof/>
        </w:rPr>
        <w:t>bis</w:t>
      </w:r>
      <w:r>
        <w:rPr>
          <w:noProof/>
        </w:rPr>
        <w:t xml:space="preserve"> du traité instituant la Communauté européenne de l’énergie atomique, l’article 50 du TUE s’applique à cette dernière.</w:t>
      </w:r>
    </w:p>
    <w:p>
      <w:pPr>
        <w:pStyle w:val="ManualConsidrant"/>
        <w:rPr>
          <w:noProof/>
          <w:szCs w:val="24"/>
        </w:rPr>
      </w:pPr>
      <w:r>
        <w:t>(7)</w:t>
      </w:r>
      <w:r>
        <w:tab/>
      </w:r>
      <w:r>
        <w:rPr>
          <w:noProof/>
        </w:rPr>
        <w:t xml:space="preserve">L’accord prévoit une période de transition pendant laquelle – nonobstant toutes les conséquences du retrait du Royaume-Uni de l’Union en ce qui concerne la participation du Royaume-Uni aux institutions, organes et organismes de l’Union – le droit de l’Union, y compris les accords internationaux, sera applicable au Royaume-Uni et sur son territoire. La Commission devrait dès lors notifier, au nom de l’Union et </w:t>
      </w:r>
      <w:r>
        <w:rPr>
          <w:noProof/>
        </w:rPr>
        <w:lastRenderedPageBreak/>
        <w:t>d’Euratom, aux autres parties à ces accords que, pendant la période de transition, le Royaume-Uni sera traité comme un État membre aux fins desdits accords.</w:t>
      </w:r>
    </w:p>
    <w:p>
      <w:pPr>
        <w:pStyle w:val="ManualConsidrant"/>
        <w:rPr>
          <w:noProof/>
          <w:szCs w:val="24"/>
        </w:rPr>
      </w:pPr>
      <w:r>
        <w:t>(8)</w:t>
      </w:r>
      <w:r>
        <w:tab/>
      </w:r>
      <w:r>
        <w:rPr>
          <w:noProof/>
        </w:rPr>
        <w:t>L’article 185, deuxième alinéa, de l’accord prévoit que, lorsqu’elle procède à la notification écrite de l’achèvement des procédures internes nécessaires, l’Union, à l'égard de tout État membre ayant soulevé des raisons liées aux principes fondamentaux du droit national dudit État membre, peut déclarer que, pendant la période de transition, outre les motifs de non-exécution d’un mandat d’arrêt européen visés dans la décision-cadre 2002/584/JHA, les autorités judiciaires d’exécution de cet État membre peuvent refuser de remettre ses ressortissants au Royaume-Uni en vertu d’un mandat d’arrêt européen. Il convient dès lors de fixer, pour les États membres souhaitant recourir à cette possibilité, un délai pour en informer la Commission et le Secrétariat général du Conseil.</w:t>
      </w:r>
    </w:p>
    <w:p>
      <w:pPr>
        <w:pStyle w:val="ManualConsidrant"/>
        <w:rPr>
          <w:noProof/>
          <w:szCs w:val="24"/>
        </w:rPr>
      </w:pPr>
      <w:r>
        <w:t>(9)</w:t>
      </w:r>
      <w:r>
        <w:tab/>
      </w:r>
      <w:r>
        <w:rPr>
          <w:noProof/>
        </w:rPr>
        <w:t>Ainsi que le prévoit l’article 50, paragraphe 4, du traité sur l’Union européenne, le Royaume-Uni n’a pas participé aux délibérations du Conseil concernant la présente décision, ni à son adoption,</w:t>
      </w:r>
    </w:p>
    <w:p>
      <w:pPr>
        <w:pStyle w:val="Formuledadoption"/>
        <w:rPr>
          <w:noProof/>
        </w:rPr>
      </w:pPr>
      <w:r>
        <w:rPr>
          <w:noProof/>
        </w:rPr>
        <w:t xml:space="preserve">A ADOPTÉ LA PRÉSENTE DÉCISION: </w:t>
      </w:r>
    </w:p>
    <w:p>
      <w:pPr>
        <w:pStyle w:val="Titrearticle"/>
        <w:rPr>
          <w:noProof/>
          <w:szCs w:val="24"/>
        </w:rPr>
      </w:pPr>
      <w:r>
        <w:rPr>
          <w:noProof/>
        </w:rPr>
        <w:t>Article premier</w:t>
      </w:r>
    </w:p>
    <w:p>
      <w:pPr>
        <w:rPr>
          <w:noProof/>
          <w:szCs w:val="24"/>
        </w:rPr>
      </w:pPr>
      <w:r>
        <w:rPr>
          <w:noProof/>
        </w:rPr>
        <w:t xml:space="preserve">La signature, au nom de l’Union et de la Communauté européenne de l’énergie atomique, de l’accord sur le retrait du Royaume-Uni de Grande-Bretagne et d’Irlande du Nord de l’Union européenne et de la Communauté européenne de l’énergie atomique (ci-après dénommé «accord») est autorisée, sous réserve de la conclusion dudit accord. </w:t>
      </w:r>
    </w:p>
    <w:p>
      <w:pPr>
        <w:rPr>
          <w:noProof/>
          <w:szCs w:val="24"/>
        </w:rPr>
      </w:pPr>
      <w:r>
        <w:rPr>
          <w:noProof/>
        </w:rPr>
        <w:t>Le texte de l’accord est joint à la présente décision.</w:t>
      </w:r>
    </w:p>
    <w:p>
      <w:pPr>
        <w:pStyle w:val="Titrearticle"/>
        <w:keepNext w:val="0"/>
        <w:rPr>
          <w:noProof/>
          <w:szCs w:val="24"/>
        </w:rPr>
      </w:pPr>
      <w:r>
        <w:rPr>
          <w:noProof/>
        </w:rPr>
        <w:t>Article 2</w:t>
      </w:r>
    </w:p>
    <w:p>
      <w:pPr>
        <w:keepLines/>
        <w:rPr>
          <w:noProof/>
          <w:szCs w:val="24"/>
        </w:rPr>
      </w:pPr>
      <w:r>
        <w:rPr>
          <w:noProof/>
        </w:rPr>
        <w:t xml:space="preserve">Le président du Conseil européen et le président de la Commission sont autorisés à signer l’accord au nom de l’Union et de la Communauté européenne de l’énergie atomique. </w:t>
      </w:r>
    </w:p>
    <w:p>
      <w:pPr>
        <w:pStyle w:val="Titrearticle"/>
        <w:rPr>
          <w:noProof/>
          <w:szCs w:val="24"/>
        </w:rPr>
      </w:pPr>
      <w:r>
        <w:rPr>
          <w:noProof/>
        </w:rPr>
        <w:t>Article 3</w:t>
      </w:r>
    </w:p>
    <w:p>
      <w:pPr>
        <w:rPr>
          <w:noProof/>
          <w:szCs w:val="24"/>
        </w:rPr>
      </w:pPr>
      <w:r>
        <w:rPr>
          <w:noProof/>
        </w:rPr>
        <w:t xml:space="preserve">Immédiatement après la signature de l’accord, la Commission notifie aux autres parties aux accords internationaux visés à l’article 2, point a) iv), de l’accord que, sous réserve de l’entrée en vigueur de l’accord, pendant la période de transition, le Royaume-Uni est traité comme un État membre aux fins desdits accords internationaux. </w:t>
      </w:r>
    </w:p>
    <w:p>
      <w:pPr>
        <w:pStyle w:val="Titrearticle"/>
        <w:rPr>
          <w:noProof/>
          <w:szCs w:val="24"/>
        </w:rPr>
      </w:pPr>
      <w:r>
        <w:rPr>
          <w:noProof/>
        </w:rPr>
        <w:t>Article 4</w:t>
      </w:r>
    </w:p>
    <w:p>
      <w:pPr>
        <w:rPr>
          <w:noProof/>
          <w:szCs w:val="24"/>
        </w:rPr>
      </w:pPr>
      <w:r>
        <w:rPr>
          <w:noProof/>
        </w:rPr>
        <w:t>Les États membres qui souhaitent recourir à la possibilité prévue à l’article 185, deuxième alinéa, de l’accord, en informent la Commission et le secrétariat général du Conseil avant le 15 février 2019.</w:t>
      </w:r>
    </w:p>
    <w:p>
      <w:pPr>
        <w:pStyle w:val="Titrearticle"/>
        <w:rPr>
          <w:noProof/>
          <w:szCs w:val="24"/>
        </w:rPr>
      </w:pPr>
      <w:r>
        <w:rPr>
          <w:noProof/>
        </w:rPr>
        <w:t>Article 5</w:t>
      </w:r>
    </w:p>
    <w:p>
      <w:pPr>
        <w:keepNext/>
        <w:keepLines/>
        <w:rPr>
          <w:noProof/>
          <w:szCs w:val="24"/>
        </w:rPr>
      </w:pPr>
      <w:r>
        <w:rPr>
          <w:noProof/>
        </w:rPr>
        <w:t xml:space="preserve">La présente décision entre en vigueur le jour de son adoption. </w:t>
      </w:r>
    </w:p>
    <w:p>
      <w:pPr>
        <w:pStyle w:val="Fait"/>
        <w:rPr>
          <w:noProof/>
        </w:rPr>
      </w:pPr>
      <w:r>
        <w:lastRenderedPageBreak/>
        <w:t>Fait à Bruxelles, le</w:t>
      </w:r>
    </w:p>
    <w:p>
      <w:pPr>
        <w:pStyle w:val="Institutionquisigne"/>
        <w:rPr>
          <w:noProof/>
          <w:szCs w:val="24"/>
        </w:rPr>
      </w:pPr>
      <w:r>
        <w:rPr>
          <w:noProof/>
        </w:rPr>
        <w:tab/>
        <w:t>Par le Conseil</w:t>
      </w:r>
    </w:p>
    <w:p>
      <w:pPr>
        <w:pStyle w:val="Personnequisigne"/>
        <w:rPr>
          <w:noProof/>
          <w:szCs w:val="24"/>
        </w:rPr>
      </w:pPr>
      <w:r>
        <w:rPr>
          <w:noProof/>
        </w:rPr>
        <w:tab/>
        <w:t>Le président</w:t>
      </w:r>
    </w:p>
    <w:p>
      <w:pPr>
        <w:pStyle w:val="Fichefinanciretitre"/>
        <w:rPr>
          <w:noProof/>
        </w:rPr>
      </w:pPr>
      <w:r>
        <w:rPr>
          <w:noProof/>
        </w:rPr>
        <w:br w:type="page"/>
      </w:r>
      <w:r>
        <w:rPr>
          <w:noProof/>
        </w:rPr>
        <w:lastRenderedPageBreak/>
        <w:t>FICHE FINANCIÈRE LÉGISLATIVE</w:t>
      </w:r>
    </w:p>
    <w:p>
      <w:pPr>
        <w:pStyle w:val="ManualHeading1"/>
        <w:rPr>
          <w:noProof/>
        </w:rPr>
      </w:pPr>
      <w:r>
        <w:rPr>
          <w:noProof/>
        </w:rPr>
        <w:t>1.</w:t>
      </w:r>
      <w:r>
        <w:rPr>
          <w:noProof/>
        </w:rPr>
        <w:tab/>
        <w:t xml:space="preserve">CADRE DE LA PROPOSITION/DE L’INITIATIVE </w:t>
      </w:r>
    </w:p>
    <w:p>
      <w:pPr>
        <w:pStyle w:val="ManualHeading2"/>
        <w:rPr>
          <w:b w:val="0"/>
          <w:noProof/>
        </w:rPr>
      </w:pPr>
      <w:r>
        <w:rPr>
          <w:noProof/>
        </w:rPr>
        <w:tab/>
      </w:r>
      <w:r>
        <w:rPr>
          <w:b w:val="0"/>
          <w:noProof/>
        </w:rPr>
        <w:t>1.1.</w:t>
      </w:r>
      <w:r>
        <w:rPr>
          <w:noProof/>
        </w:rPr>
        <w:tab/>
      </w:r>
      <w:r>
        <w:rPr>
          <w:b w:val="0"/>
          <w:noProof/>
        </w:rPr>
        <w:t xml:space="preserve">Dénomination de la proposition/de l’initiative </w:t>
      </w:r>
    </w:p>
    <w:p>
      <w:pPr>
        <w:pStyle w:val="ManualHeading2"/>
        <w:rPr>
          <w:b w:val="0"/>
          <w:noProof/>
        </w:rPr>
      </w:pPr>
      <w:r>
        <w:rPr>
          <w:noProof/>
        </w:rPr>
        <w:tab/>
      </w:r>
      <w:r>
        <w:rPr>
          <w:b w:val="0"/>
          <w:noProof/>
        </w:rPr>
        <w:t>1.2.</w:t>
      </w:r>
      <w:r>
        <w:rPr>
          <w:noProof/>
        </w:rPr>
        <w:tab/>
      </w:r>
      <w:r>
        <w:rPr>
          <w:b w:val="0"/>
          <w:noProof/>
        </w:rPr>
        <w:t>Domaine(s) politique(s) concerné(s)</w:t>
      </w:r>
    </w:p>
    <w:p>
      <w:pPr>
        <w:pStyle w:val="ManualHeading2"/>
        <w:rPr>
          <w:b w:val="0"/>
          <w:noProof/>
        </w:rPr>
      </w:pPr>
      <w:r>
        <w:rPr>
          <w:noProof/>
        </w:rPr>
        <w:tab/>
      </w:r>
      <w:r>
        <w:rPr>
          <w:b w:val="0"/>
          <w:noProof/>
        </w:rPr>
        <w:t>1.3.</w:t>
      </w:r>
      <w:r>
        <w:rPr>
          <w:noProof/>
        </w:rPr>
        <w:tab/>
      </w:r>
      <w:r>
        <w:rPr>
          <w:b w:val="0"/>
          <w:noProof/>
        </w:rPr>
        <w:t xml:space="preserve">La proposition/l’initiative porte sur </w:t>
      </w:r>
    </w:p>
    <w:p>
      <w:pPr>
        <w:pStyle w:val="ManualHeading2"/>
        <w:rPr>
          <w:b w:val="0"/>
          <w:noProof/>
        </w:rPr>
      </w:pPr>
      <w:r>
        <w:rPr>
          <w:noProof/>
        </w:rPr>
        <w:tab/>
      </w:r>
      <w:r>
        <w:rPr>
          <w:b w:val="0"/>
          <w:noProof/>
        </w:rPr>
        <w:t>1.4.</w:t>
      </w:r>
      <w:r>
        <w:rPr>
          <w:noProof/>
        </w:rPr>
        <w:tab/>
      </w:r>
      <w:r>
        <w:rPr>
          <w:b w:val="0"/>
          <w:noProof/>
        </w:rPr>
        <w:t xml:space="preserve">Objectif(s) </w:t>
      </w:r>
    </w:p>
    <w:p>
      <w:pPr>
        <w:pStyle w:val="ManualHeading3"/>
        <w:rPr>
          <w:noProof/>
        </w:rPr>
      </w:pPr>
      <w:r>
        <w:rPr>
          <w:noProof/>
        </w:rPr>
        <w:tab/>
        <w:t>1.4.1.</w:t>
      </w:r>
      <w:r>
        <w:rPr>
          <w:noProof/>
        </w:rPr>
        <w:tab/>
        <w:t>Objectif général/objectifs généraux</w:t>
      </w:r>
    </w:p>
    <w:p>
      <w:pPr>
        <w:pStyle w:val="ManualHeading3"/>
        <w:rPr>
          <w:noProof/>
        </w:rPr>
      </w:pPr>
      <w:r>
        <w:rPr>
          <w:noProof/>
        </w:rPr>
        <w:tab/>
        <w:t>1.4.2.</w:t>
      </w:r>
      <w:r>
        <w:rPr>
          <w:noProof/>
        </w:rPr>
        <w:tab/>
        <w:t>Objectif(s) spécifique(s)</w:t>
      </w:r>
    </w:p>
    <w:p>
      <w:pPr>
        <w:pStyle w:val="ManualHeading3"/>
        <w:rPr>
          <w:noProof/>
        </w:rPr>
      </w:pPr>
      <w:r>
        <w:rPr>
          <w:noProof/>
        </w:rPr>
        <w:tab/>
        <w:t>1.4.3.</w:t>
      </w:r>
      <w:r>
        <w:rPr>
          <w:noProof/>
        </w:rPr>
        <w:tab/>
        <w:t>Résultat(s) et incidence(s) attendus</w:t>
      </w:r>
    </w:p>
    <w:p>
      <w:pPr>
        <w:pStyle w:val="ManualHeading3"/>
        <w:rPr>
          <w:noProof/>
        </w:rPr>
      </w:pPr>
      <w:r>
        <w:rPr>
          <w:noProof/>
        </w:rPr>
        <w:tab/>
        <w:t>1.4.4.</w:t>
      </w:r>
      <w:r>
        <w:rPr>
          <w:noProof/>
        </w:rPr>
        <w:tab/>
        <w:t>Indicateurs de performance</w:t>
      </w:r>
    </w:p>
    <w:p>
      <w:pPr>
        <w:pStyle w:val="ManualHeading2"/>
        <w:rPr>
          <w:b w:val="0"/>
          <w:noProof/>
        </w:rPr>
      </w:pPr>
      <w:r>
        <w:rPr>
          <w:noProof/>
        </w:rPr>
        <w:tab/>
      </w:r>
      <w:r>
        <w:rPr>
          <w:b w:val="0"/>
          <w:noProof/>
        </w:rPr>
        <w:t>1.5.</w:t>
      </w:r>
      <w:r>
        <w:rPr>
          <w:noProof/>
        </w:rPr>
        <w:tab/>
      </w:r>
      <w:r>
        <w:rPr>
          <w:b w:val="0"/>
          <w:noProof/>
        </w:rPr>
        <w:t xml:space="preserve">Justification(s) de la proposition/de l’initiative </w:t>
      </w:r>
    </w:p>
    <w:p>
      <w:pPr>
        <w:pStyle w:val="ManualHeading3"/>
        <w:rPr>
          <w:noProof/>
        </w:rPr>
      </w:pPr>
      <w:r>
        <w:rPr>
          <w:noProof/>
        </w:rPr>
        <w:tab/>
        <w:t>1.5.1.</w:t>
      </w:r>
      <w:r>
        <w:rPr>
          <w:noProof/>
        </w:rPr>
        <w:tab/>
        <w:t>Besoin(s) à satisfaire à court ou à long terme, assorti(s) d’un calendrier détaillé pour la mise en œuvre de l’initiative</w:t>
      </w:r>
    </w:p>
    <w:p>
      <w:pPr>
        <w:pStyle w:val="ManualHeading3"/>
        <w:rPr>
          <w:noProof/>
        </w:rPr>
      </w:pPr>
      <w:r>
        <w:rPr>
          <w:noProof/>
        </w:rPr>
        <w:tab/>
        <w:t>1.5.2.</w:t>
      </w:r>
      <w:r>
        <w:rPr>
          <w:noProof/>
        </w:rPr>
        <w:tab/>
        <w:t>Valeur ajoutée de l’intervention de l’Union (celle-ci peut résulter de différents facteurs, par exemple gains de coordination, sécurité juridique, efficacité accrue, complémentarités, etc.). Aux fins du présent point, on entend par «valeur ajoutée de l’intervention de l’Union» la valeur découlant de l’intervention de l’Union qui vient s’ajouter à la valeur qui, sans cela, aurait été générée par la seule action des États membres.</w:t>
      </w:r>
    </w:p>
    <w:p>
      <w:pPr>
        <w:pStyle w:val="ManualHeading3"/>
        <w:rPr>
          <w:noProof/>
        </w:rPr>
      </w:pPr>
      <w:r>
        <w:rPr>
          <w:noProof/>
        </w:rPr>
        <w:tab/>
        <w:t>1.5.3.</w:t>
      </w:r>
      <w:r>
        <w:rPr>
          <w:noProof/>
        </w:rPr>
        <w:tab/>
        <w:t>Leçons tirées d’expériences similaires</w:t>
      </w:r>
    </w:p>
    <w:p>
      <w:pPr>
        <w:pStyle w:val="ManualHeading3"/>
        <w:rPr>
          <w:noProof/>
        </w:rPr>
      </w:pPr>
      <w:r>
        <w:rPr>
          <w:noProof/>
        </w:rPr>
        <w:tab/>
        <w:t>1.5.4.</w:t>
      </w:r>
      <w:r>
        <w:rPr>
          <w:noProof/>
        </w:rPr>
        <w:tab/>
        <w:t>Compatibilité avec le cadre financier pluriannuel et synergies éventuelles avec d’autres instruments appropriés</w:t>
      </w:r>
    </w:p>
    <w:p>
      <w:pPr>
        <w:pStyle w:val="ManualHeading3"/>
        <w:rPr>
          <w:noProof/>
        </w:rPr>
      </w:pPr>
      <w:r>
        <w:rPr>
          <w:noProof/>
        </w:rPr>
        <w:tab/>
        <w:t>1.5.5.</w:t>
      </w:r>
      <w:r>
        <w:rPr>
          <w:noProof/>
        </w:rPr>
        <w:tab/>
        <w:t>Évaluation des différentes possibilités de financement disponibles, y compris des possibilités de redéploiement</w:t>
      </w:r>
    </w:p>
    <w:p>
      <w:pPr>
        <w:pStyle w:val="ManualHeading2"/>
        <w:rPr>
          <w:b w:val="0"/>
          <w:noProof/>
        </w:rPr>
      </w:pPr>
      <w:r>
        <w:rPr>
          <w:noProof/>
        </w:rPr>
        <w:tab/>
      </w:r>
      <w:r>
        <w:rPr>
          <w:b w:val="0"/>
          <w:noProof/>
        </w:rPr>
        <w:t>1.6.</w:t>
      </w:r>
      <w:r>
        <w:rPr>
          <w:noProof/>
        </w:rPr>
        <w:tab/>
      </w:r>
      <w:r>
        <w:rPr>
          <w:b w:val="0"/>
          <w:noProof/>
        </w:rPr>
        <w:t>Durée et incidence financière de la proposition/de l'initiative</w:t>
      </w:r>
    </w:p>
    <w:p>
      <w:pPr>
        <w:pStyle w:val="ManualHeading2"/>
        <w:rPr>
          <w:b w:val="0"/>
          <w:noProof/>
        </w:rPr>
        <w:sectPr>
          <w:pgSz w:w="11907" w:h="16840" w:code="9"/>
          <w:pgMar w:top="1134" w:right="1418" w:bottom="1134" w:left="1418" w:header="709" w:footer="709" w:gutter="0"/>
          <w:cols w:space="708"/>
          <w:docGrid w:linePitch="360"/>
        </w:sectPr>
      </w:pPr>
      <w:r>
        <w:rPr>
          <w:noProof/>
        </w:rPr>
        <w:tab/>
      </w:r>
      <w:r>
        <w:rPr>
          <w:b w:val="0"/>
          <w:noProof/>
        </w:rPr>
        <w:t>1.7.</w:t>
      </w:r>
      <w:r>
        <w:rPr>
          <w:noProof/>
        </w:rPr>
        <w:tab/>
      </w:r>
      <w:r>
        <w:rPr>
          <w:b w:val="0"/>
          <w:noProof/>
        </w:rPr>
        <w:t>Mode(s) de gestion prévu(s)</w:t>
      </w:r>
      <w:r>
        <w:rPr>
          <w:noProof/>
        </w:rPr>
        <w:tab/>
      </w:r>
    </w:p>
    <w:p>
      <w:pPr>
        <w:pStyle w:val="ManualHeading1"/>
        <w:rPr>
          <w:noProof/>
        </w:rPr>
      </w:pPr>
      <w:r>
        <w:rPr>
          <w:noProof/>
        </w:rPr>
        <w:lastRenderedPageBreak/>
        <w:t>2.</w:t>
      </w:r>
      <w:r>
        <w:rPr>
          <w:noProof/>
        </w:rPr>
        <w:tab/>
        <w:t xml:space="preserve">MESURES DE GESTION </w:t>
      </w:r>
    </w:p>
    <w:p>
      <w:pPr>
        <w:pStyle w:val="ManualHeading2"/>
        <w:rPr>
          <w:b w:val="0"/>
          <w:noProof/>
        </w:rPr>
      </w:pPr>
      <w:r>
        <w:rPr>
          <w:noProof/>
        </w:rPr>
        <w:tab/>
      </w:r>
      <w:r>
        <w:rPr>
          <w:b w:val="0"/>
          <w:noProof/>
        </w:rPr>
        <w:t>2.1.</w:t>
      </w:r>
      <w:r>
        <w:rPr>
          <w:noProof/>
        </w:rPr>
        <w:tab/>
      </w:r>
      <w:r>
        <w:rPr>
          <w:b w:val="0"/>
          <w:noProof/>
        </w:rPr>
        <w:t xml:space="preserve">Dispositions en matière de suivi et de compte rendu </w:t>
      </w:r>
    </w:p>
    <w:p>
      <w:pPr>
        <w:pStyle w:val="ManualHeading2"/>
        <w:rPr>
          <w:b w:val="0"/>
          <w:noProof/>
        </w:rPr>
      </w:pPr>
      <w:r>
        <w:rPr>
          <w:noProof/>
        </w:rPr>
        <w:tab/>
      </w:r>
      <w:r>
        <w:rPr>
          <w:b w:val="0"/>
          <w:noProof/>
        </w:rPr>
        <w:t>2.2.</w:t>
      </w:r>
      <w:r>
        <w:rPr>
          <w:noProof/>
        </w:rPr>
        <w:tab/>
      </w:r>
      <w:r>
        <w:rPr>
          <w:b w:val="0"/>
          <w:noProof/>
        </w:rPr>
        <w:t>Système(s) de gestion et de contrôle</w:t>
      </w:r>
    </w:p>
    <w:p>
      <w:pPr>
        <w:pStyle w:val="ManualHeading3"/>
        <w:rPr>
          <w:noProof/>
        </w:rPr>
      </w:pPr>
      <w:r>
        <w:rPr>
          <w:noProof/>
        </w:rPr>
        <w:tab/>
        <w:t>2.2.1.</w:t>
      </w:r>
      <w:r>
        <w:rPr>
          <w:noProof/>
        </w:rPr>
        <w:tab/>
        <w:t>Justification du (des) mode(s) de gestion, du (des) mécanisme(s) de mise en œuvre du financement, des modalités de paiement et de la stratégie de contrôle proposée</w:t>
      </w:r>
    </w:p>
    <w:p>
      <w:pPr>
        <w:pStyle w:val="ManualHeading3"/>
        <w:rPr>
          <w:noProof/>
        </w:rPr>
      </w:pPr>
      <w:r>
        <w:rPr>
          <w:noProof/>
        </w:rPr>
        <w:tab/>
        <w:t>2.2.2.</w:t>
      </w:r>
      <w:r>
        <w:rPr>
          <w:noProof/>
        </w:rPr>
        <w:tab/>
        <w:t>Informations sur les risques recensés et sur le(s) système(s) de contrôle interne mis en place pour les atténuer</w:t>
      </w:r>
    </w:p>
    <w:p>
      <w:pPr>
        <w:pStyle w:val="ManualHeading3"/>
        <w:rPr>
          <w:noProof/>
        </w:rPr>
      </w:pPr>
      <w:r>
        <w:rPr>
          <w:noProof/>
        </w:rPr>
        <w:tab/>
        <w:t>2.2.3.</w:t>
      </w:r>
      <w:r>
        <w:rPr>
          <w:noProof/>
        </w:rPr>
        <w:tab/>
        <w:t>Estimation et justification du rapport coût-efficacité des contrôles (rapport «coûts du contrôle ÷ valeur des fonds gérés concernés»), et évaluation du niveau attendu de risque d’erreur (lors du paiement et lors de la clôture)</w:t>
      </w:r>
    </w:p>
    <w:p>
      <w:pPr>
        <w:pStyle w:val="ManualHeading2"/>
        <w:rPr>
          <w:b w:val="0"/>
          <w:noProof/>
        </w:rPr>
      </w:pPr>
      <w:r>
        <w:rPr>
          <w:noProof/>
        </w:rPr>
        <w:tab/>
      </w:r>
      <w:r>
        <w:rPr>
          <w:b w:val="0"/>
          <w:noProof/>
        </w:rPr>
        <w:t>2.3.</w:t>
      </w:r>
      <w:r>
        <w:rPr>
          <w:noProof/>
        </w:rPr>
        <w:tab/>
      </w:r>
      <w:r>
        <w:rPr>
          <w:b w:val="0"/>
          <w:noProof/>
        </w:rPr>
        <w:t xml:space="preserve">Mesures de prévention des fraudes et irrégularités </w:t>
      </w:r>
    </w:p>
    <w:p>
      <w:pPr>
        <w:pStyle w:val="ManualHeading1"/>
        <w:rPr>
          <w:noProof/>
        </w:rPr>
      </w:pPr>
      <w:r>
        <w:rPr>
          <w:noProof/>
        </w:rPr>
        <w:t>3.</w:t>
      </w:r>
      <w:r>
        <w:rPr>
          <w:noProof/>
        </w:rPr>
        <w:tab/>
        <w:t xml:space="preserve">INCIDENCE FINANCIÈRE ESTIMÉE DE LA PROPOSITION/DE L’INITIATIVE </w:t>
      </w:r>
    </w:p>
    <w:p>
      <w:pPr>
        <w:pStyle w:val="ManualHeading2"/>
        <w:rPr>
          <w:b w:val="0"/>
          <w:noProof/>
        </w:rPr>
      </w:pPr>
      <w:r>
        <w:rPr>
          <w:noProof/>
        </w:rPr>
        <w:tab/>
      </w:r>
      <w:r>
        <w:rPr>
          <w:b w:val="0"/>
          <w:noProof/>
        </w:rPr>
        <w:t>3.1.</w:t>
      </w:r>
      <w:r>
        <w:rPr>
          <w:noProof/>
        </w:rPr>
        <w:tab/>
      </w:r>
      <w:r>
        <w:rPr>
          <w:b w:val="0"/>
          <w:noProof/>
        </w:rPr>
        <w:t xml:space="preserve">Rubrique(s) du cadre financier pluriannuel et ligne(s) budgétaire(s) de dépenses concernée(s) </w:t>
      </w:r>
    </w:p>
    <w:p>
      <w:pPr>
        <w:pStyle w:val="ManualHeading2"/>
        <w:rPr>
          <w:noProof/>
        </w:rPr>
      </w:pPr>
      <w:r>
        <w:rPr>
          <w:noProof/>
        </w:rPr>
        <w:tab/>
      </w:r>
      <w:r>
        <w:rPr>
          <w:b w:val="0"/>
          <w:noProof/>
        </w:rPr>
        <w:t>3.2.</w:t>
      </w:r>
      <w:r>
        <w:rPr>
          <w:noProof/>
        </w:rPr>
        <w:tab/>
      </w:r>
      <w:r>
        <w:rPr>
          <w:b w:val="0"/>
          <w:noProof/>
        </w:rPr>
        <w:t>Incidence financière estimée de la proposition sur les crédits</w:t>
      </w:r>
    </w:p>
    <w:p>
      <w:pPr>
        <w:pStyle w:val="ManualHeading3"/>
        <w:rPr>
          <w:noProof/>
        </w:rPr>
      </w:pPr>
      <w:r>
        <w:rPr>
          <w:noProof/>
        </w:rPr>
        <w:tab/>
        <w:t>3.2.1.</w:t>
      </w:r>
      <w:r>
        <w:rPr>
          <w:noProof/>
        </w:rPr>
        <w:tab/>
        <w:t xml:space="preserve">Synthèse de l’incidence estimée sur les crédits opérationnels </w:t>
      </w:r>
    </w:p>
    <w:p>
      <w:pPr>
        <w:pStyle w:val="ManualHeading3"/>
        <w:rPr>
          <w:noProof/>
        </w:rPr>
      </w:pPr>
      <w:r>
        <w:rPr>
          <w:noProof/>
        </w:rPr>
        <w:tab/>
        <w:t>3.2.2.</w:t>
      </w:r>
      <w:r>
        <w:rPr>
          <w:noProof/>
        </w:rPr>
        <w:tab/>
        <w:t xml:space="preserve">Estimation des réalisations financées avec des crédits opérationnels </w:t>
      </w:r>
    </w:p>
    <w:p>
      <w:pPr>
        <w:pStyle w:val="ManualHeading3"/>
        <w:rPr>
          <w:noProof/>
        </w:rPr>
      </w:pPr>
      <w:r>
        <w:rPr>
          <w:noProof/>
        </w:rPr>
        <w:tab/>
        <w:t>3.2.3.</w:t>
      </w:r>
      <w:r>
        <w:rPr>
          <w:noProof/>
        </w:rPr>
        <w:tab/>
        <w:t>Synthèse de l’incidence estimée sur les crédits administratifs</w:t>
      </w:r>
    </w:p>
    <w:p>
      <w:pPr>
        <w:pStyle w:val="ManualHeading3"/>
        <w:rPr>
          <w:noProof/>
        </w:rPr>
      </w:pPr>
      <w:r>
        <w:rPr>
          <w:noProof/>
        </w:rPr>
        <w:tab/>
        <w:t>3.2.4.</w:t>
      </w:r>
      <w:r>
        <w:rPr>
          <w:noProof/>
        </w:rPr>
        <w:tab/>
        <w:t>Compatibilité avec le cadre financier pluriannuel actuel</w:t>
      </w:r>
    </w:p>
    <w:p>
      <w:pPr>
        <w:pStyle w:val="ManualHeading3"/>
        <w:rPr>
          <w:noProof/>
        </w:rPr>
      </w:pPr>
      <w:r>
        <w:rPr>
          <w:noProof/>
        </w:rPr>
        <w:tab/>
        <w:t>3.2.5.</w:t>
      </w:r>
      <w:r>
        <w:rPr>
          <w:noProof/>
        </w:rPr>
        <w:tab/>
        <w:t xml:space="preserve">Participation de tiers au financement </w:t>
      </w:r>
    </w:p>
    <w:p>
      <w:pPr>
        <w:pStyle w:val="ManualHeading2"/>
        <w:jc w:val="left"/>
        <w:rPr>
          <w:b w:val="0"/>
          <w:noProof/>
        </w:rPr>
      </w:pPr>
      <w:r>
        <w:rPr>
          <w:noProof/>
        </w:rPr>
        <w:tab/>
      </w:r>
      <w:r>
        <w:rPr>
          <w:b w:val="0"/>
          <w:noProof/>
        </w:rPr>
        <w:t>3.3.</w:t>
      </w:r>
      <w:r>
        <w:rPr>
          <w:noProof/>
        </w:rPr>
        <w:tab/>
      </w:r>
      <w:r>
        <w:rPr>
          <w:b w:val="0"/>
          <w:noProof/>
        </w:rPr>
        <w:t>Incidence estimée sur les recettes</w:t>
      </w:r>
    </w:p>
    <w:p>
      <w:pPr>
        <w:jc w:val="center"/>
        <w:rPr>
          <w:b/>
          <w:noProof/>
          <w:u w:val="single"/>
        </w:rPr>
        <w:sectPr>
          <w:pgSz w:w="11907" w:h="16840" w:code="9"/>
          <w:pgMar w:top="1134" w:right="1418" w:bottom="1134" w:left="1418" w:header="709" w:footer="709" w:gutter="0"/>
          <w:cols w:space="708"/>
          <w:docGrid w:linePitch="360"/>
        </w:sectPr>
      </w:pPr>
    </w:p>
    <w:p>
      <w:pPr>
        <w:jc w:val="center"/>
        <w:rPr>
          <w:b/>
          <w:noProof/>
          <w:u w:val="single"/>
        </w:rPr>
      </w:pPr>
      <w:r>
        <w:rPr>
          <w:b/>
          <w:noProof/>
          <w:u w:val="single"/>
        </w:rPr>
        <w:lastRenderedPageBreak/>
        <w:t>FICHE FINANCIÈRE LÉGISLATIVE</w:t>
      </w:r>
    </w:p>
    <w:p>
      <w:pPr>
        <w:pStyle w:val="ManualHeading1"/>
        <w:rPr>
          <w:noProof/>
        </w:rPr>
      </w:pPr>
      <w:bookmarkStart w:id="1" w:name="_Toc514938007"/>
      <w:bookmarkStart w:id="2" w:name="_Toc520485025"/>
      <w:r>
        <w:t>1.</w:t>
      </w:r>
      <w:r>
        <w:tab/>
      </w:r>
      <w:r>
        <w:rPr>
          <w:noProof/>
        </w:rPr>
        <w:t>CADRE DE LA PROPOSITION/DE L’INITIATIVE</w:t>
      </w:r>
      <w:bookmarkEnd w:id="1"/>
      <w:bookmarkEnd w:id="2"/>
      <w:r>
        <w:rPr>
          <w:noProof/>
        </w:rPr>
        <w:t xml:space="preserve"> </w:t>
      </w:r>
    </w:p>
    <w:p>
      <w:pPr>
        <w:pStyle w:val="ManualHeading2"/>
        <w:rPr>
          <w:noProof/>
        </w:rPr>
      </w:pPr>
      <w:bookmarkStart w:id="3" w:name="_Toc514938008"/>
      <w:bookmarkStart w:id="4" w:name="_Toc520485026"/>
      <w:r>
        <w:t>1.1.</w:t>
      </w:r>
      <w:r>
        <w:tab/>
      </w:r>
      <w:r>
        <w:rPr>
          <w:noProof/>
        </w:rPr>
        <w:t>Dénomination de la proposition/de l’initiative</w:t>
      </w:r>
      <w:bookmarkEnd w:id="3"/>
      <w:bookmarkEnd w:id="4"/>
    </w:p>
    <w:p>
      <w:pPr>
        <w:pStyle w:val="Text1"/>
        <w:pBdr>
          <w:top w:val="single" w:sz="4" w:space="1" w:color="auto"/>
          <w:left w:val="single" w:sz="4" w:space="4" w:color="auto"/>
          <w:bottom w:val="single" w:sz="4" w:space="1" w:color="auto"/>
          <w:right w:val="single" w:sz="4" w:space="4" w:color="auto"/>
        </w:pBdr>
        <w:rPr>
          <w:noProof/>
        </w:rPr>
      </w:pPr>
      <w:bookmarkStart w:id="5" w:name="_Toc514938011"/>
      <w:bookmarkStart w:id="6" w:name="_Toc520485027"/>
      <w:r>
        <w:rPr>
          <w:noProof/>
        </w:rPr>
        <w:t>Accord sur le retrait du Royaume-Uni de Grande-Bretagne et d’Irlande du Nord de l’Union européenne et de la Communauté européenne de l'énergie atomique</w:t>
      </w:r>
    </w:p>
    <w:p>
      <w:pPr>
        <w:pStyle w:val="ManualHeading2"/>
        <w:rPr>
          <w:noProof/>
        </w:rPr>
      </w:pPr>
      <w:r>
        <w:t>1.2.</w:t>
      </w:r>
      <w:r>
        <w:tab/>
      </w:r>
      <w:r>
        <w:rPr>
          <w:noProof/>
        </w:rPr>
        <w:t>Domaine(s) politique(s) concerné(s)</w:t>
      </w:r>
      <w:bookmarkEnd w:id="5"/>
      <w:bookmarkEnd w:id="6"/>
      <w:r>
        <w:rPr>
          <w:i/>
          <w:noProof/>
        </w:rPr>
        <w:t xml:space="preserve"> </w:t>
      </w:r>
    </w:p>
    <w:p>
      <w:pPr>
        <w:pStyle w:val="Text1"/>
        <w:pBdr>
          <w:top w:val="single" w:sz="4" w:space="1" w:color="auto"/>
          <w:left w:val="single" w:sz="4" w:space="4" w:color="auto"/>
          <w:bottom w:val="single" w:sz="4" w:space="1" w:color="auto"/>
          <w:right w:val="single" w:sz="4" w:space="4" w:color="auto"/>
        </w:pBdr>
        <w:rPr>
          <w:noProof/>
        </w:rPr>
      </w:pPr>
      <w:bookmarkStart w:id="7" w:name="_Toc514938014"/>
      <w:bookmarkStart w:id="8" w:name="_Toc520485028"/>
      <w:r>
        <w:rPr>
          <w:noProof/>
        </w:rPr>
        <w:t>25 – Coordination des politiques de la Commission et conseil juridique</w:t>
      </w:r>
    </w:p>
    <w:p>
      <w:pPr>
        <w:pStyle w:val="ManualHeading2"/>
        <w:rPr>
          <w:bCs/>
          <w:noProof/>
          <w:szCs w:val="24"/>
        </w:rPr>
      </w:pPr>
      <w:r>
        <w:t>1.3.</w:t>
      </w:r>
      <w:r>
        <w:tab/>
      </w:r>
      <w:r>
        <w:rPr>
          <w:noProof/>
        </w:rPr>
        <w:t>La proposition/l’initiative porte sur:</w:t>
      </w:r>
      <w:bookmarkEnd w:id="7"/>
      <w:bookmarkEnd w:id="8"/>
      <w:r>
        <w:rPr>
          <w:noProof/>
        </w:rPr>
        <w:t xml:space="preserve"> </w:t>
      </w:r>
    </w:p>
    <w:p>
      <w:pPr>
        <w:pStyle w:val="Text1"/>
        <w:rPr>
          <w:b/>
          <w:noProof/>
          <w:sz w:val="22"/>
        </w:rPr>
      </w:pPr>
      <w:r>
        <w:rPr>
          <w:noProof/>
          <w:sz w:val="22"/>
        </w:rPr>
        <w:sym w:font="Wingdings" w:char="F0FE"/>
      </w:r>
      <w:r>
        <w:rPr>
          <w:b/>
          <w:i/>
          <w:noProof/>
          <w:sz w:val="22"/>
        </w:rPr>
        <w:t xml:space="preserve"> </w:t>
      </w:r>
      <w:r>
        <w:rPr>
          <w:b/>
          <w:noProof/>
        </w:rPr>
        <w:t>une action nouvelle</w:t>
      </w:r>
      <w:r>
        <w:rPr>
          <w:b/>
          <w:noProof/>
          <w:sz w:val="22"/>
        </w:rPr>
        <w:t xml:space="preserve"> </w:t>
      </w:r>
    </w:p>
    <w:p>
      <w:pPr>
        <w:pStyle w:val="Text1"/>
        <w:rPr>
          <w:noProof/>
          <w:sz w:val="22"/>
        </w:rPr>
      </w:pPr>
      <w:r>
        <w:rPr>
          <w:noProof/>
          <w:sz w:val="22"/>
        </w:rPr>
        <w:sym w:font="Wingdings" w:char="F0A8"/>
      </w:r>
      <w:r>
        <w:rPr>
          <w:i/>
          <w:noProof/>
          <w:sz w:val="22"/>
        </w:rPr>
        <w:t xml:space="preserve"> </w:t>
      </w:r>
      <w:r>
        <w:rPr>
          <w:b/>
          <w:noProof/>
        </w:rPr>
        <w:t>une action nouvelle suite à un projet pilote/une action préparatoire</w:t>
      </w:r>
      <w:r>
        <w:rPr>
          <w:rStyle w:val="FootnoteReference"/>
          <w:b/>
          <w:noProof/>
        </w:rPr>
        <w:footnoteReference w:id="3"/>
      </w:r>
      <w:r>
        <w:rPr>
          <w:noProof/>
          <w:sz w:val="22"/>
        </w:rPr>
        <w:t xml:space="preserve"> </w:t>
      </w:r>
    </w:p>
    <w:p>
      <w:pPr>
        <w:pStyle w:val="Text1"/>
        <w:rPr>
          <w:noProof/>
          <w:sz w:val="22"/>
        </w:rPr>
      </w:pPr>
      <w:r>
        <w:rPr>
          <w:noProof/>
          <w:sz w:val="22"/>
        </w:rPr>
        <w:sym w:font="Wingdings" w:char="F0A8"/>
      </w:r>
      <w:r>
        <w:rPr>
          <w:i/>
          <w:noProof/>
          <w:sz w:val="22"/>
        </w:rPr>
        <w:t xml:space="preserve"> </w:t>
      </w:r>
      <w:r>
        <w:rPr>
          <w:b/>
          <w:noProof/>
        </w:rPr>
        <w:t>la prolongation d’une action existante</w:t>
      </w:r>
      <w:r>
        <w:rPr>
          <w:noProof/>
          <w:sz w:val="22"/>
        </w:rPr>
        <w:t xml:space="preserve"> </w:t>
      </w:r>
    </w:p>
    <w:p>
      <w:pPr>
        <w:pStyle w:val="Text1"/>
        <w:rPr>
          <w:noProof/>
        </w:rPr>
      </w:pPr>
      <w:r>
        <w:rPr>
          <w:noProof/>
          <w:sz w:val="22"/>
        </w:rPr>
        <w:sym w:font="Wingdings" w:char="F0A8"/>
      </w:r>
      <w:r>
        <w:rPr>
          <w:i/>
          <w:noProof/>
          <w:sz w:val="22"/>
        </w:rPr>
        <w:t xml:space="preserve"> </w:t>
      </w:r>
      <w:r>
        <w:rPr>
          <w:b/>
          <w:noProof/>
        </w:rPr>
        <w:t>une fusion ou une réorientation d’une ou de plusieurs actions vers une autre action/une action nouvelle</w:t>
      </w:r>
      <w:r>
        <w:rPr>
          <w:noProof/>
        </w:rPr>
        <w:t xml:space="preserve"> </w:t>
      </w:r>
    </w:p>
    <w:p>
      <w:pPr>
        <w:pStyle w:val="ManualHeading2"/>
        <w:rPr>
          <w:bCs/>
          <w:noProof/>
          <w:szCs w:val="24"/>
        </w:rPr>
      </w:pPr>
      <w:bookmarkStart w:id="9" w:name="_Toc514938015"/>
      <w:bookmarkStart w:id="10" w:name="_Toc520485029"/>
      <w:r>
        <w:t>1.4.</w:t>
      </w:r>
      <w:r>
        <w:tab/>
      </w:r>
      <w:r>
        <w:rPr>
          <w:noProof/>
        </w:rPr>
        <w:t>Objectif(s)</w:t>
      </w:r>
      <w:bookmarkEnd w:id="9"/>
      <w:bookmarkEnd w:id="10"/>
    </w:p>
    <w:p>
      <w:pPr>
        <w:pStyle w:val="ManualHeading3"/>
        <w:rPr>
          <w:noProof/>
        </w:rPr>
      </w:pPr>
      <w:bookmarkStart w:id="11" w:name="_Toc514938016"/>
      <w:bookmarkStart w:id="12" w:name="_Toc520485030"/>
      <w:r>
        <w:t>1.4.1.</w:t>
      </w:r>
      <w:r>
        <w:tab/>
      </w:r>
      <w:r>
        <w:rPr>
          <w:noProof/>
        </w:rPr>
        <w:t>Objectif général/objectifs généraux</w:t>
      </w:r>
      <w:bookmarkEnd w:id="11"/>
      <w:bookmarkEnd w:id="12"/>
    </w:p>
    <w:p>
      <w:pPr>
        <w:pStyle w:val="Text1"/>
        <w:pBdr>
          <w:top w:val="single" w:sz="4" w:space="1" w:color="auto"/>
          <w:left w:val="single" w:sz="4" w:space="4" w:color="auto"/>
          <w:bottom w:val="single" w:sz="4" w:space="1" w:color="auto"/>
          <w:right w:val="single" w:sz="4" w:space="4" w:color="auto"/>
        </w:pBdr>
        <w:rPr>
          <w:noProof/>
        </w:rPr>
      </w:pPr>
      <w:bookmarkStart w:id="13" w:name="_Toc514938018"/>
      <w:bookmarkStart w:id="14" w:name="_Toc520485031"/>
      <w:r>
        <w:rPr>
          <w:noProof/>
        </w:rPr>
        <w:t>L’accord est fondé sur l’article 50, paragraphe 2, du TUE. Conformément aux orientations du Conseil européen (article 50) du 29 avril 2017, l’accord de retrait a pour objectif:</w:t>
      </w:r>
    </w:p>
    <w:p>
      <w:pPr>
        <w:pStyle w:val="Text1"/>
        <w:pBdr>
          <w:top w:val="single" w:sz="4" w:space="1" w:color="auto"/>
          <w:left w:val="single" w:sz="4" w:space="4" w:color="auto"/>
          <w:bottom w:val="single" w:sz="4" w:space="1" w:color="auto"/>
          <w:right w:val="single" w:sz="4" w:space="4" w:color="auto"/>
        </w:pBdr>
        <w:ind w:left="1418" w:hanging="568"/>
        <w:rPr>
          <w:noProof/>
        </w:rPr>
      </w:pPr>
      <w:r>
        <w:rPr>
          <w:noProof/>
        </w:rPr>
        <w:t>•</w:t>
      </w:r>
      <w:r>
        <w:rPr>
          <w:noProof/>
        </w:rPr>
        <w:tab/>
        <w:t xml:space="preserve">d’apporter clarté et sécurité juridique aux citoyens, mais aussi aux entreprises, aux parties prenantes et aux partenaires internationaux en ce qui concerne les situations créées par le retrait du Royaume-Uni de l’Union, </w:t>
      </w:r>
    </w:p>
    <w:p>
      <w:pPr>
        <w:pStyle w:val="Text1"/>
        <w:pBdr>
          <w:top w:val="single" w:sz="4" w:space="1" w:color="auto"/>
          <w:left w:val="single" w:sz="4" w:space="4" w:color="auto"/>
          <w:bottom w:val="single" w:sz="4" w:space="1" w:color="auto"/>
          <w:right w:val="single" w:sz="4" w:space="4" w:color="auto"/>
        </w:pBdr>
        <w:ind w:left="1418" w:hanging="568"/>
        <w:rPr>
          <w:noProof/>
        </w:rPr>
      </w:pPr>
      <w:r>
        <w:rPr>
          <w:noProof/>
        </w:rPr>
        <w:t>•</w:t>
      </w:r>
      <w:r>
        <w:rPr>
          <w:noProof/>
        </w:rPr>
        <w:tab/>
        <w:t>de protéger les citoyens qui ont fait des choix de vie en fonction de droits découlant de l’appartenance du Royaume</w:t>
      </w:r>
      <w:r>
        <w:rPr>
          <w:noProof/>
        </w:rPr>
        <w:noBreakHyphen/>
        <w:t>Uni à l’Union,</w:t>
      </w:r>
    </w:p>
    <w:p>
      <w:pPr>
        <w:pStyle w:val="Text1"/>
        <w:pBdr>
          <w:top w:val="single" w:sz="4" w:space="1" w:color="auto"/>
          <w:left w:val="single" w:sz="4" w:space="4" w:color="auto"/>
          <w:bottom w:val="single" w:sz="4" w:space="1" w:color="auto"/>
          <w:right w:val="single" w:sz="4" w:space="4" w:color="auto"/>
        </w:pBdr>
        <w:ind w:left="1418" w:hanging="568"/>
        <w:rPr>
          <w:noProof/>
        </w:rPr>
      </w:pPr>
      <w:r>
        <w:rPr>
          <w:noProof/>
        </w:rPr>
        <w:t>•</w:t>
      </w:r>
      <w:r>
        <w:rPr>
          <w:noProof/>
        </w:rPr>
        <w:tab/>
        <w:t>de fixer les dispositions selon lesquelles le Royaume-Uni quitte l'Union et s'affranchit de tous les droits et obligations qui découlent des engagements qu’il a pris en tant qu’État membre,</w:t>
      </w:r>
    </w:p>
    <w:p>
      <w:pPr>
        <w:pStyle w:val="Text1"/>
        <w:pBdr>
          <w:top w:val="single" w:sz="4" w:space="1" w:color="auto"/>
          <w:left w:val="single" w:sz="4" w:space="4" w:color="auto"/>
          <w:bottom w:val="single" w:sz="4" w:space="1" w:color="auto"/>
          <w:right w:val="single" w:sz="4" w:space="4" w:color="auto"/>
        </w:pBdr>
        <w:ind w:left="1418" w:hanging="568"/>
        <w:rPr>
          <w:noProof/>
        </w:rPr>
      </w:pPr>
      <w:r>
        <w:rPr>
          <w:noProof/>
        </w:rPr>
        <w:t>•</w:t>
      </w:r>
      <w:r>
        <w:rPr>
          <w:noProof/>
        </w:rPr>
        <w:tab/>
        <w:t>de définir des modalités transitoires limitées dans le temps qui sont dans l'intérêt de l'Union,</w:t>
      </w:r>
    </w:p>
    <w:p>
      <w:pPr>
        <w:pStyle w:val="Text1"/>
        <w:pBdr>
          <w:top w:val="single" w:sz="4" w:space="1" w:color="auto"/>
          <w:left w:val="single" w:sz="4" w:space="4" w:color="auto"/>
          <w:bottom w:val="single" w:sz="4" w:space="1" w:color="auto"/>
          <w:right w:val="single" w:sz="4" w:space="4" w:color="auto"/>
        </w:pBdr>
        <w:ind w:left="1418" w:hanging="568"/>
        <w:rPr>
          <w:noProof/>
        </w:rPr>
      </w:pPr>
      <w:r>
        <w:rPr>
          <w:noProof/>
        </w:rPr>
        <w:t>•</w:t>
      </w:r>
      <w:r>
        <w:rPr>
          <w:noProof/>
        </w:rPr>
        <w:tab/>
        <w:t>de garantir que tant l’Union que le Royaume-Uni respectent les obligations financières résultant de l’ensemble de la période durant laquelle le Royaume-Uni était membre de l’UE,</w:t>
      </w:r>
    </w:p>
    <w:p>
      <w:pPr>
        <w:pStyle w:val="Text1"/>
        <w:pBdr>
          <w:top w:val="single" w:sz="4" w:space="1" w:color="auto"/>
          <w:left w:val="single" w:sz="4" w:space="4" w:color="auto"/>
          <w:bottom w:val="single" w:sz="4" w:space="1" w:color="auto"/>
          <w:right w:val="single" w:sz="4" w:space="4" w:color="auto"/>
        </w:pBdr>
        <w:ind w:left="1418" w:hanging="568"/>
        <w:rPr>
          <w:noProof/>
        </w:rPr>
      </w:pPr>
      <w:r>
        <w:rPr>
          <w:noProof/>
        </w:rPr>
        <w:t>•</w:t>
      </w:r>
      <w:r>
        <w:rPr>
          <w:noProof/>
        </w:rPr>
        <w:tab/>
        <w:t xml:space="preserve">d’assurer la gestion, la mise en œuvre et l’application efficaces de l’accord, y compris au moyen de structures institutionnelles et d’un mécanisme efficace de règlement des différends qui préserve le rôle de la Cour de justice de l’Union européenne en tant qu’ultime arbitre en matière de droit de l’Union, </w:t>
      </w:r>
    </w:p>
    <w:p>
      <w:pPr>
        <w:pStyle w:val="Text1"/>
        <w:pBdr>
          <w:top w:val="single" w:sz="4" w:space="1" w:color="auto"/>
          <w:left w:val="single" w:sz="4" w:space="4" w:color="auto"/>
          <w:bottom w:val="single" w:sz="4" w:space="1" w:color="auto"/>
          <w:right w:val="single" w:sz="4" w:space="4" w:color="auto"/>
        </w:pBdr>
        <w:ind w:left="1418" w:hanging="568"/>
        <w:rPr>
          <w:noProof/>
        </w:rPr>
      </w:pPr>
      <w:r>
        <w:rPr>
          <w:noProof/>
        </w:rPr>
        <w:t>•</w:t>
      </w:r>
      <w:r>
        <w:rPr>
          <w:noProof/>
        </w:rPr>
        <w:tab/>
        <w:t>de continuer de promouvoir l’objectif de paix et de réconciliation consacré par l'accord du Vendredi saint dans tous ses éléments, et de promouvoir et de défendre, sur l’île d'Irlande, les acquis et les effets bénéfiques du processus de paix ainsi que les engagements pris dans le cadre de ce processus,</w:t>
      </w:r>
    </w:p>
    <w:p>
      <w:pPr>
        <w:pStyle w:val="Text1"/>
        <w:pBdr>
          <w:top w:val="single" w:sz="4" w:space="1" w:color="auto"/>
          <w:left w:val="single" w:sz="4" w:space="4" w:color="auto"/>
          <w:bottom w:val="single" w:sz="4" w:space="1" w:color="auto"/>
          <w:right w:val="single" w:sz="4" w:space="4" w:color="auto"/>
        </w:pBdr>
        <w:ind w:left="1418" w:hanging="568"/>
        <w:rPr>
          <w:noProof/>
        </w:rPr>
      </w:pPr>
      <w:r>
        <w:rPr>
          <w:noProof/>
        </w:rPr>
        <w:lastRenderedPageBreak/>
        <w:t>•</w:t>
      </w:r>
      <w:r>
        <w:rPr>
          <w:noProof/>
        </w:rPr>
        <w:tab/>
        <w:t>de protéger les intérêts des Chypriotes qui vivent et travaillent dans les zones de souveraineté, en évitant toute interruption ou perte de droits après le retrait du Royaume-Uni,</w:t>
      </w:r>
    </w:p>
    <w:p>
      <w:pPr>
        <w:pStyle w:val="Text1"/>
        <w:pBdr>
          <w:top w:val="single" w:sz="4" w:space="1" w:color="auto"/>
          <w:left w:val="single" w:sz="4" w:space="4" w:color="auto"/>
          <w:bottom w:val="single" w:sz="4" w:space="1" w:color="auto"/>
          <w:right w:val="single" w:sz="4" w:space="4" w:color="auto"/>
        </w:pBdr>
        <w:ind w:left="1418" w:hanging="568"/>
        <w:rPr>
          <w:noProof/>
        </w:rPr>
      </w:pPr>
      <w:r>
        <w:rPr>
          <w:noProof/>
        </w:rPr>
        <w:t>•</w:t>
      </w:r>
      <w:r>
        <w:rPr>
          <w:noProof/>
        </w:rPr>
        <w:tab/>
        <w:t>d’assurer une coopération étroite en ce qui concerne Gibraltar entre l’Espagne et le Royaume-Uni, dans la mise en œuvre de l’accord, et en particulier de la partie sur les droits des citoyens, et dans un certain nombre d’autres domaines d’action.</w:t>
      </w:r>
    </w:p>
    <w:p>
      <w:pPr>
        <w:pStyle w:val="ManualHeading3"/>
        <w:rPr>
          <w:bCs/>
          <w:noProof/>
          <w:szCs w:val="24"/>
        </w:rPr>
      </w:pPr>
      <w:r>
        <w:t>1.4.2.</w:t>
      </w:r>
      <w:r>
        <w:tab/>
      </w:r>
      <w:r>
        <w:rPr>
          <w:noProof/>
        </w:rPr>
        <w:t>Objectif(s) spécifique(s)</w:t>
      </w:r>
      <w:bookmarkEnd w:id="13"/>
      <w:bookmarkEnd w:id="14"/>
    </w:p>
    <w:p>
      <w:pPr>
        <w:pStyle w:val="Text1"/>
        <w:pBdr>
          <w:top w:val="single" w:sz="4" w:space="1" w:color="auto"/>
          <w:left w:val="single" w:sz="4" w:space="4" w:color="auto"/>
          <w:bottom w:val="single" w:sz="4" w:space="1" w:color="auto"/>
          <w:right w:val="single" w:sz="4" w:space="4" w:color="auto"/>
        </w:pBdr>
        <w:rPr>
          <w:noProof/>
          <w:u w:val="single"/>
        </w:rPr>
      </w:pPr>
      <w:r>
        <w:rPr>
          <w:noProof/>
          <w:u w:val="single"/>
        </w:rPr>
        <w:t>Objectif(s) spécifique(s)</w:t>
      </w:r>
    </w:p>
    <w:p>
      <w:pPr>
        <w:pStyle w:val="Text1"/>
        <w:pBdr>
          <w:top w:val="single" w:sz="4" w:space="1" w:color="auto"/>
          <w:left w:val="single" w:sz="4" w:space="4" w:color="auto"/>
          <w:bottom w:val="single" w:sz="4" w:space="1" w:color="auto"/>
          <w:right w:val="single" w:sz="4" w:space="4" w:color="auto"/>
        </w:pBdr>
        <w:rPr>
          <w:noProof/>
        </w:rPr>
      </w:pPr>
      <w:r>
        <w:rPr>
          <w:noProof/>
        </w:rPr>
        <w:t>S.O.</w:t>
      </w:r>
    </w:p>
    <w:p>
      <w:pPr>
        <w:pStyle w:val="ManualHeading3"/>
        <w:rPr>
          <w:noProof/>
        </w:rPr>
      </w:pPr>
      <w:bookmarkStart w:id="15" w:name="_Toc514938019"/>
      <w:bookmarkStart w:id="16" w:name="_Toc520485032"/>
      <w:r>
        <w:t>1.4.3.</w:t>
      </w:r>
      <w:r>
        <w:tab/>
      </w:r>
      <w:r>
        <w:rPr>
          <w:noProof/>
        </w:rPr>
        <w:t>Résultat(s) et incidence(s) attendus</w:t>
      </w:r>
      <w:bookmarkEnd w:id="15"/>
      <w:bookmarkEnd w:id="16"/>
    </w:p>
    <w:p>
      <w:pPr>
        <w:pStyle w:val="Text1"/>
        <w:rPr>
          <w:i/>
          <w:noProof/>
          <w:sz w:val="20"/>
        </w:rPr>
      </w:pPr>
      <w:r>
        <w:rPr>
          <w:i/>
          <w:noProof/>
          <w:sz w:val="20"/>
        </w:rPr>
        <w:t>Préciser les effets que la proposition/l'initiative devrait avoir sur les bénéficiaires/la population visée.</w:t>
      </w:r>
    </w:p>
    <w:p>
      <w:pPr>
        <w:pStyle w:val="Text1"/>
        <w:pBdr>
          <w:top w:val="single" w:sz="4" w:space="1" w:color="auto"/>
          <w:left w:val="single" w:sz="4" w:space="4" w:color="auto"/>
          <w:bottom w:val="single" w:sz="4" w:space="1" w:color="auto"/>
          <w:right w:val="single" w:sz="4" w:space="4" w:color="auto"/>
        </w:pBdr>
        <w:rPr>
          <w:noProof/>
        </w:rPr>
      </w:pPr>
      <w:bookmarkStart w:id="17" w:name="_Toc514938023"/>
      <w:bookmarkStart w:id="18" w:name="_Toc520485033"/>
      <w:r>
        <w:rPr>
          <w:noProof/>
        </w:rPr>
        <w:t>L’accord de retrait entre l’Union et le Royaume-Uni permettra de rassurer les citoyens européens, les entreprises et les partenaires internationaux que le retrait du Royaume-Uni de l’Union se fera de manière ordonnée et contrôlée.</w:t>
      </w:r>
    </w:p>
    <w:p>
      <w:pPr>
        <w:pStyle w:val="Text1"/>
        <w:pBdr>
          <w:top w:val="single" w:sz="4" w:space="1" w:color="auto"/>
          <w:left w:val="single" w:sz="4" w:space="4" w:color="auto"/>
          <w:bottom w:val="single" w:sz="4" w:space="1" w:color="auto"/>
          <w:right w:val="single" w:sz="4" w:space="4" w:color="auto"/>
        </w:pBdr>
        <w:rPr>
          <w:noProof/>
        </w:rPr>
      </w:pPr>
      <w:r>
        <w:rPr>
          <w:noProof/>
        </w:rPr>
        <w:t xml:space="preserve">La seule incidence budgétaire de l’accord de retrait découle de la mise en place du comité mixte, composé de représentants de l’Union et de représentants du Royaume-Uni. Le comité mixte supervisera et facilitera la mise en œuvre et l’application de l’accord de retrait, décidera des tâches des comités spécialisés, supervisera leurs travaux et apportera des modifications à l’accord lorsque cela est expressément prévu dans l’accord proprement dit. En outre, l’accord confère au comité mixte un rôle dans le règlement des différends, qui fait l’objet du titre 3 de la sixième partie de l’accord de retrait. </w:t>
      </w:r>
    </w:p>
    <w:p>
      <w:pPr>
        <w:pStyle w:val="Text1"/>
        <w:pBdr>
          <w:top w:val="single" w:sz="4" w:space="1" w:color="auto"/>
          <w:left w:val="single" w:sz="4" w:space="4" w:color="auto"/>
          <w:bottom w:val="single" w:sz="4" w:space="1" w:color="auto"/>
          <w:right w:val="single" w:sz="4" w:space="4" w:color="auto"/>
        </w:pBdr>
        <w:rPr>
          <w:noProof/>
        </w:rPr>
      </w:pPr>
      <w:r>
        <w:rPr>
          <w:noProof/>
        </w:rPr>
        <w:t xml:space="preserve">Le comité mixte se réunira au moins une fois par an, à la demande de l’une ou l’autre partie. Les comités spécialisés suivants agiront sous le contrôle du comité mixte, c’est-à-dire qu’il y aura un sous-comité pour chacune des principales parties de l’accord de retrait: </w:t>
      </w:r>
    </w:p>
    <w:p>
      <w:pPr>
        <w:pStyle w:val="Text1"/>
        <w:pBdr>
          <w:top w:val="single" w:sz="4" w:space="1" w:color="auto"/>
          <w:left w:val="single" w:sz="4" w:space="4" w:color="auto"/>
          <w:bottom w:val="single" w:sz="4" w:space="1" w:color="auto"/>
          <w:right w:val="single" w:sz="4" w:space="4" w:color="auto"/>
        </w:pBdr>
        <w:rPr>
          <w:noProof/>
        </w:rPr>
      </w:pPr>
      <w:r>
        <w:rPr>
          <w:noProof/>
        </w:rPr>
        <w:t>a)</w:t>
      </w:r>
      <w:r>
        <w:rPr>
          <w:noProof/>
        </w:rPr>
        <w:tab/>
        <w:t>le comité des droits des citoyens;</w:t>
      </w:r>
    </w:p>
    <w:p>
      <w:pPr>
        <w:pStyle w:val="Text1"/>
        <w:pBdr>
          <w:top w:val="single" w:sz="4" w:space="1" w:color="auto"/>
          <w:left w:val="single" w:sz="4" w:space="4" w:color="auto"/>
          <w:bottom w:val="single" w:sz="4" w:space="1" w:color="auto"/>
          <w:right w:val="single" w:sz="4" w:space="4" w:color="auto"/>
        </w:pBdr>
        <w:rPr>
          <w:noProof/>
        </w:rPr>
      </w:pPr>
      <w:r>
        <w:rPr>
          <w:noProof/>
        </w:rPr>
        <w:t>b)</w:t>
      </w:r>
      <w:r>
        <w:rPr>
          <w:noProof/>
        </w:rPr>
        <w:tab/>
        <w:t>le comité sur les autres dispositions relatives à la séparation;</w:t>
      </w:r>
    </w:p>
    <w:p>
      <w:pPr>
        <w:pStyle w:val="Text1"/>
        <w:pBdr>
          <w:top w:val="single" w:sz="4" w:space="1" w:color="auto"/>
          <w:left w:val="single" w:sz="4" w:space="4" w:color="auto"/>
          <w:bottom w:val="single" w:sz="4" w:space="1" w:color="auto"/>
          <w:right w:val="single" w:sz="4" w:space="4" w:color="auto"/>
        </w:pBdr>
        <w:rPr>
          <w:noProof/>
        </w:rPr>
      </w:pPr>
      <w:r>
        <w:rPr>
          <w:noProof/>
        </w:rPr>
        <w:t>c)</w:t>
      </w:r>
      <w:r>
        <w:rPr>
          <w:noProof/>
        </w:rPr>
        <w:tab/>
        <w:t>le comité sur les questions relatives à la mise en œuvre du protocole sur l’Irlande et l’Irlande du Nord;</w:t>
      </w:r>
    </w:p>
    <w:p>
      <w:pPr>
        <w:pStyle w:val="Text1"/>
        <w:pBdr>
          <w:top w:val="single" w:sz="4" w:space="1" w:color="auto"/>
          <w:left w:val="single" w:sz="4" w:space="4" w:color="auto"/>
          <w:bottom w:val="single" w:sz="4" w:space="1" w:color="auto"/>
          <w:right w:val="single" w:sz="4" w:space="4" w:color="auto"/>
        </w:pBdr>
        <w:rPr>
          <w:noProof/>
        </w:rPr>
      </w:pPr>
      <w:r>
        <w:rPr>
          <w:noProof/>
        </w:rPr>
        <w:t>d)</w:t>
      </w:r>
      <w:r>
        <w:rPr>
          <w:noProof/>
        </w:rPr>
        <w:tab/>
        <w:t xml:space="preserve">le comité sur les questions relatives à la mise en œuvre du protocole relatif aux zones de souveraineté à Chypre; </w:t>
      </w:r>
    </w:p>
    <w:p>
      <w:pPr>
        <w:pStyle w:val="Text1"/>
        <w:pBdr>
          <w:top w:val="single" w:sz="4" w:space="1" w:color="auto"/>
          <w:left w:val="single" w:sz="4" w:space="4" w:color="auto"/>
          <w:bottom w:val="single" w:sz="4" w:space="1" w:color="auto"/>
          <w:right w:val="single" w:sz="4" w:space="4" w:color="auto"/>
        </w:pBdr>
        <w:rPr>
          <w:noProof/>
        </w:rPr>
      </w:pPr>
      <w:r>
        <w:rPr>
          <w:noProof/>
        </w:rPr>
        <w:t>e)</w:t>
      </w:r>
      <w:r>
        <w:rPr>
          <w:noProof/>
        </w:rPr>
        <w:tab/>
        <w:t>le comité sur les questions relatives à la mise en œuvre du protocole sur Gibraltar; et</w:t>
      </w:r>
    </w:p>
    <w:p>
      <w:pPr>
        <w:pStyle w:val="Text1"/>
        <w:pBdr>
          <w:top w:val="single" w:sz="4" w:space="1" w:color="auto"/>
          <w:left w:val="single" w:sz="4" w:space="4" w:color="auto"/>
          <w:bottom w:val="single" w:sz="4" w:space="1" w:color="auto"/>
          <w:right w:val="single" w:sz="4" w:space="4" w:color="auto"/>
        </w:pBdr>
        <w:rPr>
          <w:noProof/>
        </w:rPr>
      </w:pPr>
      <w:r>
        <w:rPr>
          <w:noProof/>
        </w:rPr>
        <w:t>f)</w:t>
      </w:r>
      <w:r>
        <w:rPr>
          <w:noProof/>
        </w:rPr>
        <w:tab/>
        <w:t>le comité des dispositions financières.</w:t>
      </w:r>
    </w:p>
    <w:p>
      <w:pPr>
        <w:pStyle w:val="ManualHeading3"/>
        <w:rPr>
          <w:noProof/>
          <w:szCs w:val="24"/>
        </w:rPr>
      </w:pPr>
      <w:r>
        <w:t>1.4.4.</w:t>
      </w:r>
      <w:r>
        <w:tab/>
      </w:r>
      <w:r>
        <w:rPr>
          <w:noProof/>
        </w:rPr>
        <w:t>Indicateurs de performance</w:t>
      </w:r>
      <w:bookmarkEnd w:id="17"/>
      <w:bookmarkEnd w:id="18"/>
    </w:p>
    <w:p>
      <w:pPr>
        <w:pStyle w:val="Text1"/>
        <w:rPr>
          <w:i/>
          <w:noProof/>
          <w:sz w:val="20"/>
        </w:rPr>
      </w:pPr>
      <w:r>
        <w:rPr>
          <w:i/>
          <w:noProof/>
          <w:sz w:val="20"/>
        </w:rPr>
        <w:t>Préciser les indicateurs permettant de suivre l’avancement et les réalisations.</w:t>
      </w:r>
    </w:p>
    <w:p>
      <w:pPr>
        <w:pStyle w:val="Text1"/>
        <w:pBdr>
          <w:top w:val="single" w:sz="4" w:space="1" w:color="auto"/>
          <w:left w:val="single" w:sz="4" w:space="4" w:color="auto"/>
          <w:bottom w:val="single" w:sz="4" w:space="1" w:color="auto"/>
          <w:right w:val="single" w:sz="4" w:space="4" w:color="auto"/>
        </w:pBdr>
        <w:rPr>
          <w:noProof/>
        </w:rPr>
      </w:pPr>
      <w:bookmarkStart w:id="19" w:name="_Toc514938025"/>
      <w:bookmarkStart w:id="20" w:name="_Toc520485034"/>
      <w:r>
        <w:rPr>
          <w:noProof/>
        </w:rPr>
        <w:t>S.O.</w:t>
      </w:r>
    </w:p>
    <w:p>
      <w:pPr>
        <w:pStyle w:val="ManualHeading2"/>
        <w:rPr>
          <w:bCs/>
          <w:noProof/>
          <w:szCs w:val="24"/>
        </w:rPr>
      </w:pPr>
      <w:r>
        <w:lastRenderedPageBreak/>
        <w:t>1.5.</w:t>
      </w:r>
      <w:r>
        <w:tab/>
      </w:r>
      <w:r>
        <w:rPr>
          <w:noProof/>
        </w:rPr>
        <w:t>Justification(s) de la proposition/de l’initiative</w:t>
      </w:r>
      <w:bookmarkEnd w:id="19"/>
      <w:bookmarkEnd w:id="20"/>
      <w:r>
        <w:rPr>
          <w:noProof/>
        </w:rPr>
        <w:t xml:space="preserve"> </w:t>
      </w:r>
    </w:p>
    <w:p>
      <w:pPr>
        <w:pStyle w:val="ManualHeading3"/>
        <w:rPr>
          <w:noProof/>
        </w:rPr>
      </w:pPr>
      <w:bookmarkStart w:id="21" w:name="_Toc514938026"/>
      <w:bookmarkStart w:id="22" w:name="_Toc520485035"/>
      <w:r>
        <w:t>1.5.1.</w:t>
      </w:r>
      <w:r>
        <w:tab/>
      </w:r>
      <w:r>
        <w:rPr>
          <w:noProof/>
        </w:rPr>
        <w:t>Besoin(s) à satisfaire à court ou à long terme, assorti(s) d’un calendrier détaillé pour la mise en œuvre de l’initiative</w:t>
      </w:r>
      <w:bookmarkEnd w:id="21"/>
      <w:bookmarkEnd w:id="22"/>
    </w:p>
    <w:p>
      <w:pPr>
        <w:pStyle w:val="Text1"/>
        <w:pBdr>
          <w:top w:val="single" w:sz="4" w:space="1" w:color="auto"/>
          <w:left w:val="single" w:sz="4" w:space="4" w:color="auto"/>
          <w:bottom w:val="single" w:sz="4" w:space="1" w:color="auto"/>
          <w:right w:val="single" w:sz="4" w:space="4" w:color="auto"/>
        </w:pBdr>
        <w:rPr>
          <w:noProof/>
        </w:rPr>
      </w:pPr>
      <w:bookmarkStart w:id="23" w:name="_Toc514938029"/>
      <w:bookmarkStart w:id="24" w:name="_Toc520485036"/>
      <w:r>
        <w:rPr>
          <w:noProof/>
        </w:rPr>
        <w:t>Assurer le retrait ordonné du Royaume-Uni de l’Union</w:t>
      </w:r>
    </w:p>
    <w:p>
      <w:pPr>
        <w:pStyle w:val="ManualHeading3"/>
        <w:rPr>
          <w:bCs/>
          <w:noProof/>
          <w:szCs w:val="24"/>
        </w:rPr>
      </w:pPr>
      <w:r>
        <w:t>1.5.2.</w:t>
      </w:r>
      <w:r>
        <w:tab/>
      </w:r>
      <w:r>
        <w:rPr>
          <w:noProof/>
        </w:rPr>
        <w:t>Valeur ajoutée de l’intervention de l’Union (celle-ci peut résulter de différents facteurs, par exemple gains de coordination, sécurité juridique, efficacité accrue, complémentarités, etc.). Aux fins du présent point, on entend par «valeur ajoutée de l’intervention de l’Union» la valeur découlant de l’intervention de l’Union qui vient s’ajouter à la valeur qui, sans cela, aurait été générée par la seule action des États membres.</w:t>
      </w:r>
      <w:bookmarkEnd w:id="23"/>
      <w:bookmarkEnd w:id="24"/>
    </w:p>
    <w:p>
      <w:pPr>
        <w:pStyle w:val="Text1"/>
        <w:pBdr>
          <w:top w:val="single" w:sz="4" w:space="0" w:color="auto"/>
          <w:left w:val="single" w:sz="4" w:space="4" w:color="auto"/>
          <w:bottom w:val="single" w:sz="4" w:space="1" w:color="auto"/>
          <w:right w:val="single" w:sz="4" w:space="4" w:color="auto"/>
        </w:pBdr>
        <w:rPr>
          <w:noProof/>
        </w:rPr>
      </w:pPr>
      <w:bookmarkStart w:id="25" w:name="_Toc514938030"/>
      <w:bookmarkStart w:id="26" w:name="_Toc520485037"/>
      <w:r>
        <w:rPr>
          <w:noProof/>
        </w:rPr>
        <w:t>Un retrait ordonné du Royaume-Uni de l’Union est dans l’intérêt tant de l’Union que du Royaume-Uni; en particulier, il offrira la sécurité juridique aux citoyens et aux entreprises de part et d'autre de la Manche. L’accord de retrait est nécessaire pour atténuer tout effet néfaste sur l’économie européenne et sur le budget de l’Union, pour protéger les droits des citoyens européens vivant et travaillant au Royaume-Uni et pour protéger l’objectif de paix et de réconciliation, consacré par l'accord du Vendredi saint, sur l’île d’Irlande.</w:t>
      </w:r>
    </w:p>
    <w:p>
      <w:pPr>
        <w:pStyle w:val="ManualHeading3"/>
        <w:rPr>
          <w:noProof/>
        </w:rPr>
      </w:pPr>
      <w:r>
        <w:rPr>
          <w:noProof/>
        </w:rPr>
        <w:br w:type="page"/>
      </w:r>
      <w:r>
        <w:lastRenderedPageBreak/>
        <w:t>1.5.3.</w:t>
      </w:r>
      <w:r>
        <w:tab/>
      </w:r>
      <w:r>
        <w:rPr>
          <w:noProof/>
        </w:rPr>
        <w:t>Leçons tirées d’expériences similaires</w:t>
      </w:r>
      <w:bookmarkEnd w:id="25"/>
      <w:bookmarkEnd w:id="26"/>
    </w:p>
    <w:p>
      <w:pPr>
        <w:pStyle w:val="Text1"/>
        <w:pBdr>
          <w:top w:val="single" w:sz="4" w:space="1" w:color="auto"/>
          <w:left w:val="single" w:sz="4" w:space="4" w:color="auto"/>
          <w:bottom w:val="single" w:sz="4" w:space="1" w:color="auto"/>
          <w:right w:val="single" w:sz="4" w:space="4" w:color="auto"/>
        </w:pBdr>
        <w:rPr>
          <w:noProof/>
        </w:rPr>
      </w:pPr>
      <w:r>
        <w:t>S.O.</w:t>
      </w:r>
    </w:p>
    <w:p>
      <w:pPr>
        <w:pStyle w:val="ManualHeading3"/>
        <w:rPr>
          <w:noProof/>
        </w:rPr>
      </w:pPr>
      <w:bookmarkStart w:id="27" w:name="_Toc514938033"/>
      <w:bookmarkStart w:id="28" w:name="_Toc520485038"/>
      <w:r>
        <w:t>1.5.4.</w:t>
      </w:r>
      <w:r>
        <w:tab/>
      </w:r>
      <w:r>
        <w:rPr>
          <w:noProof/>
        </w:rPr>
        <w:t>Compatibilité avec le cadre financier pluriannuel et synergies éventuelles avec d’autres instruments appropriés</w:t>
      </w:r>
      <w:bookmarkEnd w:id="27"/>
      <w:bookmarkEnd w:id="28"/>
    </w:p>
    <w:p>
      <w:pPr>
        <w:pStyle w:val="Text1"/>
        <w:pBdr>
          <w:top w:val="single" w:sz="4" w:space="1" w:color="auto"/>
          <w:left w:val="single" w:sz="4" w:space="4" w:color="auto"/>
          <w:bottom w:val="single" w:sz="4" w:space="1" w:color="auto"/>
          <w:right w:val="single" w:sz="4" w:space="4" w:color="auto"/>
        </w:pBdr>
        <w:rPr>
          <w:noProof/>
        </w:rPr>
      </w:pPr>
      <w:bookmarkStart w:id="29" w:name="_Toc514938036"/>
      <w:bookmarkStart w:id="30" w:name="_Toc520485039"/>
      <w:r>
        <w:t>S.O.</w:t>
      </w:r>
    </w:p>
    <w:p>
      <w:pPr>
        <w:pStyle w:val="ManualHeading3"/>
        <w:rPr>
          <w:noProof/>
        </w:rPr>
      </w:pPr>
      <w:r>
        <w:t>1.5.5.</w:t>
      </w:r>
      <w:r>
        <w:tab/>
      </w:r>
      <w:r>
        <w:rPr>
          <w:noProof/>
        </w:rPr>
        <w:t>Évaluation des différentes possibilités de financement disponibles, y compris des possibilités de redéploiement</w:t>
      </w:r>
      <w:bookmarkEnd w:id="29"/>
      <w:bookmarkEnd w:id="30"/>
    </w:p>
    <w:p>
      <w:pPr>
        <w:pStyle w:val="Text1"/>
        <w:pBdr>
          <w:top w:val="single" w:sz="4" w:space="1" w:color="auto"/>
          <w:left w:val="single" w:sz="4" w:space="4" w:color="auto"/>
          <w:bottom w:val="single" w:sz="4" w:space="1" w:color="auto"/>
          <w:right w:val="single" w:sz="4" w:space="4" w:color="auto"/>
        </w:pBdr>
        <w:rPr>
          <w:noProof/>
        </w:rPr>
      </w:pPr>
      <w:r>
        <w:t>S.O.</w:t>
      </w:r>
    </w:p>
    <w:p>
      <w:pPr>
        <w:pStyle w:val="ManualHeading2"/>
        <w:rPr>
          <w:bCs/>
          <w:noProof/>
          <w:szCs w:val="24"/>
        </w:rPr>
      </w:pPr>
      <w:bookmarkStart w:id="31" w:name="_Toc514938039"/>
      <w:bookmarkStart w:id="32" w:name="_Toc520485040"/>
      <w:r>
        <w:t>1.6.</w:t>
      </w:r>
      <w:r>
        <w:tab/>
      </w:r>
      <w:r>
        <w:rPr>
          <w:noProof/>
        </w:rPr>
        <w:t>Durée et incidence financière de la proposition/de l'initiative</w:t>
      </w:r>
      <w:bookmarkEnd w:id="31"/>
      <w:bookmarkEnd w:id="32"/>
    </w:p>
    <w:p>
      <w:pPr>
        <w:pStyle w:val="Text1"/>
        <w:rPr>
          <w:noProof/>
        </w:rPr>
      </w:pPr>
      <w:r>
        <w:rPr>
          <w:noProof/>
        </w:rPr>
        <w:sym w:font="Wingdings" w:char="F0A8"/>
      </w:r>
      <w:r>
        <w:rPr>
          <w:b/>
          <w:i/>
          <w:noProof/>
        </w:rPr>
        <w:t xml:space="preserve"> </w:t>
      </w:r>
      <w:r>
        <w:rPr>
          <w:b/>
          <w:noProof/>
        </w:rPr>
        <w:t xml:space="preserve">durée limitée </w:t>
      </w:r>
    </w:p>
    <w:p>
      <w:pPr>
        <w:pStyle w:val="ListDash2"/>
        <w:rPr>
          <w:noProof/>
        </w:rPr>
      </w:pPr>
      <w:r>
        <w:rPr>
          <w:noProof/>
        </w:rPr>
        <w:sym w:font="Wingdings" w:char="F0A8"/>
      </w:r>
      <w:r>
        <w:rPr>
          <w:noProof/>
        </w:rPr>
        <w:tab/>
        <w:t xml:space="preserve">En vigueur à partir de [JJ/MM]AAAA jusqu’en/au [JJ/MM]AAAA </w:t>
      </w:r>
    </w:p>
    <w:p>
      <w:pPr>
        <w:pStyle w:val="ListDash2"/>
        <w:rPr>
          <w:noProof/>
        </w:rPr>
      </w:pPr>
      <w:r>
        <w:rPr>
          <w:noProof/>
        </w:rPr>
        <w:sym w:font="Wingdings" w:char="F0A8"/>
      </w:r>
      <w:r>
        <w:rPr>
          <w:noProof/>
        </w:rPr>
        <w:tab/>
        <w:t xml:space="preserve">Incidence financière de AAAA jusqu’en AAAA pour les crédits d’engagement et de AAAA jusqu’en AAAA pour les crédits de paiement. </w:t>
      </w:r>
    </w:p>
    <w:p>
      <w:pPr>
        <w:pStyle w:val="Text1"/>
        <w:rPr>
          <w:noProof/>
        </w:rPr>
      </w:pPr>
      <w:r>
        <w:rPr>
          <w:noProof/>
        </w:rPr>
        <w:sym w:font="Wingdings" w:char="F0FE"/>
      </w:r>
      <w:r>
        <w:rPr>
          <w:b/>
          <w:i/>
          <w:noProof/>
        </w:rPr>
        <w:t xml:space="preserve"> </w:t>
      </w:r>
      <w:r>
        <w:rPr>
          <w:b/>
          <w:noProof/>
        </w:rPr>
        <w:t>durée illimitée</w:t>
      </w:r>
    </w:p>
    <w:p>
      <w:pPr>
        <w:pStyle w:val="ListDash1"/>
        <w:rPr>
          <w:noProof/>
        </w:rPr>
      </w:pPr>
      <w:r>
        <w:rPr>
          <w:noProof/>
        </w:rPr>
        <w:t>Mise en œuvre avec une période de montée en puissance de AAAA jusqu’en AAAA,</w:t>
      </w:r>
    </w:p>
    <w:p>
      <w:pPr>
        <w:pStyle w:val="ListDash1"/>
        <w:rPr>
          <w:noProof/>
        </w:rPr>
      </w:pPr>
      <w:r>
        <w:rPr>
          <w:noProof/>
        </w:rPr>
        <w:t>puis un fonctionnement en rythme de croisière au-delà.</w:t>
      </w:r>
    </w:p>
    <w:p>
      <w:pPr>
        <w:pStyle w:val="ManualHeading2"/>
        <w:rPr>
          <w:bCs/>
          <w:noProof/>
          <w:szCs w:val="24"/>
        </w:rPr>
      </w:pPr>
      <w:bookmarkStart w:id="33" w:name="_Toc514938040"/>
      <w:bookmarkStart w:id="34" w:name="_Toc520485041"/>
      <w:r>
        <w:t>1.7.</w:t>
      </w:r>
      <w:r>
        <w:tab/>
      </w:r>
      <w:r>
        <w:rPr>
          <w:noProof/>
        </w:rPr>
        <w:t>Mode(s) de gestion prévu(s)</w:t>
      </w:r>
      <w:r>
        <w:rPr>
          <w:rStyle w:val="FootnoteReference"/>
          <w:noProof/>
        </w:rPr>
        <w:footnoteReference w:id="4"/>
      </w:r>
      <w:bookmarkEnd w:id="33"/>
      <w:bookmarkEnd w:id="34"/>
      <w:r>
        <w:rPr>
          <w:rStyle w:val="FootnoteReference"/>
          <w:noProof/>
        </w:rPr>
        <w:t xml:space="preserve"> </w:t>
      </w:r>
    </w:p>
    <w:p>
      <w:pPr>
        <w:pStyle w:val="Text1"/>
        <w:rPr>
          <w:noProof/>
        </w:rPr>
      </w:pPr>
      <w:r>
        <w:rPr>
          <w:noProof/>
        </w:rPr>
        <w:sym w:font="Wingdings" w:char="F0FE"/>
      </w:r>
      <w:r>
        <w:rPr>
          <w:i/>
          <w:noProof/>
        </w:rPr>
        <w:t xml:space="preserve"> </w:t>
      </w:r>
      <w:r>
        <w:rPr>
          <w:b/>
          <w:noProof/>
        </w:rPr>
        <w:t>Gestion directe</w:t>
      </w:r>
      <w:r>
        <w:rPr>
          <w:noProof/>
        </w:rPr>
        <w:t xml:space="preserve"> par la Commission</w:t>
      </w:r>
    </w:p>
    <w:p>
      <w:pPr>
        <w:pStyle w:val="ListDash2"/>
        <w:rPr>
          <w:rFonts w:cs="EUAlbertina"/>
          <w:noProof/>
        </w:rPr>
      </w:pPr>
      <w:r>
        <w:rPr>
          <w:noProof/>
        </w:rPr>
        <w:sym w:font="Wingdings" w:char="F0FE"/>
      </w:r>
      <w:r>
        <w:rPr>
          <w:noProof/>
        </w:rPr>
        <w:tab/>
        <w:t xml:space="preserve">dans ses services, y compris par l’intermédiaire de son personnel dans les délégations de l’Union; </w:t>
      </w:r>
    </w:p>
    <w:p>
      <w:pPr>
        <w:pStyle w:val="ListDash2"/>
        <w:rPr>
          <w:noProof/>
        </w:rPr>
      </w:pPr>
      <w:r>
        <w:rPr>
          <w:noProof/>
        </w:rPr>
        <w:sym w:font="Wingdings" w:char="F0A8"/>
      </w:r>
      <w:r>
        <w:rPr>
          <w:noProof/>
        </w:rPr>
        <w:tab/>
        <w:t xml:space="preserve">par les agences exécutives </w:t>
      </w:r>
    </w:p>
    <w:p>
      <w:pPr>
        <w:pStyle w:val="Text1"/>
        <w:rPr>
          <w:noProof/>
        </w:rPr>
      </w:pPr>
      <w:r>
        <w:rPr>
          <w:noProof/>
        </w:rPr>
        <w:sym w:font="Wingdings" w:char="F0A8"/>
      </w:r>
      <w:r>
        <w:rPr>
          <w:b/>
          <w:i/>
          <w:noProof/>
        </w:rPr>
        <w:t xml:space="preserve"> </w:t>
      </w:r>
      <w:r>
        <w:rPr>
          <w:b/>
          <w:noProof/>
        </w:rPr>
        <w:t>Gestion partagée</w:t>
      </w:r>
      <w:r>
        <w:rPr>
          <w:noProof/>
        </w:rPr>
        <w:t xml:space="preserve"> avec les États membres </w:t>
      </w:r>
    </w:p>
    <w:p>
      <w:pPr>
        <w:pStyle w:val="Text1"/>
        <w:rPr>
          <w:noProof/>
        </w:rPr>
      </w:pPr>
      <w:r>
        <w:rPr>
          <w:noProof/>
        </w:rPr>
        <w:sym w:font="Wingdings" w:char="F0A8"/>
      </w:r>
      <w:r>
        <w:rPr>
          <w:i/>
          <w:noProof/>
        </w:rPr>
        <w:t xml:space="preserve"> </w:t>
      </w:r>
      <w:r>
        <w:rPr>
          <w:b/>
          <w:noProof/>
        </w:rPr>
        <w:t>Gestion indirecte</w:t>
      </w:r>
      <w:r>
        <w:rPr>
          <w:noProof/>
        </w:rPr>
        <w:t xml:space="preserve"> en confiant des tâches d’exécution budgétaire:</w:t>
      </w:r>
    </w:p>
    <w:p>
      <w:pPr>
        <w:pStyle w:val="ListDash2"/>
        <w:rPr>
          <w:noProof/>
        </w:rPr>
      </w:pPr>
      <w:r>
        <w:rPr>
          <w:noProof/>
        </w:rPr>
        <w:sym w:font="Wingdings" w:char="F0A8"/>
      </w:r>
      <w:r>
        <w:rPr>
          <w:noProof/>
        </w:rPr>
        <w:t xml:space="preserve"> à des pays tiers ou aux organismes qu’ils ont désignés;</w:t>
      </w:r>
    </w:p>
    <w:p>
      <w:pPr>
        <w:pStyle w:val="ListDash2"/>
        <w:rPr>
          <w:noProof/>
        </w:rPr>
      </w:pPr>
      <w:r>
        <w:rPr>
          <w:noProof/>
        </w:rPr>
        <w:sym w:font="Wingdings" w:char="F0A8"/>
      </w:r>
      <w:r>
        <w:rPr>
          <w:noProof/>
        </w:rPr>
        <w:t xml:space="preserve"> à des organisations internationales et à leurs agences (à préciser);</w:t>
      </w:r>
    </w:p>
    <w:p>
      <w:pPr>
        <w:pStyle w:val="ListDash2"/>
        <w:rPr>
          <w:noProof/>
        </w:rPr>
      </w:pPr>
      <w:r>
        <w:rPr>
          <w:noProof/>
        </w:rPr>
        <w:sym w:font="Wingdings" w:char="F0A8"/>
      </w:r>
      <w:r>
        <w:rPr>
          <w:noProof/>
        </w:rPr>
        <w:t xml:space="preserve"> à la BEI et au Fonds européen d’investissement;</w:t>
      </w:r>
    </w:p>
    <w:p>
      <w:pPr>
        <w:pStyle w:val="ListDash2"/>
        <w:rPr>
          <w:noProof/>
        </w:rPr>
      </w:pPr>
      <w:r>
        <w:rPr>
          <w:noProof/>
        </w:rPr>
        <w:sym w:font="Wingdings" w:char="F0A8"/>
      </w:r>
      <w:r>
        <w:rPr>
          <w:noProof/>
        </w:rPr>
        <w:t xml:space="preserve"> aux organismes visés aux articles 70 et 71 du règlement financier;</w:t>
      </w:r>
    </w:p>
    <w:p>
      <w:pPr>
        <w:pStyle w:val="ListDash2"/>
        <w:rPr>
          <w:noProof/>
        </w:rPr>
      </w:pPr>
      <w:r>
        <w:rPr>
          <w:noProof/>
        </w:rPr>
        <w:sym w:font="Wingdings" w:char="F0A8"/>
      </w:r>
      <w:r>
        <w:rPr>
          <w:noProof/>
        </w:rPr>
        <w:t xml:space="preserve"> à des organismes de droit public;</w:t>
      </w:r>
    </w:p>
    <w:p>
      <w:pPr>
        <w:pStyle w:val="ListDash2"/>
        <w:rPr>
          <w:noProof/>
        </w:rPr>
      </w:pPr>
      <w:r>
        <w:rPr>
          <w:noProof/>
        </w:rPr>
        <w:sym w:font="Wingdings" w:char="F0A8"/>
      </w:r>
      <w:r>
        <w:rPr>
          <w:noProof/>
        </w:rPr>
        <w:t xml:space="preserve"> à des organismes de droit privé investis d’une mission de service public, pour autant qu’ils présentent les garanties financières suffisantes;</w:t>
      </w:r>
    </w:p>
    <w:p>
      <w:pPr>
        <w:pStyle w:val="ListDash2"/>
        <w:rPr>
          <w:noProof/>
        </w:rPr>
      </w:pPr>
      <w:r>
        <w:rPr>
          <w:noProof/>
        </w:rPr>
        <w:sym w:font="Wingdings" w:char="F0A8"/>
      </w:r>
      <w:r>
        <w:rPr>
          <w:noProof/>
        </w:rPr>
        <w:t xml:space="preserve"> à des organismes de droit privé d’un État membre qui sont chargés de la mise en œuvre d’un partenariat public</w:t>
      </w:r>
      <w:r>
        <w:rPr>
          <w:noProof/>
        </w:rPr>
        <w:noBreakHyphen/>
        <w:t>privé et présentent les garanties financières suffisantes;</w:t>
      </w:r>
    </w:p>
    <w:p>
      <w:pPr>
        <w:pStyle w:val="ListDash2"/>
        <w:rPr>
          <w:noProof/>
        </w:rPr>
      </w:pPr>
      <w:r>
        <w:rPr>
          <w:noProof/>
        </w:rPr>
        <w:lastRenderedPageBreak/>
        <w:sym w:font="Wingdings" w:char="F0A8"/>
      </w:r>
      <w:r>
        <w:rPr>
          <w:noProof/>
        </w:rPr>
        <w:t xml:space="preserve"> à des personnes chargées de l’exécution d’actions spécifiques relevant de la PESC, en vertu du titre V du traité sur l’Union européenne, identifiées dans l’acte de base concerné.</w:t>
      </w:r>
    </w:p>
    <w:p>
      <w:pPr>
        <w:pStyle w:val="ListDash2"/>
        <w:rPr>
          <w:i/>
          <w:noProof/>
          <w:sz w:val="18"/>
          <w:u w:val="single"/>
        </w:rPr>
      </w:pPr>
      <w:r>
        <w:rPr>
          <w:i/>
          <w:noProof/>
          <w:sz w:val="18"/>
        </w:rPr>
        <w:t>Si plusieurs modes de gestion sont indiqués, veuillez donner des précisions dans la partie «Remarques».</w:t>
      </w:r>
    </w:p>
    <w:p>
      <w:pPr>
        <w:rPr>
          <w:noProof/>
        </w:rPr>
      </w:pPr>
      <w:r>
        <w:rPr>
          <w:noProof/>
        </w:rPr>
        <w:t xml:space="preserve">Remarques </w:t>
      </w:r>
    </w:p>
    <w:p>
      <w:pPr>
        <w:pBdr>
          <w:top w:val="single" w:sz="4" w:space="1" w:color="auto"/>
          <w:left w:val="single" w:sz="4" w:space="4" w:color="auto"/>
          <w:bottom w:val="single" w:sz="4" w:space="1" w:color="auto"/>
          <w:right w:val="single" w:sz="4" w:space="4" w:color="auto"/>
        </w:pBdr>
        <w:rPr>
          <w:noProof/>
        </w:rPr>
      </w:pPr>
    </w:p>
    <w:p>
      <w:pPr>
        <w:rPr>
          <w:noProof/>
        </w:rPr>
        <w:sectPr>
          <w:pgSz w:w="11907" w:h="16840" w:code="9"/>
          <w:pgMar w:top="1134" w:right="1418" w:bottom="1134" w:left="1418" w:header="709" w:footer="709" w:gutter="0"/>
          <w:cols w:space="708"/>
          <w:docGrid w:linePitch="360"/>
        </w:sectPr>
      </w:pPr>
    </w:p>
    <w:p>
      <w:pPr>
        <w:pStyle w:val="ManualHeading1"/>
        <w:rPr>
          <w:bCs/>
          <w:noProof/>
          <w:szCs w:val="24"/>
        </w:rPr>
      </w:pPr>
      <w:bookmarkStart w:id="35" w:name="_Toc514938041"/>
      <w:bookmarkStart w:id="36" w:name="_Toc520485042"/>
      <w:r>
        <w:lastRenderedPageBreak/>
        <w:t>2.</w:t>
      </w:r>
      <w:r>
        <w:tab/>
      </w:r>
      <w:r>
        <w:rPr>
          <w:noProof/>
        </w:rPr>
        <w:t>MESURES DE GESTION</w:t>
      </w:r>
      <w:bookmarkEnd w:id="35"/>
      <w:bookmarkEnd w:id="36"/>
      <w:r>
        <w:rPr>
          <w:noProof/>
        </w:rPr>
        <w:t xml:space="preserve"> </w:t>
      </w:r>
    </w:p>
    <w:p>
      <w:pPr>
        <w:pStyle w:val="ManualHeading2"/>
        <w:rPr>
          <w:noProof/>
        </w:rPr>
      </w:pPr>
      <w:bookmarkStart w:id="37" w:name="_Toc514938042"/>
      <w:bookmarkStart w:id="38" w:name="_Toc520485043"/>
      <w:r>
        <w:t>2.1.</w:t>
      </w:r>
      <w:r>
        <w:tab/>
      </w:r>
      <w:r>
        <w:rPr>
          <w:noProof/>
        </w:rPr>
        <w:t>Dispositions en matière de suivi et de compte rendu</w:t>
      </w:r>
      <w:bookmarkEnd w:id="37"/>
      <w:bookmarkEnd w:id="38"/>
      <w:r>
        <w:rPr>
          <w:noProof/>
        </w:rPr>
        <w:t xml:space="preserve"> </w:t>
      </w:r>
    </w:p>
    <w:p>
      <w:pPr>
        <w:pStyle w:val="Text1"/>
        <w:rPr>
          <w:i/>
          <w:noProof/>
          <w:sz w:val="20"/>
        </w:rPr>
      </w:pPr>
      <w:r>
        <w:rPr>
          <w:i/>
          <w:noProof/>
          <w:sz w:val="20"/>
        </w:rPr>
        <w:t>Préciser la fréquence et les conditions de ces dispositions.</w:t>
      </w:r>
    </w:p>
    <w:p>
      <w:pPr>
        <w:pStyle w:val="Text1"/>
        <w:pBdr>
          <w:top w:val="single" w:sz="4" w:space="1" w:color="auto"/>
          <w:left w:val="single" w:sz="4" w:space="4" w:color="auto"/>
          <w:bottom w:val="single" w:sz="4" w:space="1" w:color="auto"/>
          <w:right w:val="single" w:sz="4" w:space="4" w:color="auto"/>
        </w:pBdr>
        <w:rPr>
          <w:noProof/>
        </w:rPr>
      </w:pPr>
      <w:bookmarkStart w:id="39" w:name="_Toc514938045"/>
      <w:bookmarkStart w:id="40" w:name="_Toc520485044"/>
      <w:r>
        <w:rPr>
          <w:noProof/>
        </w:rPr>
        <w:t>Le comité mixte publiera un rapport annuel sur le fonctionnement de l’accord.</w:t>
      </w:r>
    </w:p>
    <w:p>
      <w:pPr>
        <w:pStyle w:val="ManualHeading2"/>
        <w:rPr>
          <w:bCs/>
          <w:noProof/>
          <w:szCs w:val="24"/>
        </w:rPr>
      </w:pPr>
      <w:r>
        <w:t>2.2.</w:t>
      </w:r>
      <w:r>
        <w:tab/>
      </w:r>
      <w:r>
        <w:rPr>
          <w:noProof/>
        </w:rPr>
        <w:t>Système(s) de gestion et de contrôle</w:t>
      </w:r>
      <w:bookmarkEnd w:id="39"/>
      <w:bookmarkEnd w:id="40"/>
      <w:r>
        <w:rPr>
          <w:noProof/>
        </w:rPr>
        <w:t xml:space="preserve"> </w:t>
      </w:r>
    </w:p>
    <w:p>
      <w:pPr>
        <w:pStyle w:val="ManualHeading3"/>
        <w:rPr>
          <w:noProof/>
        </w:rPr>
      </w:pPr>
      <w:bookmarkStart w:id="41" w:name="_Toc514938046"/>
      <w:bookmarkStart w:id="42" w:name="_Toc520485045"/>
      <w:r>
        <w:t>2.2.1.</w:t>
      </w:r>
      <w:r>
        <w:tab/>
      </w:r>
      <w:r>
        <w:rPr>
          <w:noProof/>
        </w:rPr>
        <w:t>Justification du (des) mode(s) de gestion, du (des) mécanisme(s) de mise en œuvre du financement, des modalités de paiement et de la stratégie de contrôle proposée</w:t>
      </w:r>
      <w:bookmarkEnd w:id="41"/>
      <w:bookmarkEnd w:id="42"/>
    </w:p>
    <w:p>
      <w:pPr>
        <w:pStyle w:val="Text1"/>
        <w:pBdr>
          <w:top w:val="single" w:sz="4" w:space="1" w:color="auto"/>
          <w:left w:val="single" w:sz="4" w:space="4" w:color="auto"/>
          <w:bottom w:val="single" w:sz="4" w:space="1" w:color="auto"/>
          <w:right w:val="single" w:sz="4" w:space="4" w:color="auto"/>
        </w:pBdr>
        <w:rPr>
          <w:noProof/>
        </w:rPr>
      </w:pPr>
      <w:r>
        <w:t>S.O.</w:t>
      </w:r>
    </w:p>
    <w:p>
      <w:pPr>
        <w:pStyle w:val="ManualHeading3"/>
        <w:rPr>
          <w:bCs/>
          <w:noProof/>
          <w:szCs w:val="24"/>
        </w:rPr>
      </w:pPr>
      <w:bookmarkStart w:id="43" w:name="_Toc514938047"/>
      <w:bookmarkStart w:id="44" w:name="_Toc520485046"/>
      <w:r>
        <w:t>2.2.2.</w:t>
      </w:r>
      <w:r>
        <w:tab/>
      </w:r>
      <w:r>
        <w:rPr>
          <w:noProof/>
        </w:rPr>
        <w:t>Informations sur les risques recensés et sur le(s) système(s) de contrôle interne mis en place pour les atténuer</w:t>
      </w:r>
      <w:bookmarkEnd w:id="43"/>
      <w:bookmarkEnd w:id="44"/>
    </w:p>
    <w:p>
      <w:pPr>
        <w:pStyle w:val="Text1"/>
        <w:pBdr>
          <w:top w:val="single" w:sz="4" w:space="1" w:color="auto"/>
          <w:left w:val="single" w:sz="4" w:space="4" w:color="auto"/>
          <w:bottom w:val="single" w:sz="4" w:space="1" w:color="auto"/>
          <w:right w:val="single" w:sz="4" w:space="4" w:color="auto"/>
        </w:pBdr>
      </w:pPr>
      <w:r>
        <w:t>S.O.</w:t>
      </w:r>
    </w:p>
    <w:p>
      <w:pPr>
        <w:pStyle w:val="ManualHeading3"/>
        <w:rPr>
          <w:noProof/>
        </w:rPr>
      </w:pPr>
      <w:bookmarkStart w:id="45" w:name="_Toc514938048"/>
      <w:bookmarkStart w:id="46" w:name="_Toc520485047"/>
      <w:r>
        <w:t>2.2.3.</w:t>
      </w:r>
      <w:r>
        <w:tab/>
      </w:r>
      <w:r>
        <w:rPr>
          <w:noProof/>
        </w:rPr>
        <w:t>Estimation et justification du rapport coût-efficacité des contrôles (rapport «coûts du contrôle ÷ valeur des fonds gérés concernés»), et évaluation du niveau attendu de risque d’erreur (lors du paiement et lors de la clôture)</w:t>
      </w:r>
      <w:bookmarkEnd w:id="45"/>
      <w:bookmarkEnd w:id="46"/>
      <w:r>
        <w:rPr>
          <w:noProof/>
        </w:rPr>
        <w:t xml:space="preserve"> </w:t>
      </w:r>
    </w:p>
    <w:p>
      <w:pPr>
        <w:pStyle w:val="Text1"/>
        <w:pBdr>
          <w:top w:val="single" w:sz="4" w:space="1" w:color="auto"/>
          <w:left w:val="single" w:sz="4" w:space="4" w:color="auto"/>
          <w:bottom w:val="single" w:sz="4" w:space="1" w:color="auto"/>
          <w:right w:val="single" w:sz="4" w:space="4" w:color="auto"/>
        </w:pBdr>
        <w:rPr>
          <w:noProof/>
        </w:rPr>
      </w:pPr>
      <w:r>
        <w:t>S.O.</w:t>
      </w:r>
    </w:p>
    <w:p>
      <w:pPr>
        <w:pStyle w:val="ManualHeading2"/>
        <w:rPr>
          <w:bCs/>
          <w:noProof/>
          <w:szCs w:val="24"/>
        </w:rPr>
      </w:pPr>
      <w:bookmarkStart w:id="47" w:name="_Toc514938049"/>
      <w:bookmarkStart w:id="48" w:name="_Toc520485048"/>
      <w:r>
        <w:t>2.3.</w:t>
      </w:r>
      <w:r>
        <w:tab/>
      </w:r>
      <w:r>
        <w:rPr>
          <w:noProof/>
        </w:rPr>
        <w:t>Mesures de prévention des fraudes et irrégularités</w:t>
      </w:r>
      <w:bookmarkEnd w:id="47"/>
      <w:bookmarkEnd w:id="48"/>
      <w:r>
        <w:rPr>
          <w:noProof/>
        </w:rPr>
        <w:t xml:space="preserve"> </w:t>
      </w:r>
    </w:p>
    <w:p>
      <w:pPr>
        <w:pStyle w:val="Text1"/>
        <w:rPr>
          <w:i/>
          <w:noProof/>
          <w:sz w:val="20"/>
        </w:rPr>
      </w:pPr>
      <w:r>
        <w:rPr>
          <w:i/>
          <w:noProof/>
          <w:sz w:val="20"/>
        </w:rPr>
        <w:t>Préciser les mesures de prévention et de protection existantes ou envisagées, au titre de la stratégie antifraude par exemple.</w:t>
      </w:r>
    </w:p>
    <w:p>
      <w:pPr>
        <w:pStyle w:val="Text1"/>
        <w:pBdr>
          <w:top w:val="single" w:sz="4" w:space="1" w:color="auto"/>
          <w:left w:val="single" w:sz="4" w:space="4" w:color="auto"/>
          <w:bottom w:val="single" w:sz="4" w:space="1" w:color="auto"/>
          <w:right w:val="single" w:sz="4" w:space="4" w:color="auto"/>
        </w:pBdr>
        <w:rPr>
          <w:noProof/>
        </w:rPr>
      </w:pPr>
    </w:p>
    <w:p>
      <w:pPr>
        <w:pStyle w:val="Text1"/>
        <w:pBdr>
          <w:top w:val="single" w:sz="4" w:space="1" w:color="auto"/>
          <w:left w:val="single" w:sz="4" w:space="4" w:color="auto"/>
          <w:bottom w:val="single" w:sz="4" w:space="1" w:color="auto"/>
          <w:right w:val="single" w:sz="4" w:space="4" w:color="auto"/>
        </w:pBdr>
        <w:rPr>
          <w:noProof/>
        </w:rPr>
      </w:pPr>
    </w:p>
    <w:p>
      <w:pPr>
        <w:rPr>
          <w:noProof/>
        </w:rPr>
        <w:sectPr>
          <w:pgSz w:w="11907" w:h="16840" w:code="9"/>
          <w:pgMar w:top="1134" w:right="1418" w:bottom="1134" w:left="1418" w:header="709" w:footer="709" w:gutter="0"/>
          <w:cols w:space="708"/>
          <w:docGrid w:linePitch="360"/>
        </w:sectPr>
      </w:pPr>
    </w:p>
    <w:p>
      <w:pPr>
        <w:pStyle w:val="ManualHeading1"/>
        <w:rPr>
          <w:bCs/>
          <w:noProof/>
          <w:szCs w:val="24"/>
        </w:rPr>
      </w:pPr>
      <w:bookmarkStart w:id="49" w:name="_Toc514938050"/>
      <w:bookmarkStart w:id="50" w:name="_Toc520485049"/>
      <w:r>
        <w:t>3.</w:t>
      </w:r>
      <w:r>
        <w:tab/>
      </w:r>
      <w:r>
        <w:rPr>
          <w:noProof/>
        </w:rPr>
        <w:t>INCIDENCE FINANCIÈRE ESTIMÉE DE LA PROPOSITION/DE L’INITIATIVE</w:t>
      </w:r>
      <w:bookmarkEnd w:id="49"/>
      <w:bookmarkEnd w:id="50"/>
      <w:r>
        <w:rPr>
          <w:noProof/>
        </w:rPr>
        <w:t xml:space="preserve"> </w:t>
      </w:r>
    </w:p>
    <w:p>
      <w:pPr>
        <w:pStyle w:val="ManualHeading2"/>
        <w:rPr>
          <w:noProof/>
        </w:rPr>
      </w:pPr>
      <w:bookmarkStart w:id="51" w:name="_Toc514938051"/>
      <w:bookmarkStart w:id="52" w:name="_Toc520485050"/>
      <w:r>
        <w:t>3.1.</w:t>
      </w:r>
      <w:r>
        <w:tab/>
      </w:r>
      <w:r>
        <w:rPr>
          <w:noProof/>
        </w:rPr>
        <w:t>Rubrique(s) du cadre financier pluriannuel et ligne(s) budgétaire(s) de dépenses concernée(s)</w:t>
      </w:r>
      <w:bookmarkEnd w:id="51"/>
      <w:bookmarkEnd w:id="52"/>
      <w:r>
        <w:rPr>
          <w:noProof/>
        </w:rPr>
        <w:t xml:space="preserve"> </w:t>
      </w:r>
    </w:p>
    <w:p>
      <w:pPr>
        <w:pStyle w:val="ListBullet1"/>
        <w:rPr>
          <w:noProof/>
        </w:rPr>
      </w:pPr>
      <w:r>
        <w:rPr>
          <w:noProof/>
        </w:rPr>
        <w:t xml:space="preserve">Lignes budgétaires existantes </w:t>
      </w:r>
    </w:p>
    <w:p>
      <w:pPr>
        <w:pStyle w:val="Text1"/>
        <w:rPr>
          <w:i/>
          <w:noProof/>
        </w:rPr>
      </w:pPr>
      <w:r>
        <w:rPr>
          <w:i/>
          <w:noProof/>
          <w:u w:val="single"/>
        </w:rPr>
        <w:t>Dans l'ordre</w:t>
      </w:r>
      <w:r>
        <w:rPr>
          <w:i/>
          <w:noProof/>
        </w:rPr>
        <w:t xml:space="preserve"> des rubriques du cadre financier pluriannuel et des lignes budgétaires.</w:t>
      </w:r>
    </w:p>
    <w:tbl>
      <w:tblPr>
        <w:tblW w:w="105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3960"/>
        <w:gridCol w:w="1080"/>
        <w:gridCol w:w="956"/>
        <w:gridCol w:w="1080"/>
        <w:gridCol w:w="956"/>
        <w:gridCol w:w="1448"/>
      </w:tblGrid>
      <w:tr>
        <w:tc>
          <w:tcPr>
            <w:tcW w:w="1080" w:type="dxa"/>
            <w:vMerge w:val="restart"/>
            <w:vAlign w:val="center"/>
          </w:tcPr>
          <w:p>
            <w:pPr>
              <w:spacing w:before="60" w:after="60"/>
              <w:jc w:val="center"/>
              <w:rPr>
                <w:noProof/>
              </w:rPr>
            </w:pPr>
            <w:r>
              <w:rPr>
                <w:noProof/>
                <w:sz w:val="18"/>
              </w:rPr>
              <w:t>Rubrique du cadre financier pluriannuel</w:t>
            </w:r>
          </w:p>
        </w:tc>
        <w:tc>
          <w:tcPr>
            <w:tcW w:w="3960" w:type="dxa"/>
            <w:vAlign w:val="center"/>
          </w:tcPr>
          <w:p>
            <w:pPr>
              <w:spacing w:before="60" w:after="60"/>
              <w:jc w:val="center"/>
              <w:rPr>
                <w:noProof/>
              </w:rPr>
            </w:pPr>
            <w:r>
              <w:rPr>
                <w:noProof/>
                <w:sz w:val="20"/>
              </w:rPr>
              <w:t>Ligne budgétaire</w:t>
            </w:r>
          </w:p>
        </w:tc>
        <w:tc>
          <w:tcPr>
            <w:tcW w:w="1080" w:type="dxa"/>
            <w:vAlign w:val="center"/>
          </w:tcPr>
          <w:p>
            <w:pPr>
              <w:spacing w:before="60" w:after="60"/>
              <w:jc w:val="center"/>
              <w:rPr>
                <w:noProof/>
              </w:rPr>
            </w:pPr>
            <w:r>
              <w:rPr>
                <w:noProof/>
                <w:sz w:val="18"/>
              </w:rPr>
              <w:t>Nature de</w:t>
            </w:r>
            <w:r>
              <w:rPr>
                <w:noProof/>
                <w:sz w:val="22"/>
              </w:rPr>
              <w:br/>
            </w:r>
            <w:r>
              <w:rPr>
                <w:noProof/>
                <w:sz w:val="18"/>
              </w:rPr>
              <w:t>la dépense</w:t>
            </w:r>
          </w:p>
        </w:tc>
        <w:tc>
          <w:tcPr>
            <w:tcW w:w="4440" w:type="dxa"/>
            <w:gridSpan w:val="4"/>
            <w:vAlign w:val="center"/>
          </w:tcPr>
          <w:p>
            <w:pPr>
              <w:spacing w:before="60" w:after="60"/>
              <w:jc w:val="center"/>
              <w:rPr>
                <w:noProof/>
              </w:rPr>
            </w:pPr>
            <w:r>
              <w:rPr>
                <w:noProof/>
                <w:sz w:val="20"/>
              </w:rPr>
              <w:t xml:space="preserve">Participation </w:t>
            </w:r>
          </w:p>
        </w:tc>
      </w:tr>
      <w:tr>
        <w:tc>
          <w:tcPr>
            <w:tcW w:w="1080" w:type="dxa"/>
            <w:vMerge/>
            <w:vAlign w:val="center"/>
          </w:tcPr>
          <w:p>
            <w:pPr>
              <w:jc w:val="center"/>
              <w:rPr>
                <w:noProof/>
              </w:rPr>
            </w:pPr>
          </w:p>
        </w:tc>
        <w:tc>
          <w:tcPr>
            <w:tcW w:w="3960" w:type="dxa"/>
            <w:vAlign w:val="center"/>
          </w:tcPr>
          <w:p>
            <w:pPr>
              <w:rPr>
                <w:noProof/>
              </w:rPr>
            </w:pPr>
            <w:r>
              <w:rPr>
                <w:noProof/>
                <w:sz w:val="20"/>
              </w:rPr>
              <w:t xml:space="preserve">Numéro </w:t>
            </w:r>
            <w:r>
              <w:rPr>
                <w:noProof/>
                <w:sz w:val="22"/>
              </w:rPr>
              <w:br/>
            </w:r>
            <w:r>
              <w:rPr>
                <w:noProof/>
                <w:sz w:val="20"/>
              </w:rPr>
              <w:t>5</w:t>
            </w:r>
            <w:r>
              <w:rPr>
                <w:noProof/>
              </w:rPr>
              <w:br/>
            </w:r>
            <w:r>
              <w:rPr>
                <w:noProof/>
                <w:sz w:val="20"/>
              </w:rPr>
              <w:t>[Rubrique Administration]</w:t>
            </w:r>
          </w:p>
        </w:tc>
        <w:tc>
          <w:tcPr>
            <w:tcW w:w="1080" w:type="dxa"/>
            <w:vAlign w:val="center"/>
          </w:tcPr>
          <w:p>
            <w:pPr>
              <w:jc w:val="center"/>
              <w:rPr>
                <w:noProof/>
              </w:rPr>
            </w:pPr>
            <w:r>
              <w:rPr>
                <w:noProof/>
                <w:sz w:val="18"/>
              </w:rPr>
              <w:t>CD/CND</w:t>
            </w:r>
            <w:r>
              <w:rPr>
                <w:rStyle w:val="FootnoteReference"/>
                <w:noProof/>
                <w:sz w:val="18"/>
              </w:rPr>
              <w:footnoteReference w:id="5"/>
            </w:r>
            <w:r>
              <w:rPr>
                <w:noProof/>
              </w:rPr>
              <w:t>.</w:t>
            </w:r>
          </w:p>
        </w:tc>
        <w:tc>
          <w:tcPr>
            <w:tcW w:w="956" w:type="dxa"/>
            <w:vAlign w:val="center"/>
          </w:tcPr>
          <w:p>
            <w:pPr>
              <w:jc w:val="center"/>
              <w:rPr>
                <w:noProof/>
              </w:rPr>
            </w:pPr>
            <w:r>
              <w:rPr>
                <w:noProof/>
                <w:sz w:val="18"/>
              </w:rPr>
              <w:t>de pays AELE</w:t>
            </w:r>
            <w:r>
              <w:rPr>
                <w:rStyle w:val="FootnoteReference"/>
                <w:noProof/>
                <w:sz w:val="18"/>
              </w:rPr>
              <w:footnoteReference w:id="6"/>
            </w:r>
          </w:p>
          <w:p>
            <w:pPr>
              <w:spacing w:before="0" w:after="0"/>
              <w:jc w:val="center"/>
              <w:rPr>
                <w:b/>
                <w:noProof/>
                <w:sz w:val="18"/>
              </w:rPr>
            </w:pPr>
          </w:p>
        </w:tc>
        <w:tc>
          <w:tcPr>
            <w:tcW w:w="1080" w:type="dxa"/>
            <w:vAlign w:val="center"/>
          </w:tcPr>
          <w:p>
            <w:pPr>
              <w:jc w:val="center"/>
              <w:rPr>
                <w:noProof/>
              </w:rPr>
            </w:pPr>
            <w:r>
              <w:rPr>
                <w:noProof/>
                <w:sz w:val="18"/>
              </w:rPr>
              <w:t>de pays candidats</w:t>
            </w:r>
            <w:r>
              <w:rPr>
                <w:rStyle w:val="FootnoteReference"/>
                <w:noProof/>
                <w:sz w:val="18"/>
              </w:rPr>
              <w:footnoteReference w:id="7"/>
            </w:r>
          </w:p>
          <w:p>
            <w:pPr>
              <w:spacing w:before="0" w:after="0"/>
              <w:jc w:val="center"/>
              <w:rPr>
                <w:noProof/>
                <w:sz w:val="18"/>
              </w:rPr>
            </w:pPr>
          </w:p>
        </w:tc>
        <w:tc>
          <w:tcPr>
            <w:tcW w:w="956" w:type="dxa"/>
            <w:vAlign w:val="center"/>
          </w:tcPr>
          <w:p>
            <w:pPr>
              <w:jc w:val="center"/>
              <w:rPr>
                <w:noProof/>
                <w:sz w:val="18"/>
              </w:rPr>
            </w:pPr>
            <w:r>
              <w:rPr>
                <w:noProof/>
                <w:sz w:val="18"/>
              </w:rPr>
              <w:t>de pays tiers</w:t>
            </w:r>
          </w:p>
        </w:tc>
        <w:tc>
          <w:tcPr>
            <w:tcW w:w="1448" w:type="dxa"/>
            <w:vAlign w:val="center"/>
          </w:tcPr>
          <w:p>
            <w:pPr>
              <w:jc w:val="center"/>
              <w:rPr>
                <w:noProof/>
              </w:rPr>
            </w:pPr>
            <w:r>
              <w:rPr>
                <w:noProof/>
                <w:sz w:val="16"/>
              </w:rPr>
              <w:t xml:space="preserve">au sens de l'article 21, paragraphe 2, point b), du règlement financier </w:t>
            </w:r>
          </w:p>
        </w:tc>
      </w:tr>
      <w:tr>
        <w:tc>
          <w:tcPr>
            <w:tcW w:w="1080" w:type="dxa"/>
            <w:vAlign w:val="center"/>
          </w:tcPr>
          <w:p>
            <w:pPr>
              <w:jc w:val="center"/>
              <w:rPr>
                <w:noProof/>
                <w:color w:val="0000FF"/>
              </w:rPr>
            </w:pPr>
          </w:p>
        </w:tc>
        <w:tc>
          <w:tcPr>
            <w:tcW w:w="3960" w:type="dxa"/>
            <w:vAlign w:val="center"/>
          </w:tcPr>
          <w:p>
            <w:pPr>
              <w:spacing w:before="60"/>
              <w:rPr>
                <w:noProof/>
              </w:rPr>
            </w:pPr>
            <w:r>
              <w:rPr>
                <w:noProof/>
              </w:rPr>
              <w:t>XX 01 01 01 - Dépenses relatives aux fonctionnaires et aux agents temporaires liés à l’institution</w:t>
            </w:r>
          </w:p>
        </w:tc>
        <w:tc>
          <w:tcPr>
            <w:tcW w:w="1080" w:type="dxa"/>
            <w:vAlign w:val="center"/>
          </w:tcPr>
          <w:p>
            <w:pPr>
              <w:jc w:val="center"/>
              <w:rPr>
                <w:noProof/>
              </w:rPr>
            </w:pPr>
            <w:r>
              <w:rPr>
                <w:noProof/>
              </w:rPr>
              <w:t>CND</w:t>
            </w:r>
          </w:p>
        </w:tc>
        <w:tc>
          <w:tcPr>
            <w:tcW w:w="956" w:type="dxa"/>
            <w:vAlign w:val="center"/>
          </w:tcPr>
          <w:p>
            <w:pPr>
              <w:jc w:val="center"/>
              <w:rPr>
                <w:noProof/>
              </w:rPr>
            </w:pPr>
            <w:r>
              <w:rPr>
                <w:noProof/>
              </w:rPr>
              <w:t>NON</w:t>
            </w:r>
          </w:p>
        </w:tc>
        <w:tc>
          <w:tcPr>
            <w:tcW w:w="1080" w:type="dxa"/>
            <w:vAlign w:val="center"/>
          </w:tcPr>
          <w:p>
            <w:pPr>
              <w:jc w:val="center"/>
              <w:rPr>
                <w:noProof/>
              </w:rPr>
            </w:pPr>
            <w:r>
              <w:rPr>
                <w:noProof/>
              </w:rPr>
              <w:t>NON</w:t>
            </w:r>
          </w:p>
        </w:tc>
        <w:tc>
          <w:tcPr>
            <w:tcW w:w="956" w:type="dxa"/>
            <w:vAlign w:val="center"/>
          </w:tcPr>
          <w:p>
            <w:pPr>
              <w:jc w:val="center"/>
              <w:rPr>
                <w:noProof/>
              </w:rPr>
            </w:pPr>
            <w:r>
              <w:rPr>
                <w:noProof/>
              </w:rPr>
              <w:t>NON</w:t>
            </w:r>
          </w:p>
        </w:tc>
        <w:tc>
          <w:tcPr>
            <w:tcW w:w="1448" w:type="dxa"/>
            <w:vAlign w:val="center"/>
          </w:tcPr>
          <w:p>
            <w:pPr>
              <w:jc w:val="center"/>
              <w:rPr>
                <w:noProof/>
              </w:rPr>
            </w:pPr>
            <w:r>
              <w:rPr>
                <w:noProof/>
              </w:rPr>
              <w:t>NON</w:t>
            </w:r>
          </w:p>
        </w:tc>
      </w:tr>
      <w:tr>
        <w:tc>
          <w:tcPr>
            <w:tcW w:w="1080" w:type="dxa"/>
            <w:vAlign w:val="center"/>
          </w:tcPr>
          <w:p>
            <w:pPr>
              <w:jc w:val="center"/>
              <w:rPr>
                <w:noProof/>
                <w:color w:val="0000FF"/>
              </w:rPr>
            </w:pPr>
          </w:p>
        </w:tc>
        <w:tc>
          <w:tcPr>
            <w:tcW w:w="3960" w:type="dxa"/>
            <w:vAlign w:val="center"/>
          </w:tcPr>
          <w:p>
            <w:pPr>
              <w:spacing w:before="60"/>
            </w:pPr>
            <w:r>
              <w:rPr>
                <w:noProof/>
              </w:rPr>
              <w:t>XX 01 02 11 01 - Frais de missions et de représentation</w:t>
            </w:r>
          </w:p>
        </w:tc>
        <w:tc>
          <w:tcPr>
            <w:tcW w:w="1080" w:type="dxa"/>
            <w:vAlign w:val="center"/>
          </w:tcPr>
          <w:p>
            <w:pPr>
              <w:jc w:val="center"/>
              <w:rPr>
                <w:noProof/>
              </w:rPr>
            </w:pPr>
            <w:r>
              <w:rPr>
                <w:noProof/>
              </w:rPr>
              <w:t>CND</w:t>
            </w:r>
          </w:p>
        </w:tc>
        <w:tc>
          <w:tcPr>
            <w:tcW w:w="956" w:type="dxa"/>
            <w:vAlign w:val="center"/>
          </w:tcPr>
          <w:p>
            <w:pPr>
              <w:jc w:val="center"/>
              <w:rPr>
                <w:noProof/>
              </w:rPr>
            </w:pPr>
            <w:r>
              <w:rPr>
                <w:noProof/>
              </w:rPr>
              <w:t>NON</w:t>
            </w:r>
          </w:p>
        </w:tc>
        <w:tc>
          <w:tcPr>
            <w:tcW w:w="1080" w:type="dxa"/>
            <w:vAlign w:val="center"/>
          </w:tcPr>
          <w:p>
            <w:pPr>
              <w:jc w:val="center"/>
              <w:rPr>
                <w:noProof/>
              </w:rPr>
            </w:pPr>
            <w:r>
              <w:rPr>
                <w:noProof/>
              </w:rPr>
              <w:t>NON</w:t>
            </w:r>
          </w:p>
        </w:tc>
        <w:tc>
          <w:tcPr>
            <w:tcW w:w="956" w:type="dxa"/>
            <w:vAlign w:val="center"/>
          </w:tcPr>
          <w:p>
            <w:pPr>
              <w:jc w:val="center"/>
              <w:rPr>
                <w:noProof/>
              </w:rPr>
            </w:pPr>
            <w:r>
              <w:rPr>
                <w:noProof/>
              </w:rPr>
              <w:t>NON</w:t>
            </w:r>
          </w:p>
        </w:tc>
        <w:tc>
          <w:tcPr>
            <w:tcW w:w="1448" w:type="dxa"/>
            <w:vAlign w:val="center"/>
          </w:tcPr>
          <w:p>
            <w:pPr>
              <w:jc w:val="center"/>
              <w:rPr>
                <w:noProof/>
              </w:rPr>
            </w:pPr>
            <w:r>
              <w:rPr>
                <w:noProof/>
              </w:rPr>
              <w:t>NON</w:t>
            </w:r>
          </w:p>
        </w:tc>
      </w:tr>
    </w:tbl>
    <w:p>
      <w:pPr>
        <w:pStyle w:val="ListBullet1"/>
        <w:rPr>
          <w:noProof/>
        </w:rPr>
      </w:pPr>
      <w:r>
        <w:rPr>
          <w:noProof/>
        </w:rPr>
        <w:t xml:space="preserve">Nouvelles lignes budgétaires, dont la création est demandée </w:t>
      </w:r>
    </w:p>
    <w:p>
      <w:pPr>
        <w:pStyle w:val="Text1"/>
        <w:rPr>
          <w:i/>
          <w:noProof/>
          <w:sz w:val="20"/>
        </w:rPr>
      </w:pPr>
      <w:r>
        <w:rPr>
          <w:i/>
          <w:noProof/>
          <w:u w:val="single"/>
        </w:rPr>
        <w:t>Dans l'ordre</w:t>
      </w:r>
      <w:r>
        <w:rPr>
          <w:i/>
          <w:noProof/>
        </w:rPr>
        <w:t xml:space="preserve"> des rubriques du cadre financier pluriannuel et des lignes budgétaires.</w:t>
      </w:r>
    </w:p>
    <w:tbl>
      <w:tblPr>
        <w:tblW w:w="105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3960"/>
        <w:gridCol w:w="1080"/>
        <w:gridCol w:w="956"/>
        <w:gridCol w:w="1080"/>
        <w:gridCol w:w="956"/>
        <w:gridCol w:w="1448"/>
      </w:tblGrid>
      <w:tr>
        <w:tc>
          <w:tcPr>
            <w:tcW w:w="1080" w:type="dxa"/>
            <w:vMerge w:val="restart"/>
            <w:vAlign w:val="center"/>
          </w:tcPr>
          <w:p>
            <w:pPr>
              <w:spacing w:before="60" w:after="60"/>
              <w:jc w:val="center"/>
              <w:rPr>
                <w:noProof/>
                <w:sz w:val="18"/>
                <w:szCs w:val="18"/>
              </w:rPr>
            </w:pPr>
            <w:r>
              <w:rPr>
                <w:noProof/>
                <w:sz w:val="18"/>
              </w:rPr>
              <w:t>Rubrique du cadre financier pluriannuel</w:t>
            </w:r>
          </w:p>
        </w:tc>
        <w:tc>
          <w:tcPr>
            <w:tcW w:w="3960" w:type="dxa"/>
            <w:vAlign w:val="center"/>
          </w:tcPr>
          <w:p>
            <w:pPr>
              <w:spacing w:before="60" w:after="60"/>
              <w:jc w:val="center"/>
              <w:rPr>
                <w:noProof/>
              </w:rPr>
            </w:pPr>
            <w:r>
              <w:rPr>
                <w:noProof/>
                <w:sz w:val="20"/>
              </w:rPr>
              <w:t>Ligne budgétaire</w:t>
            </w:r>
          </w:p>
        </w:tc>
        <w:tc>
          <w:tcPr>
            <w:tcW w:w="1080" w:type="dxa"/>
            <w:vAlign w:val="center"/>
          </w:tcPr>
          <w:p>
            <w:pPr>
              <w:spacing w:before="60" w:after="60"/>
              <w:jc w:val="center"/>
              <w:rPr>
                <w:noProof/>
              </w:rPr>
            </w:pPr>
            <w:r>
              <w:rPr>
                <w:noProof/>
                <w:sz w:val="18"/>
              </w:rPr>
              <w:t>Nature de</w:t>
            </w:r>
            <w:r>
              <w:rPr>
                <w:noProof/>
                <w:sz w:val="22"/>
              </w:rPr>
              <w:br/>
            </w:r>
            <w:r>
              <w:rPr>
                <w:noProof/>
                <w:sz w:val="18"/>
              </w:rPr>
              <w:t>la dépense</w:t>
            </w:r>
          </w:p>
        </w:tc>
        <w:tc>
          <w:tcPr>
            <w:tcW w:w="4440" w:type="dxa"/>
            <w:gridSpan w:val="4"/>
            <w:vAlign w:val="center"/>
          </w:tcPr>
          <w:p>
            <w:pPr>
              <w:spacing w:before="60" w:after="60"/>
              <w:jc w:val="center"/>
              <w:rPr>
                <w:noProof/>
              </w:rPr>
            </w:pPr>
            <w:r>
              <w:rPr>
                <w:noProof/>
                <w:sz w:val="20"/>
              </w:rPr>
              <w:t xml:space="preserve">Participation </w:t>
            </w:r>
          </w:p>
        </w:tc>
      </w:tr>
      <w:tr>
        <w:tc>
          <w:tcPr>
            <w:tcW w:w="1080" w:type="dxa"/>
            <w:vMerge/>
            <w:vAlign w:val="center"/>
          </w:tcPr>
          <w:p>
            <w:pPr>
              <w:jc w:val="center"/>
              <w:rPr>
                <w:noProof/>
              </w:rPr>
            </w:pPr>
          </w:p>
        </w:tc>
        <w:tc>
          <w:tcPr>
            <w:tcW w:w="3960" w:type="dxa"/>
            <w:vAlign w:val="center"/>
          </w:tcPr>
          <w:p>
            <w:pPr>
              <w:rPr>
                <w:noProof/>
              </w:rPr>
            </w:pPr>
            <w:r>
              <w:rPr>
                <w:noProof/>
                <w:sz w:val="20"/>
              </w:rPr>
              <w:t xml:space="preserve">Numéro </w:t>
            </w:r>
            <w:r>
              <w:rPr>
                <w:noProof/>
              </w:rPr>
              <w:br/>
              <w:t>[…]</w:t>
            </w:r>
            <w:r>
              <w:rPr>
                <w:noProof/>
                <w:sz w:val="20"/>
              </w:rPr>
              <w:t>[Rubrique………………………………………]</w:t>
            </w:r>
          </w:p>
        </w:tc>
        <w:tc>
          <w:tcPr>
            <w:tcW w:w="1080" w:type="dxa"/>
            <w:vAlign w:val="center"/>
          </w:tcPr>
          <w:p>
            <w:pPr>
              <w:jc w:val="center"/>
              <w:rPr>
                <w:noProof/>
              </w:rPr>
            </w:pPr>
            <w:r>
              <w:rPr>
                <w:noProof/>
                <w:sz w:val="18"/>
              </w:rPr>
              <w:t>CD/CND</w:t>
            </w:r>
          </w:p>
        </w:tc>
        <w:tc>
          <w:tcPr>
            <w:tcW w:w="956" w:type="dxa"/>
            <w:vAlign w:val="center"/>
          </w:tcPr>
          <w:p>
            <w:pPr>
              <w:jc w:val="center"/>
              <w:rPr>
                <w:noProof/>
                <w:sz w:val="18"/>
              </w:rPr>
            </w:pPr>
            <w:r>
              <w:rPr>
                <w:noProof/>
                <w:sz w:val="18"/>
              </w:rPr>
              <w:t>de pays AELE</w:t>
            </w:r>
          </w:p>
        </w:tc>
        <w:tc>
          <w:tcPr>
            <w:tcW w:w="1080" w:type="dxa"/>
            <w:vAlign w:val="center"/>
          </w:tcPr>
          <w:p>
            <w:pPr>
              <w:jc w:val="center"/>
              <w:rPr>
                <w:noProof/>
                <w:sz w:val="18"/>
              </w:rPr>
            </w:pPr>
            <w:r>
              <w:rPr>
                <w:noProof/>
                <w:sz w:val="18"/>
              </w:rPr>
              <w:t>de pays candidats</w:t>
            </w:r>
          </w:p>
        </w:tc>
        <w:tc>
          <w:tcPr>
            <w:tcW w:w="956" w:type="dxa"/>
            <w:vAlign w:val="center"/>
          </w:tcPr>
          <w:p>
            <w:pPr>
              <w:jc w:val="center"/>
              <w:rPr>
                <w:noProof/>
                <w:sz w:val="18"/>
              </w:rPr>
            </w:pPr>
            <w:r>
              <w:rPr>
                <w:noProof/>
                <w:sz w:val="18"/>
              </w:rPr>
              <w:t>de pays tiers</w:t>
            </w:r>
          </w:p>
        </w:tc>
        <w:tc>
          <w:tcPr>
            <w:tcW w:w="1448" w:type="dxa"/>
            <w:vAlign w:val="center"/>
          </w:tcPr>
          <w:p>
            <w:pPr>
              <w:jc w:val="center"/>
              <w:rPr>
                <w:noProof/>
              </w:rPr>
            </w:pPr>
            <w:r>
              <w:rPr>
                <w:noProof/>
                <w:sz w:val="16"/>
              </w:rPr>
              <w:t xml:space="preserve">au sens de l'article 21, paragraphe 2, point b), du règlement financier </w:t>
            </w:r>
          </w:p>
        </w:tc>
      </w:tr>
      <w:tr>
        <w:tc>
          <w:tcPr>
            <w:tcW w:w="1080" w:type="dxa"/>
            <w:vAlign w:val="center"/>
          </w:tcPr>
          <w:p>
            <w:pPr>
              <w:jc w:val="center"/>
              <w:rPr>
                <w:noProof/>
                <w:color w:val="0000FF"/>
              </w:rPr>
            </w:pPr>
          </w:p>
        </w:tc>
        <w:tc>
          <w:tcPr>
            <w:tcW w:w="3960" w:type="dxa"/>
            <w:vAlign w:val="center"/>
          </w:tcPr>
          <w:p>
            <w:pPr>
              <w:spacing w:before="60"/>
              <w:rPr>
                <w:noProof/>
              </w:rPr>
            </w:pPr>
            <w:r>
              <w:rPr>
                <w:noProof/>
              </w:rPr>
              <w:t>[…][XX.YY.YY.YY]</w:t>
            </w:r>
          </w:p>
          <w:p>
            <w:pPr>
              <w:spacing w:after="60"/>
              <w:rPr>
                <w:noProof/>
              </w:rPr>
            </w:pPr>
          </w:p>
        </w:tc>
        <w:tc>
          <w:tcPr>
            <w:tcW w:w="1080" w:type="dxa"/>
            <w:vAlign w:val="center"/>
          </w:tcPr>
          <w:p>
            <w:pPr>
              <w:jc w:val="center"/>
              <w:rPr>
                <w:noProof/>
              </w:rPr>
            </w:pPr>
          </w:p>
        </w:tc>
        <w:tc>
          <w:tcPr>
            <w:tcW w:w="956" w:type="dxa"/>
            <w:vAlign w:val="center"/>
          </w:tcPr>
          <w:p>
            <w:pPr>
              <w:jc w:val="center"/>
              <w:rPr>
                <w:noProof/>
              </w:rPr>
            </w:pPr>
            <w:r>
              <w:rPr>
                <w:noProof/>
              </w:rPr>
              <w:t>OUI/NON</w:t>
            </w:r>
          </w:p>
        </w:tc>
        <w:tc>
          <w:tcPr>
            <w:tcW w:w="1080" w:type="dxa"/>
            <w:vAlign w:val="center"/>
          </w:tcPr>
          <w:p>
            <w:pPr>
              <w:jc w:val="center"/>
              <w:rPr>
                <w:noProof/>
                <w:sz w:val="18"/>
              </w:rPr>
            </w:pPr>
            <w:r>
              <w:rPr>
                <w:noProof/>
              </w:rPr>
              <w:t>OUI/NON</w:t>
            </w:r>
          </w:p>
        </w:tc>
        <w:tc>
          <w:tcPr>
            <w:tcW w:w="956" w:type="dxa"/>
            <w:vAlign w:val="center"/>
          </w:tcPr>
          <w:p>
            <w:pPr>
              <w:jc w:val="center"/>
              <w:rPr>
                <w:noProof/>
                <w:sz w:val="18"/>
              </w:rPr>
            </w:pPr>
            <w:r>
              <w:rPr>
                <w:noProof/>
              </w:rPr>
              <w:t>OUI/NON</w:t>
            </w:r>
          </w:p>
        </w:tc>
        <w:tc>
          <w:tcPr>
            <w:tcW w:w="1448" w:type="dxa"/>
            <w:vAlign w:val="center"/>
          </w:tcPr>
          <w:p>
            <w:pPr>
              <w:jc w:val="center"/>
              <w:rPr>
                <w:noProof/>
              </w:rPr>
            </w:pPr>
            <w:r>
              <w:rPr>
                <w:noProof/>
              </w:rPr>
              <w:t>OUI/NON</w:t>
            </w:r>
          </w:p>
        </w:tc>
      </w:tr>
    </w:tbl>
    <w:p>
      <w:pPr>
        <w:rPr>
          <w:noProof/>
        </w:rPr>
        <w:sectPr>
          <w:pgSz w:w="11907" w:h="16840" w:code="1"/>
          <w:pgMar w:top="1134" w:right="1418" w:bottom="1134" w:left="1418" w:header="709" w:footer="709" w:gutter="0"/>
          <w:cols w:space="708"/>
          <w:docGrid w:linePitch="360"/>
        </w:sectPr>
      </w:pPr>
    </w:p>
    <w:p>
      <w:pPr>
        <w:pStyle w:val="ManualHeading2"/>
        <w:rPr>
          <w:bCs/>
          <w:noProof/>
          <w:szCs w:val="24"/>
        </w:rPr>
      </w:pPr>
      <w:bookmarkStart w:id="53" w:name="_Toc514938052"/>
      <w:bookmarkStart w:id="54" w:name="_Toc520485051"/>
      <w:r>
        <w:t>3.2.</w:t>
      </w:r>
      <w:r>
        <w:tab/>
      </w:r>
      <w:r>
        <w:rPr>
          <w:noProof/>
        </w:rPr>
        <w:t>Incidence financière estimée de la proposition sur les crédits</w:t>
      </w:r>
      <w:bookmarkEnd w:id="53"/>
      <w:bookmarkEnd w:id="54"/>
      <w:r>
        <w:rPr>
          <w:noProof/>
        </w:rPr>
        <w:t xml:space="preserve"> </w:t>
      </w:r>
    </w:p>
    <w:p>
      <w:pPr>
        <w:pStyle w:val="ManualHeading3"/>
        <w:rPr>
          <w:noProof/>
        </w:rPr>
      </w:pPr>
      <w:bookmarkStart w:id="55" w:name="_Toc514938053"/>
      <w:bookmarkStart w:id="56" w:name="_Toc520485052"/>
      <w:r>
        <w:t>3.2.1.</w:t>
      </w:r>
      <w:r>
        <w:tab/>
      </w:r>
      <w:r>
        <w:rPr>
          <w:noProof/>
        </w:rPr>
        <w:t>Synthèse de l’incidence estimée sur les crédits opérationnels</w:t>
      </w:r>
      <w:bookmarkEnd w:id="55"/>
      <w:bookmarkEnd w:id="56"/>
      <w:r>
        <w:rPr>
          <w:noProof/>
        </w:rPr>
        <w:t xml:space="preserve"> </w:t>
      </w:r>
    </w:p>
    <w:p>
      <w:pPr>
        <w:pStyle w:val="ListDash1"/>
        <w:rPr>
          <w:noProof/>
        </w:rPr>
      </w:pPr>
      <w:r>
        <w:rPr>
          <w:noProof/>
        </w:rPr>
        <w:sym w:font="Wingdings" w:char="F0A8"/>
      </w:r>
      <w:r>
        <w:rPr>
          <w:noProof/>
        </w:rPr>
        <w:tab/>
        <w:t xml:space="preserve">La proposition/l'initiative n'engendre pas l'utilisation de crédits opérationnels </w:t>
      </w:r>
    </w:p>
    <w:p>
      <w:pPr>
        <w:pStyle w:val="ListDash1"/>
        <w:rPr>
          <w:noProof/>
        </w:rPr>
      </w:pPr>
      <w:r>
        <w:rPr>
          <w:noProof/>
        </w:rPr>
        <w:sym w:font="Wingdings" w:char="F0A8"/>
      </w:r>
      <w:r>
        <w:rPr>
          <w:noProof/>
        </w:rPr>
        <w:tab/>
        <w:t>La proposition/l'initiative engendre l'utilisation de crédits opérationnels, comme expliqué ci-après:</w:t>
      </w:r>
    </w:p>
    <w:p>
      <w:pPr>
        <w:jc w:val="right"/>
        <w:rPr>
          <w:noProof/>
          <w:sz w:val="18"/>
          <w:szCs w:val="18"/>
        </w:rPr>
      </w:pPr>
      <w:r>
        <w:rPr>
          <w:noProof/>
          <w:sz w:val="18"/>
        </w:rPr>
        <w:t>En Mio EUR (à la 3</w:t>
      </w:r>
      <w:r>
        <w:rPr>
          <w:noProof/>
          <w:sz w:val="18"/>
          <w:vertAlign w:val="superscript"/>
        </w:rPr>
        <w:t>e</w:t>
      </w:r>
      <w:r>
        <w:rPr>
          <w:noProof/>
          <w:sz w:val="18"/>
        </w:rPr>
        <w:t xml:space="preserve"> décimale)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trPr>
          <w:jc w:val="center"/>
        </w:trPr>
        <w:tc>
          <w:tcPr>
            <w:tcW w:w="4744" w:type="dxa"/>
            <w:shd w:val="thinDiagStripe" w:color="C0C0C0" w:fill="auto"/>
            <w:vAlign w:val="center"/>
          </w:tcPr>
          <w:p>
            <w:pPr>
              <w:spacing w:before="60" w:after="60"/>
              <w:jc w:val="center"/>
              <w:rPr>
                <w:b/>
                <w:noProof/>
              </w:rPr>
            </w:pPr>
            <w:r>
              <w:rPr>
                <w:b/>
                <w:noProof/>
                <w:sz w:val="22"/>
              </w:rPr>
              <w:t xml:space="preserve">Rubrique du cadre financier </w:t>
            </w:r>
            <w:r>
              <w:rPr>
                <w:noProof/>
                <w:sz w:val="22"/>
              </w:rPr>
              <w:br/>
            </w:r>
            <w:r>
              <w:rPr>
                <w:b/>
                <w:noProof/>
                <w:sz w:val="22"/>
              </w:rPr>
              <w:t xml:space="preserve">pluriannuel </w:t>
            </w:r>
          </w:p>
        </w:tc>
        <w:tc>
          <w:tcPr>
            <w:tcW w:w="1080" w:type="dxa"/>
            <w:vAlign w:val="center"/>
          </w:tcPr>
          <w:p>
            <w:pPr>
              <w:spacing w:before="60" w:after="60"/>
              <w:jc w:val="center"/>
              <w:rPr>
                <w:noProof/>
              </w:rPr>
            </w:pPr>
            <w:r>
              <w:rPr>
                <w:noProof/>
                <w:sz w:val="22"/>
              </w:rPr>
              <w:t>Numéro</w:t>
            </w:r>
          </w:p>
        </w:tc>
        <w:tc>
          <w:tcPr>
            <w:tcW w:w="7817" w:type="dxa"/>
            <w:vAlign w:val="center"/>
          </w:tcPr>
          <w:p>
            <w:pPr>
              <w:spacing w:before="60" w:after="60"/>
              <w:rPr>
                <w:noProof/>
              </w:rPr>
            </w:pPr>
          </w:p>
        </w:tc>
      </w:tr>
    </w:tbl>
    <w:p>
      <w:pPr>
        <w:rPr>
          <w:noProof/>
          <w:sz w:val="16"/>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440"/>
        <w:gridCol w:w="120"/>
        <w:gridCol w:w="534"/>
        <w:gridCol w:w="868"/>
        <w:gridCol w:w="868"/>
        <w:gridCol w:w="868"/>
        <w:gridCol w:w="868"/>
        <w:gridCol w:w="868"/>
        <w:gridCol w:w="868"/>
        <w:gridCol w:w="868"/>
        <w:gridCol w:w="1777"/>
      </w:tblGrid>
      <w:tr>
        <w:tc>
          <w:tcPr>
            <w:tcW w:w="3960" w:type="dxa"/>
            <w:vAlign w:val="center"/>
          </w:tcPr>
          <w:p>
            <w:pPr>
              <w:jc w:val="center"/>
              <w:rPr>
                <w:noProof/>
              </w:rPr>
            </w:pPr>
            <w:r>
              <w:rPr>
                <w:noProof/>
                <w:sz w:val="22"/>
              </w:rPr>
              <w:t>DG: &lt;…….&gt;</w:t>
            </w:r>
          </w:p>
        </w:tc>
        <w:tc>
          <w:tcPr>
            <w:tcW w:w="1560" w:type="dxa"/>
            <w:gridSpan w:val="2"/>
          </w:tcPr>
          <w:p>
            <w:pPr>
              <w:rPr>
                <w:noProof/>
                <w:sz w:val="20"/>
              </w:rPr>
            </w:pPr>
          </w:p>
        </w:tc>
        <w:tc>
          <w:tcPr>
            <w:tcW w:w="534" w:type="dxa"/>
          </w:tcPr>
          <w:p>
            <w:pPr>
              <w:jc w:val="center"/>
              <w:rPr>
                <w:noProof/>
                <w:sz w:val="20"/>
              </w:rPr>
            </w:pPr>
          </w:p>
        </w:tc>
        <w:tc>
          <w:tcPr>
            <w:tcW w:w="868" w:type="dxa"/>
            <w:vAlign w:val="center"/>
          </w:tcPr>
          <w:p>
            <w:pPr>
              <w:jc w:val="center"/>
              <w:rPr>
                <w:noProof/>
                <w:sz w:val="20"/>
              </w:rPr>
            </w:pPr>
            <w:r>
              <w:rPr>
                <w:noProof/>
                <w:sz w:val="20"/>
              </w:rPr>
              <w:t>Année</w:t>
            </w:r>
            <w:r>
              <w:rPr>
                <w:noProof/>
                <w:sz w:val="22"/>
              </w:rPr>
              <w:br/>
            </w:r>
            <w:r>
              <w:rPr>
                <w:b/>
                <w:noProof/>
                <w:sz w:val="20"/>
              </w:rPr>
              <w:t>N</w:t>
            </w:r>
            <w:r>
              <w:rPr>
                <w:rStyle w:val="FootnoteReference"/>
                <w:b/>
                <w:noProof/>
                <w:sz w:val="20"/>
              </w:rPr>
              <w:footnoteReference w:id="8"/>
            </w:r>
          </w:p>
        </w:tc>
        <w:tc>
          <w:tcPr>
            <w:tcW w:w="868" w:type="dxa"/>
            <w:vAlign w:val="center"/>
          </w:tcPr>
          <w:p>
            <w:pPr>
              <w:jc w:val="center"/>
              <w:rPr>
                <w:noProof/>
                <w:sz w:val="20"/>
              </w:rPr>
            </w:pPr>
            <w:r>
              <w:rPr>
                <w:noProof/>
                <w:sz w:val="20"/>
              </w:rPr>
              <w:t>Année</w:t>
            </w:r>
            <w:r>
              <w:rPr>
                <w:noProof/>
                <w:sz w:val="22"/>
              </w:rPr>
              <w:br/>
            </w:r>
            <w:r>
              <w:rPr>
                <w:b/>
                <w:noProof/>
                <w:sz w:val="20"/>
              </w:rPr>
              <w:t>N+1</w:t>
            </w:r>
          </w:p>
        </w:tc>
        <w:tc>
          <w:tcPr>
            <w:tcW w:w="868" w:type="dxa"/>
            <w:vAlign w:val="center"/>
          </w:tcPr>
          <w:p>
            <w:pPr>
              <w:jc w:val="center"/>
              <w:rPr>
                <w:noProof/>
                <w:sz w:val="20"/>
              </w:rPr>
            </w:pPr>
            <w:r>
              <w:rPr>
                <w:noProof/>
                <w:sz w:val="20"/>
              </w:rPr>
              <w:t>Année</w:t>
            </w:r>
            <w:r>
              <w:rPr>
                <w:noProof/>
                <w:sz w:val="22"/>
              </w:rPr>
              <w:br/>
            </w:r>
            <w:r>
              <w:rPr>
                <w:b/>
                <w:noProof/>
                <w:sz w:val="20"/>
              </w:rPr>
              <w:t>N+2</w:t>
            </w:r>
          </w:p>
        </w:tc>
        <w:tc>
          <w:tcPr>
            <w:tcW w:w="868" w:type="dxa"/>
            <w:vAlign w:val="center"/>
          </w:tcPr>
          <w:p>
            <w:pPr>
              <w:jc w:val="center"/>
              <w:rPr>
                <w:noProof/>
                <w:sz w:val="20"/>
              </w:rPr>
            </w:pPr>
            <w:r>
              <w:rPr>
                <w:noProof/>
                <w:sz w:val="20"/>
              </w:rPr>
              <w:t>Année</w:t>
            </w:r>
            <w:r>
              <w:rPr>
                <w:noProof/>
                <w:sz w:val="22"/>
              </w:rPr>
              <w:br/>
            </w:r>
            <w:r>
              <w:rPr>
                <w:b/>
                <w:noProof/>
                <w:sz w:val="20"/>
              </w:rPr>
              <w:t>N+3</w:t>
            </w:r>
          </w:p>
        </w:tc>
        <w:tc>
          <w:tcPr>
            <w:tcW w:w="2604" w:type="dxa"/>
            <w:gridSpan w:val="3"/>
            <w:vAlign w:val="center"/>
          </w:tcPr>
          <w:p>
            <w:pPr>
              <w:jc w:val="center"/>
              <w:rPr>
                <w:b/>
                <w:noProof/>
                <w:sz w:val="18"/>
              </w:rPr>
            </w:pPr>
            <w:r>
              <w:rPr>
                <w:noProof/>
                <w:sz w:val="18"/>
              </w:rPr>
              <w:t>Insérer autant d'années que nécessaire, pour refléter la durée de l’incidence (cf. point 1.6)</w:t>
            </w:r>
          </w:p>
        </w:tc>
        <w:tc>
          <w:tcPr>
            <w:tcW w:w="1777" w:type="dxa"/>
            <w:vAlign w:val="center"/>
          </w:tcPr>
          <w:p>
            <w:pPr>
              <w:jc w:val="center"/>
              <w:rPr>
                <w:b/>
                <w:noProof/>
                <w:sz w:val="20"/>
              </w:rPr>
            </w:pPr>
            <w:r>
              <w:rPr>
                <w:b/>
                <w:noProof/>
                <w:sz w:val="20"/>
              </w:rPr>
              <w:t>TOTAL</w:t>
            </w:r>
          </w:p>
        </w:tc>
      </w:tr>
      <w:tr>
        <w:trPr>
          <w:trHeight w:val="213"/>
        </w:trPr>
        <w:tc>
          <w:tcPr>
            <w:tcW w:w="6054" w:type="dxa"/>
            <w:gridSpan w:val="4"/>
            <w:vAlign w:val="center"/>
          </w:tcPr>
          <w:p>
            <w:pPr>
              <w:spacing w:before="20" w:after="20"/>
              <w:rPr>
                <w:noProof/>
                <w:sz w:val="21"/>
              </w:rPr>
            </w:pPr>
            <w:r>
              <w:rPr>
                <w:noProof/>
                <w:sz w:val="21"/>
              </w:rPr>
              <w:sym w:font="Wingdings" w:char="F09F"/>
            </w:r>
            <w:r>
              <w:rPr>
                <w:noProof/>
                <w:sz w:val="21"/>
              </w:rPr>
              <w:t xml:space="preserve"> Crédits opérationnels </w:t>
            </w:r>
          </w:p>
        </w:tc>
        <w:tc>
          <w:tcPr>
            <w:tcW w:w="868" w:type="dxa"/>
            <w:vAlign w:val="center"/>
          </w:tcPr>
          <w:p>
            <w:pPr>
              <w:rPr>
                <w:noProof/>
                <w:sz w:val="20"/>
              </w:rPr>
            </w:pPr>
          </w:p>
        </w:tc>
        <w:tc>
          <w:tcPr>
            <w:tcW w:w="868" w:type="dxa"/>
            <w:vAlign w:val="center"/>
          </w:tcPr>
          <w:p>
            <w:pPr>
              <w:rPr>
                <w:noProof/>
                <w:sz w:val="20"/>
              </w:rPr>
            </w:pPr>
          </w:p>
        </w:tc>
        <w:tc>
          <w:tcPr>
            <w:tcW w:w="868" w:type="dxa"/>
            <w:vAlign w:val="center"/>
          </w:tcPr>
          <w:p>
            <w:pPr>
              <w:rPr>
                <w:noProof/>
                <w:sz w:val="20"/>
              </w:rPr>
            </w:pPr>
          </w:p>
        </w:tc>
        <w:tc>
          <w:tcPr>
            <w:tcW w:w="868" w:type="dxa"/>
            <w:vAlign w:val="center"/>
          </w:tcPr>
          <w:p>
            <w:pPr>
              <w:rPr>
                <w:noProof/>
                <w:sz w:val="20"/>
              </w:rPr>
            </w:pPr>
          </w:p>
        </w:tc>
        <w:tc>
          <w:tcPr>
            <w:tcW w:w="868" w:type="dxa"/>
            <w:vAlign w:val="center"/>
          </w:tcPr>
          <w:p>
            <w:pPr>
              <w:rPr>
                <w:noProof/>
                <w:sz w:val="20"/>
              </w:rPr>
            </w:pPr>
          </w:p>
        </w:tc>
        <w:tc>
          <w:tcPr>
            <w:tcW w:w="868" w:type="dxa"/>
            <w:vAlign w:val="center"/>
          </w:tcPr>
          <w:p>
            <w:pPr>
              <w:rPr>
                <w:noProof/>
                <w:sz w:val="20"/>
              </w:rPr>
            </w:pPr>
          </w:p>
        </w:tc>
        <w:tc>
          <w:tcPr>
            <w:tcW w:w="868" w:type="dxa"/>
            <w:vAlign w:val="center"/>
          </w:tcPr>
          <w:p>
            <w:pPr>
              <w:rPr>
                <w:b/>
                <w:noProof/>
                <w:sz w:val="20"/>
              </w:rPr>
            </w:pPr>
          </w:p>
        </w:tc>
        <w:tc>
          <w:tcPr>
            <w:tcW w:w="1777" w:type="dxa"/>
            <w:vAlign w:val="center"/>
          </w:tcPr>
          <w:p>
            <w:pPr>
              <w:rPr>
                <w:b/>
                <w:noProof/>
                <w:sz w:val="20"/>
              </w:rPr>
            </w:pPr>
          </w:p>
        </w:tc>
      </w:tr>
      <w:tr>
        <w:trPr>
          <w:trHeight w:val="277"/>
        </w:trPr>
        <w:tc>
          <w:tcPr>
            <w:tcW w:w="3960" w:type="dxa"/>
            <w:vMerge w:val="restart"/>
            <w:vAlign w:val="center"/>
          </w:tcPr>
          <w:p>
            <w:pPr>
              <w:rPr>
                <w:noProof/>
              </w:rPr>
            </w:pPr>
            <w:r>
              <w:rPr>
                <w:noProof/>
                <w:sz w:val="20"/>
              </w:rPr>
              <w:t>Ligne budgétaire</w:t>
            </w:r>
            <w:r>
              <w:rPr>
                <w:rStyle w:val="FootnoteReference"/>
                <w:noProof/>
                <w:sz w:val="20"/>
              </w:rPr>
              <w:footnoteReference w:id="9"/>
            </w:r>
          </w:p>
        </w:tc>
        <w:tc>
          <w:tcPr>
            <w:tcW w:w="1440" w:type="dxa"/>
            <w:vAlign w:val="center"/>
          </w:tcPr>
          <w:p>
            <w:pPr>
              <w:spacing w:before="20" w:after="20"/>
              <w:rPr>
                <w:noProof/>
                <w:sz w:val="18"/>
              </w:rPr>
            </w:pPr>
            <w:r>
              <w:rPr>
                <w:noProof/>
                <w:sz w:val="18"/>
              </w:rPr>
              <w:t>Engagements</w:t>
            </w:r>
          </w:p>
        </w:tc>
        <w:tc>
          <w:tcPr>
            <w:tcW w:w="654" w:type="dxa"/>
            <w:gridSpan w:val="2"/>
            <w:vAlign w:val="center"/>
          </w:tcPr>
          <w:p>
            <w:pPr>
              <w:spacing w:before="20" w:after="20"/>
              <w:jc w:val="center"/>
              <w:rPr>
                <w:noProof/>
                <w:sz w:val="14"/>
              </w:rPr>
            </w:pPr>
            <w:r>
              <w:rPr>
                <w:noProof/>
                <w:sz w:val="14"/>
              </w:rPr>
              <w:t>(1a)</w:t>
            </w: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b/>
                <w:noProof/>
                <w:sz w:val="20"/>
              </w:rPr>
            </w:pPr>
          </w:p>
        </w:tc>
        <w:tc>
          <w:tcPr>
            <w:tcW w:w="1777" w:type="dxa"/>
            <w:vAlign w:val="center"/>
          </w:tcPr>
          <w:p>
            <w:pPr>
              <w:spacing w:before="20" w:after="20"/>
              <w:jc w:val="right"/>
              <w:rPr>
                <w:b/>
                <w:noProof/>
                <w:sz w:val="20"/>
              </w:rPr>
            </w:pPr>
          </w:p>
        </w:tc>
      </w:tr>
      <w:tr>
        <w:tc>
          <w:tcPr>
            <w:tcW w:w="3960" w:type="dxa"/>
            <w:vMerge/>
          </w:tcPr>
          <w:p>
            <w:pPr>
              <w:jc w:val="center"/>
              <w:rPr>
                <w:noProof/>
                <w:sz w:val="20"/>
              </w:rPr>
            </w:pPr>
          </w:p>
        </w:tc>
        <w:tc>
          <w:tcPr>
            <w:tcW w:w="1440" w:type="dxa"/>
            <w:vAlign w:val="center"/>
          </w:tcPr>
          <w:p>
            <w:pPr>
              <w:spacing w:before="20" w:after="20"/>
              <w:rPr>
                <w:noProof/>
                <w:sz w:val="18"/>
              </w:rPr>
            </w:pPr>
            <w:r>
              <w:rPr>
                <w:noProof/>
                <w:sz w:val="18"/>
              </w:rPr>
              <w:t>Paiements</w:t>
            </w:r>
          </w:p>
        </w:tc>
        <w:tc>
          <w:tcPr>
            <w:tcW w:w="654" w:type="dxa"/>
            <w:gridSpan w:val="2"/>
            <w:vAlign w:val="center"/>
          </w:tcPr>
          <w:p>
            <w:pPr>
              <w:spacing w:before="20" w:after="20"/>
              <w:jc w:val="center"/>
              <w:rPr>
                <w:noProof/>
                <w:sz w:val="14"/>
              </w:rPr>
            </w:pPr>
            <w:r>
              <w:rPr>
                <w:noProof/>
                <w:sz w:val="14"/>
              </w:rPr>
              <w:t>(2a)</w:t>
            </w: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b/>
                <w:noProof/>
                <w:sz w:val="20"/>
              </w:rPr>
            </w:pPr>
          </w:p>
        </w:tc>
        <w:tc>
          <w:tcPr>
            <w:tcW w:w="1777" w:type="dxa"/>
            <w:vAlign w:val="center"/>
          </w:tcPr>
          <w:p>
            <w:pPr>
              <w:spacing w:before="20" w:after="20"/>
              <w:jc w:val="right"/>
              <w:rPr>
                <w:b/>
                <w:noProof/>
                <w:sz w:val="20"/>
              </w:rPr>
            </w:pPr>
          </w:p>
        </w:tc>
      </w:tr>
      <w:tr>
        <w:tc>
          <w:tcPr>
            <w:tcW w:w="3960" w:type="dxa"/>
            <w:vMerge w:val="restart"/>
            <w:vAlign w:val="center"/>
          </w:tcPr>
          <w:p>
            <w:pPr>
              <w:rPr>
                <w:noProof/>
              </w:rPr>
            </w:pPr>
            <w:r>
              <w:rPr>
                <w:noProof/>
                <w:sz w:val="20"/>
              </w:rPr>
              <w:t>Ligne budgétaire</w:t>
            </w:r>
          </w:p>
        </w:tc>
        <w:tc>
          <w:tcPr>
            <w:tcW w:w="1440" w:type="dxa"/>
            <w:vAlign w:val="center"/>
          </w:tcPr>
          <w:p>
            <w:pPr>
              <w:spacing w:before="20" w:after="20"/>
              <w:rPr>
                <w:noProof/>
                <w:sz w:val="18"/>
              </w:rPr>
            </w:pPr>
            <w:r>
              <w:rPr>
                <w:noProof/>
                <w:sz w:val="18"/>
              </w:rPr>
              <w:t>Engagements</w:t>
            </w:r>
          </w:p>
        </w:tc>
        <w:tc>
          <w:tcPr>
            <w:tcW w:w="654" w:type="dxa"/>
            <w:gridSpan w:val="2"/>
            <w:vAlign w:val="center"/>
          </w:tcPr>
          <w:p>
            <w:pPr>
              <w:spacing w:before="20" w:after="20"/>
              <w:jc w:val="center"/>
              <w:rPr>
                <w:noProof/>
                <w:sz w:val="14"/>
              </w:rPr>
            </w:pPr>
            <w:r>
              <w:rPr>
                <w:noProof/>
                <w:sz w:val="14"/>
              </w:rPr>
              <w:t>(1b)</w:t>
            </w: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b/>
                <w:noProof/>
                <w:sz w:val="20"/>
              </w:rPr>
            </w:pPr>
          </w:p>
        </w:tc>
        <w:tc>
          <w:tcPr>
            <w:tcW w:w="1777" w:type="dxa"/>
            <w:vAlign w:val="center"/>
          </w:tcPr>
          <w:p>
            <w:pPr>
              <w:spacing w:before="20" w:after="20"/>
              <w:jc w:val="right"/>
              <w:rPr>
                <w:b/>
                <w:noProof/>
                <w:sz w:val="20"/>
              </w:rPr>
            </w:pPr>
          </w:p>
        </w:tc>
      </w:tr>
      <w:tr>
        <w:tc>
          <w:tcPr>
            <w:tcW w:w="3960" w:type="dxa"/>
            <w:vMerge/>
          </w:tcPr>
          <w:p>
            <w:pPr>
              <w:jc w:val="center"/>
              <w:rPr>
                <w:noProof/>
                <w:sz w:val="20"/>
              </w:rPr>
            </w:pPr>
          </w:p>
        </w:tc>
        <w:tc>
          <w:tcPr>
            <w:tcW w:w="1440" w:type="dxa"/>
            <w:vAlign w:val="center"/>
          </w:tcPr>
          <w:p>
            <w:pPr>
              <w:spacing w:before="20" w:after="20"/>
              <w:rPr>
                <w:noProof/>
                <w:sz w:val="18"/>
              </w:rPr>
            </w:pPr>
            <w:r>
              <w:rPr>
                <w:noProof/>
                <w:sz w:val="18"/>
              </w:rPr>
              <w:t>Paiements</w:t>
            </w:r>
          </w:p>
        </w:tc>
        <w:tc>
          <w:tcPr>
            <w:tcW w:w="654" w:type="dxa"/>
            <w:gridSpan w:val="2"/>
            <w:vAlign w:val="center"/>
          </w:tcPr>
          <w:p>
            <w:pPr>
              <w:spacing w:before="20" w:after="20"/>
              <w:jc w:val="center"/>
              <w:rPr>
                <w:noProof/>
                <w:sz w:val="14"/>
              </w:rPr>
            </w:pPr>
            <w:r>
              <w:rPr>
                <w:noProof/>
                <w:sz w:val="14"/>
              </w:rPr>
              <w:t>(2b)</w:t>
            </w: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b/>
                <w:noProof/>
                <w:sz w:val="20"/>
              </w:rPr>
            </w:pPr>
          </w:p>
        </w:tc>
        <w:tc>
          <w:tcPr>
            <w:tcW w:w="1777" w:type="dxa"/>
            <w:vAlign w:val="center"/>
          </w:tcPr>
          <w:p>
            <w:pPr>
              <w:spacing w:before="20" w:after="20"/>
              <w:jc w:val="right"/>
              <w:rPr>
                <w:b/>
                <w:noProof/>
                <w:sz w:val="20"/>
              </w:rPr>
            </w:pPr>
          </w:p>
        </w:tc>
      </w:tr>
      <w:tr>
        <w:trPr>
          <w:trHeight w:val="231"/>
        </w:trPr>
        <w:tc>
          <w:tcPr>
            <w:tcW w:w="6054" w:type="dxa"/>
            <w:gridSpan w:val="4"/>
            <w:vAlign w:val="center"/>
          </w:tcPr>
          <w:p>
            <w:pPr>
              <w:spacing w:before="20" w:after="20"/>
              <w:rPr>
                <w:noProof/>
              </w:rPr>
            </w:pPr>
            <w:r>
              <w:rPr>
                <w:noProof/>
                <w:sz w:val="21"/>
              </w:rPr>
              <w:t>Crédits de nature administrative financés par l'enveloppe de certains programmes spécifiques</w:t>
            </w:r>
            <w:r>
              <w:rPr>
                <w:rStyle w:val="FootnoteReference"/>
                <w:noProof/>
                <w:sz w:val="21"/>
              </w:rPr>
              <w:footnoteReference w:id="10"/>
            </w:r>
            <w:r>
              <w:rPr>
                <w:noProof/>
                <w:sz w:val="21"/>
              </w:rPr>
              <w:t xml:space="preserve"> </w:t>
            </w:r>
          </w:p>
          <w:p>
            <w:pPr>
              <w:spacing w:before="0" w:after="0"/>
              <w:rPr>
                <w:noProof/>
              </w:rPr>
            </w:pPr>
          </w:p>
        </w:tc>
        <w:tc>
          <w:tcPr>
            <w:tcW w:w="868" w:type="dxa"/>
            <w:vAlign w:val="center"/>
          </w:tcPr>
          <w:p>
            <w:pPr>
              <w:rPr>
                <w:b/>
                <w:noProof/>
                <w:sz w:val="20"/>
              </w:rPr>
            </w:pPr>
          </w:p>
        </w:tc>
        <w:tc>
          <w:tcPr>
            <w:tcW w:w="868" w:type="dxa"/>
            <w:vAlign w:val="center"/>
          </w:tcPr>
          <w:p>
            <w:pPr>
              <w:rPr>
                <w:b/>
                <w:noProof/>
                <w:sz w:val="20"/>
              </w:rPr>
            </w:pPr>
          </w:p>
        </w:tc>
        <w:tc>
          <w:tcPr>
            <w:tcW w:w="868" w:type="dxa"/>
            <w:vAlign w:val="center"/>
          </w:tcPr>
          <w:p>
            <w:pPr>
              <w:rPr>
                <w:b/>
                <w:noProof/>
                <w:sz w:val="20"/>
              </w:rPr>
            </w:pPr>
          </w:p>
        </w:tc>
        <w:tc>
          <w:tcPr>
            <w:tcW w:w="868" w:type="dxa"/>
            <w:vAlign w:val="center"/>
          </w:tcPr>
          <w:p>
            <w:pPr>
              <w:rPr>
                <w:b/>
                <w:noProof/>
                <w:sz w:val="20"/>
              </w:rPr>
            </w:pPr>
          </w:p>
        </w:tc>
        <w:tc>
          <w:tcPr>
            <w:tcW w:w="868" w:type="dxa"/>
            <w:vAlign w:val="center"/>
          </w:tcPr>
          <w:p>
            <w:pPr>
              <w:rPr>
                <w:b/>
                <w:noProof/>
                <w:sz w:val="20"/>
              </w:rPr>
            </w:pPr>
          </w:p>
        </w:tc>
        <w:tc>
          <w:tcPr>
            <w:tcW w:w="868" w:type="dxa"/>
            <w:vAlign w:val="center"/>
          </w:tcPr>
          <w:p>
            <w:pPr>
              <w:rPr>
                <w:b/>
                <w:noProof/>
                <w:sz w:val="20"/>
              </w:rPr>
            </w:pPr>
          </w:p>
        </w:tc>
        <w:tc>
          <w:tcPr>
            <w:tcW w:w="868" w:type="dxa"/>
            <w:vAlign w:val="center"/>
          </w:tcPr>
          <w:p>
            <w:pPr>
              <w:rPr>
                <w:b/>
                <w:noProof/>
                <w:sz w:val="20"/>
              </w:rPr>
            </w:pPr>
          </w:p>
        </w:tc>
        <w:tc>
          <w:tcPr>
            <w:tcW w:w="1777" w:type="dxa"/>
            <w:vAlign w:val="center"/>
          </w:tcPr>
          <w:p>
            <w:pPr>
              <w:rPr>
                <w:b/>
                <w:noProof/>
                <w:sz w:val="20"/>
              </w:rPr>
            </w:pPr>
          </w:p>
        </w:tc>
      </w:tr>
      <w:tr>
        <w:trPr>
          <w:trHeight w:val="319"/>
        </w:trPr>
        <w:tc>
          <w:tcPr>
            <w:tcW w:w="3960" w:type="dxa"/>
            <w:vAlign w:val="center"/>
          </w:tcPr>
          <w:p>
            <w:pPr>
              <w:spacing w:before="60" w:after="60"/>
              <w:rPr>
                <w:noProof/>
              </w:rPr>
            </w:pPr>
            <w:r>
              <w:rPr>
                <w:noProof/>
                <w:sz w:val="20"/>
              </w:rPr>
              <w:t>Ligne budgétaire</w:t>
            </w:r>
          </w:p>
        </w:tc>
        <w:tc>
          <w:tcPr>
            <w:tcW w:w="1440" w:type="dxa"/>
            <w:vAlign w:val="center"/>
          </w:tcPr>
          <w:p>
            <w:pPr>
              <w:spacing w:before="40" w:after="40"/>
              <w:jc w:val="right"/>
              <w:rPr>
                <w:noProof/>
                <w:sz w:val="18"/>
              </w:rPr>
            </w:pPr>
          </w:p>
        </w:tc>
        <w:tc>
          <w:tcPr>
            <w:tcW w:w="654" w:type="dxa"/>
            <w:gridSpan w:val="2"/>
            <w:vAlign w:val="center"/>
          </w:tcPr>
          <w:p>
            <w:pPr>
              <w:spacing w:before="40" w:after="40"/>
              <w:jc w:val="center"/>
              <w:rPr>
                <w:noProof/>
                <w:sz w:val="14"/>
              </w:rPr>
            </w:pPr>
            <w:r>
              <w:rPr>
                <w:noProof/>
                <w:sz w:val="14"/>
              </w:rPr>
              <w:t>(3)</w:t>
            </w:r>
          </w:p>
        </w:tc>
        <w:tc>
          <w:tcPr>
            <w:tcW w:w="868" w:type="dxa"/>
            <w:vAlign w:val="center"/>
          </w:tcPr>
          <w:p>
            <w:pPr>
              <w:spacing w:before="40" w:after="40"/>
              <w:jc w:val="right"/>
              <w:rPr>
                <w:b/>
                <w:noProof/>
                <w:sz w:val="20"/>
              </w:rPr>
            </w:pPr>
          </w:p>
        </w:tc>
        <w:tc>
          <w:tcPr>
            <w:tcW w:w="868" w:type="dxa"/>
            <w:vAlign w:val="center"/>
          </w:tcPr>
          <w:p>
            <w:pPr>
              <w:spacing w:before="40" w:after="40"/>
              <w:jc w:val="right"/>
              <w:rPr>
                <w:b/>
                <w:noProof/>
                <w:sz w:val="20"/>
              </w:rPr>
            </w:pPr>
          </w:p>
        </w:tc>
        <w:tc>
          <w:tcPr>
            <w:tcW w:w="868" w:type="dxa"/>
            <w:vAlign w:val="center"/>
          </w:tcPr>
          <w:p>
            <w:pPr>
              <w:spacing w:before="40" w:after="40"/>
              <w:jc w:val="right"/>
              <w:rPr>
                <w:b/>
                <w:noProof/>
                <w:sz w:val="20"/>
              </w:rPr>
            </w:pPr>
          </w:p>
        </w:tc>
        <w:tc>
          <w:tcPr>
            <w:tcW w:w="868" w:type="dxa"/>
            <w:vAlign w:val="center"/>
          </w:tcPr>
          <w:p>
            <w:pPr>
              <w:spacing w:before="40" w:after="40"/>
              <w:jc w:val="right"/>
              <w:rPr>
                <w:b/>
                <w:noProof/>
                <w:sz w:val="20"/>
              </w:rPr>
            </w:pPr>
          </w:p>
        </w:tc>
        <w:tc>
          <w:tcPr>
            <w:tcW w:w="868" w:type="dxa"/>
            <w:vAlign w:val="center"/>
          </w:tcPr>
          <w:p>
            <w:pPr>
              <w:spacing w:before="40" w:after="40"/>
              <w:jc w:val="right"/>
              <w:rPr>
                <w:b/>
                <w:noProof/>
                <w:sz w:val="20"/>
              </w:rPr>
            </w:pPr>
          </w:p>
        </w:tc>
        <w:tc>
          <w:tcPr>
            <w:tcW w:w="868" w:type="dxa"/>
            <w:vAlign w:val="center"/>
          </w:tcPr>
          <w:p>
            <w:pPr>
              <w:spacing w:before="40" w:after="40"/>
              <w:jc w:val="right"/>
              <w:rPr>
                <w:b/>
                <w:noProof/>
                <w:sz w:val="20"/>
              </w:rPr>
            </w:pPr>
          </w:p>
        </w:tc>
        <w:tc>
          <w:tcPr>
            <w:tcW w:w="868" w:type="dxa"/>
            <w:vAlign w:val="center"/>
          </w:tcPr>
          <w:p>
            <w:pPr>
              <w:spacing w:before="40" w:after="40"/>
              <w:jc w:val="right"/>
              <w:rPr>
                <w:b/>
                <w:noProof/>
                <w:sz w:val="20"/>
              </w:rPr>
            </w:pPr>
          </w:p>
        </w:tc>
        <w:tc>
          <w:tcPr>
            <w:tcW w:w="1777" w:type="dxa"/>
            <w:vAlign w:val="center"/>
          </w:tcPr>
          <w:p>
            <w:pPr>
              <w:spacing w:before="40" w:after="40"/>
              <w:jc w:val="right"/>
              <w:rPr>
                <w:b/>
                <w:noProof/>
                <w:sz w:val="20"/>
              </w:rPr>
            </w:pPr>
          </w:p>
        </w:tc>
      </w:tr>
      <w:tr>
        <w:tc>
          <w:tcPr>
            <w:tcW w:w="3960" w:type="dxa"/>
            <w:vMerge w:val="restart"/>
            <w:vAlign w:val="center"/>
          </w:tcPr>
          <w:p>
            <w:pPr>
              <w:jc w:val="center"/>
              <w:rPr>
                <w:b/>
                <w:noProof/>
              </w:rPr>
            </w:pPr>
            <w:r>
              <w:rPr>
                <w:b/>
                <w:noProof/>
                <w:sz w:val="22"/>
              </w:rPr>
              <w:t>TOTAL des crédits</w:t>
            </w:r>
            <w:r>
              <w:rPr>
                <w:noProof/>
                <w:sz w:val="22"/>
              </w:rPr>
              <w:br/>
            </w:r>
            <w:r>
              <w:rPr>
                <w:b/>
                <w:noProof/>
                <w:sz w:val="22"/>
              </w:rPr>
              <w:t xml:space="preserve">pour la DG </w:t>
            </w:r>
            <w:r>
              <w:rPr>
                <w:noProof/>
                <w:sz w:val="22"/>
              </w:rPr>
              <w:t>&lt;…….&gt;</w:t>
            </w:r>
          </w:p>
        </w:tc>
        <w:tc>
          <w:tcPr>
            <w:tcW w:w="1440" w:type="dxa"/>
            <w:vAlign w:val="center"/>
          </w:tcPr>
          <w:p>
            <w:pPr>
              <w:rPr>
                <w:noProof/>
                <w:sz w:val="18"/>
              </w:rPr>
            </w:pPr>
            <w:r>
              <w:rPr>
                <w:noProof/>
                <w:sz w:val="18"/>
              </w:rPr>
              <w:t>Engagements</w:t>
            </w:r>
          </w:p>
        </w:tc>
        <w:tc>
          <w:tcPr>
            <w:tcW w:w="654" w:type="dxa"/>
            <w:gridSpan w:val="2"/>
            <w:vAlign w:val="center"/>
          </w:tcPr>
          <w:p>
            <w:pPr>
              <w:jc w:val="center"/>
              <w:rPr>
                <w:noProof/>
                <w:sz w:val="14"/>
              </w:rPr>
            </w:pPr>
            <w:r>
              <w:rPr>
                <w:noProof/>
                <w:sz w:val="14"/>
              </w:rPr>
              <w:t>=1a+1b +3</w:t>
            </w: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b/>
                <w:noProof/>
                <w:sz w:val="20"/>
              </w:rPr>
            </w:pPr>
          </w:p>
        </w:tc>
        <w:tc>
          <w:tcPr>
            <w:tcW w:w="1777" w:type="dxa"/>
            <w:vAlign w:val="center"/>
          </w:tcPr>
          <w:p>
            <w:pPr>
              <w:spacing w:before="20" w:after="20"/>
              <w:jc w:val="right"/>
              <w:rPr>
                <w:b/>
                <w:noProof/>
                <w:sz w:val="20"/>
              </w:rPr>
            </w:pPr>
          </w:p>
        </w:tc>
      </w:tr>
      <w:tr>
        <w:tc>
          <w:tcPr>
            <w:tcW w:w="3960" w:type="dxa"/>
            <w:vMerge/>
          </w:tcPr>
          <w:p>
            <w:pPr>
              <w:rPr>
                <w:noProof/>
                <w:sz w:val="20"/>
              </w:rPr>
            </w:pPr>
          </w:p>
        </w:tc>
        <w:tc>
          <w:tcPr>
            <w:tcW w:w="1440" w:type="dxa"/>
            <w:vAlign w:val="center"/>
          </w:tcPr>
          <w:p>
            <w:pPr>
              <w:rPr>
                <w:noProof/>
                <w:sz w:val="18"/>
              </w:rPr>
            </w:pPr>
            <w:r>
              <w:rPr>
                <w:noProof/>
                <w:sz w:val="18"/>
              </w:rPr>
              <w:t>Paiements</w:t>
            </w:r>
          </w:p>
        </w:tc>
        <w:tc>
          <w:tcPr>
            <w:tcW w:w="654" w:type="dxa"/>
            <w:gridSpan w:val="2"/>
            <w:vAlign w:val="center"/>
          </w:tcPr>
          <w:p>
            <w:pPr>
              <w:jc w:val="center"/>
              <w:rPr>
                <w:noProof/>
                <w:sz w:val="14"/>
              </w:rPr>
            </w:pPr>
            <w:r>
              <w:rPr>
                <w:noProof/>
                <w:sz w:val="14"/>
              </w:rPr>
              <w:t>=2a+2b</w:t>
            </w:r>
          </w:p>
          <w:p>
            <w:pPr>
              <w:jc w:val="center"/>
              <w:rPr>
                <w:noProof/>
                <w:sz w:val="14"/>
              </w:rPr>
            </w:pPr>
            <w:r>
              <w:rPr>
                <w:noProof/>
                <w:sz w:val="14"/>
              </w:rPr>
              <w:t>+3</w:t>
            </w: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b/>
                <w:noProof/>
                <w:sz w:val="20"/>
              </w:rPr>
            </w:pPr>
          </w:p>
        </w:tc>
        <w:tc>
          <w:tcPr>
            <w:tcW w:w="1777" w:type="dxa"/>
            <w:vAlign w:val="center"/>
          </w:tcPr>
          <w:p>
            <w:pPr>
              <w:spacing w:before="20" w:after="20"/>
              <w:jc w:val="right"/>
              <w:rPr>
                <w:b/>
                <w:noProof/>
                <w:sz w:val="20"/>
              </w:rPr>
            </w:pPr>
          </w:p>
        </w:tc>
      </w:tr>
    </w:tbl>
    <w:p>
      <w:pPr>
        <w:rPr>
          <w:noProof/>
        </w:rPr>
      </w:pPr>
      <w:r>
        <w:rPr>
          <w:noProof/>
        </w:rPr>
        <w:br/>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440"/>
        <w:gridCol w:w="654"/>
        <w:gridCol w:w="868"/>
        <w:gridCol w:w="868"/>
        <w:gridCol w:w="868"/>
        <w:gridCol w:w="868"/>
        <w:gridCol w:w="868"/>
        <w:gridCol w:w="868"/>
        <w:gridCol w:w="868"/>
        <w:gridCol w:w="1777"/>
      </w:tblGrid>
      <w:tr>
        <w:trPr>
          <w:trHeight w:val="277"/>
        </w:trPr>
        <w:tc>
          <w:tcPr>
            <w:tcW w:w="3960" w:type="dxa"/>
            <w:vMerge w:val="restart"/>
            <w:vAlign w:val="center"/>
          </w:tcPr>
          <w:p>
            <w:pPr>
              <w:spacing w:before="20" w:after="20"/>
              <w:rPr>
                <w:noProof/>
              </w:rPr>
            </w:pPr>
            <w:r>
              <w:rPr>
                <w:noProof/>
              </w:rPr>
              <w:br w:type="page"/>
            </w:r>
            <w:r>
              <w:rPr>
                <w:noProof/>
                <w:sz w:val="21"/>
              </w:rPr>
              <w:sym w:font="Wingdings" w:char="F09F"/>
            </w:r>
            <w:r>
              <w:rPr>
                <w:noProof/>
                <w:sz w:val="21"/>
              </w:rPr>
              <w:t xml:space="preserve"> TOTAL des crédits opérationnels </w:t>
            </w:r>
          </w:p>
        </w:tc>
        <w:tc>
          <w:tcPr>
            <w:tcW w:w="1440" w:type="dxa"/>
            <w:vAlign w:val="center"/>
          </w:tcPr>
          <w:p>
            <w:pPr>
              <w:spacing w:beforeLines="20" w:before="48" w:afterLines="20" w:after="48"/>
              <w:rPr>
                <w:noProof/>
                <w:sz w:val="18"/>
              </w:rPr>
            </w:pPr>
            <w:r>
              <w:rPr>
                <w:noProof/>
                <w:sz w:val="18"/>
              </w:rPr>
              <w:t>Engagements</w:t>
            </w:r>
          </w:p>
        </w:tc>
        <w:tc>
          <w:tcPr>
            <w:tcW w:w="654" w:type="dxa"/>
            <w:vAlign w:val="center"/>
          </w:tcPr>
          <w:p>
            <w:pPr>
              <w:spacing w:beforeLines="20" w:before="48" w:afterLines="20" w:after="48"/>
              <w:jc w:val="center"/>
              <w:rPr>
                <w:noProof/>
                <w:sz w:val="14"/>
              </w:rPr>
            </w:pPr>
            <w:r>
              <w:rPr>
                <w:noProof/>
                <w:sz w:val="14"/>
              </w:rPr>
              <w:t>(4)</w:t>
            </w: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b/>
                <w:noProof/>
                <w:sz w:val="20"/>
              </w:rPr>
            </w:pPr>
          </w:p>
        </w:tc>
        <w:tc>
          <w:tcPr>
            <w:tcW w:w="1777" w:type="dxa"/>
            <w:vAlign w:val="center"/>
          </w:tcPr>
          <w:p>
            <w:pPr>
              <w:spacing w:before="20" w:after="20"/>
              <w:jc w:val="right"/>
              <w:rPr>
                <w:b/>
                <w:noProof/>
                <w:sz w:val="20"/>
              </w:rPr>
            </w:pPr>
          </w:p>
        </w:tc>
      </w:tr>
      <w:tr>
        <w:tc>
          <w:tcPr>
            <w:tcW w:w="3960" w:type="dxa"/>
            <w:vMerge/>
          </w:tcPr>
          <w:p>
            <w:pPr>
              <w:jc w:val="center"/>
              <w:rPr>
                <w:noProof/>
                <w:sz w:val="20"/>
              </w:rPr>
            </w:pPr>
          </w:p>
        </w:tc>
        <w:tc>
          <w:tcPr>
            <w:tcW w:w="1440" w:type="dxa"/>
            <w:vAlign w:val="center"/>
          </w:tcPr>
          <w:p>
            <w:pPr>
              <w:spacing w:beforeLines="20" w:before="48" w:afterLines="20" w:after="48"/>
              <w:rPr>
                <w:noProof/>
                <w:sz w:val="18"/>
              </w:rPr>
            </w:pPr>
            <w:r>
              <w:rPr>
                <w:noProof/>
                <w:sz w:val="18"/>
              </w:rPr>
              <w:t>Paiements</w:t>
            </w:r>
          </w:p>
        </w:tc>
        <w:tc>
          <w:tcPr>
            <w:tcW w:w="654" w:type="dxa"/>
            <w:vAlign w:val="center"/>
          </w:tcPr>
          <w:p>
            <w:pPr>
              <w:spacing w:beforeLines="20" w:before="48" w:afterLines="20" w:after="48"/>
              <w:jc w:val="center"/>
              <w:rPr>
                <w:noProof/>
                <w:sz w:val="14"/>
              </w:rPr>
            </w:pPr>
            <w:r>
              <w:rPr>
                <w:noProof/>
                <w:sz w:val="14"/>
              </w:rPr>
              <w:t>(5)</w:t>
            </w: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b/>
                <w:noProof/>
                <w:sz w:val="20"/>
              </w:rPr>
            </w:pPr>
          </w:p>
        </w:tc>
        <w:tc>
          <w:tcPr>
            <w:tcW w:w="1777" w:type="dxa"/>
            <w:vAlign w:val="center"/>
          </w:tcPr>
          <w:p>
            <w:pPr>
              <w:spacing w:before="20" w:after="20"/>
              <w:jc w:val="right"/>
              <w:rPr>
                <w:b/>
                <w:noProof/>
                <w:sz w:val="20"/>
              </w:rPr>
            </w:pPr>
          </w:p>
        </w:tc>
      </w:tr>
      <w:tr>
        <w:trPr>
          <w:trHeight w:val="533"/>
        </w:trPr>
        <w:tc>
          <w:tcPr>
            <w:tcW w:w="5400" w:type="dxa"/>
            <w:gridSpan w:val="2"/>
            <w:vAlign w:val="center"/>
          </w:tcPr>
          <w:p>
            <w:pPr>
              <w:spacing w:beforeLines="20" w:before="48" w:afterLines="20" w:after="48"/>
              <w:rPr>
                <w:noProof/>
              </w:rPr>
            </w:pPr>
            <w:r>
              <w:rPr>
                <w:noProof/>
                <w:sz w:val="21"/>
              </w:rPr>
              <w:sym w:font="Wingdings" w:char="F09F"/>
            </w:r>
            <w:r>
              <w:rPr>
                <w:noProof/>
                <w:sz w:val="21"/>
              </w:rPr>
              <w:t xml:space="preserve"> TOTAL des crédits de nature administrative financés par l’enveloppe de certains programmes spécifiques </w:t>
            </w:r>
          </w:p>
        </w:tc>
        <w:tc>
          <w:tcPr>
            <w:tcW w:w="654" w:type="dxa"/>
            <w:vAlign w:val="center"/>
          </w:tcPr>
          <w:p>
            <w:pPr>
              <w:spacing w:beforeLines="20" w:before="48" w:afterLines="20" w:after="48"/>
              <w:jc w:val="center"/>
              <w:rPr>
                <w:noProof/>
                <w:sz w:val="14"/>
              </w:rPr>
            </w:pPr>
            <w:r>
              <w:rPr>
                <w:noProof/>
                <w:sz w:val="14"/>
              </w:rPr>
              <w:t>(6)</w:t>
            </w:r>
          </w:p>
        </w:tc>
        <w:tc>
          <w:tcPr>
            <w:tcW w:w="868" w:type="dxa"/>
            <w:vAlign w:val="center"/>
          </w:tcPr>
          <w:p>
            <w:pPr>
              <w:spacing w:before="20" w:after="20"/>
              <w:jc w:val="right"/>
              <w:rPr>
                <w:b/>
                <w:noProof/>
                <w:sz w:val="20"/>
              </w:rPr>
            </w:pPr>
          </w:p>
        </w:tc>
        <w:tc>
          <w:tcPr>
            <w:tcW w:w="868" w:type="dxa"/>
            <w:vAlign w:val="center"/>
          </w:tcPr>
          <w:p>
            <w:pPr>
              <w:spacing w:before="20" w:after="20"/>
              <w:jc w:val="right"/>
              <w:rPr>
                <w:b/>
                <w:noProof/>
                <w:sz w:val="20"/>
              </w:rPr>
            </w:pPr>
          </w:p>
        </w:tc>
        <w:tc>
          <w:tcPr>
            <w:tcW w:w="868" w:type="dxa"/>
            <w:vAlign w:val="center"/>
          </w:tcPr>
          <w:p>
            <w:pPr>
              <w:spacing w:before="20" w:after="20"/>
              <w:jc w:val="right"/>
              <w:rPr>
                <w:b/>
                <w:noProof/>
                <w:sz w:val="20"/>
              </w:rPr>
            </w:pPr>
          </w:p>
        </w:tc>
        <w:tc>
          <w:tcPr>
            <w:tcW w:w="868" w:type="dxa"/>
            <w:vAlign w:val="center"/>
          </w:tcPr>
          <w:p>
            <w:pPr>
              <w:spacing w:before="20" w:after="20"/>
              <w:jc w:val="right"/>
              <w:rPr>
                <w:b/>
                <w:noProof/>
                <w:sz w:val="20"/>
              </w:rPr>
            </w:pPr>
          </w:p>
        </w:tc>
        <w:tc>
          <w:tcPr>
            <w:tcW w:w="868" w:type="dxa"/>
            <w:vAlign w:val="center"/>
          </w:tcPr>
          <w:p>
            <w:pPr>
              <w:spacing w:before="20" w:after="20"/>
              <w:jc w:val="right"/>
              <w:rPr>
                <w:b/>
                <w:noProof/>
                <w:sz w:val="20"/>
              </w:rPr>
            </w:pPr>
          </w:p>
        </w:tc>
        <w:tc>
          <w:tcPr>
            <w:tcW w:w="868" w:type="dxa"/>
            <w:vAlign w:val="center"/>
          </w:tcPr>
          <w:p>
            <w:pPr>
              <w:spacing w:before="20" w:after="20"/>
              <w:jc w:val="right"/>
              <w:rPr>
                <w:b/>
                <w:noProof/>
                <w:sz w:val="20"/>
              </w:rPr>
            </w:pPr>
          </w:p>
        </w:tc>
        <w:tc>
          <w:tcPr>
            <w:tcW w:w="868" w:type="dxa"/>
            <w:vAlign w:val="center"/>
          </w:tcPr>
          <w:p>
            <w:pPr>
              <w:spacing w:before="20" w:after="20"/>
              <w:jc w:val="right"/>
              <w:rPr>
                <w:b/>
                <w:noProof/>
                <w:sz w:val="20"/>
              </w:rPr>
            </w:pPr>
          </w:p>
        </w:tc>
        <w:tc>
          <w:tcPr>
            <w:tcW w:w="1777" w:type="dxa"/>
            <w:vAlign w:val="center"/>
          </w:tcPr>
          <w:p>
            <w:pPr>
              <w:spacing w:before="20" w:after="20"/>
              <w:jc w:val="right"/>
              <w:rPr>
                <w:b/>
                <w:noProof/>
                <w:sz w:val="20"/>
              </w:rPr>
            </w:pPr>
          </w:p>
        </w:tc>
      </w:tr>
      <w:tr>
        <w:tc>
          <w:tcPr>
            <w:tcW w:w="3960" w:type="dxa"/>
            <w:vMerge w:val="restart"/>
            <w:shd w:val="thinDiagStripe" w:color="C0C0C0" w:fill="auto"/>
            <w:vAlign w:val="center"/>
          </w:tcPr>
          <w:p>
            <w:pPr>
              <w:jc w:val="center"/>
              <w:rPr>
                <w:b/>
                <w:noProof/>
              </w:rPr>
            </w:pPr>
            <w:r>
              <w:rPr>
                <w:b/>
                <w:noProof/>
                <w:sz w:val="22"/>
              </w:rPr>
              <w:t>TOTAL des crédits</w:t>
            </w:r>
            <w:r>
              <w:rPr>
                <w:noProof/>
                <w:sz w:val="22"/>
              </w:rPr>
              <w:br/>
            </w:r>
            <w:r>
              <w:rPr>
                <w:b/>
                <w:noProof/>
                <w:sz w:val="22"/>
              </w:rPr>
              <w:t>pour la RUBRIQUE &lt;….&gt;</w:t>
            </w:r>
            <w:r>
              <w:rPr>
                <w:noProof/>
                <w:sz w:val="22"/>
              </w:rPr>
              <w:br/>
              <w:t>du cadre financier pluriannuel</w:t>
            </w:r>
          </w:p>
        </w:tc>
        <w:tc>
          <w:tcPr>
            <w:tcW w:w="1440" w:type="dxa"/>
            <w:vAlign w:val="center"/>
          </w:tcPr>
          <w:p>
            <w:pPr>
              <w:rPr>
                <w:noProof/>
                <w:sz w:val="18"/>
              </w:rPr>
            </w:pPr>
            <w:r>
              <w:rPr>
                <w:noProof/>
                <w:sz w:val="18"/>
              </w:rPr>
              <w:t>Engagements</w:t>
            </w:r>
          </w:p>
        </w:tc>
        <w:tc>
          <w:tcPr>
            <w:tcW w:w="654" w:type="dxa"/>
            <w:vAlign w:val="center"/>
          </w:tcPr>
          <w:p>
            <w:pPr>
              <w:jc w:val="center"/>
              <w:rPr>
                <w:noProof/>
                <w:sz w:val="14"/>
              </w:rPr>
            </w:pPr>
            <w:r>
              <w:rPr>
                <w:noProof/>
                <w:sz w:val="14"/>
              </w:rPr>
              <w:t>=4+ 6</w:t>
            </w: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b/>
                <w:noProof/>
                <w:sz w:val="20"/>
              </w:rPr>
            </w:pPr>
          </w:p>
        </w:tc>
        <w:tc>
          <w:tcPr>
            <w:tcW w:w="1777" w:type="dxa"/>
            <w:vAlign w:val="center"/>
          </w:tcPr>
          <w:p>
            <w:pPr>
              <w:spacing w:before="20" w:after="20"/>
              <w:jc w:val="right"/>
              <w:rPr>
                <w:b/>
                <w:noProof/>
                <w:sz w:val="20"/>
              </w:rPr>
            </w:pPr>
          </w:p>
        </w:tc>
      </w:tr>
      <w:tr>
        <w:tc>
          <w:tcPr>
            <w:tcW w:w="3960" w:type="dxa"/>
            <w:vMerge/>
            <w:shd w:val="thinDiagStripe" w:color="C0C0C0" w:fill="auto"/>
          </w:tcPr>
          <w:p>
            <w:pPr>
              <w:rPr>
                <w:noProof/>
                <w:sz w:val="20"/>
              </w:rPr>
            </w:pPr>
          </w:p>
        </w:tc>
        <w:tc>
          <w:tcPr>
            <w:tcW w:w="1440" w:type="dxa"/>
            <w:vAlign w:val="center"/>
          </w:tcPr>
          <w:p>
            <w:pPr>
              <w:rPr>
                <w:noProof/>
                <w:sz w:val="18"/>
              </w:rPr>
            </w:pPr>
            <w:r>
              <w:rPr>
                <w:noProof/>
                <w:sz w:val="18"/>
              </w:rPr>
              <w:t>Paiements</w:t>
            </w:r>
          </w:p>
        </w:tc>
        <w:tc>
          <w:tcPr>
            <w:tcW w:w="654" w:type="dxa"/>
            <w:vAlign w:val="center"/>
          </w:tcPr>
          <w:p>
            <w:pPr>
              <w:jc w:val="center"/>
              <w:rPr>
                <w:noProof/>
                <w:sz w:val="14"/>
              </w:rPr>
            </w:pPr>
            <w:r>
              <w:rPr>
                <w:noProof/>
                <w:sz w:val="14"/>
              </w:rPr>
              <w:t>=5+ 6</w:t>
            </w: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b/>
                <w:noProof/>
                <w:sz w:val="20"/>
              </w:rPr>
            </w:pPr>
          </w:p>
        </w:tc>
        <w:tc>
          <w:tcPr>
            <w:tcW w:w="1777" w:type="dxa"/>
            <w:vAlign w:val="center"/>
          </w:tcPr>
          <w:p>
            <w:pPr>
              <w:spacing w:before="20" w:after="20"/>
              <w:jc w:val="right"/>
              <w:rPr>
                <w:b/>
                <w:noProof/>
                <w:sz w:val="20"/>
              </w:rPr>
            </w:pPr>
          </w:p>
        </w:tc>
      </w:tr>
    </w:tbl>
    <w:p>
      <w:pPr>
        <w:spacing w:after="40"/>
        <w:rPr>
          <w:b/>
          <w:noProof/>
          <w:sz w:val="22"/>
          <w:u w:val="single"/>
        </w:rPr>
      </w:pPr>
      <w:r>
        <w:rPr>
          <w:b/>
          <w:noProof/>
          <w:sz w:val="22"/>
          <w:u w:val="single"/>
        </w:rPr>
        <w:t>Si plusieurs rubriques opérationnelles sont concernées par la proposition/l’initiative, dupliquer la section qui précède:</w:t>
      </w:r>
    </w:p>
    <w:tbl>
      <w:tblPr>
        <w:tblW w:w="0" w:type="auto"/>
        <w:tblInd w:w="-252" w:type="dxa"/>
        <w:tblBorders>
          <w:top w:val="single" w:sz="4" w:space="0" w:color="FF0000"/>
          <w:left w:val="single" w:sz="4" w:space="0" w:color="FF0000"/>
          <w:bottom w:val="single" w:sz="4" w:space="0" w:color="FF0000"/>
          <w:right w:val="single" w:sz="4" w:space="0" w:color="FF0000"/>
          <w:insideH w:val="single" w:sz="4" w:space="0" w:color="auto"/>
          <w:insideV w:val="single" w:sz="4" w:space="0" w:color="auto"/>
        </w:tblBorders>
        <w:tblLayout w:type="fixed"/>
        <w:tblLook w:val="01E0" w:firstRow="1" w:lastRow="1" w:firstColumn="1" w:lastColumn="1" w:noHBand="0" w:noVBand="0"/>
      </w:tblPr>
      <w:tblGrid>
        <w:gridCol w:w="3960"/>
        <w:gridCol w:w="1440"/>
        <w:gridCol w:w="654"/>
        <w:gridCol w:w="868"/>
        <w:gridCol w:w="868"/>
        <w:gridCol w:w="868"/>
        <w:gridCol w:w="868"/>
        <w:gridCol w:w="868"/>
        <w:gridCol w:w="868"/>
        <w:gridCol w:w="868"/>
        <w:gridCol w:w="1777"/>
      </w:tblGrid>
      <w:tr>
        <w:trPr>
          <w:trHeight w:val="277"/>
        </w:trPr>
        <w:tc>
          <w:tcPr>
            <w:tcW w:w="3960" w:type="dxa"/>
            <w:vMerge w:val="restart"/>
            <w:tcBorders>
              <w:top w:val="single" w:sz="4" w:space="0" w:color="auto"/>
              <w:left w:val="single" w:sz="4" w:space="0" w:color="auto"/>
              <w:bottom w:val="single" w:sz="4" w:space="0" w:color="FF0000"/>
            </w:tcBorders>
            <w:vAlign w:val="center"/>
          </w:tcPr>
          <w:p>
            <w:pPr>
              <w:spacing w:before="20" w:after="20"/>
              <w:rPr>
                <w:noProof/>
              </w:rPr>
            </w:pPr>
            <w:r>
              <w:rPr>
                <w:noProof/>
                <w:sz w:val="21"/>
              </w:rPr>
              <w:sym w:font="Wingdings" w:char="F09F"/>
            </w:r>
            <w:r>
              <w:rPr>
                <w:noProof/>
                <w:sz w:val="21"/>
              </w:rPr>
              <w:t xml:space="preserve"> TOTAL des crédits opérationnels (toutes les rubriques opérationnelles)</w:t>
            </w:r>
          </w:p>
        </w:tc>
        <w:tc>
          <w:tcPr>
            <w:tcW w:w="1440" w:type="dxa"/>
            <w:tcBorders>
              <w:top w:val="single" w:sz="4" w:space="0" w:color="auto"/>
            </w:tcBorders>
            <w:vAlign w:val="center"/>
          </w:tcPr>
          <w:p>
            <w:pPr>
              <w:spacing w:beforeLines="20" w:before="48" w:afterLines="20" w:after="48"/>
              <w:rPr>
                <w:noProof/>
                <w:sz w:val="18"/>
              </w:rPr>
            </w:pPr>
            <w:r>
              <w:rPr>
                <w:noProof/>
                <w:sz w:val="18"/>
              </w:rPr>
              <w:t>Engagements</w:t>
            </w:r>
          </w:p>
        </w:tc>
        <w:tc>
          <w:tcPr>
            <w:tcW w:w="654" w:type="dxa"/>
            <w:tcBorders>
              <w:top w:val="single" w:sz="4" w:space="0" w:color="auto"/>
            </w:tcBorders>
            <w:vAlign w:val="center"/>
          </w:tcPr>
          <w:p>
            <w:pPr>
              <w:spacing w:beforeLines="20" w:before="48" w:afterLines="20" w:after="48"/>
              <w:jc w:val="center"/>
              <w:rPr>
                <w:noProof/>
                <w:sz w:val="14"/>
              </w:rPr>
            </w:pPr>
            <w:r>
              <w:rPr>
                <w:noProof/>
                <w:sz w:val="14"/>
              </w:rPr>
              <w:t>(4)</w:t>
            </w:r>
          </w:p>
        </w:tc>
        <w:tc>
          <w:tcPr>
            <w:tcW w:w="868" w:type="dxa"/>
            <w:tcBorders>
              <w:top w:val="single" w:sz="4" w:space="0" w:color="auto"/>
            </w:tcBorders>
            <w:vAlign w:val="center"/>
          </w:tcPr>
          <w:p>
            <w:pPr>
              <w:spacing w:before="20" w:after="20"/>
              <w:jc w:val="right"/>
              <w:rPr>
                <w:noProof/>
                <w:sz w:val="20"/>
              </w:rPr>
            </w:pPr>
          </w:p>
        </w:tc>
        <w:tc>
          <w:tcPr>
            <w:tcW w:w="868" w:type="dxa"/>
            <w:tcBorders>
              <w:top w:val="single" w:sz="4" w:space="0" w:color="auto"/>
            </w:tcBorders>
            <w:vAlign w:val="center"/>
          </w:tcPr>
          <w:p>
            <w:pPr>
              <w:spacing w:before="20" w:after="20"/>
              <w:jc w:val="right"/>
              <w:rPr>
                <w:noProof/>
                <w:sz w:val="20"/>
              </w:rPr>
            </w:pPr>
          </w:p>
        </w:tc>
        <w:tc>
          <w:tcPr>
            <w:tcW w:w="868" w:type="dxa"/>
            <w:tcBorders>
              <w:top w:val="single" w:sz="4" w:space="0" w:color="auto"/>
            </w:tcBorders>
            <w:vAlign w:val="center"/>
          </w:tcPr>
          <w:p>
            <w:pPr>
              <w:spacing w:before="20" w:after="20"/>
              <w:jc w:val="right"/>
              <w:rPr>
                <w:noProof/>
                <w:sz w:val="20"/>
              </w:rPr>
            </w:pPr>
          </w:p>
        </w:tc>
        <w:tc>
          <w:tcPr>
            <w:tcW w:w="868" w:type="dxa"/>
            <w:tcBorders>
              <w:top w:val="single" w:sz="4" w:space="0" w:color="auto"/>
            </w:tcBorders>
            <w:vAlign w:val="center"/>
          </w:tcPr>
          <w:p>
            <w:pPr>
              <w:spacing w:before="20" w:after="20"/>
              <w:jc w:val="right"/>
              <w:rPr>
                <w:noProof/>
                <w:sz w:val="20"/>
              </w:rPr>
            </w:pPr>
          </w:p>
        </w:tc>
        <w:tc>
          <w:tcPr>
            <w:tcW w:w="868" w:type="dxa"/>
            <w:tcBorders>
              <w:top w:val="single" w:sz="4" w:space="0" w:color="auto"/>
            </w:tcBorders>
            <w:vAlign w:val="center"/>
          </w:tcPr>
          <w:p>
            <w:pPr>
              <w:spacing w:before="20" w:after="20"/>
              <w:jc w:val="right"/>
              <w:rPr>
                <w:noProof/>
                <w:sz w:val="20"/>
              </w:rPr>
            </w:pPr>
          </w:p>
        </w:tc>
        <w:tc>
          <w:tcPr>
            <w:tcW w:w="868" w:type="dxa"/>
            <w:tcBorders>
              <w:top w:val="single" w:sz="4" w:space="0" w:color="auto"/>
            </w:tcBorders>
            <w:vAlign w:val="center"/>
          </w:tcPr>
          <w:p>
            <w:pPr>
              <w:spacing w:before="20" w:after="20"/>
              <w:jc w:val="right"/>
              <w:rPr>
                <w:noProof/>
                <w:sz w:val="20"/>
              </w:rPr>
            </w:pPr>
          </w:p>
        </w:tc>
        <w:tc>
          <w:tcPr>
            <w:tcW w:w="868" w:type="dxa"/>
            <w:tcBorders>
              <w:top w:val="single" w:sz="4" w:space="0" w:color="auto"/>
            </w:tcBorders>
            <w:vAlign w:val="center"/>
          </w:tcPr>
          <w:p>
            <w:pPr>
              <w:spacing w:before="20" w:after="20"/>
              <w:jc w:val="right"/>
              <w:rPr>
                <w:b/>
                <w:noProof/>
                <w:sz w:val="20"/>
              </w:rPr>
            </w:pPr>
          </w:p>
        </w:tc>
        <w:tc>
          <w:tcPr>
            <w:tcW w:w="1777" w:type="dxa"/>
            <w:tcBorders>
              <w:top w:val="single" w:sz="4" w:space="0" w:color="auto"/>
              <w:right w:val="single" w:sz="4" w:space="0" w:color="auto"/>
            </w:tcBorders>
            <w:vAlign w:val="center"/>
          </w:tcPr>
          <w:p>
            <w:pPr>
              <w:spacing w:before="20" w:after="20"/>
              <w:jc w:val="right"/>
              <w:rPr>
                <w:b/>
                <w:noProof/>
                <w:sz w:val="20"/>
              </w:rPr>
            </w:pPr>
          </w:p>
        </w:tc>
      </w:tr>
      <w:tr>
        <w:tc>
          <w:tcPr>
            <w:tcW w:w="3960" w:type="dxa"/>
            <w:vMerge/>
            <w:tcBorders>
              <w:top w:val="single" w:sz="4" w:space="0" w:color="FF0000"/>
              <w:left w:val="single" w:sz="4" w:space="0" w:color="auto"/>
              <w:bottom w:val="single" w:sz="4" w:space="0" w:color="FF0000"/>
            </w:tcBorders>
          </w:tcPr>
          <w:p>
            <w:pPr>
              <w:jc w:val="center"/>
              <w:rPr>
                <w:noProof/>
                <w:sz w:val="20"/>
              </w:rPr>
            </w:pPr>
          </w:p>
        </w:tc>
        <w:tc>
          <w:tcPr>
            <w:tcW w:w="1440" w:type="dxa"/>
            <w:vAlign w:val="center"/>
          </w:tcPr>
          <w:p>
            <w:pPr>
              <w:spacing w:beforeLines="20" w:before="48" w:afterLines="20" w:after="48"/>
              <w:rPr>
                <w:noProof/>
                <w:sz w:val="18"/>
              </w:rPr>
            </w:pPr>
            <w:r>
              <w:rPr>
                <w:noProof/>
                <w:sz w:val="18"/>
              </w:rPr>
              <w:t>Paiements</w:t>
            </w:r>
          </w:p>
        </w:tc>
        <w:tc>
          <w:tcPr>
            <w:tcW w:w="654" w:type="dxa"/>
            <w:vAlign w:val="center"/>
          </w:tcPr>
          <w:p>
            <w:pPr>
              <w:spacing w:beforeLines="20" w:before="48" w:afterLines="20" w:after="48"/>
              <w:jc w:val="center"/>
              <w:rPr>
                <w:noProof/>
                <w:sz w:val="14"/>
              </w:rPr>
            </w:pPr>
            <w:r>
              <w:rPr>
                <w:noProof/>
                <w:sz w:val="14"/>
              </w:rPr>
              <w:t>(5)</w:t>
            </w: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b/>
                <w:noProof/>
                <w:sz w:val="20"/>
              </w:rPr>
            </w:pPr>
          </w:p>
        </w:tc>
        <w:tc>
          <w:tcPr>
            <w:tcW w:w="1777" w:type="dxa"/>
            <w:tcBorders>
              <w:right w:val="single" w:sz="4" w:space="0" w:color="auto"/>
            </w:tcBorders>
            <w:vAlign w:val="center"/>
          </w:tcPr>
          <w:p>
            <w:pPr>
              <w:spacing w:before="20" w:after="20"/>
              <w:jc w:val="right"/>
              <w:rPr>
                <w:b/>
                <w:noProof/>
                <w:sz w:val="20"/>
              </w:rPr>
            </w:pPr>
          </w:p>
        </w:tc>
      </w:tr>
      <w:tr>
        <w:tblPrEx>
          <w:tblBorders>
            <w:top w:val="single" w:sz="4" w:space="0" w:color="auto"/>
            <w:left w:val="single" w:sz="4" w:space="0" w:color="auto"/>
            <w:bottom w:val="single" w:sz="4" w:space="0" w:color="auto"/>
            <w:right w:val="single" w:sz="4" w:space="0" w:color="auto"/>
          </w:tblBorders>
        </w:tblPrEx>
        <w:trPr>
          <w:trHeight w:val="533"/>
        </w:trPr>
        <w:tc>
          <w:tcPr>
            <w:tcW w:w="5400" w:type="dxa"/>
            <w:gridSpan w:val="2"/>
            <w:vAlign w:val="center"/>
          </w:tcPr>
          <w:p>
            <w:pPr>
              <w:spacing w:beforeLines="20" w:before="48" w:afterLines="20" w:after="48"/>
              <w:rPr>
                <w:noProof/>
              </w:rPr>
            </w:pPr>
            <w:r>
              <w:rPr>
                <w:noProof/>
                <w:sz w:val="21"/>
              </w:rPr>
              <w:t xml:space="preserve"> TOTAL des crédits de nature administrative financés par l'enveloppe de certains programmes spécifiques (toutes les rubriques opérationnelles)</w:t>
            </w:r>
          </w:p>
        </w:tc>
        <w:tc>
          <w:tcPr>
            <w:tcW w:w="654" w:type="dxa"/>
            <w:vAlign w:val="center"/>
          </w:tcPr>
          <w:p>
            <w:pPr>
              <w:rPr>
                <w:noProof/>
              </w:rPr>
            </w:pPr>
          </w:p>
          <w:p>
            <w:pPr>
              <w:spacing w:beforeLines="20" w:before="48" w:afterLines="20" w:after="48"/>
              <w:jc w:val="center"/>
              <w:rPr>
                <w:noProof/>
                <w:sz w:val="14"/>
              </w:rPr>
            </w:pPr>
            <w:r>
              <w:rPr>
                <w:noProof/>
                <w:sz w:val="14"/>
              </w:rPr>
              <w:t>(6)</w:t>
            </w:r>
          </w:p>
        </w:tc>
        <w:tc>
          <w:tcPr>
            <w:tcW w:w="868" w:type="dxa"/>
            <w:vAlign w:val="center"/>
          </w:tcPr>
          <w:p>
            <w:pPr>
              <w:spacing w:before="20" w:after="20"/>
              <w:jc w:val="right"/>
              <w:rPr>
                <w:b/>
                <w:noProof/>
                <w:sz w:val="20"/>
              </w:rPr>
            </w:pPr>
          </w:p>
        </w:tc>
        <w:tc>
          <w:tcPr>
            <w:tcW w:w="868" w:type="dxa"/>
            <w:vAlign w:val="center"/>
          </w:tcPr>
          <w:p>
            <w:pPr>
              <w:spacing w:before="20" w:after="20"/>
              <w:jc w:val="right"/>
              <w:rPr>
                <w:b/>
                <w:noProof/>
                <w:sz w:val="20"/>
              </w:rPr>
            </w:pPr>
          </w:p>
        </w:tc>
        <w:tc>
          <w:tcPr>
            <w:tcW w:w="868" w:type="dxa"/>
            <w:vAlign w:val="center"/>
          </w:tcPr>
          <w:p>
            <w:pPr>
              <w:spacing w:before="20" w:after="20"/>
              <w:jc w:val="right"/>
              <w:rPr>
                <w:b/>
                <w:noProof/>
                <w:sz w:val="20"/>
              </w:rPr>
            </w:pPr>
          </w:p>
        </w:tc>
        <w:tc>
          <w:tcPr>
            <w:tcW w:w="868" w:type="dxa"/>
            <w:vAlign w:val="center"/>
          </w:tcPr>
          <w:p>
            <w:pPr>
              <w:spacing w:before="20" w:after="20"/>
              <w:jc w:val="right"/>
              <w:rPr>
                <w:b/>
                <w:noProof/>
                <w:sz w:val="20"/>
              </w:rPr>
            </w:pPr>
          </w:p>
        </w:tc>
        <w:tc>
          <w:tcPr>
            <w:tcW w:w="868" w:type="dxa"/>
            <w:vAlign w:val="center"/>
          </w:tcPr>
          <w:p>
            <w:pPr>
              <w:spacing w:before="20" w:after="20"/>
              <w:jc w:val="right"/>
              <w:rPr>
                <w:b/>
                <w:noProof/>
                <w:sz w:val="20"/>
              </w:rPr>
            </w:pPr>
          </w:p>
        </w:tc>
        <w:tc>
          <w:tcPr>
            <w:tcW w:w="868" w:type="dxa"/>
            <w:vAlign w:val="center"/>
          </w:tcPr>
          <w:p>
            <w:pPr>
              <w:spacing w:before="20" w:after="20"/>
              <w:jc w:val="right"/>
              <w:rPr>
                <w:b/>
                <w:noProof/>
                <w:sz w:val="20"/>
              </w:rPr>
            </w:pPr>
          </w:p>
        </w:tc>
        <w:tc>
          <w:tcPr>
            <w:tcW w:w="868" w:type="dxa"/>
            <w:vAlign w:val="center"/>
          </w:tcPr>
          <w:p>
            <w:pPr>
              <w:spacing w:before="20" w:after="20"/>
              <w:jc w:val="right"/>
              <w:rPr>
                <w:b/>
                <w:noProof/>
                <w:sz w:val="20"/>
              </w:rPr>
            </w:pPr>
          </w:p>
        </w:tc>
        <w:tc>
          <w:tcPr>
            <w:tcW w:w="1777" w:type="dxa"/>
            <w:vAlign w:val="center"/>
          </w:tcPr>
          <w:p>
            <w:pPr>
              <w:spacing w:before="20" w:after="20"/>
              <w:jc w:val="right"/>
              <w:rPr>
                <w:b/>
                <w:noProof/>
                <w:sz w:val="20"/>
              </w:rPr>
            </w:pPr>
          </w:p>
        </w:tc>
      </w:tr>
      <w:tr>
        <w:tc>
          <w:tcPr>
            <w:tcW w:w="3960" w:type="dxa"/>
            <w:vMerge w:val="restart"/>
            <w:tcBorders>
              <w:top w:val="single" w:sz="4" w:space="0" w:color="FF0000"/>
              <w:left w:val="single" w:sz="4" w:space="0" w:color="auto"/>
              <w:bottom w:val="single" w:sz="4" w:space="0" w:color="FF0000"/>
            </w:tcBorders>
            <w:shd w:val="thinDiagStripe" w:color="C0C0C0" w:fill="auto"/>
            <w:vAlign w:val="center"/>
          </w:tcPr>
          <w:p>
            <w:pPr>
              <w:jc w:val="center"/>
              <w:rPr>
                <w:b/>
                <w:noProof/>
              </w:rPr>
            </w:pPr>
            <w:r>
              <w:rPr>
                <w:b/>
                <w:noProof/>
                <w:sz w:val="22"/>
              </w:rPr>
              <w:t>TOTAL des crédits</w:t>
            </w:r>
            <w:r>
              <w:rPr>
                <w:noProof/>
                <w:sz w:val="22"/>
              </w:rPr>
              <w:br/>
            </w:r>
            <w:r>
              <w:rPr>
                <w:b/>
                <w:noProof/>
                <w:sz w:val="22"/>
              </w:rPr>
              <w:t>pour les RUBRIQUES 1 à 4</w:t>
            </w:r>
            <w:r>
              <w:rPr>
                <w:noProof/>
                <w:sz w:val="22"/>
              </w:rPr>
              <w:br/>
              <w:t>du cadre financier pluriannuel</w:t>
            </w:r>
            <w:r>
              <w:rPr>
                <w:noProof/>
                <w:sz w:val="22"/>
              </w:rPr>
              <w:br/>
            </w:r>
            <w:r>
              <w:rPr>
                <w:noProof/>
                <w:sz w:val="20"/>
              </w:rPr>
              <w:t>(Montant de référence)</w:t>
            </w:r>
          </w:p>
        </w:tc>
        <w:tc>
          <w:tcPr>
            <w:tcW w:w="1440" w:type="dxa"/>
            <w:vAlign w:val="center"/>
          </w:tcPr>
          <w:p>
            <w:pPr>
              <w:rPr>
                <w:noProof/>
                <w:sz w:val="18"/>
              </w:rPr>
            </w:pPr>
            <w:r>
              <w:rPr>
                <w:noProof/>
                <w:sz w:val="18"/>
              </w:rPr>
              <w:t>Engagements</w:t>
            </w:r>
          </w:p>
        </w:tc>
        <w:tc>
          <w:tcPr>
            <w:tcW w:w="654" w:type="dxa"/>
            <w:vAlign w:val="center"/>
          </w:tcPr>
          <w:p>
            <w:pPr>
              <w:jc w:val="center"/>
              <w:rPr>
                <w:noProof/>
                <w:sz w:val="14"/>
              </w:rPr>
            </w:pPr>
            <w:r>
              <w:rPr>
                <w:noProof/>
                <w:sz w:val="14"/>
              </w:rPr>
              <w:t>=4+ 6</w:t>
            </w: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b/>
                <w:noProof/>
                <w:sz w:val="20"/>
              </w:rPr>
            </w:pPr>
          </w:p>
        </w:tc>
        <w:tc>
          <w:tcPr>
            <w:tcW w:w="1777" w:type="dxa"/>
            <w:tcBorders>
              <w:right w:val="single" w:sz="4" w:space="0" w:color="auto"/>
            </w:tcBorders>
            <w:vAlign w:val="center"/>
          </w:tcPr>
          <w:p>
            <w:pPr>
              <w:spacing w:before="20" w:after="20"/>
              <w:jc w:val="right"/>
              <w:rPr>
                <w:b/>
                <w:noProof/>
                <w:sz w:val="20"/>
              </w:rPr>
            </w:pPr>
          </w:p>
        </w:tc>
      </w:tr>
      <w:tr>
        <w:tc>
          <w:tcPr>
            <w:tcW w:w="3960" w:type="dxa"/>
            <w:vMerge/>
            <w:tcBorders>
              <w:top w:val="single" w:sz="4" w:space="0" w:color="FF0000"/>
              <w:left w:val="single" w:sz="4" w:space="0" w:color="auto"/>
              <w:bottom w:val="single" w:sz="4" w:space="0" w:color="auto"/>
            </w:tcBorders>
            <w:shd w:val="thinDiagStripe" w:color="C0C0C0" w:fill="auto"/>
          </w:tcPr>
          <w:p>
            <w:pPr>
              <w:rPr>
                <w:noProof/>
                <w:sz w:val="20"/>
              </w:rPr>
            </w:pPr>
          </w:p>
        </w:tc>
        <w:tc>
          <w:tcPr>
            <w:tcW w:w="1440" w:type="dxa"/>
            <w:tcBorders>
              <w:bottom w:val="single" w:sz="4" w:space="0" w:color="auto"/>
            </w:tcBorders>
            <w:vAlign w:val="center"/>
          </w:tcPr>
          <w:p>
            <w:pPr>
              <w:rPr>
                <w:noProof/>
                <w:sz w:val="18"/>
              </w:rPr>
            </w:pPr>
            <w:r>
              <w:rPr>
                <w:noProof/>
                <w:sz w:val="18"/>
              </w:rPr>
              <w:t>Paiements</w:t>
            </w:r>
          </w:p>
        </w:tc>
        <w:tc>
          <w:tcPr>
            <w:tcW w:w="654" w:type="dxa"/>
            <w:tcBorders>
              <w:bottom w:val="single" w:sz="4" w:space="0" w:color="auto"/>
            </w:tcBorders>
            <w:vAlign w:val="center"/>
          </w:tcPr>
          <w:p>
            <w:pPr>
              <w:jc w:val="center"/>
              <w:rPr>
                <w:noProof/>
                <w:sz w:val="14"/>
              </w:rPr>
            </w:pPr>
            <w:r>
              <w:rPr>
                <w:noProof/>
                <w:sz w:val="14"/>
              </w:rPr>
              <w:t>=5+ 6</w:t>
            </w:r>
          </w:p>
        </w:tc>
        <w:tc>
          <w:tcPr>
            <w:tcW w:w="868" w:type="dxa"/>
            <w:tcBorders>
              <w:bottom w:val="single" w:sz="4" w:space="0" w:color="auto"/>
            </w:tcBorders>
            <w:vAlign w:val="center"/>
          </w:tcPr>
          <w:p>
            <w:pPr>
              <w:spacing w:before="20" w:after="20"/>
              <w:jc w:val="right"/>
              <w:rPr>
                <w:noProof/>
                <w:sz w:val="20"/>
              </w:rPr>
            </w:pPr>
          </w:p>
        </w:tc>
        <w:tc>
          <w:tcPr>
            <w:tcW w:w="868" w:type="dxa"/>
            <w:tcBorders>
              <w:bottom w:val="single" w:sz="4" w:space="0" w:color="auto"/>
            </w:tcBorders>
            <w:vAlign w:val="center"/>
          </w:tcPr>
          <w:p>
            <w:pPr>
              <w:spacing w:before="20" w:after="20"/>
              <w:jc w:val="right"/>
              <w:rPr>
                <w:noProof/>
                <w:sz w:val="20"/>
              </w:rPr>
            </w:pPr>
          </w:p>
        </w:tc>
        <w:tc>
          <w:tcPr>
            <w:tcW w:w="868" w:type="dxa"/>
            <w:tcBorders>
              <w:bottom w:val="single" w:sz="4" w:space="0" w:color="auto"/>
            </w:tcBorders>
            <w:vAlign w:val="center"/>
          </w:tcPr>
          <w:p>
            <w:pPr>
              <w:spacing w:before="20" w:after="20"/>
              <w:jc w:val="right"/>
              <w:rPr>
                <w:noProof/>
                <w:sz w:val="20"/>
              </w:rPr>
            </w:pPr>
          </w:p>
        </w:tc>
        <w:tc>
          <w:tcPr>
            <w:tcW w:w="868" w:type="dxa"/>
            <w:tcBorders>
              <w:bottom w:val="single" w:sz="4" w:space="0" w:color="auto"/>
            </w:tcBorders>
            <w:vAlign w:val="center"/>
          </w:tcPr>
          <w:p>
            <w:pPr>
              <w:spacing w:before="20" w:after="20"/>
              <w:jc w:val="right"/>
              <w:rPr>
                <w:noProof/>
                <w:sz w:val="20"/>
              </w:rPr>
            </w:pPr>
          </w:p>
        </w:tc>
        <w:tc>
          <w:tcPr>
            <w:tcW w:w="868" w:type="dxa"/>
            <w:tcBorders>
              <w:bottom w:val="single" w:sz="4" w:space="0" w:color="auto"/>
            </w:tcBorders>
            <w:vAlign w:val="center"/>
          </w:tcPr>
          <w:p>
            <w:pPr>
              <w:spacing w:before="20" w:after="20"/>
              <w:jc w:val="right"/>
              <w:rPr>
                <w:noProof/>
                <w:sz w:val="20"/>
              </w:rPr>
            </w:pPr>
          </w:p>
        </w:tc>
        <w:tc>
          <w:tcPr>
            <w:tcW w:w="868" w:type="dxa"/>
            <w:tcBorders>
              <w:bottom w:val="single" w:sz="4" w:space="0" w:color="auto"/>
            </w:tcBorders>
            <w:vAlign w:val="center"/>
          </w:tcPr>
          <w:p>
            <w:pPr>
              <w:spacing w:before="20" w:after="20"/>
              <w:jc w:val="right"/>
              <w:rPr>
                <w:noProof/>
                <w:sz w:val="20"/>
              </w:rPr>
            </w:pPr>
          </w:p>
        </w:tc>
        <w:tc>
          <w:tcPr>
            <w:tcW w:w="868" w:type="dxa"/>
            <w:tcBorders>
              <w:bottom w:val="single" w:sz="4" w:space="0" w:color="auto"/>
            </w:tcBorders>
            <w:vAlign w:val="center"/>
          </w:tcPr>
          <w:p>
            <w:pPr>
              <w:spacing w:before="20" w:after="20"/>
              <w:jc w:val="right"/>
              <w:rPr>
                <w:b/>
                <w:noProof/>
                <w:sz w:val="20"/>
              </w:rPr>
            </w:pPr>
          </w:p>
        </w:tc>
        <w:tc>
          <w:tcPr>
            <w:tcW w:w="1777" w:type="dxa"/>
            <w:tcBorders>
              <w:bottom w:val="single" w:sz="4" w:space="0" w:color="auto"/>
              <w:right w:val="single" w:sz="4" w:space="0" w:color="auto"/>
            </w:tcBorders>
            <w:vAlign w:val="center"/>
          </w:tcPr>
          <w:p>
            <w:pPr>
              <w:spacing w:before="20" w:after="20"/>
              <w:jc w:val="right"/>
              <w:rPr>
                <w:b/>
                <w:noProof/>
                <w:sz w:val="20"/>
              </w:rPr>
            </w:pPr>
          </w:p>
        </w:tc>
      </w:tr>
    </w:tbl>
    <w:p>
      <w:pPr>
        <w:rPr>
          <w:noProof/>
        </w:rPr>
      </w:pPr>
    </w:p>
    <w:p>
      <w:pPr>
        <w:spacing w:before="0" w:after="0"/>
        <w:jc w:val="left"/>
        <w:rPr>
          <w:noProof/>
        </w:rPr>
      </w:pPr>
      <w:r>
        <w:rPr>
          <w:noProof/>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trPr>
          <w:jc w:val="center"/>
        </w:trPr>
        <w:tc>
          <w:tcPr>
            <w:tcW w:w="4744" w:type="dxa"/>
            <w:shd w:val="thinDiagStripe" w:color="C0C0C0" w:fill="auto"/>
            <w:vAlign w:val="center"/>
          </w:tcPr>
          <w:p>
            <w:pPr>
              <w:spacing w:before="60" w:after="60"/>
              <w:jc w:val="center"/>
              <w:rPr>
                <w:b/>
                <w:noProof/>
              </w:rPr>
            </w:pPr>
            <w:r>
              <w:rPr>
                <w:noProof/>
              </w:rPr>
              <w:br w:type="page"/>
            </w:r>
            <w:r>
              <w:rPr>
                <w:b/>
                <w:noProof/>
                <w:sz w:val="22"/>
              </w:rPr>
              <w:t xml:space="preserve">Rubrique du cadre financier </w:t>
            </w:r>
            <w:r>
              <w:rPr>
                <w:noProof/>
                <w:sz w:val="22"/>
              </w:rPr>
              <w:br/>
            </w:r>
            <w:r>
              <w:rPr>
                <w:b/>
                <w:noProof/>
                <w:sz w:val="22"/>
              </w:rPr>
              <w:t xml:space="preserve">pluriannuel </w:t>
            </w:r>
          </w:p>
        </w:tc>
        <w:tc>
          <w:tcPr>
            <w:tcW w:w="1080" w:type="dxa"/>
            <w:shd w:val="thinDiagStripe" w:color="C0C0C0" w:fill="auto"/>
            <w:vAlign w:val="center"/>
          </w:tcPr>
          <w:p>
            <w:pPr>
              <w:spacing w:before="60" w:after="60"/>
              <w:jc w:val="center"/>
              <w:rPr>
                <w:noProof/>
              </w:rPr>
            </w:pPr>
            <w:r>
              <w:rPr>
                <w:b/>
                <w:noProof/>
                <w:sz w:val="22"/>
              </w:rPr>
              <w:t>5</w:t>
            </w:r>
          </w:p>
        </w:tc>
        <w:tc>
          <w:tcPr>
            <w:tcW w:w="7817" w:type="dxa"/>
            <w:vAlign w:val="center"/>
          </w:tcPr>
          <w:p>
            <w:pPr>
              <w:spacing w:before="60" w:after="60"/>
              <w:rPr>
                <w:noProof/>
              </w:rPr>
            </w:pPr>
            <w:r>
              <w:rPr>
                <w:noProof/>
                <w:sz w:val="22"/>
              </w:rPr>
              <w:t>«Dépenses administratives»</w:t>
            </w:r>
          </w:p>
        </w:tc>
      </w:tr>
    </w:tbl>
    <w:p>
      <w:pPr>
        <w:jc w:val="left"/>
        <w:rPr>
          <w:noProof/>
          <w:sz w:val="20"/>
        </w:rPr>
      </w:pPr>
      <w:r>
        <w:rPr>
          <w:noProof/>
        </w:rPr>
        <w:t>Cette partie est à compléter en utilisant les «données budgétaires de nature administrative», à introduire d’abord dans l’</w:t>
      </w:r>
      <w:hyperlink r:id="rId18">
        <w:r>
          <w:rPr>
            <w:rStyle w:val="Hyperlink"/>
            <w:noProof/>
          </w:rPr>
          <w:t>annexe de la fiche financière législative</w:t>
        </w:r>
      </w:hyperlink>
      <w:r>
        <w:rPr>
          <w:noProof/>
        </w:rPr>
        <w:t xml:space="preserve"> (annexe V des règles internes), à charger dans DECIDE pour les besoins de la consultation interservices.</w:t>
      </w:r>
    </w:p>
    <w:p>
      <w:pPr>
        <w:jc w:val="right"/>
        <w:rPr>
          <w:noProof/>
          <w:sz w:val="20"/>
        </w:rPr>
      </w:pPr>
      <w:r>
        <w:rPr>
          <w:noProof/>
          <w:sz w:val="20"/>
        </w:rPr>
        <w:t>En Mio EUR (à la 3</w:t>
      </w:r>
      <w:r>
        <w:rPr>
          <w:noProof/>
          <w:sz w:val="20"/>
          <w:vertAlign w:val="superscript"/>
        </w:rPr>
        <w:t>e</w:t>
      </w:r>
      <w:r>
        <w:rPr>
          <w:noProof/>
          <w:sz w:val="20"/>
        </w:rPr>
        <w:t xml:space="preserve"> décimale)</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560"/>
        <w:gridCol w:w="534"/>
        <w:gridCol w:w="868"/>
        <w:gridCol w:w="868"/>
        <w:gridCol w:w="868"/>
        <w:gridCol w:w="868"/>
        <w:gridCol w:w="868"/>
        <w:gridCol w:w="868"/>
        <w:gridCol w:w="868"/>
        <w:gridCol w:w="1777"/>
      </w:tblGrid>
      <w:tr>
        <w:tc>
          <w:tcPr>
            <w:tcW w:w="3960" w:type="dxa"/>
            <w:tcBorders>
              <w:top w:val="nil"/>
              <w:left w:val="nil"/>
              <w:right w:val="nil"/>
            </w:tcBorders>
            <w:vAlign w:val="center"/>
          </w:tcPr>
          <w:p>
            <w:pPr>
              <w:jc w:val="center"/>
              <w:rPr>
                <w:noProof/>
              </w:rPr>
            </w:pPr>
          </w:p>
        </w:tc>
        <w:tc>
          <w:tcPr>
            <w:tcW w:w="1560" w:type="dxa"/>
            <w:tcBorders>
              <w:top w:val="nil"/>
              <w:left w:val="nil"/>
              <w:right w:val="nil"/>
            </w:tcBorders>
          </w:tcPr>
          <w:p>
            <w:pPr>
              <w:rPr>
                <w:noProof/>
                <w:sz w:val="20"/>
              </w:rPr>
            </w:pPr>
          </w:p>
        </w:tc>
        <w:tc>
          <w:tcPr>
            <w:tcW w:w="534" w:type="dxa"/>
            <w:tcBorders>
              <w:top w:val="nil"/>
              <w:left w:val="nil"/>
            </w:tcBorders>
          </w:tcPr>
          <w:p>
            <w:pPr>
              <w:jc w:val="center"/>
              <w:rPr>
                <w:noProof/>
                <w:sz w:val="20"/>
              </w:rPr>
            </w:pPr>
          </w:p>
        </w:tc>
        <w:tc>
          <w:tcPr>
            <w:tcW w:w="868" w:type="dxa"/>
            <w:vAlign w:val="center"/>
          </w:tcPr>
          <w:p>
            <w:pPr>
              <w:jc w:val="center"/>
              <w:rPr>
                <w:noProof/>
                <w:sz w:val="20"/>
              </w:rPr>
            </w:pPr>
            <w:r>
              <w:rPr>
                <w:noProof/>
                <w:sz w:val="20"/>
              </w:rPr>
              <w:t>Année</w:t>
            </w:r>
            <w:r>
              <w:rPr>
                <w:noProof/>
                <w:sz w:val="22"/>
              </w:rPr>
              <w:br/>
            </w:r>
            <w:r>
              <w:rPr>
                <w:b/>
                <w:noProof/>
                <w:sz w:val="20"/>
              </w:rPr>
              <w:t>N</w:t>
            </w:r>
          </w:p>
        </w:tc>
        <w:tc>
          <w:tcPr>
            <w:tcW w:w="868" w:type="dxa"/>
            <w:vAlign w:val="center"/>
          </w:tcPr>
          <w:p>
            <w:pPr>
              <w:jc w:val="center"/>
              <w:rPr>
                <w:noProof/>
                <w:sz w:val="20"/>
              </w:rPr>
            </w:pPr>
            <w:r>
              <w:rPr>
                <w:noProof/>
                <w:sz w:val="18"/>
              </w:rPr>
              <w:t>Année</w:t>
            </w:r>
            <w:r>
              <w:rPr>
                <w:noProof/>
                <w:sz w:val="22"/>
              </w:rPr>
              <w:br/>
            </w:r>
            <w:r>
              <w:rPr>
                <w:b/>
                <w:noProof/>
                <w:sz w:val="20"/>
              </w:rPr>
              <w:t>N+1</w:t>
            </w:r>
          </w:p>
        </w:tc>
        <w:tc>
          <w:tcPr>
            <w:tcW w:w="868" w:type="dxa"/>
            <w:vAlign w:val="center"/>
          </w:tcPr>
          <w:p>
            <w:pPr>
              <w:jc w:val="center"/>
              <w:rPr>
                <w:noProof/>
                <w:sz w:val="20"/>
              </w:rPr>
            </w:pPr>
            <w:r>
              <w:rPr>
                <w:noProof/>
                <w:sz w:val="20"/>
              </w:rPr>
              <w:t>Année</w:t>
            </w:r>
            <w:r>
              <w:rPr>
                <w:noProof/>
                <w:sz w:val="22"/>
              </w:rPr>
              <w:br/>
            </w:r>
            <w:r>
              <w:rPr>
                <w:b/>
                <w:noProof/>
                <w:sz w:val="20"/>
              </w:rPr>
              <w:t>N+2</w:t>
            </w:r>
          </w:p>
        </w:tc>
        <w:tc>
          <w:tcPr>
            <w:tcW w:w="868" w:type="dxa"/>
            <w:vAlign w:val="center"/>
          </w:tcPr>
          <w:p>
            <w:pPr>
              <w:jc w:val="center"/>
              <w:rPr>
                <w:noProof/>
                <w:sz w:val="20"/>
              </w:rPr>
            </w:pPr>
            <w:r>
              <w:rPr>
                <w:noProof/>
                <w:sz w:val="20"/>
              </w:rPr>
              <w:t>Année</w:t>
            </w:r>
            <w:r>
              <w:rPr>
                <w:noProof/>
                <w:sz w:val="22"/>
              </w:rPr>
              <w:br/>
            </w:r>
            <w:r>
              <w:rPr>
                <w:b/>
                <w:noProof/>
                <w:sz w:val="20"/>
              </w:rPr>
              <w:t>N+3</w:t>
            </w:r>
          </w:p>
        </w:tc>
        <w:tc>
          <w:tcPr>
            <w:tcW w:w="2604" w:type="dxa"/>
            <w:gridSpan w:val="3"/>
            <w:vAlign w:val="center"/>
          </w:tcPr>
          <w:p>
            <w:pPr>
              <w:jc w:val="center"/>
              <w:rPr>
                <w:b/>
                <w:noProof/>
                <w:sz w:val="18"/>
              </w:rPr>
            </w:pPr>
            <w:r>
              <w:rPr>
                <w:noProof/>
                <w:sz w:val="18"/>
              </w:rPr>
              <w:t xml:space="preserve">Insérer autant d'années que nécessaire, pour refléter la durée de l’incidence (cf. point 1.6) </w:t>
            </w:r>
          </w:p>
        </w:tc>
        <w:tc>
          <w:tcPr>
            <w:tcW w:w="1777" w:type="dxa"/>
            <w:vAlign w:val="center"/>
          </w:tcPr>
          <w:p>
            <w:pPr>
              <w:jc w:val="center"/>
              <w:rPr>
                <w:b/>
                <w:noProof/>
                <w:sz w:val="20"/>
              </w:rPr>
            </w:pPr>
            <w:r>
              <w:rPr>
                <w:b/>
                <w:noProof/>
                <w:sz w:val="20"/>
              </w:rPr>
              <w:t>TOTAL</w:t>
            </w:r>
          </w:p>
        </w:tc>
      </w:tr>
      <w:tr>
        <w:trPr>
          <w:gridAfter w:val="10"/>
          <w:wAfter w:w="9947" w:type="dxa"/>
        </w:trPr>
        <w:tc>
          <w:tcPr>
            <w:tcW w:w="3960" w:type="dxa"/>
            <w:vAlign w:val="center"/>
          </w:tcPr>
          <w:p>
            <w:pPr>
              <w:spacing w:before="60" w:after="60"/>
              <w:jc w:val="center"/>
              <w:rPr>
                <w:noProof/>
              </w:rPr>
            </w:pPr>
            <w:r>
              <w:rPr>
                <w:noProof/>
                <w:sz w:val="22"/>
              </w:rPr>
              <w:t>DG: SG (et éventuellement SJ, …)</w:t>
            </w:r>
          </w:p>
        </w:tc>
      </w:tr>
      <w:tr>
        <w:trPr>
          <w:trHeight w:val="313"/>
        </w:trPr>
        <w:tc>
          <w:tcPr>
            <w:tcW w:w="6054" w:type="dxa"/>
            <w:gridSpan w:val="3"/>
            <w:vAlign w:val="center"/>
          </w:tcPr>
          <w:p>
            <w:pPr>
              <w:spacing w:before="20" w:after="20"/>
              <w:rPr>
                <w:noProof/>
              </w:rPr>
            </w:pPr>
            <w:r>
              <w:rPr>
                <w:noProof/>
                <w:sz w:val="22"/>
              </w:rPr>
              <w:sym w:font="Wingdings" w:char="F09F"/>
            </w:r>
            <w:r>
              <w:rPr>
                <w:noProof/>
                <w:sz w:val="22"/>
              </w:rPr>
              <w:t xml:space="preserve"> Ressources humaines </w:t>
            </w:r>
          </w:p>
        </w:tc>
        <w:tc>
          <w:tcPr>
            <w:tcW w:w="868" w:type="dxa"/>
            <w:vAlign w:val="center"/>
          </w:tcPr>
          <w:p>
            <w:pPr>
              <w:spacing w:before="20" w:after="20"/>
              <w:jc w:val="right"/>
              <w:rPr>
                <w:noProof/>
                <w:sz w:val="18"/>
                <w:szCs w:val="18"/>
              </w:rPr>
            </w:pPr>
            <w:r>
              <w:rPr>
                <w:noProof/>
                <w:sz w:val="18"/>
              </w:rPr>
              <w:t>286 000</w:t>
            </w:r>
          </w:p>
        </w:tc>
        <w:tc>
          <w:tcPr>
            <w:tcW w:w="868" w:type="dxa"/>
            <w:vAlign w:val="center"/>
          </w:tcPr>
          <w:p>
            <w:pPr>
              <w:spacing w:before="20" w:after="20"/>
              <w:jc w:val="right"/>
              <w:rPr>
                <w:noProof/>
                <w:sz w:val="18"/>
                <w:szCs w:val="18"/>
              </w:rPr>
            </w:pPr>
            <w:r>
              <w:rPr>
                <w:noProof/>
                <w:sz w:val="18"/>
              </w:rPr>
              <w:t>286 000</w:t>
            </w:r>
          </w:p>
        </w:tc>
        <w:tc>
          <w:tcPr>
            <w:tcW w:w="868" w:type="dxa"/>
            <w:vAlign w:val="center"/>
          </w:tcPr>
          <w:p>
            <w:pPr>
              <w:spacing w:before="20" w:after="20"/>
              <w:jc w:val="right"/>
              <w:rPr>
                <w:noProof/>
                <w:sz w:val="18"/>
                <w:szCs w:val="18"/>
              </w:rPr>
            </w:pPr>
            <w:r>
              <w:rPr>
                <w:noProof/>
                <w:sz w:val="18"/>
              </w:rPr>
              <w:t>286 000</w:t>
            </w:r>
          </w:p>
        </w:tc>
        <w:tc>
          <w:tcPr>
            <w:tcW w:w="868" w:type="dxa"/>
            <w:vAlign w:val="center"/>
          </w:tcPr>
          <w:p>
            <w:pPr>
              <w:spacing w:before="20" w:after="20"/>
              <w:jc w:val="right"/>
              <w:rPr>
                <w:noProof/>
                <w:sz w:val="18"/>
                <w:szCs w:val="18"/>
              </w:rPr>
            </w:pPr>
            <w:r>
              <w:rPr>
                <w:noProof/>
                <w:sz w:val="18"/>
              </w:rPr>
              <w:t>286 000</w:t>
            </w: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b/>
                <w:noProof/>
                <w:sz w:val="20"/>
              </w:rPr>
            </w:pPr>
          </w:p>
        </w:tc>
        <w:tc>
          <w:tcPr>
            <w:tcW w:w="1777" w:type="dxa"/>
            <w:vAlign w:val="center"/>
          </w:tcPr>
          <w:p>
            <w:pPr>
              <w:spacing w:before="20" w:after="20"/>
              <w:jc w:val="right"/>
              <w:rPr>
                <w:b/>
                <w:noProof/>
                <w:sz w:val="20"/>
              </w:rPr>
            </w:pPr>
          </w:p>
        </w:tc>
      </w:tr>
      <w:tr>
        <w:trPr>
          <w:trHeight w:val="351"/>
        </w:trPr>
        <w:tc>
          <w:tcPr>
            <w:tcW w:w="6054" w:type="dxa"/>
            <w:gridSpan w:val="3"/>
            <w:vAlign w:val="center"/>
          </w:tcPr>
          <w:p>
            <w:pPr>
              <w:spacing w:before="20" w:after="20"/>
              <w:rPr>
                <w:noProof/>
              </w:rPr>
            </w:pPr>
            <w:r>
              <w:rPr>
                <w:noProof/>
                <w:sz w:val="22"/>
              </w:rPr>
              <w:sym w:font="Wingdings" w:char="F09F"/>
            </w:r>
            <w:r>
              <w:rPr>
                <w:noProof/>
                <w:sz w:val="22"/>
              </w:rPr>
              <w:t xml:space="preserve"> Autres dépenses administratives </w:t>
            </w:r>
          </w:p>
        </w:tc>
        <w:tc>
          <w:tcPr>
            <w:tcW w:w="868" w:type="dxa"/>
            <w:vAlign w:val="center"/>
          </w:tcPr>
          <w:p>
            <w:pPr>
              <w:spacing w:before="20" w:after="20"/>
              <w:jc w:val="right"/>
              <w:rPr>
                <w:noProof/>
                <w:sz w:val="18"/>
                <w:szCs w:val="18"/>
              </w:rPr>
            </w:pPr>
            <w:r>
              <w:rPr>
                <w:noProof/>
                <w:sz w:val="18"/>
              </w:rPr>
              <w:t>2 000</w:t>
            </w:r>
          </w:p>
        </w:tc>
        <w:tc>
          <w:tcPr>
            <w:tcW w:w="868" w:type="dxa"/>
            <w:vAlign w:val="center"/>
          </w:tcPr>
          <w:p>
            <w:pPr>
              <w:spacing w:before="20" w:after="20"/>
              <w:jc w:val="right"/>
              <w:rPr>
                <w:noProof/>
                <w:sz w:val="18"/>
                <w:szCs w:val="18"/>
              </w:rPr>
            </w:pPr>
            <w:r>
              <w:rPr>
                <w:noProof/>
                <w:sz w:val="18"/>
              </w:rPr>
              <w:t>2 000</w:t>
            </w:r>
          </w:p>
        </w:tc>
        <w:tc>
          <w:tcPr>
            <w:tcW w:w="868" w:type="dxa"/>
            <w:vAlign w:val="center"/>
          </w:tcPr>
          <w:p>
            <w:pPr>
              <w:spacing w:before="20" w:after="20"/>
              <w:jc w:val="right"/>
              <w:rPr>
                <w:noProof/>
                <w:sz w:val="18"/>
                <w:szCs w:val="18"/>
              </w:rPr>
            </w:pPr>
            <w:r>
              <w:rPr>
                <w:noProof/>
                <w:sz w:val="18"/>
              </w:rPr>
              <w:t>2 000</w:t>
            </w:r>
          </w:p>
        </w:tc>
        <w:tc>
          <w:tcPr>
            <w:tcW w:w="868" w:type="dxa"/>
            <w:vAlign w:val="center"/>
          </w:tcPr>
          <w:p>
            <w:pPr>
              <w:spacing w:before="20" w:after="20"/>
              <w:jc w:val="right"/>
              <w:rPr>
                <w:noProof/>
                <w:sz w:val="18"/>
                <w:szCs w:val="18"/>
              </w:rPr>
            </w:pPr>
            <w:r>
              <w:rPr>
                <w:noProof/>
                <w:sz w:val="18"/>
              </w:rPr>
              <w:t>2 000</w:t>
            </w:r>
          </w:p>
        </w:tc>
        <w:tc>
          <w:tcPr>
            <w:tcW w:w="868" w:type="dxa"/>
            <w:vAlign w:val="center"/>
          </w:tcPr>
          <w:p>
            <w:pPr>
              <w:spacing w:before="20" w:after="20"/>
              <w:jc w:val="right"/>
              <w:rPr>
                <w:b/>
                <w:noProof/>
                <w:sz w:val="20"/>
              </w:rPr>
            </w:pPr>
          </w:p>
        </w:tc>
        <w:tc>
          <w:tcPr>
            <w:tcW w:w="868" w:type="dxa"/>
            <w:vAlign w:val="center"/>
          </w:tcPr>
          <w:p>
            <w:pPr>
              <w:spacing w:before="20" w:after="20"/>
              <w:jc w:val="right"/>
              <w:rPr>
                <w:b/>
                <w:noProof/>
                <w:sz w:val="20"/>
              </w:rPr>
            </w:pPr>
          </w:p>
        </w:tc>
        <w:tc>
          <w:tcPr>
            <w:tcW w:w="868" w:type="dxa"/>
            <w:vAlign w:val="center"/>
          </w:tcPr>
          <w:p>
            <w:pPr>
              <w:spacing w:before="20" w:after="20"/>
              <w:jc w:val="right"/>
              <w:rPr>
                <w:b/>
                <w:noProof/>
                <w:sz w:val="20"/>
              </w:rPr>
            </w:pPr>
          </w:p>
        </w:tc>
        <w:tc>
          <w:tcPr>
            <w:tcW w:w="1777" w:type="dxa"/>
            <w:vAlign w:val="center"/>
          </w:tcPr>
          <w:p>
            <w:pPr>
              <w:spacing w:before="20" w:after="20"/>
              <w:jc w:val="right"/>
              <w:rPr>
                <w:b/>
                <w:noProof/>
                <w:sz w:val="20"/>
              </w:rPr>
            </w:pPr>
          </w:p>
        </w:tc>
      </w:tr>
      <w:tr>
        <w:tc>
          <w:tcPr>
            <w:tcW w:w="3960" w:type="dxa"/>
            <w:vAlign w:val="center"/>
          </w:tcPr>
          <w:p>
            <w:pPr>
              <w:jc w:val="center"/>
              <w:rPr>
                <w:b/>
                <w:noProof/>
              </w:rPr>
            </w:pPr>
            <w:r>
              <w:rPr>
                <w:b/>
                <w:noProof/>
                <w:sz w:val="22"/>
              </w:rPr>
              <w:t>TOTAL DG</w:t>
            </w:r>
          </w:p>
        </w:tc>
        <w:tc>
          <w:tcPr>
            <w:tcW w:w="2094" w:type="dxa"/>
            <w:gridSpan w:val="2"/>
            <w:vAlign w:val="center"/>
          </w:tcPr>
          <w:p>
            <w:pPr>
              <w:spacing w:before="60" w:after="60"/>
              <w:jc w:val="left"/>
              <w:rPr>
                <w:noProof/>
                <w:sz w:val="18"/>
                <w:szCs w:val="18"/>
              </w:rPr>
            </w:pPr>
            <w:r>
              <w:rPr>
                <w:noProof/>
                <w:sz w:val="18"/>
              </w:rPr>
              <w:t>Crédits</w:t>
            </w:r>
          </w:p>
        </w:tc>
        <w:tc>
          <w:tcPr>
            <w:tcW w:w="868" w:type="dxa"/>
            <w:vAlign w:val="center"/>
          </w:tcPr>
          <w:p>
            <w:pPr>
              <w:spacing w:before="60" w:after="60"/>
              <w:jc w:val="right"/>
              <w:rPr>
                <w:noProof/>
                <w:sz w:val="18"/>
                <w:szCs w:val="18"/>
              </w:rPr>
            </w:pPr>
            <w:r>
              <w:rPr>
                <w:noProof/>
                <w:sz w:val="18"/>
              </w:rPr>
              <w:t>288 000</w:t>
            </w:r>
          </w:p>
        </w:tc>
        <w:tc>
          <w:tcPr>
            <w:tcW w:w="868" w:type="dxa"/>
            <w:vAlign w:val="center"/>
          </w:tcPr>
          <w:p>
            <w:pPr>
              <w:spacing w:before="20" w:after="20"/>
              <w:jc w:val="right"/>
              <w:rPr>
                <w:noProof/>
                <w:sz w:val="18"/>
                <w:szCs w:val="18"/>
              </w:rPr>
            </w:pPr>
            <w:r>
              <w:rPr>
                <w:noProof/>
                <w:sz w:val="18"/>
              </w:rPr>
              <w:t>288 000</w:t>
            </w:r>
          </w:p>
        </w:tc>
        <w:tc>
          <w:tcPr>
            <w:tcW w:w="868" w:type="dxa"/>
            <w:vAlign w:val="center"/>
          </w:tcPr>
          <w:p>
            <w:pPr>
              <w:spacing w:before="20" w:after="20"/>
              <w:jc w:val="right"/>
              <w:rPr>
                <w:noProof/>
                <w:sz w:val="18"/>
                <w:szCs w:val="18"/>
              </w:rPr>
            </w:pPr>
            <w:r>
              <w:rPr>
                <w:noProof/>
                <w:sz w:val="18"/>
              </w:rPr>
              <w:t>288 000</w:t>
            </w:r>
          </w:p>
        </w:tc>
        <w:tc>
          <w:tcPr>
            <w:tcW w:w="868" w:type="dxa"/>
            <w:vAlign w:val="center"/>
          </w:tcPr>
          <w:p>
            <w:pPr>
              <w:spacing w:before="20" w:after="20"/>
              <w:jc w:val="right"/>
              <w:rPr>
                <w:noProof/>
                <w:sz w:val="18"/>
                <w:szCs w:val="18"/>
              </w:rPr>
            </w:pPr>
            <w:r>
              <w:rPr>
                <w:noProof/>
                <w:sz w:val="18"/>
              </w:rPr>
              <w:t>288 000</w:t>
            </w: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b/>
                <w:noProof/>
                <w:sz w:val="20"/>
              </w:rPr>
            </w:pPr>
          </w:p>
        </w:tc>
        <w:tc>
          <w:tcPr>
            <w:tcW w:w="1777" w:type="dxa"/>
            <w:vAlign w:val="center"/>
          </w:tcPr>
          <w:p>
            <w:pPr>
              <w:spacing w:before="20" w:after="20"/>
              <w:jc w:val="right"/>
              <w:rPr>
                <w:b/>
                <w:noProof/>
                <w:sz w:val="20"/>
              </w:rPr>
            </w:pPr>
          </w:p>
        </w:tc>
      </w:tr>
    </w:tbl>
    <w:p>
      <w:pPr>
        <w:rPr>
          <w:noProof/>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2094"/>
        <w:gridCol w:w="868"/>
        <w:gridCol w:w="868"/>
        <w:gridCol w:w="868"/>
        <w:gridCol w:w="868"/>
        <w:gridCol w:w="868"/>
        <w:gridCol w:w="868"/>
        <w:gridCol w:w="868"/>
        <w:gridCol w:w="1777"/>
      </w:tblGrid>
      <w:tr>
        <w:tc>
          <w:tcPr>
            <w:tcW w:w="3960" w:type="dxa"/>
            <w:shd w:val="thinDiagStripe" w:color="C0C0C0" w:fill="auto"/>
            <w:vAlign w:val="center"/>
          </w:tcPr>
          <w:p>
            <w:pPr>
              <w:jc w:val="center"/>
              <w:rPr>
                <w:b/>
                <w:noProof/>
              </w:rPr>
            </w:pPr>
            <w:r>
              <w:rPr>
                <w:b/>
                <w:noProof/>
                <w:sz w:val="22"/>
              </w:rPr>
              <w:t>TOTAL des crédits</w:t>
            </w:r>
            <w:r>
              <w:rPr>
                <w:noProof/>
                <w:sz w:val="22"/>
              </w:rPr>
              <w:br/>
            </w:r>
            <w:r>
              <w:rPr>
                <w:b/>
                <w:noProof/>
                <w:sz w:val="22"/>
              </w:rPr>
              <w:t>pour la RUBRIQUE 5</w:t>
            </w:r>
            <w:r>
              <w:rPr>
                <w:noProof/>
                <w:sz w:val="22"/>
              </w:rPr>
              <w:br/>
              <w:t>du cadre financier pluriannuel</w:t>
            </w:r>
            <w:r>
              <w:rPr>
                <w:b/>
                <w:noProof/>
                <w:sz w:val="22"/>
              </w:rPr>
              <w:t xml:space="preserve"> </w:t>
            </w:r>
          </w:p>
        </w:tc>
        <w:tc>
          <w:tcPr>
            <w:tcW w:w="2094" w:type="dxa"/>
            <w:vAlign w:val="center"/>
          </w:tcPr>
          <w:p>
            <w:pPr>
              <w:spacing w:before="40" w:after="40"/>
              <w:rPr>
                <w:noProof/>
              </w:rPr>
            </w:pPr>
            <w:r>
              <w:rPr>
                <w:noProof/>
                <w:sz w:val="18"/>
              </w:rPr>
              <w:t>(Total engagements = Total paiements)</w:t>
            </w:r>
          </w:p>
        </w:tc>
        <w:tc>
          <w:tcPr>
            <w:tcW w:w="868" w:type="dxa"/>
            <w:vAlign w:val="center"/>
          </w:tcPr>
          <w:p>
            <w:pPr>
              <w:spacing w:before="60" w:after="60"/>
              <w:jc w:val="right"/>
              <w:rPr>
                <w:noProof/>
                <w:sz w:val="18"/>
                <w:szCs w:val="18"/>
              </w:rPr>
            </w:pPr>
            <w:r>
              <w:rPr>
                <w:noProof/>
                <w:sz w:val="18"/>
              </w:rPr>
              <w:t>288 000</w:t>
            </w:r>
          </w:p>
        </w:tc>
        <w:tc>
          <w:tcPr>
            <w:tcW w:w="868" w:type="dxa"/>
            <w:vAlign w:val="center"/>
          </w:tcPr>
          <w:p>
            <w:pPr>
              <w:spacing w:before="20" w:after="20"/>
              <w:jc w:val="right"/>
              <w:rPr>
                <w:noProof/>
                <w:sz w:val="18"/>
                <w:szCs w:val="18"/>
              </w:rPr>
            </w:pPr>
            <w:r>
              <w:rPr>
                <w:noProof/>
                <w:sz w:val="18"/>
              </w:rPr>
              <w:t>288 000</w:t>
            </w:r>
          </w:p>
        </w:tc>
        <w:tc>
          <w:tcPr>
            <w:tcW w:w="868" w:type="dxa"/>
            <w:vAlign w:val="center"/>
          </w:tcPr>
          <w:p>
            <w:pPr>
              <w:spacing w:before="20" w:after="20"/>
              <w:jc w:val="right"/>
              <w:rPr>
                <w:noProof/>
                <w:sz w:val="18"/>
                <w:szCs w:val="18"/>
              </w:rPr>
            </w:pPr>
            <w:r>
              <w:rPr>
                <w:noProof/>
                <w:sz w:val="18"/>
              </w:rPr>
              <w:t>288 000</w:t>
            </w:r>
          </w:p>
        </w:tc>
        <w:tc>
          <w:tcPr>
            <w:tcW w:w="868" w:type="dxa"/>
            <w:vAlign w:val="center"/>
          </w:tcPr>
          <w:p>
            <w:pPr>
              <w:spacing w:before="20" w:after="20"/>
              <w:jc w:val="right"/>
              <w:rPr>
                <w:noProof/>
                <w:sz w:val="18"/>
                <w:szCs w:val="18"/>
              </w:rPr>
            </w:pPr>
            <w:r>
              <w:rPr>
                <w:noProof/>
                <w:sz w:val="18"/>
              </w:rPr>
              <w:t>288 000</w:t>
            </w: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b/>
                <w:noProof/>
                <w:sz w:val="20"/>
              </w:rPr>
            </w:pPr>
          </w:p>
        </w:tc>
        <w:tc>
          <w:tcPr>
            <w:tcW w:w="1777" w:type="dxa"/>
            <w:vAlign w:val="center"/>
          </w:tcPr>
          <w:p>
            <w:pPr>
              <w:spacing w:before="20" w:after="20"/>
              <w:jc w:val="right"/>
              <w:rPr>
                <w:b/>
                <w:noProof/>
                <w:sz w:val="20"/>
              </w:rPr>
            </w:pPr>
          </w:p>
        </w:tc>
      </w:tr>
    </w:tbl>
    <w:p>
      <w:pPr>
        <w:jc w:val="right"/>
        <w:rPr>
          <w:noProof/>
          <w:sz w:val="20"/>
        </w:rPr>
      </w:pPr>
      <w:r>
        <w:rPr>
          <w:noProof/>
          <w:sz w:val="20"/>
        </w:rPr>
        <w:t>En Mio EUR (à la 3</w:t>
      </w:r>
      <w:r>
        <w:rPr>
          <w:noProof/>
          <w:sz w:val="20"/>
          <w:vertAlign w:val="superscript"/>
        </w:rPr>
        <w:t>e</w:t>
      </w:r>
      <w:r>
        <w:rPr>
          <w:noProof/>
          <w:sz w:val="20"/>
        </w:rPr>
        <w:t xml:space="preserve"> décimale)</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560"/>
        <w:gridCol w:w="534"/>
        <w:gridCol w:w="868"/>
        <w:gridCol w:w="868"/>
        <w:gridCol w:w="868"/>
        <w:gridCol w:w="868"/>
        <w:gridCol w:w="868"/>
        <w:gridCol w:w="868"/>
        <w:gridCol w:w="868"/>
        <w:gridCol w:w="1777"/>
      </w:tblGrid>
      <w:tr>
        <w:tc>
          <w:tcPr>
            <w:tcW w:w="3960" w:type="dxa"/>
            <w:tcBorders>
              <w:top w:val="nil"/>
              <w:left w:val="nil"/>
              <w:right w:val="nil"/>
            </w:tcBorders>
            <w:vAlign w:val="center"/>
          </w:tcPr>
          <w:p>
            <w:pPr>
              <w:jc w:val="center"/>
              <w:rPr>
                <w:noProof/>
              </w:rPr>
            </w:pPr>
          </w:p>
        </w:tc>
        <w:tc>
          <w:tcPr>
            <w:tcW w:w="1560" w:type="dxa"/>
            <w:tcBorders>
              <w:top w:val="nil"/>
              <w:left w:val="nil"/>
              <w:right w:val="nil"/>
            </w:tcBorders>
          </w:tcPr>
          <w:p>
            <w:pPr>
              <w:rPr>
                <w:noProof/>
                <w:sz w:val="20"/>
              </w:rPr>
            </w:pPr>
          </w:p>
        </w:tc>
        <w:tc>
          <w:tcPr>
            <w:tcW w:w="534" w:type="dxa"/>
            <w:tcBorders>
              <w:top w:val="nil"/>
              <w:left w:val="nil"/>
            </w:tcBorders>
          </w:tcPr>
          <w:p>
            <w:pPr>
              <w:jc w:val="center"/>
              <w:rPr>
                <w:noProof/>
                <w:sz w:val="20"/>
              </w:rPr>
            </w:pPr>
          </w:p>
        </w:tc>
        <w:tc>
          <w:tcPr>
            <w:tcW w:w="868" w:type="dxa"/>
            <w:vAlign w:val="center"/>
          </w:tcPr>
          <w:p>
            <w:pPr>
              <w:jc w:val="center"/>
              <w:rPr>
                <w:noProof/>
                <w:sz w:val="20"/>
              </w:rPr>
            </w:pPr>
            <w:r>
              <w:rPr>
                <w:noProof/>
                <w:sz w:val="20"/>
              </w:rPr>
              <w:t>Année</w:t>
            </w:r>
            <w:r>
              <w:rPr>
                <w:noProof/>
                <w:sz w:val="22"/>
              </w:rPr>
              <w:br/>
            </w:r>
            <w:r>
              <w:rPr>
                <w:b/>
                <w:noProof/>
                <w:sz w:val="20"/>
              </w:rPr>
              <w:t>N</w:t>
            </w:r>
            <w:r>
              <w:rPr>
                <w:rStyle w:val="FootnoteReference"/>
                <w:b/>
                <w:noProof/>
                <w:sz w:val="20"/>
              </w:rPr>
              <w:footnoteReference w:id="11"/>
            </w:r>
          </w:p>
        </w:tc>
        <w:tc>
          <w:tcPr>
            <w:tcW w:w="868" w:type="dxa"/>
            <w:vAlign w:val="center"/>
          </w:tcPr>
          <w:p>
            <w:pPr>
              <w:jc w:val="center"/>
              <w:rPr>
                <w:noProof/>
                <w:sz w:val="20"/>
              </w:rPr>
            </w:pPr>
            <w:r>
              <w:rPr>
                <w:noProof/>
                <w:sz w:val="20"/>
              </w:rPr>
              <w:t>Année</w:t>
            </w:r>
            <w:r>
              <w:rPr>
                <w:noProof/>
                <w:sz w:val="22"/>
              </w:rPr>
              <w:br/>
            </w:r>
            <w:r>
              <w:rPr>
                <w:b/>
                <w:noProof/>
                <w:sz w:val="20"/>
              </w:rPr>
              <w:t>N+1</w:t>
            </w:r>
          </w:p>
        </w:tc>
        <w:tc>
          <w:tcPr>
            <w:tcW w:w="868" w:type="dxa"/>
            <w:vAlign w:val="center"/>
          </w:tcPr>
          <w:p>
            <w:pPr>
              <w:jc w:val="center"/>
              <w:rPr>
                <w:noProof/>
                <w:sz w:val="20"/>
              </w:rPr>
            </w:pPr>
            <w:r>
              <w:rPr>
                <w:noProof/>
                <w:sz w:val="20"/>
              </w:rPr>
              <w:t>Année</w:t>
            </w:r>
            <w:r>
              <w:rPr>
                <w:noProof/>
                <w:sz w:val="22"/>
              </w:rPr>
              <w:br/>
            </w:r>
            <w:r>
              <w:rPr>
                <w:b/>
                <w:noProof/>
                <w:sz w:val="20"/>
              </w:rPr>
              <w:t>N+2</w:t>
            </w:r>
          </w:p>
        </w:tc>
        <w:tc>
          <w:tcPr>
            <w:tcW w:w="868" w:type="dxa"/>
            <w:vAlign w:val="center"/>
          </w:tcPr>
          <w:p>
            <w:pPr>
              <w:jc w:val="center"/>
              <w:rPr>
                <w:noProof/>
                <w:sz w:val="20"/>
              </w:rPr>
            </w:pPr>
            <w:r>
              <w:rPr>
                <w:noProof/>
                <w:sz w:val="20"/>
              </w:rPr>
              <w:t>Année</w:t>
            </w:r>
            <w:r>
              <w:rPr>
                <w:noProof/>
                <w:sz w:val="22"/>
              </w:rPr>
              <w:br/>
            </w:r>
            <w:r>
              <w:rPr>
                <w:b/>
                <w:noProof/>
                <w:sz w:val="20"/>
              </w:rPr>
              <w:t>N+3</w:t>
            </w:r>
          </w:p>
        </w:tc>
        <w:tc>
          <w:tcPr>
            <w:tcW w:w="2604" w:type="dxa"/>
            <w:gridSpan w:val="3"/>
            <w:vAlign w:val="center"/>
          </w:tcPr>
          <w:p>
            <w:pPr>
              <w:jc w:val="center"/>
              <w:rPr>
                <w:b/>
                <w:noProof/>
                <w:sz w:val="18"/>
              </w:rPr>
            </w:pPr>
            <w:r>
              <w:rPr>
                <w:noProof/>
                <w:sz w:val="18"/>
              </w:rPr>
              <w:t>Insérer autant d'années que nécessaire, pour refléter la durée de l’incidence (cf. point 1.6)</w:t>
            </w:r>
          </w:p>
        </w:tc>
        <w:tc>
          <w:tcPr>
            <w:tcW w:w="1777" w:type="dxa"/>
            <w:vAlign w:val="center"/>
          </w:tcPr>
          <w:p>
            <w:pPr>
              <w:jc w:val="center"/>
              <w:rPr>
                <w:b/>
                <w:noProof/>
                <w:sz w:val="20"/>
              </w:rPr>
            </w:pPr>
            <w:r>
              <w:rPr>
                <w:b/>
                <w:noProof/>
                <w:sz w:val="20"/>
              </w:rPr>
              <w:t>TOTAL</w:t>
            </w:r>
          </w:p>
        </w:tc>
      </w:tr>
      <w:tr>
        <w:tc>
          <w:tcPr>
            <w:tcW w:w="3960" w:type="dxa"/>
            <w:vMerge w:val="restart"/>
            <w:shd w:val="clear" w:color="auto" w:fill="C0C0C0"/>
            <w:vAlign w:val="center"/>
          </w:tcPr>
          <w:p>
            <w:pPr>
              <w:jc w:val="center"/>
              <w:rPr>
                <w:b/>
                <w:noProof/>
              </w:rPr>
            </w:pPr>
            <w:r>
              <w:rPr>
                <w:b/>
                <w:noProof/>
                <w:sz w:val="22"/>
              </w:rPr>
              <w:t>TOTAL des crédits</w:t>
            </w:r>
            <w:r>
              <w:rPr>
                <w:noProof/>
                <w:sz w:val="22"/>
              </w:rPr>
              <w:br/>
            </w:r>
            <w:r>
              <w:rPr>
                <w:b/>
                <w:noProof/>
                <w:sz w:val="22"/>
              </w:rPr>
              <w:t>pour les RUBRIQUES 1 à 5</w:t>
            </w:r>
            <w:r>
              <w:rPr>
                <w:noProof/>
                <w:sz w:val="22"/>
              </w:rPr>
              <w:br/>
              <w:t>du cadre financier pluriannuel</w:t>
            </w:r>
            <w:r>
              <w:rPr>
                <w:b/>
                <w:noProof/>
                <w:sz w:val="22"/>
              </w:rPr>
              <w:t xml:space="preserve"> </w:t>
            </w:r>
          </w:p>
        </w:tc>
        <w:tc>
          <w:tcPr>
            <w:tcW w:w="2094" w:type="dxa"/>
            <w:gridSpan w:val="2"/>
            <w:vAlign w:val="center"/>
          </w:tcPr>
          <w:p>
            <w:pPr>
              <w:rPr>
                <w:noProof/>
                <w:sz w:val="14"/>
              </w:rPr>
            </w:pPr>
            <w:r>
              <w:rPr>
                <w:noProof/>
                <w:sz w:val="18"/>
              </w:rPr>
              <w:t>Engagements</w:t>
            </w:r>
          </w:p>
        </w:tc>
        <w:tc>
          <w:tcPr>
            <w:tcW w:w="868" w:type="dxa"/>
            <w:vAlign w:val="center"/>
          </w:tcPr>
          <w:p>
            <w:pPr>
              <w:spacing w:before="60" w:after="60"/>
              <w:jc w:val="right"/>
              <w:rPr>
                <w:noProof/>
                <w:sz w:val="20"/>
              </w:rPr>
            </w:pPr>
            <w:r>
              <w:rPr>
                <w:noProof/>
                <w:sz w:val="18"/>
              </w:rPr>
              <w:t>288 000</w:t>
            </w:r>
          </w:p>
        </w:tc>
        <w:tc>
          <w:tcPr>
            <w:tcW w:w="868" w:type="dxa"/>
            <w:vAlign w:val="center"/>
          </w:tcPr>
          <w:p>
            <w:pPr>
              <w:spacing w:before="60" w:after="60"/>
              <w:jc w:val="right"/>
              <w:rPr>
                <w:noProof/>
                <w:sz w:val="20"/>
              </w:rPr>
            </w:pPr>
            <w:r>
              <w:rPr>
                <w:noProof/>
                <w:sz w:val="18"/>
              </w:rPr>
              <w:t>288 000</w:t>
            </w:r>
          </w:p>
        </w:tc>
        <w:tc>
          <w:tcPr>
            <w:tcW w:w="868" w:type="dxa"/>
            <w:vAlign w:val="center"/>
          </w:tcPr>
          <w:p>
            <w:pPr>
              <w:spacing w:before="60" w:after="60"/>
              <w:jc w:val="right"/>
              <w:rPr>
                <w:noProof/>
                <w:sz w:val="20"/>
              </w:rPr>
            </w:pPr>
            <w:r>
              <w:rPr>
                <w:noProof/>
                <w:sz w:val="18"/>
              </w:rPr>
              <w:t>288 000</w:t>
            </w:r>
          </w:p>
        </w:tc>
        <w:tc>
          <w:tcPr>
            <w:tcW w:w="868" w:type="dxa"/>
            <w:vAlign w:val="center"/>
          </w:tcPr>
          <w:p>
            <w:pPr>
              <w:spacing w:before="60" w:after="60"/>
              <w:jc w:val="right"/>
              <w:rPr>
                <w:noProof/>
                <w:sz w:val="20"/>
              </w:rPr>
            </w:pPr>
            <w:r>
              <w:rPr>
                <w:noProof/>
                <w:sz w:val="18"/>
              </w:rPr>
              <w:t>288 000</w:t>
            </w:r>
          </w:p>
        </w:tc>
        <w:tc>
          <w:tcPr>
            <w:tcW w:w="868" w:type="dxa"/>
            <w:vAlign w:val="center"/>
          </w:tcPr>
          <w:p>
            <w:pPr>
              <w:spacing w:before="60" w:after="60"/>
              <w:jc w:val="right"/>
              <w:rPr>
                <w:noProof/>
                <w:sz w:val="20"/>
              </w:rPr>
            </w:pPr>
          </w:p>
        </w:tc>
        <w:tc>
          <w:tcPr>
            <w:tcW w:w="868" w:type="dxa"/>
            <w:vAlign w:val="center"/>
          </w:tcPr>
          <w:p>
            <w:pPr>
              <w:spacing w:before="60" w:after="60"/>
              <w:jc w:val="right"/>
              <w:rPr>
                <w:noProof/>
                <w:sz w:val="20"/>
              </w:rPr>
            </w:pPr>
          </w:p>
        </w:tc>
        <w:tc>
          <w:tcPr>
            <w:tcW w:w="868" w:type="dxa"/>
            <w:vAlign w:val="center"/>
          </w:tcPr>
          <w:p>
            <w:pPr>
              <w:spacing w:before="60" w:after="60"/>
              <w:jc w:val="right"/>
              <w:rPr>
                <w:b/>
                <w:noProof/>
                <w:sz w:val="20"/>
              </w:rPr>
            </w:pPr>
          </w:p>
        </w:tc>
        <w:tc>
          <w:tcPr>
            <w:tcW w:w="1777" w:type="dxa"/>
            <w:vAlign w:val="center"/>
          </w:tcPr>
          <w:p>
            <w:pPr>
              <w:spacing w:before="60" w:after="60"/>
              <w:jc w:val="right"/>
              <w:rPr>
                <w:b/>
                <w:noProof/>
                <w:sz w:val="20"/>
              </w:rPr>
            </w:pPr>
          </w:p>
        </w:tc>
      </w:tr>
      <w:tr>
        <w:tc>
          <w:tcPr>
            <w:tcW w:w="3960" w:type="dxa"/>
            <w:vMerge/>
            <w:shd w:val="clear" w:color="auto" w:fill="C0C0C0"/>
          </w:tcPr>
          <w:p>
            <w:pPr>
              <w:rPr>
                <w:noProof/>
                <w:sz w:val="20"/>
              </w:rPr>
            </w:pPr>
          </w:p>
        </w:tc>
        <w:tc>
          <w:tcPr>
            <w:tcW w:w="2094" w:type="dxa"/>
            <w:gridSpan w:val="2"/>
            <w:vAlign w:val="center"/>
          </w:tcPr>
          <w:p>
            <w:pPr>
              <w:rPr>
                <w:noProof/>
                <w:sz w:val="14"/>
              </w:rPr>
            </w:pPr>
            <w:r>
              <w:rPr>
                <w:noProof/>
                <w:sz w:val="18"/>
              </w:rPr>
              <w:t>Paiements</w:t>
            </w:r>
          </w:p>
        </w:tc>
        <w:tc>
          <w:tcPr>
            <w:tcW w:w="868" w:type="dxa"/>
            <w:vAlign w:val="center"/>
          </w:tcPr>
          <w:p>
            <w:pPr>
              <w:spacing w:before="60" w:after="60"/>
              <w:jc w:val="right"/>
              <w:rPr>
                <w:noProof/>
                <w:sz w:val="20"/>
              </w:rPr>
            </w:pPr>
            <w:r>
              <w:rPr>
                <w:noProof/>
                <w:sz w:val="18"/>
              </w:rPr>
              <w:t>288 000</w:t>
            </w:r>
          </w:p>
        </w:tc>
        <w:tc>
          <w:tcPr>
            <w:tcW w:w="868" w:type="dxa"/>
            <w:vAlign w:val="center"/>
          </w:tcPr>
          <w:p>
            <w:pPr>
              <w:spacing w:before="60" w:after="60"/>
              <w:jc w:val="right"/>
              <w:rPr>
                <w:noProof/>
                <w:sz w:val="20"/>
              </w:rPr>
            </w:pPr>
            <w:r>
              <w:rPr>
                <w:noProof/>
                <w:sz w:val="18"/>
              </w:rPr>
              <w:t>288 000</w:t>
            </w:r>
          </w:p>
        </w:tc>
        <w:tc>
          <w:tcPr>
            <w:tcW w:w="868" w:type="dxa"/>
            <w:vAlign w:val="center"/>
          </w:tcPr>
          <w:p>
            <w:pPr>
              <w:spacing w:before="60" w:after="60"/>
              <w:jc w:val="right"/>
              <w:rPr>
                <w:noProof/>
                <w:sz w:val="20"/>
              </w:rPr>
            </w:pPr>
            <w:r>
              <w:rPr>
                <w:noProof/>
                <w:sz w:val="18"/>
              </w:rPr>
              <w:t>288 000</w:t>
            </w:r>
          </w:p>
        </w:tc>
        <w:tc>
          <w:tcPr>
            <w:tcW w:w="868" w:type="dxa"/>
            <w:vAlign w:val="center"/>
          </w:tcPr>
          <w:p>
            <w:pPr>
              <w:spacing w:before="60" w:after="60"/>
              <w:jc w:val="right"/>
              <w:rPr>
                <w:noProof/>
                <w:sz w:val="20"/>
              </w:rPr>
            </w:pPr>
            <w:r>
              <w:rPr>
                <w:noProof/>
                <w:sz w:val="18"/>
              </w:rPr>
              <w:t>288 000</w:t>
            </w:r>
          </w:p>
        </w:tc>
        <w:tc>
          <w:tcPr>
            <w:tcW w:w="868" w:type="dxa"/>
            <w:vAlign w:val="center"/>
          </w:tcPr>
          <w:p>
            <w:pPr>
              <w:spacing w:before="60" w:after="60"/>
              <w:jc w:val="right"/>
              <w:rPr>
                <w:noProof/>
                <w:sz w:val="20"/>
              </w:rPr>
            </w:pPr>
          </w:p>
        </w:tc>
        <w:tc>
          <w:tcPr>
            <w:tcW w:w="868" w:type="dxa"/>
            <w:vAlign w:val="center"/>
          </w:tcPr>
          <w:p>
            <w:pPr>
              <w:spacing w:before="60" w:after="60"/>
              <w:jc w:val="right"/>
              <w:rPr>
                <w:noProof/>
                <w:sz w:val="20"/>
              </w:rPr>
            </w:pPr>
          </w:p>
        </w:tc>
        <w:tc>
          <w:tcPr>
            <w:tcW w:w="868" w:type="dxa"/>
            <w:vAlign w:val="center"/>
          </w:tcPr>
          <w:p>
            <w:pPr>
              <w:spacing w:before="60" w:after="60"/>
              <w:jc w:val="right"/>
              <w:rPr>
                <w:b/>
                <w:noProof/>
                <w:sz w:val="20"/>
              </w:rPr>
            </w:pPr>
          </w:p>
        </w:tc>
        <w:tc>
          <w:tcPr>
            <w:tcW w:w="1777" w:type="dxa"/>
            <w:vAlign w:val="center"/>
          </w:tcPr>
          <w:p>
            <w:pPr>
              <w:spacing w:before="60" w:after="60"/>
              <w:jc w:val="right"/>
              <w:rPr>
                <w:b/>
                <w:noProof/>
                <w:sz w:val="20"/>
              </w:rPr>
            </w:pPr>
          </w:p>
        </w:tc>
      </w:tr>
    </w:tbl>
    <w:p>
      <w:pPr>
        <w:rPr>
          <w:noProof/>
        </w:rPr>
      </w:pPr>
    </w:p>
    <w:p>
      <w:pPr>
        <w:pStyle w:val="ManualHeading3"/>
        <w:rPr>
          <w:bCs/>
          <w:noProof/>
          <w:szCs w:val="24"/>
        </w:rPr>
      </w:pPr>
      <w:bookmarkStart w:id="57" w:name="_Toc514938054"/>
      <w:bookmarkStart w:id="58" w:name="_Toc520485053"/>
      <w:r>
        <w:t>3.2.2.</w:t>
      </w:r>
      <w:r>
        <w:tab/>
      </w:r>
      <w:r>
        <w:rPr>
          <w:noProof/>
        </w:rPr>
        <w:t>Estimation des réalisations financées avec des crédits opérationnels</w:t>
      </w:r>
      <w:bookmarkEnd w:id="57"/>
      <w:bookmarkEnd w:id="58"/>
      <w:r>
        <w:rPr>
          <w:noProof/>
        </w:rPr>
        <w:t xml:space="preserve"> </w:t>
      </w:r>
    </w:p>
    <w:p>
      <w:pPr>
        <w:jc w:val="right"/>
        <w:rPr>
          <w:noProof/>
          <w:sz w:val="20"/>
        </w:rPr>
      </w:pPr>
      <w:r>
        <w:rPr>
          <w:noProof/>
          <w:sz w:val="20"/>
        </w:rPr>
        <w:t>Crédits d’engagement en Mio EUR (à la 3</w:t>
      </w:r>
      <w:r>
        <w:rPr>
          <w:noProof/>
          <w:sz w:val="20"/>
          <w:vertAlign w:val="superscript"/>
        </w:rPr>
        <w:t>e</w:t>
      </w:r>
      <w:r>
        <w:rPr>
          <w:noProof/>
          <w:sz w:val="20"/>
        </w:rPr>
        <w:t> décimale)</w:t>
      </w:r>
    </w:p>
    <w:tbl>
      <w:tblPr>
        <w:tblW w:w="136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23"/>
        <w:gridCol w:w="720"/>
        <w:gridCol w:w="701"/>
        <w:gridCol w:w="504"/>
        <w:gridCol w:w="720"/>
        <w:gridCol w:w="540"/>
        <w:gridCol w:w="720"/>
        <w:gridCol w:w="720"/>
        <w:gridCol w:w="720"/>
        <w:gridCol w:w="900"/>
        <w:gridCol w:w="51"/>
        <w:gridCol w:w="669"/>
        <w:gridCol w:w="540"/>
        <w:gridCol w:w="648"/>
        <w:gridCol w:w="432"/>
        <w:gridCol w:w="720"/>
        <w:gridCol w:w="540"/>
        <w:gridCol w:w="720"/>
        <w:gridCol w:w="720"/>
        <w:gridCol w:w="900"/>
      </w:tblGrid>
      <w:tr>
        <w:trPr>
          <w:jc w:val="center"/>
        </w:trPr>
        <w:tc>
          <w:tcPr>
            <w:tcW w:w="1423" w:type="dxa"/>
            <w:vMerge w:val="restart"/>
            <w:vAlign w:val="center"/>
          </w:tcPr>
          <w:p>
            <w:pPr>
              <w:ind w:right="-29"/>
              <w:jc w:val="center"/>
              <w:rPr>
                <w:b/>
                <w:noProof/>
                <w:sz w:val="18"/>
                <w:szCs w:val="18"/>
              </w:rPr>
            </w:pPr>
            <w:r>
              <w:rPr>
                <w:b/>
                <w:noProof/>
                <w:sz w:val="18"/>
              </w:rPr>
              <w:t xml:space="preserve">Indiquer les objectifs et les réalisations </w:t>
            </w:r>
          </w:p>
          <w:p>
            <w:pPr>
              <w:ind w:right="-29"/>
              <w:jc w:val="center"/>
              <w:rPr>
                <w:b/>
                <w:noProof/>
                <w:sz w:val="18"/>
                <w:szCs w:val="18"/>
              </w:rPr>
            </w:pPr>
          </w:p>
          <w:p>
            <w:pPr>
              <w:ind w:right="-29"/>
              <w:jc w:val="center"/>
              <w:rPr>
                <w:noProof/>
                <w:sz w:val="18"/>
                <w:szCs w:val="18"/>
              </w:rPr>
            </w:pPr>
            <w:r>
              <w:rPr>
                <w:noProof/>
                <w:sz w:val="18"/>
              </w:rPr>
              <w:sym w:font="Wingdings" w:char="F0F2"/>
            </w:r>
          </w:p>
        </w:tc>
        <w:tc>
          <w:tcPr>
            <w:tcW w:w="720" w:type="dxa"/>
            <w:vAlign w:val="center"/>
          </w:tcPr>
          <w:p>
            <w:pPr>
              <w:ind w:right="-29"/>
              <w:jc w:val="center"/>
              <w:rPr>
                <w:noProof/>
                <w:sz w:val="18"/>
                <w:szCs w:val="18"/>
              </w:rPr>
            </w:pPr>
          </w:p>
        </w:tc>
        <w:tc>
          <w:tcPr>
            <w:tcW w:w="701" w:type="dxa"/>
            <w:vAlign w:val="center"/>
          </w:tcPr>
          <w:p>
            <w:pPr>
              <w:ind w:right="-29"/>
              <w:jc w:val="center"/>
              <w:rPr>
                <w:noProof/>
                <w:sz w:val="18"/>
                <w:szCs w:val="18"/>
              </w:rPr>
            </w:pPr>
          </w:p>
        </w:tc>
        <w:tc>
          <w:tcPr>
            <w:tcW w:w="1224" w:type="dxa"/>
            <w:gridSpan w:val="2"/>
            <w:tcBorders>
              <w:left w:val="nil"/>
            </w:tcBorders>
            <w:vAlign w:val="center"/>
          </w:tcPr>
          <w:p>
            <w:pPr>
              <w:ind w:right="-29"/>
              <w:jc w:val="center"/>
              <w:rPr>
                <w:noProof/>
                <w:sz w:val="18"/>
                <w:szCs w:val="18"/>
              </w:rPr>
            </w:pPr>
            <w:r>
              <w:rPr>
                <w:noProof/>
                <w:sz w:val="18"/>
              </w:rPr>
              <w:t>Année</w:t>
            </w:r>
            <w:r>
              <w:rPr>
                <w:noProof/>
                <w:sz w:val="22"/>
              </w:rPr>
              <w:br/>
            </w:r>
            <w:r>
              <w:rPr>
                <w:b/>
                <w:noProof/>
                <w:sz w:val="18"/>
              </w:rPr>
              <w:t>N</w:t>
            </w:r>
          </w:p>
        </w:tc>
        <w:tc>
          <w:tcPr>
            <w:tcW w:w="1260" w:type="dxa"/>
            <w:gridSpan w:val="2"/>
            <w:vAlign w:val="center"/>
          </w:tcPr>
          <w:p>
            <w:pPr>
              <w:ind w:right="-29"/>
              <w:jc w:val="center"/>
              <w:rPr>
                <w:noProof/>
                <w:sz w:val="18"/>
                <w:szCs w:val="18"/>
              </w:rPr>
            </w:pPr>
            <w:r>
              <w:rPr>
                <w:noProof/>
                <w:sz w:val="18"/>
              </w:rPr>
              <w:t>Année</w:t>
            </w:r>
            <w:r>
              <w:rPr>
                <w:noProof/>
                <w:sz w:val="22"/>
              </w:rPr>
              <w:br/>
            </w:r>
            <w:r>
              <w:rPr>
                <w:b/>
                <w:noProof/>
                <w:sz w:val="18"/>
              </w:rPr>
              <w:t>N+1</w:t>
            </w:r>
          </w:p>
        </w:tc>
        <w:tc>
          <w:tcPr>
            <w:tcW w:w="1440" w:type="dxa"/>
            <w:gridSpan w:val="2"/>
            <w:vAlign w:val="center"/>
          </w:tcPr>
          <w:p>
            <w:pPr>
              <w:ind w:right="-29"/>
              <w:jc w:val="center"/>
              <w:rPr>
                <w:noProof/>
                <w:sz w:val="18"/>
                <w:szCs w:val="18"/>
              </w:rPr>
            </w:pPr>
            <w:r>
              <w:rPr>
                <w:noProof/>
                <w:sz w:val="18"/>
              </w:rPr>
              <w:t>Année</w:t>
            </w:r>
            <w:r>
              <w:rPr>
                <w:noProof/>
                <w:sz w:val="22"/>
              </w:rPr>
              <w:br/>
            </w:r>
            <w:r>
              <w:rPr>
                <w:b/>
                <w:noProof/>
                <w:sz w:val="18"/>
              </w:rPr>
              <w:t>N+2</w:t>
            </w:r>
          </w:p>
        </w:tc>
        <w:tc>
          <w:tcPr>
            <w:tcW w:w="1620" w:type="dxa"/>
            <w:gridSpan w:val="3"/>
            <w:vAlign w:val="center"/>
          </w:tcPr>
          <w:p>
            <w:pPr>
              <w:ind w:right="-29"/>
              <w:jc w:val="center"/>
              <w:rPr>
                <w:noProof/>
                <w:sz w:val="18"/>
                <w:szCs w:val="18"/>
              </w:rPr>
            </w:pPr>
            <w:r>
              <w:rPr>
                <w:noProof/>
                <w:sz w:val="18"/>
              </w:rPr>
              <w:t>Année</w:t>
            </w:r>
            <w:r>
              <w:rPr>
                <w:noProof/>
                <w:sz w:val="22"/>
              </w:rPr>
              <w:br/>
            </w:r>
            <w:r>
              <w:rPr>
                <w:b/>
                <w:noProof/>
                <w:sz w:val="18"/>
              </w:rPr>
              <w:t>N+3</w:t>
            </w:r>
          </w:p>
        </w:tc>
        <w:tc>
          <w:tcPr>
            <w:tcW w:w="3600" w:type="dxa"/>
            <w:gridSpan w:val="6"/>
            <w:vAlign w:val="center"/>
          </w:tcPr>
          <w:p>
            <w:pPr>
              <w:jc w:val="center"/>
              <w:rPr>
                <w:noProof/>
                <w:sz w:val="18"/>
                <w:szCs w:val="18"/>
              </w:rPr>
            </w:pPr>
            <w:r>
              <w:rPr>
                <w:noProof/>
                <w:sz w:val="18"/>
              </w:rPr>
              <w:t>Insérer autant d'années que nécessaire, pour refléter la durée de l’incidence (cf. point 1.6)</w:t>
            </w:r>
          </w:p>
        </w:tc>
        <w:tc>
          <w:tcPr>
            <w:tcW w:w="1620" w:type="dxa"/>
            <w:gridSpan w:val="2"/>
            <w:tcBorders>
              <w:left w:val="nil"/>
              <w:bottom w:val="nil"/>
            </w:tcBorders>
            <w:vAlign w:val="center"/>
          </w:tcPr>
          <w:p>
            <w:pPr>
              <w:ind w:right="-29"/>
              <w:jc w:val="center"/>
              <w:rPr>
                <w:noProof/>
                <w:sz w:val="18"/>
                <w:szCs w:val="18"/>
              </w:rPr>
            </w:pPr>
            <w:r>
              <w:rPr>
                <w:b/>
                <w:noProof/>
                <w:sz w:val="18"/>
              </w:rPr>
              <w:t>TOTAL</w:t>
            </w:r>
          </w:p>
        </w:tc>
      </w:tr>
      <w:tr>
        <w:trPr>
          <w:jc w:val="center"/>
        </w:trPr>
        <w:tc>
          <w:tcPr>
            <w:tcW w:w="1423" w:type="dxa"/>
            <w:vMerge/>
            <w:vAlign w:val="center"/>
          </w:tcPr>
          <w:p>
            <w:pPr>
              <w:ind w:right="-29"/>
              <w:jc w:val="center"/>
              <w:rPr>
                <w:noProof/>
                <w:sz w:val="18"/>
                <w:szCs w:val="18"/>
              </w:rPr>
            </w:pPr>
          </w:p>
        </w:tc>
        <w:tc>
          <w:tcPr>
            <w:tcW w:w="12185" w:type="dxa"/>
            <w:gridSpan w:val="19"/>
            <w:vAlign w:val="center"/>
          </w:tcPr>
          <w:p>
            <w:pPr>
              <w:spacing w:before="60" w:after="60"/>
              <w:ind w:right="-29"/>
              <w:jc w:val="center"/>
              <w:rPr>
                <w:noProof/>
                <w:sz w:val="18"/>
                <w:szCs w:val="18"/>
              </w:rPr>
            </w:pPr>
            <w:r>
              <w:rPr>
                <w:b/>
                <w:noProof/>
                <w:sz w:val="18"/>
              </w:rPr>
              <w:t>RÉALISATIONS (outputs)</w:t>
            </w:r>
          </w:p>
        </w:tc>
      </w:tr>
      <w:tr>
        <w:trPr>
          <w:cantSplit/>
          <w:trHeight w:val="1134"/>
          <w:jc w:val="center"/>
        </w:trPr>
        <w:tc>
          <w:tcPr>
            <w:tcW w:w="1423" w:type="dxa"/>
            <w:vMerge/>
            <w:vAlign w:val="center"/>
          </w:tcPr>
          <w:p>
            <w:pPr>
              <w:rPr>
                <w:noProof/>
                <w:sz w:val="18"/>
                <w:szCs w:val="18"/>
              </w:rPr>
            </w:pPr>
          </w:p>
        </w:tc>
        <w:tc>
          <w:tcPr>
            <w:tcW w:w="720" w:type="dxa"/>
            <w:vAlign w:val="center"/>
          </w:tcPr>
          <w:p>
            <w:pPr>
              <w:jc w:val="center"/>
              <w:rPr>
                <w:noProof/>
                <w:sz w:val="18"/>
                <w:szCs w:val="18"/>
              </w:rPr>
            </w:pPr>
            <w:r>
              <w:rPr>
                <w:noProof/>
                <w:sz w:val="18"/>
              </w:rPr>
              <w:t>Type</w:t>
            </w:r>
            <w:r>
              <w:rPr>
                <w:rStyle w:val="FootnoteReference"/>
                <w:noProof/>
                <w:sz w:val="18"/>
              </w:rPr>
              <w:footnoteReference w:id="12"/>
            </w:r>
          </w:p>
          <w:p>
            <w:pPr>
              <w:spacing w:before="0" w:after="0"/>
              <w:jc w:val="center"/>
              <w:rPr>
                <w:noProof/>
                <w:sz w:val="18"/>
                <w:szCs w:val="18"/>
              </w:rPr>
            </w:pPr>
          </w:p>
        </w:tc>
        <w:tc>
          <w:tcPr>
            <w:tcW w:w="701" w:type="dxa"/>
            <w:vAlign w:val="center"/>
          </w:tcPr>
          <w:p>
            <w:pPr>
              <w:jc w:val="center"/>
              <w:rPr>
                <w:noProof/>
                <w:sz w:val="18"/>
                <w:szCs w:val="18"/>
              </w:rPr>
            </w:pPr>
            <w:r>
              <w:rPr>
                <w:noProof/>
                <w:sz w:val="18"/>
              </w:rPr>
              <w:t>Coût moyen</w:t>
            </w:r>
          </w:p>
        </w:tc>
        <w:tc>
          <w:tcPr>
            <w:tcW w:w="504" w:type="dxa"/>
            <w:tcBorders>
              <w:left w:val="nil"/>
              <w:right w:val="dashSmallGap" w:sz="4" w:space="0" w:color="auto"/>
            </w:tcBorders>
            <w:shd w:val="pct10" w:color="auto" w:fill="auto"/>
            <w:textDirection w:val="btLr"/>
            <w:vAlign w:val="center"/>
          </w:tcPr>
          <w:p>
            <w:pPr>
              <w:ind w:left="113" w:right="113"/>
              <w:jc w:val="center"/>
              <w:rPr>
                <w:noProof/>
                <w:sz w:val="18"/>
                <w:szCs w:val="18"/>
              </w:rPr>
            </w:pPr>
            <w:r>
              <w:rPr>
                <w:noProof/>
                <w:sz w:val="18"/>
              </w:rPr>
              <w:t>Nbre</w:t>
            </w:r>
          </w:p>
        </w:tc>
        <w:tc>
          <w:tcPr>
            <w:tcW w:w="720" w:type="dxa"/>
            <w:tcBorders>
              <w:left w:val="dashSmallGap" w:sz="4" w:space="0" w:color="auto"/>
            </w:tcBorders>
            <w:shd w:val="pct10" w:color="auto" w:fill="auto"/>
            <w:vAlign w:val="center"/>
          </w:tcPr>
          <w:p>
            <w:pPr>
              <w:jc w:val="center"/>
              <w:rPr>
                <w:noProof/>
                <w:sz w:val="18"/>
                <w:szCs w:val="18"/>
              </w:rPr>
            </w:pPr>
            <w:r>
              <w:rPr>
                <w:noProof/>
                <w:sz w:val="18"/>
              </w:rPr>
              <w:t>Coût</w:t>
            </w:r>
          </w:p>
        </w:tc>
        <w:tc>
          <w:tcPr>
            <w:tcW w:w="540" w:type="dxa"/>
            <w:tcBorders>
              <w:right w:val="dashSmallGap" w:sz="4" w:space="0" w:color="auto"/>
            </w:tcBorders>
            <w:shd w:val="pct10" w:color="auto" w:fill="auto"/>
            <w:textDirection w:val="btLr"/>
            <w:vAlign w:val="center"/>
          </w:tcPr>
          <w:p>
            <w:pPr>
              <w:ind w:left="113" w:right="113"/>
              <w:jc w:val="center"/>
              <w:rPr>
                <w:noProof/>
                <w:sz w:val="18"/>
                <w:szCs w:val="18"/>
              </w:rPr>
            </w:pPr>
            <w:r>
              <w:rPr>
                <w:noProof/>
                <w:sz w:val="18"/>
              </w:rPr>
              <w:t>Nbre</w:t>
            </w:r>
          </w:p>
        </w:tc>
        <w:tc>
          <w:tcPr>
            <w:tcW w:w="720" w:type="dxa"/>
            <w:tcBorders>
              <w:left w:val="dashSmallGap" w:sz="4" w:space="0" w:color="auto"/>
            </w:tcBorders>
            <w:shd w:val="pct10" w:color="auto" w:fill="auto"/>
            <w:vAlign w:val="center"/>
          </w:tcPr>
          <w:p>
            <w:pPr>
              <w:jc w:val="center"/>
              <w:rPr>
                <w:noProof/>
                <w:sz w:val="18"/>
                <w:szCs w:val="18"/>
              </w:rPr>
            </w:pPr>
            <w:r>
              <w:rPr>
                <w:noProof/>
                <w:sz w:val="18"/>
              </w:rPr>
              <w:t>Coût</w:t>
            </w:r>
          </w:p>
        </w:tc>
        <w:tc>
          <w:tcPr>
            <w:tcW w:w="720" w:type="dxa"/>
            <w:tcBorders>
              <w:right w:val="dashSmallGap" w:sz="4" w:space="0" w:color="auto"/>
            </w:tcBorders>
            <w:shd w:val="pct10" w:color="auto" w:fill="auto"/>
            <w:textDirection w:val="btLr"/>
            <w:vAlign w:val="center"/>
          </w:tcPr>
          <w:p>
            <w:pPr>
              <w:ind w:left="113" w:right="113"/>
              <w:jc w:val="center"/>
              <w:rPr>
                <w:noProof/>
                <w:sz w:val="18"/>
                <w:szCs w:val="18"/>
              </w:rPr>
            </w:pPr>
            <w:r>
              <w:rPr>
                <w:noProof/>
                <w:sz w:val="18"/>
              </w:rPr>
              <w:t>Nbre</w:t>
            </w:r>
          </w:p>
        </w:tc>
        <w:tc>
          <w:tcPr>
            <w:tcW w:w="720" w:type="dxa"/>
            <w:tcBorders>
              <w:left w:val="dashSmallGap" w:sz="4" w:space="0" w:color="auto"/>
            </w:tcBorders>
            <w:shd w:val="pct10" w:color="auto" w:fill="auto"/>
            <w:vAlign w:val="center"/>
          </w:tcPr>
          <w:p>
            <w:pPr>
              <w:jc w:val="center"/>
              <w:rPr>
                <w:noProof/>
                <w:sz w:val="18"/>
                <w:szCs w:val="18"/>
              </w:rPr>
            </w:pPr>
            <w:r>
              <w:rPr>
                <w:noProof/>
                <w:sz w:val="18"/>
              </w:rPr>
              <w:t>Coût</w:t>
            </w:r>
          </w:p>
        </w:tc>
        <w:tc>
          <w:tcPr>
            <w:tcW w:w="900" w:type="dxa"/>
            <w:tcBorders>
              <w:right w:val="dashSmallGap" w:sz="4" w:space="0" w:color="auto"/>
            </w:tcBorders>
            <w:shd w:val="pct10" w:color="auto" w:fill="auto"/>
            <w:textDirection w:val="btLr"/>
            <w:vAlign w:val="center"/>
          </w:tcPr>
          <w:p>
            <w:pPr>
              <w:ind w:left="113" w:right="113"/>
              <w:jc w:val="center"/>
              <w:rPr>
                <w:noProof/>
                <w:sz w:val="18"/>
                <w:szCs w:val="18"/>
              </w:rPr>
            </w:pPr>
            <w:r>
              <w:rPr>
                <w:noProof/>
                <w:sz w:val="18"/>
              </w:rPr>
              <w:t>Nbre</w:t>
            </w:r>
          </w:p>
        </w:tc>
        <w:tc>
          <w:tcPr>
            <w:tcW w:w="720" w:type="dxa"/>
            <w:gridSpan w:val="2"/>
            <w:tcBorders>
              <w:left w:val="dashSmallGap" w:sz="4" w:space="0" w:color="auto"/>
            </w:tcBorders>
            <w:shd w:val="pct10" w:color="auto" w:fill="auto"/>
            <w:vAlign w:val="center"/>
          </w:tcPr>
          <w:p>
            <w:pPr>
              <w:jc w:val="center"/>
              <w:rPr>
                <w:noProof/>
                <w:sz w:val="18"/>
                <w:szCs w:val="18"/>
              </w:rPr>
            </w:pPr>
            <w:r>
              <w:rPr>
                <w:noProof/>
                <w:sz w:val="18"/>
              </w:rPr>
              <w:t>Coût</w:t>
            </w:r>
          </w:p>
        </w:tc>
        <w:tc>
          <w:tcPr>
            <w:tcW w:w="540" w:type="dxa"/>
            <w:tcBorders>
              <w:right w:val="dashSmallGap" w:sz="4" w:space="0" w:color="auto"/>
            </w:tcBorders>
            <w:shd w:val="pct10" w:color="auto" w:fill="auto"/>
            <w:textDirection w:val="btLr"/>
            <w:vAlign w:val="center"/>
          </w:tcPr>
          <w:p>
            <w:pPr>
              <w:ind w:left="113" w:right="113"/>
              <w:jc w:val="center"/>
              <w:rPr>
                <w:noProof/>
                <w:sz w:val="18"/>
                <w:szCs w:val="18"/>
              </w:rPr>
            </w:pPr>
            <w:r>
              <w:rPr>
                <w:noProof/>
                <w:sz w:val="18"/>
              </w:rPr>
              <w:t>Nbre</w:t>
            </w:r>
          </w:p>
        </w:tc>
        <w:tc>
          <w:tcPr>
            <w:tcW w:w="648" w:type="dxa"/>
            <w:tcBorders>
              <w:left w:val="dashSmallGap" w:sz="4" w:space="0" w:color="auto"/>
            </w:tcBorders>
            <w:shd w:val="pct10" w:color="auto" w:fill="auto"/>
            <w:vAlign w:val="center"/>
          </w:tcPr>
          <w:p>
            <w:pPr>
              <w:jc w:val="center"/>
              <w:rPr>
                <w:noProof/>
                <w:sz w:val="18"/>
                <w:szCs w:val="18"/>
              </w:rPr>
            </w:pPr>
            <w:r>
              <w:rPr>
                <w:noProof/>
                <w:sz w:val="18"/>
              </w:rPr>
              <w:t>Coût</w:t>
            </w:r>
          </w:p>
        </w:tc>
        <w:tc>
          <w:tcPr>
            <w:tcW w:w="432" w:type="dxa"/>
            <w:tcBorders>
              <w:right w:val="dashSmallGap" w:sz="4" w:space="0" w:color="auto"/>
            </w:tcBorders>
            <w:shd w:val="pct10" w:color="auto" w:fill="auto"/>
            <w:textDirection w:val="btLr"/>
            <w:vAlign w:val="center"/>
          </w:tcPr>
          <w:p>
            <w:pPr>
              <w:ind w:left="113" w:right="113"/>
              <w:jc w:val="center"/>
              <w:rPr>
                <w:noProof/>
                <w:sz w:val="18"/>
                <w:szCs w:val="18"/>
              </w:rPr>
            </w:pPr>
            <w:r>
              <w:rPr>
                <w:noProof/>
                <w:sz w:val="18"/>
              </w:rPr>
              <w:t>Nbre</w:t>
            </w:r>
          </w:p>
        </w:tc>
        <w:tc>
          <w:tcPr>
            <w:tcW w:w="720" w:type="dxa"/>
            <w:tcBorders>
              <w:left w:val="dashSmallGap" w:sz="4" w:space="0" w:color="auto"/>
            </w:tcBorders>
            <w:shd w:val="pct10" w:color="auto" w:fill="auto"/>
            <w:vAlign w:val="center"/>
          </w:tcPr>
          <w:p>
            <w:pPr>
              <w:jc w:val="center"/>
              <w:rPr>
                <w:noProof/>
                <w:sz w:val="18"/>
                <w:szCs w:val="18"/>
              </w:rPr>
            </w:pPr>
            <w:r>
              <w:rPr>
                <w:noProof/>
                <w:sz w:val="18"/>
              </w:rPr>
              <w:t>Coût</w:t>
            </w:r>
          </w:p>
        </w:tc>
        <w:tc>
          <w:tcPr>
            <w:tcW w:w="540" w:type="dxa"/>
            <w:tcBorders>
              <w:right w:val="dashSmallGap" w:sz="4" w:space="0" w:color="auto"/>
            </w:tcBorders>
            <w:shd w:val="pct10" w:color="auto" w:fill="auto"/>
            <w:textDirection w:val="btLr"/>
            <w:vAlign w:val="center"/>
          </w:tcPr>
          <w:p>
            <w:pPr>
              <w:ind w:left="113" w:right="113"/>
              <w:jc w:val="center"/>
              <w:rPr>
                <w:noProof/>
                <w:sz w:val="18"/>
                <w:szCs w:val="18"/>
              </w:rPr>
            </w:pPr>
            <w:r>
              <w:rPr>
                <w:noProof/>
                <w:sz w:val="18"/>
              </w:rPr>
              <w:t>Nbre</w:t>
            </w:r>
          </w:p>
        </w:tc>
        <w:tc>
          <w:tcPr>
            <w:tcW w:w="720" w:type="dxa"/>
            <w:tcBorders>
              <w:left w:val="dashSmallGap" w:sz="4" w:space="0" w:color="auto"/>
            </w:tcBorders>
            <w:shd w:val="pct10" w:color="auto" w:fill="auto"/>
            <w:vAlign w:val="center"/>
          </w:tcPr>
          <w:p>
            <w:pPr>
              <w:jc w:val="center"/>
              <w:rPr>
                <w:noProof/>
                <w:sz w:val="18"/>
                <w:szCs w:val="18"/>
              </w:rPr>
            </w:pPr>
            <w:r>
              <w:rPr>
                <w:noProof/>
                <w:sz w:val="18"/>
              </w:rPr>
              <w:t>Coût</w:t>
            </w:r>
          </w:p>
        </w:tc>
        <w:tc>
          <w:tcPr>
            <w:tcW w:w="720" w:type="dxa"/>
            <w:tcBorders>
              <w:right w:val="dashSmallGap" w:sz="4" w:space="0" w:color="auto"/>
            </w:tcBorders>
            <w:shd w:val="pct10" w:color="auto" w:fill="auto"/>
            <w:vAlign w:val="center"/>
          </w:tcPr>
          <w:p>
            <w:pPr>
              <w:jc w:val="center"/>
              <w:rPr>
                <w:noProof/>
                <w:sz w:val="18"/>
                <w:szCs w:val="18"/>
              </w:rPr>
            </w:pPr>
            <w:r>
              <w:rPr>
                <w:noProof/>
                <w:sz w:val="18"/>
              </w:rPr>
              <w:t>Nbre total</w:t>
            </w:r>
          </w:p>
        </w:tc>
        <w:tc>
          <w:tcPr>
            <w:tcW w:w="900" w:type="dxa"/>
            <w:tcBorders>
              <w:left w:val="dashSmallGap" w:sz="4" w:space="0" w:color="auto"/>
            </w:tcBorders>
            <w:shd w:val="pct10" w:color="auto" w:fill="auto"/>
            <w:vAlign w:val="center"/>
          </w:tcPr>
          <w:p>
            <w:pPr>
              <w:jc w:val="center"/>
              <w:rPr>
                <w:noProof/>
                <w:sz w:val="18"/>
                <w:szCs w:val="18"/>
              </w:rPr>
            </w:pPr>
            <w:r>
              <w:rPr>
                <w:noProof/>
                <w:sz w:val="18"/>
              </w:rPr>
              <w:t>Coût total</w:t>
            </w:r>
          </w:p>
        </w:tc>
      </w:tr>
      <w:tr>
        <w:trPr>
          <w:jc w:val="center"/>
        </w:trPr>
        <w:tc>
          <w:tcPr>
            <w:tcW w:w="2844" w:type="dxa"/>
            <w:gridSpan w:val="3"/>
            <w:vAlign w:val="center"/>
          </w:tcPr>
          <w:p>
            <w:pPr>
              <w:spacing w:before="60" w:after="60"/>
              <w:ind w:right="-29"/>
              <w:jc w:val="center"/>
              <w:rPr>
                <w:noProof/>
                <w:sz w:val="18"/>
                <w:szCs w:val="18"/>
              </w:rPr>
            </w:pPr>
            <w:r>
              <w:rPr>
                <w:noProof/>
                <w:sz w:val="18"/>
              </w:rPr>
              <w:t>OBJECTIF SPÉCIFIQUE n° 1</w:t>
            </w:r>
            <w:r>
              <w:rPr>
                <w:rStyle w:val="FootnoteReference"/>
                <w:noProof/>
                <w:sz w:val="18"/>
              </w:rPr>
              <w:footnoteReference w:id="13"/>
            </w:r>
            <w:r>
              <w:rPr>
                <w:noProof/>
                <w:sz w:val="18"/>
              </w:rPr>
              <w:t>...</w:t>
            </w:r>
          </w:p>
        </w:tc>
        <w:tc>
          <w:tcPr>
            <w:tcW w:w="504" w:type="dxa"/>
            <w:tcBorders>
              <w:top w:val="nil"/>
              <w:left w:val="nil"/>
              <w:bottom w:val="nil"/>
              <w:right w:val="nil"/>
            </w:tcBorders>
          </w:tcPr>
          <w:p>
            <w:pPr>
              <w:spacing w:before="60" w:after="60"/>
              <w:ind w:right="-29"/>
              <w:jc w:val="center"/>
              <w:rPr>
                <w:noProof/>
                <w:sz w:val="18"/>
                <w:szCs w:val="18"/>
              </w:rPr>
            </w:pPr>
          </w:p>
        </w:tc>
        <w:tc>
          <w:tcPr>
            <w:tcW w:w="720" w:type="dxa"/>
            <w:tcBorders>
              <w:top w:val="nil"/>
              <w:left w:val="nil"/>
              <w:bottom w:val="nil"/>
              <w:right w:val="nil"/>
            </w:tcBorders>
          </w:tcPr>
          <w:p>
            <w:pPr>
              <w:spacing w:before="60" w:after="60"/>
              <w:ind w:right="-29"/>
              <w:jc w:val="center"/>
              <w:rPr>
                <w:noProof/>
                <w:sz w:val="18"/>
                <w:szCs w:val="18"/>
              </w:rPr>
            </w:pPr>
          </w:p>
        </w:tc>
        <w:tc>
          <w:tcPr>
            <w:tcW w:w="540" w:type="dxa"/>
            <w:tcBorders>
              <w:top w:val="nil"/>
              <w:left w:val="nil"/>
              <w:bottom w:val="nil"/>
              <w:right w:val="nil"/>
            </w:tcBorders>
          </w:tcPr>
          <w:p>
            <w:pPr>
              <w:spacing w:before="60" w:after="60"/>
              <w:ind w:right="-29"/>
              <w:jc w:val="center"/>
              <w:rPr>
                <w:noProof/>
                <w:sz w:val="18"/>
                <w:szCs w:val="18"/>
              </w:rPr>
            </w:pPr>
          </w:p>
        </w:tc>
        <w:tc>
          <w:tcPr>
            <w:tcW w:w="720" w:type="dxa"/>
            <w:tcBorders>
              <w:top w:val="nil"/>
              <w:left w:val="nil"/>
              <w:bottom w:val="nil"/>
              <w:right w:val="nil"/>
            </w:tcBorders>
          </w:tcPr>
          <w:p>
            <w:pPr>
              <w:spacing w:before="60" w:after="60"/>
              <w:ind w:right="-29"/>
              <w:jc w:val="center"/>
              <w:rPr>
                <w:noProof/>
                <w:sz w:val="18"/>
                <w:szCs w:val="18"/>
              </w:rPr>
            </w:pPr>
          </w:p>
        </w:tc>
        <w:tc>
          <w:tcPr>
            <w:tcW w:w="720" w:type="dxa"/>
            <w:tcBorders>
              <w:top w:val="nil"/>
              <w:left w:val="nil"/>
              <w:bottom w:val="nil"/>
              <w:right w:val="nil"/>
            </w:tcBorders>
          </w:tcPr>
          <w:p>
            <w:pPr>
              <w:spacing w:before="60" w:after="60"/>
              <w:ind w:right="-29"/>
              <w:jc w:val="center"/>
              <w:rPr>
                <w:noProof/>
                <w:sz w:val="18"/>
                <w:szCs w:val="18"/>
              </w:rPr>
            </w:pPr>
          </w:p>
        </w:tc>
        <w:tc>
          <w:tcPr>
            <w:tcW w:w="720" w:type="dxa"/>
            <w:tcBorders>
              <w:top w:val="nil"/>
              <w:left w:val="nil"/>
              <w:bottom w:val="nil"/>
              <w:right w:val="nil"/>
            </w:tcBorders>
          </w:tcPr>
          <w:p>
            <w:pPr>
              <w:spacing w:before="60" w:after="60"/>
              <w:ind w:right="-29"/>
              <w:jc w:val="center"/>
              <w:rPr>
                <w:noProof/>
                <w:sz w:val="18"/>
                <w:szCs w:val="18"/>
              </w:rPr>
            </w:pPr>
          </w:p>
        </w:tc>
        <w:tc>
          <w:tcPr>
            <w:tcW w:w="900" w:type="dxa"/>
            <w:tcBorders>
              <w:top w:val="nil"/>
              <w:left w:val="nil"/>
              <w:bottom w:val="nil"/>
              <w:right w:val="nil"/>
            </w:tcBorders>
          </w:tcPr>
          <w:p>
            <w:pPr>
              <w:spacing w:before="60" w:after="60"/>
              <w:ind w:right="-29"/>
              <w:jc w:val="center"/>
              <w:rPr>
                <w:noProof/>
                <w:sz w:val="18"/>
                <w:szCs w:val="18"/>
              </w:rPr>
            </w:pPr>
          </w:p>
        </w:tc>
        <w:tc>
          <w:tcPr>
            <w:tcW w:w="720" w:type="dxa"/>
            <w:gridSpan w:val="2"/>
            <w:tcBorders>
              <w:top w:val="nil"/>
              <w:left w:val="nil"/>
              <w:bottom w:val="nil"/>
              <w:right w:val="nil"/>
            </w:tcBorders>
          </w:tcPr>
          <w:p>
            <w:pPr>
              <w:spacing w:before="60" w:after="60"/>
              <w:ind w:right="-29"/>
              <w:jc w:val="center"/>
              <w:rPr>
                <w:noProof/>
                <w:sz w:val="18"/>
                <w:szCs w:val="18"/>
              </w:rPr>
            </w:pPr>
          </w:p>
        </w:tc>
        <w:tc>
          <w:tcPr>
            <w:tcW w:w="540" w:type="dxa"/>
            <w:tcBorders>
              <w:top w:val="nil"/>
              <w:left w:val="nil"/>
              <w:bottom w:val="nil"/>
              <w:right w:val="nil"/>
            </w:tcBorders>
          </w:tcPr>
          <w:p>
            <w:pPr>
              <w:spacing w:before="60" w:after="60"/>
              <w:ind w:right="-29"/>
              <w:jc w:val="center"/>
              <w:rPr>
                <w:noProof/>
                <w:sz w:val="18"/>
                <w:szCs w:val="18"/>
              </w:rPr>
            </w:pPr>
          </w:p>
        </w:tc>
        <w:tc>
          <w:tcPr>
            <w:tcW w:w="648" w:type="dxa"/>
            <w:tcBorders>
              <w:top w:val="nil"/>
              <w:left w:val="nil"/>
              <w:bottom w:val="nil"/>
              <w:right w:val="nil"/>
            </w:tcBorders>
          </w:tcPr>
          <w:p>
            <w:pPr>
              <w:spacing w:before="60" w:after="60"/>
              <w:ind w:right="-29"/>
              <w:jc w:val="center"/>
              <w:rPr>
                <w:noProof/>
                <w:sz w:val="18"/>
                <w:szCs w:val="18"/>
              </w:rPr>
            </w:pPr>
          </w:p>
        </w:tc>
        <w:tc>
          <w:tcPr>
            <w:tcW w:w="432" w:type="dxa"/>
            <w:tcBorders>
              <w:top w:val="nil"/>
              <w:left w:val="nil"/>
              <w:bottom w:val="nil"/>
              <w:right w:val="nil"/>
            </w:tcBorders>
          </w:tcPr>
          <w:p>
            <w:pPr>
              <w:spacing w:before="60" w:after="60"/>
              <w:ind w:right="-29"/>
              <w:jc w:val="center"/>
              <w:rPr>
                <w:noProof/>
                <w:sz w:val="18"/>
                <w:szCs w:val="18"/>
              </w:rPr>
            </w:pPr>
          </w:p>
        </w:tc>
        <w:tc>
          <w:tcPr>
            <w:tcW w:w="720" w:type="dxa"/>
            <w:tcBorders>
              <w:top w:val="nil"/>
              <w:left w:val="nil"/>
              <w:bottom w:val="nil"/>
              <w:right w:val="nil"/>
            </w:tcBorders>
          </w:tcPr>
          <w:p>
            <w:pPr>
              <w:spacing w:before="60" w:after="60"/>
              <w:ind w:right="-29"/>
              <w:jc w:val="center"/>
              <w:rPr>
                <w:noProof/>
                <w:sz w:val="18"/>
                <w:szCs w:val="18"/>
              </w:rPr>
            </w:pPr>
          </w:p>
        </w:tc>
        <w:tc>
          <w:tcPr>
            <w:tcW w:w="540" w:type="dxa"/>
            <w:tcBorders>
              <w:top w:val="nil"/>
              <w:left w:val="nil"/>
              <w:bottom w:val="nil"/>
              <w:right w:val="nil"/>
            </w:tcBorders>
          </w:tcPr>
          <w:p>
            <w:pPr>
              <w:spacing w:before="60" w:after="60"/>
              <w:ind w:right="-29"/>
              <w:jc w:val="center"/>
              <w:rPr>
                <w:noProof/>
                <w:sz w:val="18"/>
                <w:szCs w:val="18"/>
              </w:rPr>
            </w:pPr>
          </w:p>
        </w:tc>
        <w:tc>
          <w:tcPr>
            <w:tcW w:w="720" w:type="dxa"/>
            <w:tcBorders>
              <w:top w:val="nil"/>
              <w:left w:val="nil"/>
              <w:bottom w:val="nil"/>
              <w:right w:val="nil"/>
            </w:tcBorders>
          </w:tcPr>
          <w:p>
            <w:pPr>
              <w:spacing w:before="60" w:after="60"/>
              <w:ind w:right="-29"/>
              <w:jc w:val="center"/>
              <w:rPr>
                <w:noProof/>
                <w:sz w:val="18"/>
                <w:szCs w:val="18"/>
              </w:rPr>
            </w:pPr>
          </w:p>
        </w:tc>
        <w:tc>
          <w:tcPr>
            <w:tcW w:w="720" w:type="dxa"/>
            <w:tcBorders>
              <w:top w:val="nil"/>
              <w:left w:val="nil"/>
              <w:bottom w:val="nil"/>
              <w:right w:val="nil"/>
            </w:tcBorders>
          </w:tcPr>
          <w:p>
            <w:pPr>
              <w:spacing w:before="60" w:after="60"/>
              <w:ind w:right="-29"/>
              <w:jc w:val="center"/>
              <w:rPr>
                <w:noProof/>
                <w:sz w:val="18"/>
                <w:szCs w:val="18"/>
              </w:rPr>
            </w:pPr>
          </w:p>
        </w:tc>
        <w:tc>
          <w:tcPr>
            <w:tcW w:w="900" w:type="dxa"/>
            <w:tcBorders>
              <w:top w:val="nil"/>
              <w:left w:val="nil"/>
              <w:bottom w:val="nil"/>
              <w:right w:val="nil"/>
            </w:tcBorders>
          </w:tcPr>
          <w:p>
            <w:pPr>
              <w:spacing w:before="60" w:after="60"/>
              <w:ind w:right="-29"/>
              <w:jc w:val="center"/>
              <w:rPr>
                <w:noProof/>
                <w:sz w:val="18"/>
                <w:szCs w:val="18"/>
              </w:rPr>
            </w:pPr>
          </w:p>
        </w:tc>
      </w:tr>
      <w:tr>
        <w:trPr>
          <w:trHeight w:hRule="exact" w:val="369"/>
          <w:jc w:val="center"/>
        </w:trPr>
        <w:tc>
          <w:tcPr>
            <w:tcW w:w="1423" w:type="dxa"/>
          </w:tcPr>
          <w:p>
            <w:pPr>
              <w:ind w:right="-29"/>
              <w:jc w:val="center"/>
              <w:rPr>
                <w:noProof/>
                <w:sz w:val="18"/>
                <w:szCs w:val="18"/>
              </w:rPr>
            </w:pPr>
            <w:r>
              <w:rPr>
                <w:noProof/>
                <w:sz w:val="18"/>
              </w:rPr>
              <w:t>- Réalisation</w:t>
            </w:r>
          </w:p>
        </w:tc>
        <w:tc>
          <w:tcPr>
            <w:tcW w:w="720" w:type="dxa"/>
          </w:tcPr>
          <w:p>
            <w:pPr>
              <w:ind w:right="-29"/>
              <w:jc w:val="center"/>
              <w:rPr>
                <w:noProof/>
                <w:sz w:val="18"/>
                <w:szCs w:val="18"/>
              </w:rPr>
            </w:pPr>
          </w:p>
        </w:tc>
        <w:tc>
          <w:tcPr>
            <w:tcW w:w="701" w:type="dxa"/>
          </w:tcPr>
          <w:p>
            <w:pPr>
              <w:ind w:right="-29"/>
              <w:jc w:val="center"/>
              <w:rPr>
                <w:noProof/>
                <w:sz w:val="18"/>
                <w:szCs w:val="18"/>
              </w:rPr>
            </w:pPr>
          </w:p>
        </w:tc>
        <w:tc>
          <w:tcPr>
            <w:tcW w:w="504" w:type="dxa"/>
            <w:tcBorders>
              <w:right w:val="dashSmallGap" w:sz="4" w:space="0" w:color="auto"/>
            </w:tcBorders>
          </w:tcPr>
          <w:p>
            <w:pPr>
              <w:ind w:right="-29"/>
              <w:jc w:val="center"/>
              <w:rPr>
                <w:noProof/>
                <w:sz w:val="18"/>
                <w:szCs w:val="18"/>
              </w:rPr>
            </w:pPr>
          </w:p>
        </w:tc>
        <w:tc>
          <w:tcPr>
            <w:tcW w:w="720" w:type="dxa"/>
            <w:tcBorders>
              <w:left w:val="dashSmallGap" w:sz="4" w:space="0" w:color="auto"/>
            </w:tcBorders>
          </w:tcPr>
          <w:p>
            <w:pPr>
              <w:ind w:right="-29"/>
              <w:jc w:val="center"/>
              <w:rPr>
                <w:noProof/>
                <w:sz w:val="18"/>
                <w:szCs w:val="18"/>
              </w:rPr>
            </w:pPr>
          </w:p>
        </w:tc>
        <w:tc>
          <w:tcPr>
            <w:tcW w:w="540" w:type="dxa"/>
            <w:tcBorders>
              <w:right w:val="dashSmallGap" w:sz="4" w:space="0" w:color="auto"/>
            </w:tcBorders>
          </w:tcPr>
          <w:p>
            <w:pPr>
              <w:ind w:right="-29"/>
              <w:jc w:val="center"/>
              <w:rPr>
                <w:noProof/>
                <w:sz w:val="18"/>
                <w:szCs w:val="18"/>
              </w:rPr>
            </w:pPr>
          </w:p>
        </w:tc>
        <w:tc>
          <w:tcPr>
            <w:tcW w:w="720" w:type="dxa"/>
            <w:tcBorders>
              <w:left w:val="dashSmallGap" w:sz="4" w:space="0" w:color="auto"/>
            </w:tcBorders>
          </w:tcPr>
          <w:p>
            <w:pPr>
              <w:ind w:right="-29"/>
              <w:jc w:val="center"/>
              <w:rPr>
                <w:noProof/>
                <w:sz w:val="18"/>
                <w:szCs w:val="18"/>
              </w:rPr>
            </w:pPr>
          </w:p>
        </w:tc>
        <w:tc>
          <w:tcPr>
            <w:tcW w:w="720" w:type="dxa"/>
            <w:tcBorders>
              <w:right w:val="dashSmallGap" w:sz="4" w:space="0" w:color="auto"/>
            </w:tcBorders>
          </w:tcPr>
          <w:p>
            <w:pPr>
              <w:ind w:right="-29"/>
              <w:jc w:val="center"/>
              <w:rPr>
                <w:noProof/>
                <w:sz w:val="18"/>
                <w:szCs w:val="18"/>
              </w:rPr>
            </w:pPr>
          </w:p>
        </w:tc>
        <w:tc>
          <w:tcPr>
            <w:tcW w:w="720" w:type="dxa"/>
            <w:tcBorders>
              <w:left w:val="dashSmallGap" w:sz="4" w:space="0" w:color="auto"/>
            </w:tcBorders>
          </w:tcPr>
          <w:p>
            <w:pPr>
              <w:ind w:right="-29"/>
              <w:jc w:val="center"/>
              <w:rPr>
                <w:noProof/>
                <w:sz w:val="18"/>
                <w:szCs w:val="18"/>
              </w:rPr>
            </w:pPr>
          </w:p>
        </w:tc>
        <w:tc>
          <w:tcPr>
            <w:tcW w:w="900" w:type="dxa"/>
            <w:tcBorders>
              <w:right w:val="dashSmallGap" w:sz="4" w:space="0" w:color="auto"/>
            </w:tcBorders>
          </w:tcPr>
          <w:p>
            <w:pPr>
              <w:ind w:right="-29"/>
              <w:jc w:val="center"/>
              <w:rPr>
                <w:noProof/>
                <w:sz w:val="18"/>
                <w:szCs w:val="18"/>
              </w:rPr>
            </w:pPr>
          </w:p>
        </w:tc>
        <w:tc>
          <w:tcPr>
            <w:tcW w:w="720" w:type="dxa"/>
            <w:gridSpan w:val="2"/>
            <w:tcBorders>
              <w:left w:val="dashSmallGap" w:sz="4" w:space="0" w:color="auto"/>
            </w:tcBorders>
          </w:tcPr>
          <w:p>
            <w:pPr>
              <w:ind w:right="-29"/>
              <w:jc w:val="center"/>
              <w:rPr>
                <w:noProof/>
                <w:sz w:val="18"/>
                <w:szCs w:val="18"/>
              </w:rPr>
            </w:pPr>
          </w:p>
        </w:tc>
        <w:tc>
          <w:tcPr>
            <w:tcW w:w="540" w:type="dxa"/>
            <w:tcBorders>
              <w:right w:val="dashSmallGap" w:sz="4" w:space="0" w:color="auto"/>
            </w:tcBorders>
          </w:tcPr>
          <w:p>
            <w:pPr>
              <w:ind w:right="-29"/>
              <w:jc w:val="center"/>
              <w:rPr>
                <w:noProof/>
                <w:sz w:val="18"/>
                <w:szCs w:val="18"/>
              </w:rPr>
            </w:pPr>
          </w:p>
        </w:tc>
        <w:tc>
          <w:tcPr>
            <w:tcW w:w="648" w:type="dxa"/>
            <w:tcBorders>
              <w:left w:val="dashSmallGap" w:sz="4" w:space="0" w:color="auto"/>
            </w:tcBorders>
          </w:tcPr>
          <w:p>
            <w:pPr>
              <w:ind w:right="-29"/>
              <w:jc w:val="center"/>
              <w:rPr>
                <w:noProof/>
                <w:sz w:val="18"/>
                <w:szCs w:val="18"/>
              </w:rPr>
            </w:pPr>
          </w:p>
        </w:tc>
        <w:tc>
          <w:tcPr>
            <w:tcW w:w="432" w:type="dxa"/>
            <w:tcBorders>
              <w:right w:val="dashSmallGap" w:sz="4" w:space="0" w:color="auto"/>
            </w:tcBorders>
          </w:tcPr>
          <w:p>
            <w:pPr>
              <w:ind w:right="-29"/>
              <w:jc w:val="center"/>
              <w:rPr>
                <w:noProof/>
                <w:sz w:val="18"/>
                <w:szCs w:val="18"/>
              </w:rPr>
            </w:pPr>
          </w:p>
        </w:tc>
        <w:tc>
          <w:tcPr>
            <w:tcW w:w="720" w:type="dxa"/>
            <w:tcBorders>
              <w:left w:val="dashSmallGap" w:sz="4" w:space="0" w:color="auto"/>
            </w:tcBorders>
          </w:tcPr>
          <w:p>
            <w:pPr>
              <w:ind w:right="-29"/>
              <w:jc w:val="center"/>
              <w:rPr>
                <w:noProof/>
                <w:sz w:val="18"/>
                <w:szCs w:val="18"/>
              </w:rPr>
            </w:pPr>
          </w:p>
        </w:tc>
        <w:tc>
          <w:tcPr>
            <w:tcW w:w="540" w:type="dxa"/>
            <w:tcBorders>
              <w:right w:val="dashSmallGap" w:sz="4" w:space="0" w:color="auto"/>
            </w:tcBorders>
          </w:tcPr>
          <w:p>
            <w:pPr>
              <w:ind w:right="-29"/>
              <w:jc w:val="center"/>
              <w:rPr>
                <w:noProof/>
                <w:sz w:val="18"/>
                <w:szCs w:val="18"/>
              </w:rPr>
            </w:pPr>
          </w:p>
        </w:tc>
        <w:tc>
          <w:tcPr>
            <w:tcW w:w="720" w:type="dxa"/>
            <w:tcBorders>
              <w:left w:val="dashSmallGap" w:sz="4" w:space="0" w:color="auto"/>
            </w:tcBorders>
          </w:tcPr>
          <w:p>
            <w:pPr>
              <w:ind w:right="-29"/>
              <w:jc w:val="center"/>
              <w:rPr>
                <w:noProof/>
                <w:sz w:val="18"/>
                <w:szCs w:val="18"/>
              </w:rPr>
            </w:pPr>
          </w:p>
        </w:tc>
        <w:tc>
          <w:tcPr>
            <w:tcW w:w="720" w:type="dxa"/>
          </w:tcPr>
          <w:p>
            <w:pPr>
              <w:ind w:right="-29"/>
              <w:jc w:val="center"/>
              <w:rPr>
                <w:noProof/>
                <w:sz w:val="18"/>
                <w:szCs w:val="18"/>
              </w:rPr>
            </w:pPr>
          </w:p>
        </w:tc>
        <w:tc>
          <w:tcPr>
            <w:tcW w:w="900" w:type="dxa"/>
          </w:tcPr>
          <w:p>
            <w:pPr>
              <w:ind w:right="-29"/>
              <w:jc w:val="center"/>
              <w:rPr>
                <w:noProof/>
                <w:sz w:val="18"/>
                <w:szCs w:val="18"/>
              </w:rPr>
            </w:pPr>
          </w:p>
        </w:tc>
      </w:tr>
      <w:tr>
        <w:trPr>
          <w:trHeight w:hRule="exact" w:val="369"/>
          <w:jc w:val="center"/>
        </w:trPr>
        <w:tc>
          <w:tcPr>
            <w:tcW w:w="1423" w:type="dxa"/>
          </w:tcPr>
          <w:p>
            <w:pPr>
              <w:ind w:right="-29"/>
              <w:jc w:val="center"/>
              <w:rPr>
                <w:noProof/>
                <w:sz w:val="18"/>
                <w:szCs w:val="18"/>
              </w:rPr>
            </w:pPr>
            <w:r>
              <w:rPr>
                <w:noProof/>
                <w:sz w:val="18"/>
              </w:rPr>
              <w:t>- Réalisation</w:t>
            </w:r>
          </w:p>
        </w:tc>
        <w:tc>
          <w:tcPr>
            <w:tcW w:w="720" w:type="dxa"/>
          </w:tcPr>
          <w:p>
            <w:pPr>
              <w:ind w:right="-29"/>
              <w:jc w:val="center"/>
              <w:rPr>
                <w:noProof/>
                <w:sz w:val="18"/>
                <w:szCs w:val="18"/>
              </w:rPr>
            </w:pPr>
          </w:p>
        </w:tc>
        <w:tc>
          <w:tcPr>
            <w:tcW w:w="701" w:type="dxa"/>
          </w:tcPr>
          <w:p>
            <w:pPr>
              <w:ind w:right="-29"/>
              <w:jc w:val="center"/>
              <w:rPr>
                <w:noProof/>
                <w:sz w:val="18"/>
                <w:szCs w:val="18"/>
              </w:rPr>
            </w:pPr>
          </w:p>
        </w:tc>
        <w:tc>
          <w:tcPr>
            <w:tcW w:w="504" w:type="dxa"/>
            <w:tcBorders>
              <w:right w:val="dashSmallGap" w:sz="4" w:space="0" w:color="auto"/>
            </w:tcBorders>
          </w:tcPr>
          <w:p>
            <w:pPr>
              <w:ind w:right="-29"/>
              <w:jc w:val="center"/>
              <w:rPr>
                <w:noProof/>
                <w:sz w:val="18"/>
                <w:szCs w:val="18"/>
              </w:rPr>
            </w:pPr>
          </w:p>
        </w:tc>
        <w:tc>
          <w:tcPr>
            <w:tcW w:w="720" w:type="dxa"/>
            <w:tcBorders>
              <w:left w:val="dashSmallGap" w:sz="4" w:space="0" w:color="auto"/>
            </w:tcBorders>
          </w:tcPr>
          <w:p>
            <w:pPr>
              <w:ind w:right="-29"/>
              <w:jc w:val="center"/>
              <w:rPr>
                <w:noProof/>
                <w:sz w:val="18"/>
                <w:szCs w:val="18"/>
              </w:rPr>
            </w:pPr>
          </w:p>
        </w:tc>
        <w:tc>
          <w:tcPr>
            <w:tcW w:w="540" w:type="dxa"/>
            <w:tcBorders>
              <w:right w:val="dashSmallGap" w:sz="4" w:space="0" w:color="auto"/>
            </w:tcBorders>
          </w:tcPr>
          <w:p>
            <w:pPr>
              <w:ind w:right="-29"/>
              <w:jc w:val="center"/>
              <w:rPr>
                <w:noProof/>
                <w:sz w:val="18"/>
                <w:szCs w:val="18"/>
              </w:rPr>
            </w:pPr>
          </w:p>
        </w:tc>
        <w:tc>
          <w:tcPr>
            <w:tcW w:w="720" w:type="dxa"/>
            <w:tcBorders>
              <w:left w:val="dashSmallGap" w:sz="4" w:space="0" w:color="auto"/>
            </w:tcBorders>
          </w:tcPr>
          <w:p>
            <w:pPr>
              <w:ind w:right="-29"/>
              <w:jc w:val="center"/>
              <w:rPr>
                <w:noProof/>
                <w:sz w:val="18"/>
                <w:szCs w:val="18"/>
              </w:rPr>
            </w:pPr>
          </w:p>
        </w:tc>
        <w:tc>
          <w:tcPr>
            <w:tcW w:w="720" w:type="dxa"/>
            <w:tcBorders>
              <w:right w:val="dashSmallGap" w:sz="4" w:space="0" w:color="auto"/>
            </w:tcBorders>
          </w:tcPr>
          <w:p>
            <w:pPr>
              <w:ind w:right="-29"/>
              <w:jc w:val="center"/>
              <w:rPr>
                <w:noProof/>
                <w:sz w:val="18"/>
                <w:szCs w:val="18"/>
              </w:rPr>
            </w:pPr>
          </w:p>
        </w:tc>
        <w:tc>
          <w:tcPr>
            <w:tcW w:w="720" w:type="dxa"/>
            <w:tcBorders>
              <w:left w:val="dashSmallGap" w:sz="4" w:space="0" w:color="auto"/>
            </w:tcBorders>
          </w:tcPr>
          <w:p>
            <w:pPr>
              <w:ind w:right="-29"/>
              <w:jc w:val="center"/>
              <w:rPr>
                <w:noProof/>
                <w:sz w:val="18"/>
                <w:szCs w:val="18"/>
              </w:rPr>
            </w:pPr>
          </w:p>
        </w:tc>
        <w:tc>
          <w:tcPr>
            <w:tcW w:w="900" w:type="dxa"/>
            <w:tcBorders>
              <w:right w:val="dashSmallGap" w:sz="4" w:space="0" w:color="auto"/>
            </w:tcBorders>
          </w:tcPr>
          <w:p>
            <w:pPr>
              <w:ind w:right="-29"/>
              <w:jc w:val="center"/>
              <w:rPr>
                <w:noProof/>
                <w:sz w:val="18"/>
                <w:szCs w:val="18"/>
              </w:rPr>
            </w:pPr>
          </w:p>
        </w:tc>
        <w:tc>
          <w:tcPr>
            <w:tcW w:w="720" w:type="dxa"/>
            <w:gridSpan w:val="2"/>
            <w:tcBorders>
              <w:left w:val="dashSmallGap" w:sz="4" w:space="0" w:color="auto"/>
            </w:tcBorders>
          </w:tcPr>
          <w:p>
            <w:pPr>
              <w:ind w:right="-29"/>
              <w:jc w:val="center"/>
              <w:rPr>
                <w:noProof/>
                <w:sz w:val="18"/>
                <w:szCs w:val="18"/>
              </w:rPr>
            </w:pPr>
          </w:p>
        </w:tc>
        <w:tc>
          <w:tcPr>
            <w:tcW w:w="540" w:type="dxa"/>
            <w:tcBorders>
              <w:right w:val="dashSmallGap" w:sz="4" w:space="0" w:color="auto"/>
            </w:tcBorders>
          </w:tcPr>
          <w:p>
            <w:pPr>
              <w:ind w:right="-29"/>
              <w:jc w:val="center"/>
              <w:rPr>
                <w:noProof/>
                <w:sz w:val="18"/>
                <w:szCs w:val="18"/>
              </w:rPr>
            </w:pPr>
          </w:p>
        </w:tc>
        <w:tc>
          <w:tcPr>
            <w:tcW w:w="648" w:type="dxa"/>
            <w:tcBorders>
              <w:left w:val="dashSmallGap" w:sz="4" w:space="0" w:color="auto"/>
            </w:tcBorders>
          </w:tcPr>
          <w:p>
            <w:pPr>
              <w:ind w:right="-29"/>
              <w:jc w:val="center"/>
              <w:rPr>
                <w:noProof/>
                <w:sz w:val="18"/>
                <w:szCs w:val="18"/>
              </w:rPr>
            </w:pPr>
          </w:p>
        </w:tc>
        <w:tc>
          <w:tcPr>
            <w:tcW w:w="432" w:type="dxa"/>
            <w:tcBorders>
              <w:right w:val="dashSmallGap" w:sz="4" w:space="0" w:color="auto"/>
            </w:tcBorders>
          </w:tcPr>
          <w:p>
            <w:pPr>
              <w:ind w:right="-29"/>
              <w:jc w:val="center"/>
              <w:rPr>
                <w:noProof/>
                <w:sz w:val="18"/>
                <w:szCs w:val="18"/>
              </w:rPr>
            </w:pPr>
          </w:p>
        </w:tc>
        <w:tc>
          <w:tcPr>
            <w:tcW w:w="720" w:type="dxa"/>
            <w:tcBorders>
              <w:left w:val="dashSmallGap" w:sz="4" w:space="0" w:color="auto"/>
            </w:tcBorders>
          </w:tcPr>
          <w:p>
            <w:pPr>
              <w:ind w:right="-29"/>
              <w:jc w:val="center"/>
              <w:rPr>
                <w:noProof/>
                <w:sz w:val="18"/>
                <w:szCs w:val="18"/>
              </w:rPr>
            </w:pPr>
          </w:p>
        </w:tc>
        <w:tc>
          <w:tcPr>
            <w:tcW w:w="540" w:type="dxa"/>
            <w:tcBorders>
              <w:right w:val="dashSmallGap" w:sz="4" w:space="0" w:color="auto"/>
            </w:tcBorders>
          </w:tcPr>
          <w:p>
            <w:pPr>
              <w:ind w:right="-29"/>
              <w:jc w:val="center"/>
              <w:rPr>
                <w:noProof/>
                <w:sz w:val="18"/>
                <w:szCs w:val="18"/>
              </w:rPr>
            </w:pPr>
          </w:p>
        </w:tc>
        <w:tc>
          <w:tcPr>
            <w:tcW w:w="720" w:type="dxa"/>
            <w:tcBorders>
              <w:left w:val="dashSmallGap" w:sz="4" w:space="0" w:color="auto"/>
            </w:tcBorders>
          </w:tcPr>
          <w:p>
            <w:pPr>
              <w:ind w:right="-29"/>
              <w:jc w:val="center"/>
              <w:rPr>
                <w:noProof/>
                <w:sz w:val="18"/>
                <w:szCs w:val="18"/>
              </w:rPr>
            </w:pPr>
          </w:p>
        </w:tc>
        <w:tc>
          <w:tcPr>
            <w:tcW w:w="720" w:type="dxa"/>
          </w:tcPr>
          <w:p>
            <w:pPr>
              <w:ind w:right="-29"/>
              <w:jc w:val="center"/>
              <w:rPr>
                <w:noProof/>
                <w:sz w:val="18"/>
                <w:szCs w:val="18"/>
              </w:rPr>
            </w:pPr>
          </w:p>
        </w:tc>
        <w:tc>
          <w:tcPr>
            <w:tcW w:w="900" w:type="dxa"/>
          </w:tcPr>
          <w:p>
            <w:pPr>
              <w:ind w:right="-29"/>
              <w:jc w:val="center"/>
              <w:rPr>
                <w:noProof/>
                <w:sz w:val="18"/>
                <w:szCs w:val="18"/>
              </w:rPr>
            </w:pPr>
          </w:p>
        </w:tc>
      </w:tr>
      <w:tr>
        <w:trPr>
          <w:trHeight w:hRule="exact" w:val="369"/>
          <w:jc w:val="center"/>
        </w:trPr>
        <w:tc>
          <w:tcPr>
            <w:tcW w:w="1423" w:type="dxa"/>
          </w:tcPr>
          <w:p>
            <w:pPr>
              <w:ind w:right="-29"/>
              <w:jc w:val="center"/>
              <w:rPr>
                <w:noProof/>
                <w:sz w:val="18"/>
                <w:szCs w:val="18"/>
              </w:rPr>
            </w:pPr>
            <w:r>
              <w:rPr>
                <w:noProof/>
                <w:sz w:val="18"/>
              </w:rPr>
              <w:t>- Réalisation</w:t>
            </w:r>
          </w:p>
        </w:tc>
        <w:tc>
          <w:tcPr>
            <w:tcW w:w="720" w:type="dxa"/>
          </w:tcPr>
          <w:p>
            <w:pPr>
              <w:ind w:right="-29"/>
              <w:jc w:val="center"/>
              <w:rPr>
                <w:noProof/>
                <w:sz w:val="18"/>
                <w:szCs w:val="18"/>
              </w:rPr>
            </w:pPr>
          </w:p>
        </w:tc>
        <w:tc>
          <w:tcPr>
            <w:tcW w:w="701" w:type="dxa"/>
          </w:tcPr>
          <w:p>
            <w:pPr>
              <w:ind w:right="-29"/>
              <w:jc w:val="center"/>
              <w:rPr>
                <w:noProof/>
                <w:sz w:val="18"/>
                <w:szCs w:val="18"/>
              </w:rPr>
            </w:pPr>
          </w:p>
        </w:tc>
        <w:tc>
          <w:tcPr>
            <w:tcW w:w="504" w:type="dxa"/>
          </w:tcPr>
          <w:p>
            <w:pPr>
              <w:ind w:right="-29"/>
              <w:jc w:val="center"/>
              <w:rPr>
                <w:noProof/>
                <w:sz w:val="18"/>
                <w:szCs w:val="18"/>
              </w:rPr>
            </w:pPr>
          </w:p>
        </w:tc>
        <w:tc>
          <w:tcPr>
            <w:tcW w:w="720" w:type="dxa"/>
          </w:tcPr>
          <w:p>
            <w:pPr>
              <w:ind w:right="-29"/>
              <w:jc w:val="center"/>
              <w:rPr>
                <w:noProof/>
                <w:sz w:val="18"/>
                <w:szCs w:val="18"/>
              </w:rPr>
            </w:pPr>
          </w:p>
        </w:tc>
        <w:tc>
          <w:tcPr>
            <w:tcW w:w="540" w:type="dxa"/>
          </w:tcPr>
          <w:p>
            <w:pPr>
              <w:ind w:right="-29"/>
              <w:jc w:val="center"/>
              <w:rPr>
                <w:noProof/>
                <w:sz w:val="18"/>
                <w:szCs w:val="18"/>
              </w:rPr>
            </w:pPr>
          </w:p>
        </w:tc>
        <w:tc>
          <w:tcPr>
            <w:tcW w:w="720" w:type="dxa"/>
          </w:tcPr>
          <w:p>
            <w:pPr>
              <w:ind w:right="-29"/>
              <w:jc w:val="center"/>
              <w:rPr>
                <w:noProof/>
                <w:sz w:val="18"/>
                <w:szCs w:val="18"/>
              </w:rPr>
            </w:pPr>
          </w:p>
        </w:tc>
        <w:tc>
          <w:tcPr>
            <w:tcW w:w="720" w:type="dxa"/>
          </w:tcPr>
          <w:p>
            <w:pPr>
              <w:ind w:right="-29"/>
              <w:jc w:val="center"/>
              <w:rPr>
                <w:noProof/>
                <w:sz w:val="18"/>
                <w:szCs w:val="18"/>
              </w:rPr>
            </w:pPr>
          </w:p>
        </w:tc>
        <w:tc>
          <w:tcPr>
            <w:tcW w:w="720" w:type="dxa"/>
          </w:tcPr>
          <w:p>
            <w:pPr>
              <w:ind w:right="-29"/>
              <w:jc w:val="center"/>
              <w:rPr>
                <w:noProof/>
                <w:sz w:val="18"/>
                <w:szCs w:val="18"/>
              </w:rPr>
            </w:pPr>
          </w:p>
        </w:tc>
        <w:tc>
          <w:tcPr>
            <w:tcW w:w="900" w:type="dxa"/>
          </w:tcPr>
          <w:p>
            <w:pPr>
              <w:ind w:right="-29"/>
              <w:jc w:val="center"/>
              <w:rPr>
                <w:noProof/>
                <w:sz w:val="18"/>
                <w:szCs w:val="18"/>
              </w:rPr>
            </w:pPr>
          </w:p>
        </w:tc>
        <w:tc>
          <w:tcPr>
            <w:tcW w:w="720" w:type="dxa"/>
            <w:gridSpan w:val="2"/>
          </w:tcPr>
          <w:p>
            <w:pPr>
              <w:ind w:right="-29"/>
              <w:jc w:val="center"/>
              <w:rPr>
                <w:noProof/>
                <w:sz w:val="18"/>
                <w:szCs w:val="18"/>
              </w:rPr>
            </w:pPr>
          </w:p>
        </w:tc>
        <w:tc>
          <w:tcPr>
            <w:tcW w:w="540" w:type="dxa"/>
          </w:tcPr>
          <w:p>
            <w:pPr>
              <w:ind w:right="-29"/>
              <w:jc w:val="center"/>
              <w:rPr>
                <w:noProof/>
                <w:sz w:val="18"/>
                <w:szCs w:val="18"/>
              </w:rPr>
            </w:pPr>
          </w:p>
        </w:tc>
        <w:tc>
          <w:tcPr>
            <w:tcW w:w="648" w:type="dxa"/>
          </w:tcPr>
          <w:p>
            <w:pPr>
              <w:ind w:right="-29"/>
              <w:jc w:val="center"/>
              <w:rPr>
                <w:noProof/>
                <w:sz w:val="18"/>
                <w:szCs w:val="18"/>
              </w:rPr>
            </w:pPr>
          </w:p>
        </w:tc>
        <w:tc>
          <w:tcPr>
            <w:tcW w:w="432" w:type="dxa"/>
          </w:tcPr>
          <w:p>
            <w:pPr>
              <w:ind w:right="-29"/>
              <w:jc w:val="center"/>
              <w:rPr>
                <w:noProof/>
                <w:sz w:val="18"/>
                <w:szCs w:val="18"/>
              </w:rPr>
            </w:pPr>
          </w:p>
        </w:tc>
        <w:tc>
          <w:tcPr>
            <w:tcW w:w="720" w:type="dxa"/>
          </w:tcPr>
          <w:p>
            <w:pPr>
              <w:ind w:right="-29"/>
              <w:jc w:val="center"/>
              <w:rPr>
                <w:noProof/>
                <w:sz w:val="18"/>
                <w:szCs w:val="18"/>
              </w:rPr>
            </w:pPr>
          </w:p>
        </w:tc>
        <w:tc>
          <w:tcPr>
            <w:tcW w:w="540" w:type="dxa"/>
          </w:tcPr>
          <w:p>
            <w:pPr>
              <w:ind w:right="-29"/>
              <w:jc w:val="center"/>
              <w:rPr>
                <w:noProof/>
                <w:sz w:val="18"/>
                <w:szCs w:val="18"/>
              </w:rPr>
            </w:pPr>
          </w:p>
        </w:tc>
        <w:tc>
          <w:tcPr>
            <w:tcW w:w="720" w:type="dxa"/>
          </w:tcPr>
          <w:p>
            <w:pPr>
              <w:ind w:right="-29"/>
              <w:jc w:val="center"/>
              <w:rPr>
                <w:noProof/>
                <w:sz w:val="18"/>
                <w:szCs w:val="18"/>
              </w:rPr>
            </w:pPr>
          </w:p>
        </w:tc>
        <w:tc>
          <w:tcPr>
            <w:tcW w:w="720" w:type="dxa"/>
          </w:tcPr>
          <w:p>
            <w:pPr>
              <w:ind w:right="-29"/>
              <w:jc w:val="center"/>
              <w:rPr>
                <w:noProof/>
                <w:sz w:val="18"/>
                <w:szCs w:val="18"/>
              </w:rPr>
            </w:pPr>
          </w:p>
        </w:tc>
        <w:tc>
          <w:tcPr>
            <w:tcW w:w="900" w:type="dxa"/>
          </w:tcPr>
          <w:p>
            <w:pPr>
              <w:ind w:right="-29"/>
              <w:jc w:val="center"/>
              <w:rPr>
                <w:noProof/>
                <w:sz w:val="18"/>
                <w:szCs w:val="18"/>
              </w:rPr>
            </w:pPr>
          </w:p>
        </w:tc>
      </w:tr>
      <w:tr>
        <w:trPr>
          <w:trHeight w:val="77"/>
          <w:jc w:val="center"/>
        </w:trPr>
        <w:tc>
          <w:tcPr>
            <w:tcW w:w="2844" w:type="dxa"/>
            <w:gridSpan w:val="3"/>
            <w:tcBorders>
              <w:bottom w:val="single" w:sz="12" w:space="0" w:color="auto"/>
            </w:tcBorders>
            <w:vAlign w:val="center"/>
          </w:tcPr>
          <w:p>
            <w:pPr>
              <w:ind w:right="-29"/>
              <w:jc w:val="center"/>
              <w:rPr>
                <w:noProof/>
                <w:sz w:val="18"/>
                <w:szCs w:val="18"/>
              </w:rPr>
            </w:pPr>
            <w:r>
              <w:rPr>
                <w:noProof/>
                <w:sz w:val="18"/>
              </w:rPr>
              <w:t>Sous-total objectif spécifique n° 1</w:t>
            </w:r>
          </w:p>
        </w:tc>
        <w:tc>
          <w:tcPr>
            <w:tcW w:w="504" w:type="dxa"/>
            <w:tcBorders>
              <w:bottom w:val="single" w:sz="12" w:space="0" w:color="auto"/>
            </w:tcBorders>
          </w:tcPr>
          <w:p>
            <w:pPr>
              <w:ind w:right="-29"/>
              <w:jc w:val="center"/>
              <w:rPr>
                <w:noProof/>
                <w:sz w:val="18"/>
                <w:szCs w:val="18"/>
              </w:rPr>
            </w:pPr>
          </w:p>
        </w:tc>
        <w:tc>
          <w:tcPr>
            <w:tcW w:w="720" w:type="dxa"/>
            <w:tcBorders>
              <w:bottom w:val="single" w:sz="12" w:space="0" w:color="auto"/>
            </w:tcBorders>
          </w:tcPr>
          <w:p>
            <w:pPr>
              <w:ind w:right="-29"/>
              <w:jc w:val="center"/>
              <w:rPr>
                <w:noProof/>
                <w:sz w:val="18"/>
                <w:szCs w:val="18"/>
              </w:rPr>
            </w:pPr>
          </w:p>
        </w:tc>
        <w:tc>
          <w:tcPr>
            <w:tcW w:w="540" w:type="dxa"/>
            <w:tcBorders>
              <w:bottom w:val="single" w:sz="12" w:space="0" w:color="auto"/>
            </w:tcBorders>
          </w:tcPr>
          <w:p>
            <w:pPr>
              <w:ind w:right="-29"/>
              <w:jc w:val="center"/>
              <w:rPr>
                <w:noProof/>
                <w:sz w:val="18"/>
                <w:szCs w:val="18"/>
              </w:rPr>
            </w:pPr>
          </w:p>
        </w:tc>
        <w:tc>
          <w:tcPr>
            <w:tcW w:w="720" w:type="dxa"/>
            <w:tcBorders>
              <w:bottom w:val="single" w:sz="12" w:space="0" w:color="auto"/>
            </w:tcBorders>
          </w:tcPr>
          <w:p>
            <w:pPr>
              <w:ind w:right="-29"/>
              <w:jc w:val="center"/>
              <w:rPr>
                <w:noProof/>
                <w:sz w:val="18"/>
                <w:szCs w:val="18"/>
              </w:rPr>
            </w:pPr>
          </w:p>
        </w:tc>
        <w:tc>
          <w:tcPr>
            <w:tcW w:w="720" w:type="dxa"/>
            <w:tcBorders>
              <w:bottom w:val="single" w:sz="12" w:space="0" w:color="auto"/>
            </w:tcBorders>
          </w:tcPr>
          <w:p>
            <w:pPr>
              <w:ind w:right="-29"/>
              <w:jc w:val="center"/>
              <w:rPr>
                <w:noProof/>
                <w:sz w:val="18"/>
                <w:szCs w:val="18"/>
              </w:rPr>
            </w:pPr>
          </w:p>
        </w:tc>
        <w:tc>
          <w:tcPr>
            <w:tcW w:w="720" w:type="dxa"/>
            <w:tcBorders>
              <w:bottom w:val="single" w:sz="12" w:space="0" w:color="auto"/>
            </w:tcBorders>
          </w:tcPr>
          <w:p>
            <w:pPr>
              <w:ind w:right="-29"/>
              <w:jc w:val="center"/>
              <w:rPr>
                <w:noProof/>
                <w:sz w:val="18"/>
                <w:szCs w:val="18"/>
              </w:rPr>
            </w:pPr>
          </w:p>
        </w:tc>
        <w:tc>
          <w:tcPr>
            <w:tcW w:w="900" w:type="dxa"/>
            <w:tcBorders>
              <w:bottom w:val="single" w:sz="12" w:space="0" w:color="auto"/>
            </w:tcBorders>
          </w:tcPr>
          <w:p>
            <w:pPr>
              <w:ind w:right="-29"/>
              <w:jc w:val="center"/>
              <w:rPr>
                <w:noProof/>
                <w:sz w:val="18"/>
                <w:szCs w:val="18"/>
              </w:rPr>
            </w:pPr>
          </w:p>
        </w:tc>
        <w:tc>
          <w:tcPr>
            <w:tcW w:w="720" w:type="dxa"/>
            <w:gridSpan w:val="2"/>
            <w:tcBorders>
              <w:bottom w:val="single" w:sz="12" w:space="0" w:color="auto"/>
            </w:tcBorders>
          </w:tcPr>
          <w:p>
            <w:pPr>
              <w:ind w:right="-29"/>
              <w:jc w:val="center"/>
              <w:rPr>
                <w:noProof/>
                <w:sz w:val="18"/>
                <w:szCs w:val="18"/>
              </w:rPr>
            </w:pPr>
          </w:p>
        </w:tc>
        <w:tc>
          <w:tcPr>
            <w:tcW w:w="540" w:type="dxa"/>
            <w:tcBorders>
              <w:bottom w:val="single" w:sz="12" w:space="0" w:color="auto"/>
            </w:tcBorders>
          </w:tcPr>
          <w:p>
            <w:pPr>
              <w:ind w:right="-29"/>
              <w:jc w:val="center"/>
              <w:rPr>
                <w:noProof/>
                <w:sz w:val="18"/>
                <w:szCs w:val="18"/>
              </w:rPr>
            </w:pPr>
          </w:p>
        </w:tc>
        <w:tc>
          <w:tcPr>
            <w:tcW w:w="648" w:type="dxa"/>
            <w:tcBorders>
              <w:bottom w:val="single" w:sz="12" w:space="0" w:color="auto"/>
            </w:tcBorders>
          </w:tcPr>
          <w:p>
            <w:pPr>
              <w:ind w:right="-29"/>
              <w:jc w:val="center"/>
              <w:rPr>
                <w:noProof/>
                <w:sz w:val="18"/>
                <w:szCs w:val="18"/>
              </w:rPr>
            </w:pPr>
          </w:p>
        </w:tc>
        <w:tc>
          <w:tcPr>
            <w:tcW w:w="432" w:type="dxa"/>
            <w:tcBorders>
              <w:bottom w:val="single" w:sz="12" w:space="0" w:color="auto"/>
            </w:tcBorders>
          </w:tcPr>
          <w:p>
            <w:pPr>
              <w:ind w:right="-29"/>
              <w:jc w:val="center"/>
              <w:rPr>
                <w:noProof/>
                <w:sz w:val="18"/>
                <w:szCs w:val="18"/>
              </w:rPr>
            </w:pPr>
          </w:p>
        </w:tc>
        <w:tc>
          <w:tcPr>
            <w:tcW w:w="720" w:type="dxa"/>
            <w:tcBorders>
              <w:bottom w:val="single" w:sz="12" w:space="0" w:color="auto"/>
            </w:tcBorders>
          </w:tcPr>
          <w:p>
            <w:pPr>
              <w:ind w:right="-29"/>
              <w:jc w:val="center"/>
              <w:rPr>
                <w:noProof/>
                <w:sz w:val="18"/>
                <w:szCs w:val="18"/>
              </w:rPr>
            </w:pPr>
          </w:p>
        </w:tc>
        <w:tc>
          <w:tcPr>
            <w:tcW w:w="540" w:type="dxa"/>
            <w:tcBorders>
              <w:bottom w:val="single" w:sz="12" w:space="0" w:color="auto"/>
            </w:tcBorders>
          </w:tcPr>
          <w:p>
            <w:pPr>
              <w:ind w:right="-29"/>
              <w:jc w:val="center"/>
              <w:rPr>
                <w:noProof/>
                <w:sz w:val="18"/>
                <w:szCs w:val="18"/>
              </w:rPr>
            </w:pPr>
          </w:p>
        </w:tc>
        <w:tc>
          <w:tcPr>
            <w:tcW w:w="720" w:type="dxa"/>
            <w:tcBorders>
              <w:bottom w:val="single" w:sz="12" w:space="0" w:color="auto"/>
            </w:tcBorders>
          </w:tcPr>
          <w:p>
            <w:pPr>
              <w:ind w:right="-29"/>
              <w:jc w:val="center"/>
              <w:rPr>
                <w:noProof/>
                <w:sz w:val="18"/>
                <w:szCs w:val="18"/>
              </w:rPr>
            </w:pPr>
          </w:p>
        </w:tc>
        <w:tc>
          <w:tcPr>
            <w:tcW w:w="720" w:type="dxa"/>
            <w:tcBorders>
              <w:bottom w:val="single" w:sz="12" w:space="0" w:color="auto"/>
            </w:tcBorders>
          </w:tcPr>
          <w:p>
            <w:pPr>
              <w:ind w:right="-29"/>
              <w:jc w:val="center"/>
              <w:rPr>
                <w:noProof/>
                <w:sz w:val="18"/>
                <w:szCs w:val="18"/>
              </w:rPr>
            </w:pPr>
          </w:p>
        </w:tc>
        <w:tc>
          <w:tcPr>
            <w:tcW w:w="900" w:type="dxa"/>
            <w:tcBorders>
              <w:bottom w:val="single" w:sz="12" w:space="0" w:color="auto"/>
            </w:tcBorders>
          </w:tcPr>
          <w:p>
            <w:pPr>
              <w:ind w:right="-29"/>
              <w:jc w:val="center"/>
              <w:rPr>
                <w:noProof/>
                <w:sz w:val="18"/>
                <w:szCs w:val="18"/>
              </w:rPr>
            </w:pPr>
          </w:p>
        </w:tc>
      </w:tr>
      <w:tr>
        <w:trPr>
          <w:jc w:val="center"/>
        </w:trPr>
        <w:tc>
          <w:tcPr>
            <w:tcW w:w="2844" w:type="dxa"/>
            <w:gridSpan w:val="3"/>
            <w:vAlign w:val="center"/>
          </w:tcPr>
          <w:p>
            <w:pPr>
              <w:spacing w:before="60" w:after="60"/>
              <w:ind w:right="-29"/>
              <w:jc w:val="center"/>
              <w:rPr>
                <w:noProof/>
                <w:sz w:val="18"/>
                <w:szCs w:val="18"/>
              </w:rPr>
            </w:pPr>
            <w:r>
              <w:rPr>
                <w:noProof/>
                <w:sz w:val="18"/>
              </w:rPr>
              <w:t>OBJECTIF SPÉCIFIQUE n° 2…</w:t>
            </w:r>
          </w:p>
        </w:tc>
        <w:tc>
          <w:tcPr>
            <w:tcW w:w="504" w:type="dxa"/>
            <w:tcBorders>
              <w:top w:val="nil"/>
              <w:left w:val="nil"/>
              <w:bottom w:val="nil"/>
              <w:right w:val="nil"/>
            </w:tcBorders>
          </w:tcPr>
          <w:p>
            <w:pPr>
              <w:spacing w:before="60" w:after="60"/>
              <w:ind w:right="-29"/>
              <w:jc w:val="center"/>
              <w:rPr>
                <w:noProof/>
                <w:sz w:val="18"/>
                <w:szCs w:val="18"/>
              </w:rPr>
            </w:pPr>
          </w:p>
        </w:tc>
        <w:tc>
          <w:tcPr>
            <w:tcW w:w="720" w:type="dxa"/>
            <w:tcBorders>
              <w:top w:val="nil"/>
              <w:left w:val="nil"/>
              <w:bottom w:val="nil"/>
              <w:right w:val="nil"/>
            </w:tcBorders>
          </w:tcPr>
          <w:p>
            <w:pPr>
              <w:spacing w:before="60" w:after="60"/>
              <w:ind w:right="-29"/>
              <w:jc w:val="center"/>
              <w:rPr>
                <w:noProof/>
                <w:sz w:val="18"/>
                <w:szCs w:val="18"/>
              </w:rPr>
            </w:pPr>
          </w:p>
        </w:tc>
        <w:tc>
          <w:tcPr>
            <w:tcW w:w="540" w:type="dxa"/>
            <w:tcBorders>
              <w:top w:val="nil"/>
              <w:left w:val="nil"/>
              <w:bottom w:val="nil"/>
              <w:right w:val="nil"/>
            </w:tcBorders>
          </w:tcPr>
          <w:p>
            <w:pPr>
              <w:spacing w:before="60" w:after="60"/>
              <w:ind w:right="-29"/>
              <w:jc w:val="center"/>
              <w:rPr>
                <w:noProof/>
                <w:sz w:val="18"/>
                <w:szCs w:val="18"/>
              </w:rPr>
            </w:pPr>
          </w:p>
        </w:tc>
        <w:tc>
          <w:tcPr>
            <w:tcW w:w="720" w:type="dxa"/>
            <w:tcBorders>
              <w:top w:val="nil"/>
              <w:left w:val="nil"/>
              <w:bottom w:val="nil"/>
              <w:right w:val="nil"/>
            </w:tcBorders>
          </w:tcPr>
          <w:p>
            <w:pPr>
              <w:spacing w:before="60" w:after="60"/>
              <w:ind w:right="-29"/>
              <w:jc w:val="center"/>
              <w:rPr>
                <w:noProof/>
                <w:sz w:val="18"/>
                <w:szCs w:val="18"/>
              </w:rPr>
            </w:pPr>
          </w:p>
        </w:tc>
        <w:tc>
          <w:tcPr>
            <w:tcW w:w="720" w:type="dxa"/>
            <w:tcBorders>
              <w:top w:val="nil"/>
              <w:left w:val="nil"/>
              <w:bottom w:val="nil"/>
              <w:right w:val="nil"/>
            </w:tcBorders>
          </w:tcPr>
          <w:p>
            <w:pPr>
              <w:spacing w:before="60" w:after="60"/>
              <w:ind w:right="-29"/>
              <w:jc w:val="center"/>
              <w:rPr>
                <w:noProof/>
                <w:sz w:val="18"/>
                <w:szCs w:val="18"/>
              </w:rPr>
            </w:pPr>
          </w:p>
        </w:tc>
        <w:tc>
          <w:tcPr>
            <w:tcW w:w="720" w:type="dxa"/>
            <w:tcBorders>
              <w:top w:val="nil"/>
              <w:left w:val="nil"/>
              <w:bottom w:val="nil"/>
              <w:right w:val="nil"/>
            </w:tcBorders>
          </w:tcPr>
          <w:p>
            <w:pPr>
              <w:spacing w:before="60" w:after="60"/>
              <w:ind w:right="-29"/>
              <w:jc w:val="center"/>
              <w:rPr>
                <w:noProof/>
                <w:sz w:val="18"/>
                <w:szCs w:val="18"/>
              </w:rPr>
            </w:pPr>
          </w:p>
        </w:tc>
        <w:tc>
          <w:tcPr>
            <w:tcW w:w="900" w:type="dxa"/>
            <w:tcBorders>
              <w:top w:val="nil"/>
              <w:left w:val="nil"/>
              <w:bottom w:val="nil"/>
              <w:right w:val="nil"/>
            </w:tcBorders>
          </w:tcPr>
          <w:p>
            <w:pPr>
              <w:spacing w:before="60" w:after="60"/>
              <w:ind w:right="-29"/>
              <w:jc w:val="center"/>
              <w:rPr>
                <w:noProof/>
                <w:sz w:val="18"/>
                <w:szCs w:val="18"/>
              </w:rPr>
            </w:pPr>
          </w:p>
        </w:tc>
        <w:tc>
          <w:tcPr>
            <w:tcW w:w="720" w:type="dxa"/>
            <w:gridSpan w:val="2"/>
            <w:tcBorders>
              <w:top w:val="nil"/>
              <w:left w:val="nil"/>
              <w:bottom w:val="nil"/>
              <w:right w:val="nil"/>
            </w:tcBorders>
          </w:tcPr>
          <w:p>
            <w:pPr>
              <w:spacing w:before="60" w:after="60"/>
              <w:ind w:right="-29"/>
              <w:jc w:val="center"/>
              <w:rPr>
                <w:noProof/>
                <w:sz w:val="18"/>
                <w:szCs w:val="18"/>
              </w:rPr>
            </w:pPr>
          </w:p>
        </w:tc>
        <w:tc>
          <w:tcPr>
            <w:tcW w:w="540" w:type="dxa"/>
            <w:tcBorders>
              <w:top w:val="nil"/>
              <w:left w:val="nil"/>
              <w:bottom w:val="nil"/>
              <w:right w:val="nil"/>
            </w:tcBorders>
          </w:tcPr>
          <w:p>
            <w:pPr>
              <w:spacing w:before="60" w:after="60"/>
              <w:ind w:right="-29"/>
              <w:jc w:val="center"/>
              <w:rPr>
                <w:noProof/>
                <w:sz w:val="18"/>
                <w:szCs w:val="18"/>
              </w:rPr>
            </w:pPr>
          </w:p>
        </w:tc>
        <w:tc>
          <w:tcPr>
            <w:tcW w:w="648" w:type="dxa"/>
            <w:tcBorders>
              <w:top w:val="nil"/>
              <w:left w:val="nil"/>
              <w:bottom w:val="nil"/>
              <w:right w:val="nil"/>
            </w:tcBorders>
          </w:tcPr>
          <w:p>
            <w:pPr>
              <w:spacing w:before="60" w:after="60"/>
              <w:ind w:right="-29"/>
              <w:jc w:val="center"/>
              <w:rPr>
                <w:noProof/>
                <w:sz w:val="18"/>
                <w:szCs w:val="18"/>
              </w:rPr>
            </w:pPr>
          </w:p>
        </w:tc>
        <w:tc>
          <w:tcPr>
            <w:tcW w:w="432" w:type="dxa"/>
            <w:tcBorders>
              <w:top w:val="nil"/>
              <w:left w:val="nil"/>
              <w:bottom w:val="nil"/>
              <w:right w:val="nil"/>
            </w:tcBorders>
          </w:tcPr>
          <w:p>
            <w:pPr>
              <w:spacing w:before="60" w:after="60"/>
              <w:ind w:right="-29"/>
              <w:jc w:val="center"/>
              <w:rPr>
                <w:noProof/>
                <w:sz w:val="18"/>
                <w:szCs w:val="18"/>
              </w:rPr>
            </w:pPr>
          </w:p>
        </w:tc>
        <w:tc>
          <w:tcPr>
            <w:tcW w:w="720" w:type="dxa"/>
            <w:tcBorders>
              <w:top w:val="nil"/>
              <w:left w:val="nil"/>
              <w:bottom w:val="nil"/>
              <w:right w:val="nil"/>
            </w:tcBorders>
          </w:tcPr>
          <w:p>
            <w:pPr>
              <w:spacing w:before="60" w:after="60"/>
              <w:ind w:right="-29"/>
              <w:jc w:val="center"/>
              <w:rPr>
                <w:noProof/>
                <w:sz w:val="18"/>
                <w:szCs w:val="18"/>
              </w:rPr>
            </w:pPr>
          </w:p>
        </w:tc>
        <w:tc>
          <w:tcPr>
            <w:tcW w:w="540" w:type="dxa"/>
            <w:tcBorders>
              <w:top w:val="nil"/>
              <w:left w:val="nil"/>
              <w:bottom w:val="nil"/>
              <w:right w:val="nil"/>
            </w:tcBorders>
          </w:tcPr>
          <w:p>
            <w:pPr>
              <w:spacing w:before="60" w:after="60"/>
              <w:ind w:right="-29"/>
              <w:jc w:val="center"/>
              <w:rPr>
                <w:noProof/>
                <w:sz w:val="18"/>
                <w:szCs w:val="18"/>
              </w:rPr>
            </w:pPr>
          </w:p>
        </w:tc>
        <w:tc>
          <w:tcPr>
            <w:tcW w:w="720" w:type="dxa"/>
            <w:tcBorders>
              <w:top w:val="nil"/>
              <w:left w:val="nil"/>
              <w:bottom w:val="nil"/>
              <w:right w:val="nil"/>
            </w:tcBorders>
          </w:tcPr>
          <w:p>
            <w:pPr>
              <w:spacing w:before="60" w:after="60"/>
              <w:ind w:right="-29"/>
              <w:jc w:val="center"/>
              <w:rPr>
                <w:noProof/>
                <w:sz w:val="18"/>
                <w:szCs w:val="18"/>
              </w:rPr>
            </w:pPr>
          </w:p>
        </w:tc>
        <w:tc>
          <w:tcPr>
            <w:tcW w:w="720" w:type="dxa"/>
            <w:tcBorders>
              <w:top w:val="nil"/>
              <w:left w:val="nil"/>
              <w:bottom w:val="nil"/>
              <w:right w:val="nil"/>
            </w:tcBorders>
          </w:tcPr>
          <w:p>
            <w:pPr>
              <w:spacing w:before="60" w:after="60"/>
              <w:ind w:right="-29"/>
              <w:jc w:val="center"/>
              <w:rPr>
                <w:noProof/>
                <w:sz w:val="18"/>
                <w:szCs w:val="18"/>
              </w:rPr>
            </w:pPr>
          </w:p>
        </w:tc>
        <w:tc>
          <w:tcPr>
            <w:tcW w:w="900" w:type="dxa"/>
            <w:tcBorders>
              <w:top w:val="nil"/>
              <w:left w:val="nil"/>
              <w:bottom w:val="nil"/>
              <w:right w:val="nil"/>
            </w:tcBorders>
          </w:tcPr>
          <w:p>
            <w:pPr>
              <w:spacing w:before="60" w:after="60"/>
              <w:ind w:right="-29"/>
              <w:jc w:val="center"/>
              <w:rPr>
                <w:noProof/>
                <w:sz w:val="18"/>
                <w:szCs w:val="18"/>
              </w:rPr>
            </w:pPr>
          </w:p>
        </w:tc>
      </w:tr>
      <w:tr>
        <w:trPr>
          <w:trHeight w:hRule="exact" w:val="369"/>
          <w:jc w:val="center"/>
        </w:trPr>
        <w:tc>
          <w:tcPr>
            <w:tcW w:w="1423" w:type="dxa"/>
          </w:tcPr>
          <w:p>
            <w:pPr>
              <w:ind w:right="-29"/>
              <w:jc w:val="center"/>
              <w:rPr>
                <w:noProof/>
                <w:sz w:val="18"/>
                <w:szCs w:val="18"/>
              </w:rPr>
            </w:pPr>
            <w:r>
              <w:rPr>
                <w:noProof/>
                <w:sz w:val="18"/>
              </w:rPr>
              <w:t>- Réalisation</w:t>
            </w:r>
          </w:p>
        </w:tc>
        <w:tc>
          <w:tcPr>
            <w:tcW w:w="720" w:type="dxa"/>
          </w:tcPr>
          <w:p>
            <w:pPr>
              <w:ind w:right="-29"/>
              <w:jc w:val="center"/>
              <w:rPr>
                <w:noProof/>
                <w:sz w:val="18"/>
                <w:szCs w:val="18"/>
              </w:rPr>
            </w:pPr>
          </w:p>
        </w:tc>
        <w:tc>
          <w:tcPr>
            <w:tcW w:w="701" w:type="dxa"/>
          </w:tcPr>
          <w:p>
            <w:pPr>
              <w:ind w:right="-29"/>
              <w:jc w:val="center"/>
              <w:rPr>
                <w:noProof/>
                <w:sz w:val="18"/>
                <w:szCs w:val="18"/>
              </w:rPr>
            </w:pPr>
          </w:p>
        </w:tc>
        <w:tc>
          <w:tcPr>
            <w:tcW w:w="504" w:type="dxa"/>
          </w:tcPr>
          <w:p>
            <w:pPr>
              <w:ind w:right="-29"/>
              <w:jc w:val="center"/>
              <w:rPr>
                <w:noProof/>
                <w:sz w:val="18"/>
                <w:szCs w:val="18"/>
              </w:rPr>
            </w:pPr>
          </w:p>
        </w:tc>
        <w:tc>
          <w:tcPr>
            <w:tcW w:w="720" w:type="dxa"/>
          </w:tcPr>
          <w:p>
            <w:pPr>
              <w:ind w:right="-29"/>
              <w:jc w:val="center"/>
              <w:rPr>
                <w:noProof/>
                <w:sz w:val="18"/>
                <w:szCs w:val="18"/>
              </w:rPr>
            </w:pPr>
          </w:p>
        </w:tc>
        <w:tc>
          <w:tcPr>
            <w:tcW w:w="540" w:type="dxa"/>
          </w:tcPr>
          <w:p>
            <w:pPr>
              <w:ind w:right="-29"/>
              <w:jc w:val="center"/>
              <w:rPr>
                <w:noProof/>
                <w:sz w:val="18"/>
                <w:szCs w:val="18"/>
              </w:rPr>
            </w:pPr>
          </w:p>
        </w:tc>
        <w:tc>
          <w:tcPr>
            <w:tcW w:w="720" w:type="dxa"/>
          </w:tcPr>
          <w:p>
            <w:pPr>
              <w:ind w:right="-29"/>
              <w:jc w:val="center"/>
              <w:rPr>
                <w:noProof/>
                <w:sz w:val="18"/>
                <w:szCs w:val="18"/>
              </w:rPr>
            </w:pPr>
          </w:p>
        </w:tc>
        <w:tc>
          <w:tcPr>
            <w:tcW w:w="720" w:type="dxa"/>
          </w:tcPr>
          <w:p>
            <w:pPr>
              <w:ind w:right="-29"/>
              <w:jc w:val="center"/>
              <w:rPr>
                <w:noProof/>
                <w:sz w:val="18"/>
                <w:szCs w:val="18"/>
              </w:rPr>
            </w:pPr>
          </w:p>
        </w:tc>
        <w:tc>
          <w:tcPr>
            <w:tcW w:w="720" w:type="dxa"/>
          </w:tcPr>
          <w:p>
            <w:pPr>
              <w:ind w:right="-29"/>
              <w:jc w:val="center"/>
              <w:rPr>
                <w:noProof/>
                <w:sz w:val="18"/>
                <w:szCs w:val="18"/>
              </w:rPr>
            </w:pPr>
          </w:p>
        </w:tc>
        <w:tc>
          <w:tcPr>
            <w:tcW w:w="900" w:type="dxa"/>
          </w:tcPr>
          <w:p>
            <w:pPr>
              <w:ind w:right="-29"/>
              <w:jc w:val="center"/>
              <w:rPr>
                <w:noProof/>
                <w:sz w:val="18"/>
                <w:szCs w:val="18"/>
              </w:rPr>
            </w:pPr>
          </w:p>
        </w:tc>
        <w:tc>
          <w:tcPr>
            <w:tcW w:w="720" w:type="dxa"/>
            <w:gridSpan w:val="2"/>
          </w:tcPr>
          <w:p>
            <w:pPr>
              <w:ind w:right="-29"/>
              <w:jc w:val="center"/>
              <w:rPr>
                <w:noProof/>
                <w:sz w:val="18"/>
                <w:szCs w:val="18"/>
              </w:rPr>
            </w:pPr>
          </w:p>
        </w:tc>
        <w:tc>
          <w:tcPr>
            <w:tcW w:w="540" w:type="dxa"/>
          </w:tcPr>
          <w:p>
            <w:pPr>
              <w:ind w:right="-29"/>
              <w:jc w:val="center"/>
              <w:rPr>
                <w:noProof/>
                <w:sz w:val="18"/>
                <w:szCs w:val="18"/>
              </w:rPr>
            </w:pPr>
          </w:p>
        </w:tc>
        <w:tc>
          <w:tcPr>
            <w:tcW w:w="648" w:type="dxa"/>
          </w:tcPr>
          <w:p>
            <w:pPr>
              <w:ind w:right="-29"/>
              <w:jc w:val="center"/>
              <w:rPr>
                <w:noProof/>
                <w:sz w:val="18"/>
                <w:szCs w:val="18"/>
              </w:rPr>
            </w:pPr>
          </w:p>
        </w:tc>
        <w:tc>
          <w:tcPr>
            <w:tcW w:w="432" w:type="dxa"/>
          </w:tcPr>
          <w:p>
            <w:pPr>
              <w:ind w:right="-29"/>
              <w:jc w:val="center"/>
              <w:rPr>
                <w:noProof/>
                <w:sz w:val="18"/>
                <w:szCs w:val="18"/>
              </w:rPr>
            </w:pPr>
          </w:p>
        </w:tc>
        <w:tc>
          <w:tcPr>
            <w:tcW w:w="720" w:type="dxa"/>
          </w:tcPr>
          <w:p>
            <w:pPr>
              <w:ind w:right="-29"/>
              <w:jc w:val="center"/>
              <w:rPr>
                <w:noProof/>
                <w:sz w:val="18"/>
                <w:szCs w:val="18"/>
              </w:rPr>
            </w:pPr>
          </w:p>
        </w:tc>
        <w:tc>
          <w:tcPr>
            <w:tcW w:w="540" w:type="dxa"/>
          </w:tcPr>
          <w:p>
            <w:pPr>
              <w:ind w:right="-29"/>
              <w:jc w:val="center"/>
              <w:rPr>
                <w:noProof/>
                <w:sz w:val="18"/>
                <w:szCs w:val="18"/>
              </w:rPr>
            </w:pPr>
          </w:p>
        </w:tc>
        <w:tc>
          <w:tcPr>
            <w:tcW w:w="720" w:type="dxa"/>
          </w:tcPr>
          <w:p>
            <w:pPr>
              <w:ind w:right="-29"/>
              <w:jc w:val="center"/>
              <w:rPr>
                <w:noProof/>
                <w:sz w:val="18"/>
                <w:szCs w:val="18"/>
              </w:rPr>
            </w:pPr>
          </w:p>
        </w:tc>
        <w:tc>
          <w:tcPr>
            <w:tcW w:w="720" w:type="dxa"/>
          </w:tcPr>
          <w:p>
            <w:pPr>
              <w:ind w:right="-29"/>
              <w:jc w:val="center"/>
              <w:rPr>
                <w:noProof/>
                <w:sz w:val="18"/>
                <w:szCs w:val="18"/>
              </w:rPr>
            </w:pPr>
          </w:p>
        </w:tc>
        <w:tc>
          <w:tcPr>
            <w:tcW w:w="900" w:type="dxa"/>
          </w:tcPr>
          <w:p>
            <w:pPr>
              <w:ind w:right="-29"/>
              <w:jc w:val="center"/>
              <w:rPr>
                <w:noProof/>
                <w:sz w:val="18"/>
                <w:szCs w:val="18"/>
              </w:rPr>
            </w:pPr>
          </w:p>
        </w:tc>
      </w:tr>
      <w:tr>
        <w:trPr>
          <w:jc w:val="center"/>
        </w:trPr>
        <w:tc>
          <w:tcPr>
            <w:tcW w:w="2844" w:type="dxa"/>
            <w:gridSpan w:val="3"/>
            <w:tcBorders>
              <w:bottom w:val="single" w:sz="12" w:space="0" w:color="auto"/>
            </w:tcBorders>
            <w:vAlign w:val="center"/>
          </w:tcPr>
          <w:p>
            <w:pPr>
              <w:jc w:val="center"/>
              <w:rPr>
                <w:noProof/>
                <w:sz w:val="18"/>
                <w:szCs w:val="18"/>
              </w:rPr>
            </w:pPr>
            <w:r>
              <w:rPr>
                <w:noProof/>
                <w:sz w:val="18"/>
              </w:rPr>
              <w:t>Sous-total objectif spécifique n° 2</w:t>
            </w:r>
          </w:p>
        </w:tc>
        <w:tc>
          <w:tcPr>
            <w:tcW w:w="504" w:type="dxa"/>
            <w:tcBorders>
              <w:bottom w:val="single" w:sz="12" w:space="0" w:color="auto"/>
            </w:tcBorders>
          </w:tcPr>
          <w:p>
            <w:pPr>
              <w:ind w:right="-29"/>
              <w:jc w:val="center"/>
              <w:rPr>
                <w:noProof/>
                <w:sz w:val="18"/>
                <w:szCs w:val="18"/>
              </w:rPr>
            </w:pPr>
          </w:p>
        </w:tc>
        <w:tc>
          <w:tcPr>
            <w:tcW w:w="720" w:type="dxa"/>
            <w:tcBorders>
              <w:bottom w:val="single" w:sz="12" w:space="0" w:color="auto"/>
            </w:tcBorders>
          </w:tcPr>
          <w:p>
            <w:pPr>
              <w:ind w:right="-29"/>
              <w:jc w:val="center"/>
              <w:rPr>
                <w:noProof/>
                <w:sz w:val="18"/>
                <w:szCs w:val="18"/>
              </w:rPr>
            </w:pPr>
          </w:p>
        </w:tc>
        <w:tc>
          <w:tcPr>
            <w:tcW w:w="540" w:type="dxa"/>
            <w:tcBorders>
              <w:bottom w:val="single" w:sz="12" w:space="0" w:color="auto"/>
            </w:tcBorders>
          </w:tcPr>
          <w:p>
            <w:pPr>
              <w:ind w:right="-29"/>
              <w:jc w:val="center"/>
              <w:rPr>
                <w:noProof/>
                <w:sz w:val="18"/>
                <w:szCs w:val="18"/>
              </w:rPr>
            </w:pPr>
          </w:p>
        </w:tc>
        <w:tc>
          <w:tcPr>
            <w:tcW w:w="720" w:type="dxa"/>
            <w:tcBorders>
              <w:bottom w:val="single" w:sz="12" w:space="0" w:color="auto"/>
            </w:tcBorders>
          </w:tcPr>
          <w:p>
            <w:pPr>
              <w:ind w:right="-29"/>
              <w:jc w:val="center"/>
              <w:rPr>
                <w:noProof/>
                <w:sz w:val="18"/>
                <w:szCs w:val="18"/>
              </w:rPr>
            </w:pPr>
          </w:p>
        </w:tc>
        <w:tc>
          <w:tcPr>
            <w:tcW w:w="720" w:type="dxa"/>
            <w:tcBorders>
              <w:bottom w:val="single" w:sz="12" w:space="0" w:color="auto"/>
            </w:tcBorders>
          </w:tcPr>
          <w:p>
            <w:pPr>
              <w:ind w:right="-29"/>
              <w:jc w:val="center"/>
              <w:rPr>
                <w:noProof/>
                <w:sz w:val="18"/>
                <w:szCs w:val="18"/>
              </w:rPr>
            </w:pPr>
          </w:p>
        </w:tc>
        <w:tc>
          <w:tcPr>
            <w:tcW w:w="720" w:type="dxa"/>
            <w:tcBorders>
              <w:bottom w:val="single" w:sz="12" w:space="0" w:color="auto"/>
            </w:tcBorders>
          </w:tcPr>
          <w:p>
            <w:pPr>
              <w:ind w:right="-29"/>
              <w:jc w:val="center"/>
              <w:rPr>
                <w:noProof/>
                <w:sz w:val="18"/>
                <w:szCs w:val="18"/>
              </w:rPr>
            </w:pPr>
          </w:p>
        </w:tc>
        <w:tc>
          <w:tcPr>
            <w:tcW w:w="951" w:type="dxa"/>
            <w:gridSpan w:val="2"/>
            <w:tcBorders>
              <w:bottom w:val="single" w:sz="12" w:space="0" w:color="auto"/>
            </w:tcBorders>
          </w:tcPr>
          <w:p>
            <w:pPr>
              <w:ind w:right="-29"/>
              <w:jc w:val="center"/>
              <w:rPr>
                <w:noProof/>
                <w:sz w:val="18"/>
                <w:szCs w:val="18"/>
              </w:rPr>
            </w:pPr>
          </w:p>
        </w:tc>
        <w:tc>
          <w:tcPr>
            <w:tcW w:w="669" w:type="dxa"/>
            <w:tcBorders>
              <w:bottom w:val="single" w:sz="12" w:space="0" w:color="auto"/>
            </w:tcBorders>
          </w:tcPr>
          <w:p>
            <w:pPr>
              <w:ind w:right="-29"/>
              <w:jc w:val="center"/>
              <w:rPr>
                <w:noProof/>
                <w:sz w:val="18"/>
                <w:szCs w:val="18"/>
              </w:rPr>
            </w:pPr>
          </w:p>
        </w:tc>
        <w:tc>
          <w:tcPr>
            <w:tcW w:w="540" w:type="dxa"/>
            <w:tcBorders>
              <w:bottom w:val="single" w:sz="12" w:space="0" w:color="auto"/>
            </w:tcBorders>
          </w:tcPr>
          <w:p>
            <w:pPr>
              <w:ind w:right="-29"/>
              <w:jc w:val="center"/>
              <w:rPr>
                <w:noProof/>
                <w:sz w:val="18"/>
                <w:szCs w:val="18"/>
              </w:rPr>
            </w:pPr>
          </w:p>
        </w:tc>
        <w:tc>
          <w:tcPr>
            <w:tcW w:w="648" w:type="dxa"/>
            <w:tcBorders>
              <w:bottom w:val="single" w:sz="12" w:space="0" w:color="auto"/>
            </w:tcBorders>
          </w:tcPr>
          <w:p>
            <w:pPr>
              <w:ind w:right="-29"/>
              <w:jc w:val="center"/>
              <w:rPr>
                <w:noProof/>
                <w:sz w:val="18"/>
                <w:szCs w:val="18"/>
              </w:rPr>
            </w:pPr>
          </w:p>
        </w:tc>
        <w:tc>
          <w:tcPr>
            <w:tcW w:w="432" w:type="dxa"/>
            <w:tcBorders>
              <w:bottom w:val="single" w:sz="12" w:space="0" w:color="auto"/>
            </w:tcBorders>
          </w:tcPr>
          <w:p>
            <w:pPr>
              <w:ind w:right="-29"/>
              <w:jc w:val="center"/>
              <w:rPr>
                <w:noProof/>
                <w:sz w:val="18"/>
                <w:szCs w:val="18"/>
              </w:rPr>
            </w:pPr>
          </w:p>
        </w:tc>
        <w:tc>
          <w:tcPr>
            <w:tcW w:w="720" w:type="dxa"/>
            <w:tcBorders>
              <w:bottom w:val="single" w:sz="12" w:space="0" w:color="auto"/>
            </w:tcBorders>
          </w:tcPr>
          <w:p>
            <w:pPr>
              <w:ind w:right="-29"/>
              <w:jc w:val="center"/>
              <w:rPr>
                <w:noProof/>
                <w:sz w:val="18"/>
                <w:szCs w:val="18"/>
              </w:rPr>
            </w:pPr>
          </w:p>
        </w:tc>
        <w:tc>
          <w:tcPr>
            <w:tcW w:w="540" w:type="dxa"/>
            <w:tcBorders>
              <w:bottom w:val="single" w:sz="12" w:space="0" w:color="auto"/>
            </w:tcBorders>
          </w:tcPr>
          <w:p>
            <w:pPr>
              <w:ind w:right="-29"/>
              <w:jc w:val="center"/>
              <w:rPr>
                <w:noProof/>
                <w:sz w:val="18"/>
                <w:szCs w:val="18"/>
              </w:rPr>
            </w:pPr>
          </w:p>
        </w:tc>
        <w:tc>
          <w:tcPr>
            <w:tcW w:w="720" w:type="dxa"/>
            <w:tcBorders>
              <w:bottom w:val="single" w:sz="12" w:space="0" w:color="auto"/>
            </w:tcBorders>
          </w:tcPr>
          <w:p>
            <w:pPr>
              <w:ind w:right="-29"/>
              <w:jc w:val="center"/>
              <w:rPr>
                <w:noProof/>
                <w:sz w:val="18"/>
                <w:szCs w:val="18"/>
              </w:rPr>
            </w:pPr>
          </w:p>
        </w:tc>
        <w:tc>
          <w:tcPr>
            <w:tcW w:w="720" w:type="dxa"/>
            <w:tcBorders>
              <w:bottom w:val="single" w:sz="12" w:space="0" w:color="auto"/>
            </w:tcBorders>
          </w:tcPr>
          <w:p>
            <w:pPr>
              <w:ind w:right="-29"/>
              <w:jc w:val="center"/>
              <w:rPr>
                <w:noProof/>
                <w:sz w:val="18"/>
                <w:szCs w:val="18"/>
              </w:rPr>
            </w:pPr>
          </w:p>
        </w:tc>
        <w:tc>
          <w:tcPr>
            <w:tcW w:w="900" w:type="dxa"/>
            <w:tcBorders>
              <w:bottom w:val="single" w:sz="12" w:space="0" w:color="auto"/>
            </w:tcBorders>
          </w:tcPr>
          <w:p>
            <w:pPr>
              <w:ind w:right="-29"/>
              <w:jc w:val="center"/>
              <w:rPr>
                <w:noProof/>
                <w:sz w:val="18"/>
                <w:szCs w:val="18"/>
              </w:rPr>
            </w:pPr>
          </w:p>
        </w:tc>
      </w:tr>
      <w:tr>
        <w:trPr>
          <w:jc w:val="center"/>
        </w:trPr>
        <w:tc>
          <w:tcPr>
            <w:tcW w:w="2844" w:type="dxa"/>
            <w:gridSpan w:val="3"/>
            <w:tcBorders>
              <w:top w:val="single" w:sz="12" w:space="0" w:color="auto"/>
              <w:left w:val="single" w:sz="12" w:space="0" w:color="auto"/>
              <w:bottom w:val="single" w:sz="12" w:space="0" w:color="auto"/>
            </w:tcBorders>
            <w:vAlign w:val="center"/>
          </w:tcPr>
          <w:p>
            <w:pPr>
              <w:ind w:right="-29"/>
              <w:jc w:val="center"/>
              <w:rPr>
                <w:noProof/>
                <w:sz w:val="18"/>
                <w:szCs w:val="18"/>
              </w:rPr>
            </w:pPr>
            <w:r>
              <w:rPr>
                <w:b/>
                <w:noProof/>
                <w:sz w:val="18"/>
              </w:rPr>
              <w:t>TOTAUX</w:t>
            </w:r>
          </w:p>
        </w:tc>
        <w:tc>
          <w:tcPr>
            <w:tcW w:w="504" w:type="dxa"/>
            <w:tcBorders>
              <w:top w:val="single" w:sz="12" w:space="0" w:color="auto"/>
              <w:bottom w:val="single" w:sz="12" w:space="0" w:color="auto"/>
            </w:tcBorders>
          </w:tcPr>
          <w:p>
            <w:pPr>
              <w:spacing w:before="180" w:after="180"/>
              <w:ind w:right="-29"/>
              <w:jc w:val="center"/>
              <w:rPr>
                <w:noProof/>
                <w:sz w:val="18"/>
                <w:szCs w:val="18"/>
              </w:rPr>
            </w:pPr>
          </w:p>
        </w:tc>
        <w:tc>
          <w:tcPr>
            <w:tcW w:w="720" w:type="dxa"/>
            <w:tcBorders>
              <w:top w:val="single" w:sz="12" w:space="0" w:color="auto"/>
              <w:bottom w:val="single" w:sz="12" w:space="0" w:color="auto"/>
            </w:tcBorders>
          </w:tcPr>
          <w:p>
            <w:pPr>
              <w:spacing w:before="180" w:after="180"/>
              <w:ind w:right="-29"/>
              <w:jc w:val="center"/>
              <w:rPr>
                <w:noProof/>
                <w:sz w:val="18"/>
                <w:szCs w:val="18"/>
              </w:rPr>
            </w:pPr>
          </w:p>
        </w:tc>
        <w:tc>
          <w:tcPr>
            <w:tcW w:w="540" w:type="dxa"/>
            <w:tcBorders>
              <w:top w:val="single" w:sz="12" w:space="0" w:color="auto"/>
              <w:bottom w:val="single" w:sz="12" w:space="0" w:color="auto"/>
            </w:tcBorders>
          </w:tcPr>
          <w:p>
            <w:pPr>
              <w:spacing w:before="180" w:after="180"/>
              <w:ind w:right="-29"/>
              <w:jc w:val="center"/>
              <w:rPr>
                <w:noProof/>
                <w:sz w:val="18"/>
                <w:szCs w:val="18"/>
              </w:rPr>
            </w:pPr>
          </w:p>
        </w:tc>
        <w:tc>
          <w:tcPr>
            <w:tcW w:w="720" w:type="dxa"/>
            <w:tcBorders>
              <w:top w:val="single" w:sz="12" w:space="0" w:color="auto"/>
              <w:bottom w:val="single" w:sz="12" w:space="0" w:color="auto"/>
            </w:tcBorders>
          </w:tcPr>
          <w:p>
            <w:pPr>
              <w:spacing w:before="180" w:after="180"/>
              <w:ind w:right="-29"/>
              <w:jc w:val="center"/>
              <w:rPr>
                <w:noProof/>
                <w:sz w:val="18"/>
                <w:szCs w:val="18"/>
              </w:rPr>
            </w:pPr>
          </w:p>
        </w:tc>
        <w:tc>
          <w:tcPr>
            <w:tcW w:w="720" w:type="dxa"/>
            <w:tcBorders>
              <w:top w:val="single" w:sz="12" w:space="0" w:color="auto"/>
              <w:bottom w:val="single" w:sz="12" w:space="0" w:color="auto"/>
            </w:tcBorders>
          </w:tcPr>
          <w:p>
            <w:pPr>
              <w:spacing w:before="180" w:after="180"/>
              <w:ind w:right="-29"/>
              <w:jc w:val="center"/>
              <w:rPr>
                <w:noProof/>
                <w:sz w:val="18"/>
                <w:szCs w:val="18"/>
              </w:rPr>
            </w:pPr>
          </w:p>
        </w:tc>
        <w:tc>
          <w:tcPr>
            <w:tcW w:w="720" w:type="dxa"/>
            <w:tcBorders>
              <w:top w:val="single" w:sz="12" w:space="0" w:color="auto"/>
              <w:bottom w:val="single" w:sz="12" w:space="0" w:color="auto"/>
            </w:tcBorders>
          </w:tcPr>
          <w:p>
            <w:pPr>
              <w:spacing w:before="180" w:after="180"/>
              <w:ind w:right="-29"/>
              <w:jc w:val="center"/>
              <w:rPr>
                <w:noProof/>
                <w:sz w:val="18"/>
                <w:szCs w:val="18"/>
              </w:rPr>
            </w:pPr>
          </w:p>
        </w:tc>
        <w:tc>
          <w:tcPr>
            <w:tcW w:w="900" w:type="dxa"/>
            <w:tcBorders>
              <w:top w:val="single" w:sz="12" w:space="0" w:color="auto"/>
              <w:bottom w:val="single" w:sz="12" w:space="0" w:color="auto"/>
            </w:tcBorders>
          </w:tcPr>
          <w:p>
            <w:pPr>
              <w:spacing w:before="180" w:after="180"/>
              <w:ind w:right="-29"/>
              <w:jc w:val="center"/>
              <w:rPr>
                <w:noProof/>
                <w:sz w:val="18"/>
                <w:szCs w:val="18"/>
              </w:rPr>
            </w:pPr>
          </w:p>
        </w:tc>
        <w:tc>
          <w:tcPr>
            <w:tcW w:w="720" w:type="dxa"/>
            <w:gridSpan w:val="2"/>
            <w:tcBorders>
              <w:top w:val="single" w:sz="12" w:space="0" w:color="auto"/>
              <w:bottom w:val="single" w:sz="12" w:space="0" w:color="auto"/>
            </w:tcBorders>
          </w:tcPr>
          <w:p>
            <w:pPr>
              <w:spacing w:before="180" w:after="180"/>
              <w:ind w:right="-29"/>
              <w:jc w:val="center"/>
              <w:rPr>
                <w:noProof/>
                <w:sz w:val="18"/>
                <w:szCs w:val="18"/>
              </w:rPr>
            </w:pPr>
          </w:p>
        </w:tc>
        <w:tc>
          <w:tcPr>
            <w:tcW w:w="540" w:type="dxa"/>
            <w:tcBorders>
              <w:top w:val="single" w:sz="12" w:space="0" w:color="auto"/>
              <w:bottom w:val="single" w:sz="12" w:space="0" w:color="auto"/>
            </w:tcBorders>
          </w:tcPr>
          <w:p>
            <w:pPr>
              <w:spacing w:before="180" w:after="180"/>
              <w:ind w:right="-29"/>
              <w:jc w:val="center"/>
              <w:rPr>
                <w:noProof/>
                <w:sz w:val="18"/>
                <w:szCs w:val="18"/>
              </w:rPr>
            </w:pPr>
          </w:p>
        </w:tc>
        <w:tc>
          <w:tcPr>
            <w:tcW w:w="648" w:type="dxa"/>
            <w:tcBorders>
              <w:top w:val="single" w:sz="12" w:space="0" w:color="auto"/>
              <w:bottom w:val="single" w:sz="12" w:space="0" w:color="auto"/>
            </w:tcBorders>
          </w:tcPr>
          <w:p>
            <w:pPr>
              <w:spacing w:before="180" w:after="180"/>
              <w:ind w:right="-29"/>
              <w:jc w:val="center"/>
              <w:rPr>
                <w:noProof/>
                <w:sz w:val="18"/>
                <w:szCs w:val="18"/>
              </w:rPr>
            </w:pPr>
          </w:p>
        </w:tc>
        <w:tc>
          <w:tcPr>
            <w:tcW w:w="432" w:type="dxa"/>
            <w:tcBorders>
              <w:top w:val="single" w:sz="12" w:space="0" w:color="auto"/>
              <w:bottom w:val="single" w:sz="12" w:space="0" w:color="auto"/>
            </w:tcBorders>
          </w:tcPr>
          <w:p>
            <w:pPr>
              <w:spacing w:before="180" w:after="180"/>
              <w:ind w:right="-29"/>
              <w:jc w:val="center"/>
              <w:rPr>
                <w:noProof/>
                <w:sz w:val="18"/>
                <w:szCs w:val="18"/>
              </w:rPr>
            </w:pPr>
          </w:p>
        </w:tc>
        <w:tc>
          <w:tcPr>
            <w:tcW w:w="720" w:type="dxa"/>
            <w:tcBorders>
              <w:top w:val="single" w:sz="12" w:space="0" w:color="auto"/>
              <w:bottom w:val="single" w:sz="12" w:space="0" w:color="auto"/>
            </w:tcBorders>
          </w:tcPr>
          <w:p>
            <w:pPr>
              <w:spacing w:before="180" w:after="180"/>
              <w:ind w:right="-29"/>
              <w:jc w:val="center"/>
              <w:rPr>
                <w:noProof/>
                <w:sz w:val="18"/>
                <w:szCs w:val="18"/>
              </w:rPr>
            </w:pPr>
          </w:p>
        </w:tc>
        <w:tc>
          <w:tcPr>
            <w:tcW w:w="540" w:type="dxa"/>
            <w:tcBorders>
              <w:top w:val="single" w:sz="12" w:space="0" w:color="auto"/>
              <w:bottom w:val="single" w:sz="12" w:space="0" w:color="auto"/>
            </w:tcBorders>
          </w:tcPr>
          <w:p>
            <w:pPr>
              <w:spacing w:before="180" w:after="180"/>
              <w:ind w:right="-29"/>
              <w:jc w:val="center"/>
              <w:rPr>
                <w:noProof/>
                <w:sz w:val="18"/>
                <w:szCs w:val="18"/>
              </w:rPr>
            </w:pPr>
          </w:p>
        </w:tc>
        <w:tc>
          <w:tcPr>
            <w:tcW w:w="720" w:type="dxa"/>
            <w:tcBorders>
              <w:top w:val="single" w:sz="12" w:space="0" w:color="auto"/>
              <w:bottom w:val="single" w:sz="12" w:space="0" w:color="auto"/>
            </w:tcBorders>
          </w:tcPr>
          <w:p>
            <w:pPr>
              <w:spacing w:before="180" w:after="180"/>
              <w:ind w:right="-29"/>
              <w:jc w:val="center"/>
              <w:rPr>
                <w:noProof/>
                <w:sz w:val="18"/>
                <w:szCs w:val="18"/>
              </w:rPr>
            </w:pPr>
          </w:p>
        </w:tc>
        <w:tc>
          <w:tcPr>
            <w:tcW w:w="720" w:type="dxa"/>
            <w:tcBorders>
              <w:top w:val="single" w:sz="12" w:space="0" w:color="auto"/>
              <w:bottom w:val="single" w:sz="12" w:space="0" w:color="auto"/>
            </w:tcBorders>
          </w:tcPr>
          <w:p>
            <w:pPr>
              <w:spacing w:before="180" w:after="180"/>
              <w:ind w:right="-29"/>
              <w:jc w:val="center"/>
              <w:rPr>
                <w:noProof/>
                <w:sz w:val="18"/>
                <w:szCs w:val="18"/>
              </w:rPr>
            </w:pPr>
          </w:p>
        </w:tc>
        <w:tc>
          <w:tcPr>
            <w:tcW w:w="900" w:type="dxa"/>
            <w:tcBorders>
              <w:top w:val="single" w:sz="12" w:space="0" w:color="auto"/>
              <w:bottom w:val="single" w:sz="12" w:space="0" w:color="auto"/>
              <w:right w:val="single" w:sz="12" w:space="0" w:color="auto"/>
            </w:tcBorders>
          </w:tcPr>
          <w:p>
            <w:pPr>
              <w:spacing w:before="180" w:after="180"/>
              <w:ind w:right="-29"/>
              <w:jc w:val="center"/>
              <w:rPr>
                <w:noProof/>
                <w:sz w:val="18"/>
                <w:szCs w:val="18"/>
              </w:rPr>
            </w:pPr>
          </w:p>
        </w:tc>
      </w:tr>
    </w:tbl>
    <w:p>
      <w:pPr>
        <w:rPr>
          <w:noProof/>
        </w:rPr>
        <w:sectPr>
          <w:headerReference w:type="default" r:id="rId19"/>
          <w:footerReference w:type="default" r:id="rId20"/>
          <w:headerReference w:type="first" r:id="rId21"/>
          <w:footerReference w:type="first" r:id="rId22"/>
          <w:pgSz w:w="16840" w:h="11907" w:orient="landscape" w:code="9"/>
          <w:pgMar w:top="1134" w:right="1418" w:bottom="567" w:left="1418" w:header="709" w:footer="709" w:gutter="0"/>
          <w:cols w:space="708"/>
          <w:docGrid w:linePitch="360"/>
        </w:sectPr>
      </w:pPr>
    </w:p>
    <w:p>
      <w:pPr>
        <w:pStyle w:val="ManualHeading3"/>
        <w:rPr>
          <w:bCs/>
          <w:noProof/>
          <w:szCs w:val="24"/>
        </w:rPr>
      </w:pPr>
      <w:bookmarkStart w:id="59" w:name="_Toc514938055"/>
      <w:bookmarkStart w:id="60" w:name="_Toc520485054"/>
      <w:r>
        <w:t>3.2.3.</w:t>
      </w:r>
      <w:r>
        <w:tab/>
      </w:r>
      <w:r>
        <w:rPr>
          <w:noProof/>
        </w:rPr>
        <w:t>Synthèse de l’incidence estimée sur les crédits administratifs</w:t>
      </w:r>
      <w:bookmarkEnd w:id="59"/>
      <w:bookmarkEnd w:id="60"/>
      <w:r>
        <w:rPr>
          <w:noProof/>
        </w:rPr>
        <w:t xml:space="preserve"> </w:t>
      </w:r>
    </w:p>
    <w:p>
      <w:pPr>
        <w:pStyle w:val="ListDash1"/>
        <w:rPr>
          <w:noProof/>
        </w:rPr>
      </w:pPr>
      <w:r>
        <w:rPr>
          <w:noProof/>
        </w:rPr>
        <w:sym w:font="Wingdings" w:char="F0A8"/>
      </w:r>
      <w:r>
        <w:rPr>
          <w:noProof/>
        </w:rPr>
        <w:tab/>
        <w:t xml:space="preserve">La proposition/l’initiative n’engendre pas l’utilisation de crédits de nature administrative. </w:t>
      </w:r>
    </w:p>
    <w:p>
      <w:pPr>
        <w:pStyle w:val="ListDash1"/>
        <w:rPr>
          <w:noProof/>
        </w:rPr>
      </w:pPr>
      <w:r>
        <w:rPr>
          <w:noProof/>
        </w:rPr>
        <w:sym w:font="Wingdings" w:char="F0FE"/>
      </w:r>
      <w:r>
        <w:rPr>
          <w:noProof/>
        </w:rPr>
        <w:tab/>
        <w:t>La proposition/l’initiative engendre l’utilisation de crédits de nature administrative, comme expliqué ci-après:</w:t>
      </w:r>
    </w:p>
    <w:p>
      <w:pPr>
        <w:jc w:val="right"/>
        <w:rPr>
          <w:noProof/>
          <w:sz w:val="20"/>
        </w:rPr>
      </w:pPr>
      <w:r>
        <w:rPr>
          <w:noProof/>
          <w:sz w:val="20"/>
        </w:rPr>
        <w:t>En Mio EUR (à la 3</w:t>
      </w:r>
      <w:r>
        <w:rPr>
          <w:noProof/>
          <w:sz w:val="20"/>
          <w:vertAlign w:val="superscript"/>
        </w:rPr>
        <w:t>e</w:t>
      </w:r>
      <w:r>
        <w:rPr>
          <w:noProof/>
          <w:sz w:val="20"/>
        </w:rPr>
        <w:t xml:space="preserve"> décimale)</w:t>
      </w:r>
    </w:p>
    <w:tbl>
      <w:tblPr>
        <w:tblW w:w="1062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3240"/>
        <w:gridCol w:w="1080"/>
      </w:tblGrid>
      <w:tr>
        <w:trPr>
          <w:trHeight w:val="585"/>
        </w:trPr>
        <w:tc>
          <w:tcPr>
            <w:tcW w:w="1980" w:type="dxa"/>
          </w:tcPr>
          <w:p>
            <w:pPr>
              <w:spacing w:before="60" w:after="60" w:line="200" w:lineRule="exact"/>
              <w:rPr>
                <w:noProof/>
                <w:sz w:val="16"/>
                <w:szCs w:val="16"/>
              </w:rPr>
            </w:pPr>
          </w:p>
        </w:tc>
        <w:tc>
          <w:tcPr>
            <w:tcW w:w="1080" w:type="dxa"/>
            <w:vAlign w:val="center"/>
          </w:tcPr>
          <w:p>
            <w:pPr>
              <w:spacing w:before="60" w:after="60" w:line="200" w:lineRule="exact"/>
              <w:jc w:val="center"/>
              <w:rPr>
                <w:noProof/>
                <w:sz w:val="16"/>
                <w:szCs w:val="16"/>
              </w:rPr>
            </w:pPr>
            <w:r>
              <w:rPr>
                <w:noProof/>
                <w:sz w:val="16"/>
              </w:rPr>
              <w:t>Année</w:t>
            </w:r>
            <w:r>
              <w:rPr>
                <w:noProof/>
                <w:sz w:val="22"/>
              </w:rPr>
              <w:br/>
            </w:r>
            <w:r>
              <w:rPr>
                <w:b/>
                <w:noProof/>
                <w:sz w:val="16"/>
              </w:rPr>
              <w:t xml:space="preserve">N </w:t>
            </w:r>
            <w:r>
              <w:rPr>
                <w:rStyle w:val="FootnoteReference"/>
                <w:b/>
                <w:noProof/>
                <w:sz w:val="16"/>
              </w:rPr>
              <w:footnoteReference w:id="14"/>
            </w:r>
          </w:p>
        </w:tc>
        <w:tc>
          <w:tcPr>
            <w:tcW w:w="1080" w:type="dxa"/>
            <w:vAlign w:val="center"/>
          </w:tcPr>
          <w:p>
            <w:pPr>
              <w:spacing w:before="60" w:after="60" w:line="200" w:lineRule="exact"/>
              <w:jc w:val="center"/>
              <w:rPr>
                <w:noProof/>
                <w:sz w:val="16"/>
                <w:szCs w:val="16"/>
              </w:rPr>
            </w:pPr>
            <w:r>
              <w:rPr>
                <w:noProof/>
                <w:sz w:val="16"/>
              </w:rPr>
              <w:t>Année</w:t>
            </w:r>
            <w:r>
              <w:rPr>
                <w:noProof/>
                <w:sz w:val="22"/>
              </w:rPr>
              <w:br/>
            </w:r>
            <w:r>
              <w:rPr>
                <w:b/>
                <w:noProof/>
                <w:sz w:val="16"/>
              </w:rPr>
              <w:t>N+1</w:t>
            </w:r>
          </w:p>
        </w:tc>
        <w:tc>
          <w:tcPr>
            <w:tcW w:w="1080" w:type="dxa"/>
            <w:vAlign w:val="center"/>
          </w:tcPr>
          <w:p>
            <w:pPr>
              <w:spacing w:before="60" w:after="60" w:line="200" w:lineRule="exact"/>
              <w:jc w:val="center"/>
              <w:rPr>
                <w:noProof/>
                <w:sz w:val="16"/>
                <w:szCs w:val="16"/>
              </w:rPr>
            </w:pPr>
            <w:r>
              <w:rPr>
                <w:noProof/>
                <w:sz w:val="16"/>
              </w:rPr>
              <w:t>Année</w:t>
            </w:r>
            <w:r>
              <w:rPr>
                <w:noProof/>
                <w:sz w:val="22"/>
              </w:rPr>
              <w:br/>
            </w:r>
            <w:r>
              <w:rPr>
                <w:b/>
                <w:noProof/>
                <w:sz w:val="16"/>
              </w:rPr>
              <w:t>N+2</w:t>
            </w:r>
          </w:p>
        </w:tc>
        <w:tc>
          <w:tcPr>
            <w:tcW w:w="1080" w:type="dxa"/>
            <w:vAlign w:val="center"/>
          </w:tcPr>
          <w:p>
            <w:pPr>
              <w:spacing w:before="60" w:after="60" w:line="200" w:lineRule="exact"/>
              <w:jc w:val="center"/>
              <w:rPr>
                <w:noProof/>
                <w:sz w:val="16"/>
                <w:szCs w:val="16"/>
              </w:rPr>
            </w:pPr>
            <w:r>
              <w:rPr>
                <w:noProof/>
                <w:sz w:val="16"/>
              </w:rPr>
              <w:t>Année</w:t>
            </w:r>
            <w:r>
              <w:rPr>
                <w:noProof/>
                <w:sz w:val="22"/>
              </w:rPr>
              <w:br/>
            </w:r>
            <w:r>
              <w:rPr>
                <w:b/>
                <w:noProof/>
                <w:sz w:val="16"/>
              </w:rPr>
              <w:t>N+3</w:t>
            </w:r>
          </w:p>
        </w:tc>
        <w:tc>
          <w:tcPr>
            <w:tcW w:w="3240" w:type="dxa"/>
            <w:vAlign w:val="center"/>
          </w:tcPr>
          <w:p>
            <w:pPr>
              <w:spacing w:line="200" w:lineRule="exact"/>
              <w:jc w:val="center"/>
              <w:rPr>
                <w:b/>
                <w:noProof/>
                <w:sz w:val="16"/>
                <w:szCs w:val="16"/>
              </w:rPr>
            </w:pPr>
            <w:r>
              <w:rPr>
                <w:noProof/>
                <w:sz w:val="16"/>
              </w:rPr>
              <w:t>Insérer autant d'années que nécessaire, pour refléter la durée de l’incidence (cf. point 1.6)</w:t>
            </w:r>
          </w:p>
        </w:tc>
        <w:tc>
          <w:tcPr>
            <w:tcW w:w="1080" w:type="dxa"/>
            <w:vAlign w:val="center"/>
          </w:tcPr>
          <w:p>
            <w:pPr>
              <w:spacing w:before="60" w:after="60" w:line="200" w:lineRule="exact"/>
              <w:jc w:val="center"/>
              <w:rPr>
                <w:b/>
                <w:noProof/>
                <w:sz w:val="16"/>
                <w:szCs w:val="16"/>
              </w:rPr>
            </w:pPr>
            <w:r>
              <w:rPr>
                <w:b/>
                <w:noProof/>
                <w:sz w:val="16"/>
              </w:rPr>
              <w:t>TOTAL</w:t>
            </w:r>
          </w:p>
        </w:tc>
      </w:tr>
    </w:tbl>
    <w:p>
      <w:pPr>
        <w:spacing w:line="200" w:lineRule="exact"/>
        <w:rPr>
          <w:noProof/>
          <w:sz w:val="16"/>
          <w:szCs w:val="16"/>
        </w:rPr>
      </w:pPr>
    </w:p>
    <w:tbl>
      <w:tblPr>
        <w:tblW w:w="1062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gridCol w:w="1080"/>
        <w:gridCol w:w="1080"/>
        <w:gridCol w:w="1080"/>
      </w:tblGrid>
      <w:tr>
        <w:trPr>
          <w:trHeight w:val="585"/>
        </w:trPr>
        <w:tc>
          <w:tcPr>
            <w:tcW w:w="1980" w:type="dxa"/>
            <w:shd w:val="clear" w:color="auto" w:fill="CCCCCC"/>
            <w:vAlign w:val="center"/>
          </w:tcPr>
          <w:p>
            <w:pPr>
              <w:spacing w:before="60" w:after="60" w:line="200" w:lineRule="exact"/>
              <w:jc w:val="center"/>
              <w:rPr>
                <w:b/>
                <w:noProof/>
                <w:sz w:val="16"/>
                <w:szCs w:val="16"/>
              </w:rPr>
            </w:pPr>
            <w:r>
              <w:rPr>
                <w:b/>
                <w:noProof/>
                <w:sz w:val="16"/>
              </w:rPr>
              <w:t>RUBRIQUE 5</w:t>
            </w:r>
            <w:r>
              <w:rPr>
                <w:noProof/>
                <w:sz w:val="22"/>
              </w:rPr>
              <w:br/>
            </w:r>
            <w:r>
              <w:rPr>
                <w:b/>
                <w:noProof/>
                <w:sz w:val="16"/>
              </w:rPr>
              <w:t>du cadre financier pluriannuel</w:t>
            </w: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b/>
                <w:noProof/>
                <w:sz w:val="16"/>
                <w:szCs w:val="16"/>
              </w:rPr>
            </w:pPr>
          </w:p>
        </w:tc>
        <w:tc>
          <w:tcPr>
            <w:tcW w:w="1080" w:type="dxa"/>
            <w:vAlign w:val="center"/>
          </w:tcPr>
          <w:p>
            <w:pPr>
              <w:spacing w:before="60" w:after="60" w:line="200" w:lineRule="exact"/>
              <w:jc w:val="right"/>
              <w:rPr>
                <w:b/>
                <w:noProof/>
                <w:sz w:val="16"/>
                <w:szCs w:val="16"/>
              </w:rPr>
            </w:pPr>
          </w:p>
        </w:tc>
      </w:tr>
      <w:tr>
        <w:trPr>
          <w:trHeight w:val="585"/>
        </w:trPr>
        <w:tc>
          <w:tcPr>
            <w:tcW w:w="1980" w:type="dxa"/>
            <w:vAlign w:val="center"/>
          </w:tcPr>
          <w:p>
            <w:pPr>
              <w:spacing w:before="60" w:after="60" w:line="200" w:lineRule="exact"/>
              <w:ind w:left="72"/>
              <w:jc w:val="left"/>
              <w:rPr>
                <w:noProof/>
                <w:sz w:val="16"/>
                <w:szCs w:val="16"/>
              </w:rPr>
            </w:pPr>
            <w:r>
              <w:rPr>
                <w:noProof/>
                <w:sz w:val="16"/>
              </w:rPr>
              <w:t xml:space="preserve">Ressources humaines </w:t>
            </w:r>
          </w:p>
        </w:tc>
        <w:tc>
          <w:tcPr>
            <w:tcW w:w="1080" w:type="dxa"/>
            <w:vAlign w:val="center"/>
          </w:tcPr>
          <w:p>
            <w:pPr>
              <w:spacing w:before="60" w:after="60" w:line="200" w:lineRule="exact"/>
              <w:jc w:val="right"/>
              <w:rPr>
                <w:noProof/>
                <w:sz w:val="16"/>
                <w:szCs w:val="16"/>
              </w:rPr>
            </w:pPr>
            <w:r>
              <w:rPr>
                <w:noProof/>
                <w:sz w:val="18"/>
              </w:rPr>
              <w:t>286 000</w:t>
            </w:r>
          </w:p>
        </w:tc>
        <w:tc>
          <w:tcPr>
            <w:tcW w:w="1080" w:type="dxa"/>
            <w:vAlign w:val="center"/>
          </w:tcPr>
          <w:p>
            <w:pPr>
              <w:spacing w:before="60" w:after="60" w:line="200" w:lineRule="exact"/>
              <w:jc w:val="right"/>
              <w:rPr>
                <w:noProof/>
                <w:sz w:val="16"/>
                <w:szCs w:val="16"/>
              </w:rPr>
            </w:pPr>
            <w:r>
              <w:rPr>
                <w:noProof/>
                <w:sz w:val="18"/>
              </w:rPr>
              <w:t>286 000</w:t>
            </w:r>
          </w:p>
        </w:tc>
        <w:tc>
          <w:tcPr>
            <w:tcW w:w="1080" w:type="dxa"/>
            <w:vAlign w:val="center"/>
          </w:tcPr>
          <w:p>
            <w:pPr>
              <w:spacing w:before="60" w:after="60" w:line="200" w:lineRule="exact"/>
              <w:jc w:val="right"/>
              <w:rPr>
                <w:noProof/>
                <w:sz w:val="16"/>
                <w:szCs w:val="16"/>
              </w:rPr>
            </w:pPr>
            <w:r>
              <w:rPr>
                <w:noProof/>
                <w:sz w:val="18"/>
              </w:rPr>
              <w:t>286 000</w:t>
            </w:r>
          </w:p>
        </w:tc>
        <w:tc>
          <w:tcPr>
            <w:tcW w:w="1080" w:type="dxa"/>
            <w:vAlign w:val="center"/>
          </w:tcPr>
          <w:p>
            <w:pPr>
              <w:spacing w:before="60" w:after="60" w:line="200" w:lineRule="exact"/>
              <w:jc w:val="right"/>
              <w:rPr>
                <w:noProof/>
                <w:sz w:val="16"/>
                <w:szCs w:val="16"/>
              </w:rPr>
            </w:pPr>
            <w:r>
              <w:rPr>
                <w:noProof/>
                <w:sz w:val="18"/>
              </w:rPr>
              <w:t>286 000</w:t>
            </w: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b/>
                <w:noProof/>
                <w:sz w:val="16"/>
                <w:szCs w:val="16"/>
              </w:rPr>
            </w:pPr>
          </w:p>
        </w:tc>
        <w:tc>
          <w:tcPr>
            <w:tcW w:w="1080" w:type="dxa"/>
            <w:vAlign w:val="center"/>
          </w:tcPr>
          <w:p>
            <w:pPr>
              <w:spacing w:before="60" w:after="60" w:line="200" w:lineRule="exact"/>
              <w:jc w:val="right"/>
              <w:rPr>
                <w:b/>
                <w:noProof/>
                <w:sz w:val="16"/>
                <w:szCs w:val="16"/>
              </w:rPr>
            </w:pPr>
          </w:p>
        </w:tc>
      </w:tr>
      <w:tr>
        <w:trPr>
          <w:trHeight w:val="585"/>
        </w:trPr>
        <w:tc>
          <w:tcPr>
            <w:tcW w:w="1980" w:type="dxa"/>
            <w:vAlign w:val="center"/>
          </w:tcPr>
          <w:p>
            <w:pPr>
              <w:spacing w:before="60" w:after="60" w:line="200" w:lineRule="exact"/>
              <w:ind w:left="72"/>
              <w:jc w:val="left"/>
              <w:rPr>
                <w:noProof/>
                <w:sz w:val="16"/>
                <w:szCs w:val="16"/>
              </w:rPr>
            </w:pPr>
            <w:r>
              <w:rPr>
                <w:noProof/>
                <w:sz w:val="16"/>
              </w:rPr>
              <w:t xml:space="preserve">Autres dépenses administratives </w:t>
            </w:r>
          </w:p>
        </w:tc>
        <w:tc>
          <w:tcPr>
            <w:tcW w:w="1080" w:type="dxa"/>
            <w:vAlign w:val="center"/>
          </w:tcPr>
          <w:p>
            <w:pPr>
              <w:spacing w:before="60" w:after="60" w:line="200" w:lineRule="exact"/>
              <w:jc w:val="right"/>
              <w:rPr>
                <w:noProof/>
                <w:sz w:val="16"/>
                <w:szCs w:val="16"/>
              </w:rPr>
            </w:pPr>
            <w:r>
              <w:rPr>
                <w:noProof/>
                <w:sz w:val="18"/>
              </w:rPr>
              <w:t>2 000</w:t>
            </w:r>
          </w:p>
        </w:tc>
        <w:tc>
          <w:tcPr>
            <w:tcW w:w="1080" w:type="dxa"/>
            <w:vAlign w:val="center"/>
          </w:tcPr>
          <w:p>
            <w:pPr>
              <w:spacing w:before="60" w:after="60" w:line="200" w:lineRule="exact"/>
              <w:jc w:val="right"/>
              <w:rPr>
                <w:noProof/>
                <w:sz w:val="16"/>
                <w:szCs w:val="16"/>
              </w:rPr>
            </w:pPr>
            <w:r>
              <w:rPr>
                <w:noProof/>
                <w:sz w:val="18"/>
              </w:rPr>
              <w:t>2 000</w:t>
            </w:r>
          </w:p>
        </w:tc>
        <w:tc>
          <w:tcPr>
            <w:tcW w:w="1080" w:type="dxa"/>
            <w:vAlign w:val="center"/>
          </w:tcPr>
          <w:p>
            <w:pPr>
              <w:spacing w:before="60" w:after="60" w:line="200" w:lineRule="exact"/>
              <w:jc w:val="right"/>
              <w:rPr>
                <w:noProof/>
                <w:sz w:val="16"/>
                <w:szCs w:val="16"/>
              </w:rPr>
            </w:pPr>
            <w:r>
              <w:rPr>
                <w:noProof/>
                <w:sz w:val="18"/>
              </w:rPr>
              <w:t>2 000</w:t>
            </w:r>
          </w:p>
        </w:tc>
        <w:tc>
          <w:tcPr>
            <w:tcW w:w="1080" w:type="dxa"/>
            <w:vAlign w:val="center"/>
          </w:tcPr>
          <w:p>
            <w:pPr>
              <w:spacing w:before="60" w:after="60" w:line="200" w:lineRule="exact"/>
              <w:jc w:val="right"/>
              <w:rPr>
                <w:noProof/>
                <w:sz w:val="16"/>
                <w:szCs w:val="16"/>
              </w:rPr>
            </w:pPr>
            <w:r>
              <w:rPr>
                <w:noProof/>
                <w:sz w:val="18"/>
              </w:rPr>
              <w:t>2 000</w:t>
            </w: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b/>
                <w:noProof/>
                <w:sz w:val="16"/>
                <w:szCs w:val="16"/>
              </w:rPr>
            </w:pPr>
          </w:p>
        </w:tc>
        <w:tc>
          <w:tcPr>
            <w:tcW w:w="1080" w:type="dxa"/>
            <w:vAlign w:val="center"/>
          </w:tcPr>
          <w:p>
            <w:pPr>
              <w:spacing w:before="60" w:after="60" w:line="200" w:lineRule="exact"/>
              <w:jc w:val="right"/>
              <w:rPr>
                <w:b/>
                <w:noProof/>
                <w:sz w:val="16"/>
                <w:szCs w:val="16"/>
              </w:rPr>
            </w:pPr>
          </w:p>
        </w:tc>
      </w:tr>
      <w:tr>
        <w:trPr>
          <w:trHeight w:val="585"/>
        </w:trPr>
        <w:tc>
          <w:tcPr>
            <w:tcW w:w="1980" w:type="dxa"/>
            <w:shd w:val="clear" w:color="auto" w:fill="CCCCCC"/>
            <w:vAlign w:val="center"/>
          </w:tcPr>
          <w:p>
            <w:pPr>
              <w:spacing w:before="60" w:after="60" w:line="200" w:lineRule="exact"/>
              <w:jc w:val="center"/>
              <w:rPr>
                <w:b/>
                <w:noProof/>
                <w:sz w:val="16"/>
                <w:szCs w:val="16"/>
              </w:rPr>
            </w:pPr>
            <w:r>
              <w:rPr>
                <w:b/>
                <w:noProof/>
                <w:sz w:val="16"/>
              </w:rPr>
              <w:t>Sous-total RUBRIQUE 5</w:t>
            </w:r>
            <w:r>
              <w:rPr>
                <w:noProof/>
                <w:sz w:val="22"/>
              </w:rPr>
              <w:br/>
            </w:r>
            <w:r>
              <w:rPr>
                <w:b/>
                <w:noProof/>
                <w:sz w:val="16"/>
              </w:rPr>
              <w:t xml:space="preserve">du cadre financier pluriannuel </w:t>
            </w:r>
          </w:p>
        </w:tc>
        <w:tc>
          <w:tcPr>
            <w:tcW w:w="1080" w:type="dxa"/>
            <w:vAlign w:val="center"/>
          </w:tcPr>
          <w:p>
            <w:pPr>
              <w:spacing w:before="60" w:after="60" w:line="200" w:lineRule="exact"/>
              <w:jc w:val="right"/>
              <w:rPr>
                <w:noProof/>
                <w:sz w:val="16"/>
                <w:szCs w:val="16"/>
              </w:rPr>
            </w:pPr>
            <w:r>
              <w:rPr>
                <w:noProof/>
                <w:sz w:val="18"/>
              </w:rPr>
              <w:t>288 000</w:t>
            </w:r>
          </w:p>
        </w:tc>
        <w:tc>
          <w:tcPr>
            <w:tcW w:w="1080" w:type="dxa"/>
            <w:vAlign w:val="center"/>
          </w:tcPr>
          <w:p>
            <w:pPr>
              <w:spacing w:before="60" w:after="60" w:line="200" w:lineRule="exact"/>
              <w:jc w:val="right"/>
              <w:rPr>
                <w:noProof/>
                <w:sz w:val="16"/>
                <w:szCs w:val="16"/>
              </w:rPr>
            </w:pPr>
            <w:r>
              <w:rPr>
                <w:noProof/>
                <w:sz w:val="18"/>
              </w:rPr>
              <w:t>288 000</w:t>
            </w:r>
          </w:p>
        </w:tc>
        <w:tc>
          <w:tcPr>
            <w:tcW w:w="1080" w:type="dxa"/>
            <w:vAlign w:val="center"/>
          </w:tcPr>
          <w:p>
            <w:pPr>
              <w:spacing w:before="60" w:after="60" w:line="200" w:lineRule="exact"/>
              <w:jc w:val="right"/>
              <w:rPr>
                <w:noProof/>
                <w:sz w:val="16"/>
                <w:szCs w:val="16"/>
              </w:rPr>
            </w:pPr>
            <w:r>
              <w:rPr>
                <w:noProof/>
                <w:sz w:val="18"/>
              </w:rPr>
              <w:t>288 000</w:t>
            </w:r>
          </w:p>
        </w:tc>
        <w:tc>
          <w:tcPr>
            <w:tcW w:w="1080" w:type="dxa"/>
            <w:vAlign w:val="center"/>
          </w:tcPr>
          <w:p>
            <w:pPr>
              <w:spacing w:before="60" w:after="60" w:line="200" w:lineRule="exact"/>
              <w:jc w:val="right"/>
              <w:rPr>
                <w:noProof/>
                <w:sz w:val="16"/>
                <w:szCs w:val="16"/>
              </w:rPr>
            </w:pPr>
            <w:r>
              <w:rPr>
                <w:noProof/>
                <w:sz w:val="18"/>
              </w:rPr>
              <w:t>288 000</w:t>
            </w: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b/>
                <w:noProof/>
                <w:sz w:val="16"/>
                <w:szCs w:val="16"/>
              </w:rPr>
            </w:pPr>
          </w:p>
        </w:tc>
        <w:tc>
          <w:tcPr>
            <w:tcW w:w="1080" w:type="dxa"/>
            <w:vAlign w:val="center"/>
          </w:tcPr>
          <w:p>
            <w:pPr>
              <w:spacing w:before="60" w:after="60" w:line="200" w:lineRule="exact"/>
              <w:jc w:val="right"/>
              <w:rPr>
                <w:b/>
                <w:noProof/>
                <w:sz w:val="16"/>
                <w:szCs w:val="16"/>
              </w:rPr>
            </w:pPr>
          </w:p>
        </w:tc>
      </w:tr>
    </w:tbl>
    <w:p>
      <w:pPr>
        <w:spacing w:line="200" w:lineRule="exact"/>
        <w:rPr>
          <w:noProof/>
          <w:sz w:val="16"/>
          <w:szCs w:val="16"/>
        </w:rPr>
      </w:pPr>
    </w:p>
    <w:tbl>
      <w:tblPr>
        <w:tblW w:w="1062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gridCol w:w="1080"/>
        <w:gridCol w:w="1080"/>
        <w:gridCol w:w="1080"/>
      </w:tblGrid>
      <w:tr>
        <w:trPr>
          <w:trHeight w:val="585"/>
        </w:trPr>
        <w:tc>
          <w:tcPr>
            <w:tcW w:w="1980" w:type="dxa"/>
            <w:shd w:val="clear" w:color="auto" w:fill="CCCCCC"/>
            <w:vAlign w:val="center"/>
          </w:tcPr>
          <w:p>
            <w:pPr>
              <w:spacing w:before="60" w:after="60" w:line="200" w:lineRule="exact"/>
              <w:jc w:val="center"/>
              <w:rPr>
                <w:noProof/>
                <w:sz w:val="16"/>
                <w:szCs w:val="16"/>
              </w:rPr>
            </w:pPr>
            <w:r>
              <w:rPr>
                <w:b/>
                <w:noProof/>
                <w:sz w:val="16"/>
              </w:rPr>
              <w:t>Hors RUBRIQUE 5</w:t>
            </w:r>
            <w:r>
              <w:rPr>
                <w:rStyle w:val="FootnoteReference"/>
                <w:b/>
                <w:noProof/>
                <w:sz w:val="16"/>
              </w:rPr>
              <w:footnoteReference w:id="15"/>
            </w:r>
            <w:r>
              <w:rPr>
                <w:noProof/>
                <w:sz w:val="22"/>
              </w:rPr>
              <w:br/>
            </w:r>
            <w:r>
              <w:rPr>
                <w:b/>
                <w:noProof/>
                <w:sz w:val="16"/>
              </w:rPr>
              <w:t xml:space="preserve">du cadre financier pluriannuel </w:t>
            </w:r>
          </w:p>
          <w:p>
            <w:pPr>
              <w:spacing w:before="0" w:after="0" w:line="200" w:lineRule="exact"/>
              <w:jc w:val="center"/>
              <w:rPr>
                <w:b/>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b/>
                <w:noProof/>
                <w:sz w:val="16"/>
                <w:szCs w:val="16"/>
              </w:rPr>
            </w:pPr>
          </w:p>
        </w:tc>
        <w:tc>
          <w:tcPr>
            <w:tcW w:w="1080" w:type="dxa"/>
            <w:vAlign w:val="center"/>
          </w:tcPr>
          <w:p>
            <w:pPr>
              <w:spacing w:before="60" w:after="60" w:line="200" w:lineRule="exact"/>
              <w:jc w:val="right"/>
              <w:rPr>
                <w:b/>
                <w:noProof/>
                <w:sz w:val="16"/>
                <w:szCs w:val="16"/>
              </w:rPr>
            </w:pPr>
          </w:p>
        </w:tc>
      </w:tr>
      <w:tr>
        <w:trPr>
          <w:trHeight w:val="585"/>
        </w:trPr>
        <w:tc>
          <w:tcPr>
            <w:tcW w:w="1980" w:type="dxa"/>
            <w:vAlign w:val="center"/>
          </w:tcPr>
          <w:p>
            <w:pPr>
              <w:spacing w:before="60" w:after="60" w:line="200" w:lineRule="exact"/>
              <w:ind w:left="72"/>
              <w:jc w:val="left"/>
              <w:rPr>
                <w:noProof/>
                <w:sz w:val="16"/>
                <w:szCs w:val="16"/>
              </w:rPr>
            </w:pPr>
            <w:r>
              <w:rPr>
                <w:noProof/>
                <w:sz w:val="16"/>
              </w:rPr>
              <w:t xml:space="preserve">Ressources humaines </w:t>
            </w: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b/>
                <w:noProof/>
                <w:sz w:val="16"/>
                <w:szCs w:val="16"/>
              </w:rPr>
            </w:pPr>
          </w:p>
        </w:tc>
        <w:tc>
          <w:tcPr>
            <w:tcW w:w="1080" w:type="dxa"/>
            <w:vAlign w:val="center"/>
          </w:tcPr>
          <w:p>
            <w:pPr>
              <w:spacing w:before="60" w:after="60" w:line="200" w:lineRule="exact"/>
              <w:jc w:val="right"/>
              <w:rPr>
                <w:b/>
                <w:noProof/>
                <w:sz w:val="16"/>
                <w:szCs w:val="16"/>
              </w:rPr>
            </w:pPr>
          </w:p>
        </w:tc>
      </w:tr>
      <w:tr>
        <w:trPr>
          <w:trHeight w:val="585"/>
        </w:trPr>
        <w:tc>
          <w:tcPr>
            <w:tcW w:w="1980" w:type="dxa"/>
            <w:vAlign w:val="center"/>
          </w:tcPr>
          <w:p>
            <w:pPr>
              <w:spacing w:before="60" w:after="60" w:line="200" w:lineRule="exact"/>
              <w:ind w:left="72"/>
              <w:jc w:val="left"/>
              <w:rPr>
                <w:noProof/>
                <w:sz w:val="16"/>
                <w:szCs w:val="16"/>
              </w:rPr>
            </w:pPr>
            <w:r>
              <w:rPr>
                <w:noProof/>
                <w:sz w:val="16"/>
              </w:rPr>
              <w:t xml:space="preserve">Autres dépenses </w:t>
            </w:r>
            <w:r>
              <w:rPr>
                <w:noProof/>
                <w:sz w:val="22"/>
              </w:rPr>
              <w:br/>
            </w:r>
            <w:r>
              <w:rPr>
                <w:noProof/>
                <w:sz w:val="16"/>
              </w:rPr>
              <w:t>de nature administrative</w:t>
            </w: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b/>
                <w:noProof/>
                <w:sz w:val="16"/>
                <w:szCs w:val="16"/>
              </w:rPr>
            </w:pPr>
          </w:p>
        </w:tc>
        <w:tc>
          <w:tcPr>
            <w:tcW w:w="1080" w:type="dxa"/>
            <w:vAlign w:val="center"/>
          </w:tcPr>
          <w:p>
            <w:pPr>
              <w:spacing w:before="60" w:after="60" w:line="200" w:lineRule="exact"/>
              <w:jc w:val="right"/>
              <w:rPr>
                <w:b/>
                <w:noProof/>
                <w:sz w:val="16"/>
                <w:szCs w:val="16"/>
              </w:rPr>
            </w:pPr>
          </w:p>
        </w:tc>
      </w:tr>
      <w:tr>
        <w:trPr>
          <w:trHeight w:val="585"/>
        </w:trPr>
        <w:tc>
          <w:tcPr>
            <w:tcW w:w="1980" w:type="dxa"/>
            <w:shd w:val="clear" w:color="auto" w:fill="CCCCCC"/>
            <w:vAlign w:val="center"/>
          </w:tcPr>
          <w:p>
            <w:pPr>
              <w:spacing w:before="60" w:after="60" w:line="200" w:lineRule="exact"/>
              <w:jc w:val="center"/>
              <w:rPr>
                <w:b/>
                <w:noProof/>
                <w:sz w:val="16"/>
                <w:szCs w:val="16"/>
              </w:rPr>
            </w:pPr>
            <w:r>
              <w:rPr>
                <w:b/>
                <w:noProof/>
                <w:sz w:val="16"/>
              </w:rPr>
              <w:t xml:space="preserve">Sous-total </w:t>
            </w:r>
            <w:r>
              <w:rPr>
                <w:noProof/>
                <w:sz w:val="22"/>
              </w:rPr>
              <w:br/>
            </w:r>
            <w:r>
              <w:rPr>
                <w:b/>
                <w:noProof/>
                <w:sz w:val="16"/>
              </w:rPr>
              <w:t>Hors RUBRIQUE 5</w:t>
            </w:r>
            <w:r>
              <w:rPr>
                <w:noProof/>
                <w:sz w:val="22"/>
              </w:rPr>
              <w:br/>
            </w:r>
            <w:r>
              <w:rPr>
                <w:b/>
                <w:noProof/>
                <w:sz w:val="16"/>
              </w:rPr>
              <w:t xml:space="preserve">du cadre financier pluriannuel </w:t>
            </w: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b/>
                <w:noProof/>
                <w:sz w:val="16"/>
                <w:szCs w:val="16"/>
              </w:rPr>
            </w:pPr>
          </w:p>
        </w:tc>
        <w:tc>
          <w:tcPr>
            <w:tcW w:w="1080" w:type="dxa"/>
            <w:vAlign w:val="center"/>
          </w:tcPr>
          <w:p>
            <w:pPr>
              <w:spacing w:before="60" w:after="60" w:line="200" w:lineRule="exact"/>
              <w:jc w:val="right"/>
              <w:rPr>
                <w:b/>
                <w:noProof/>
                <w:sz w:val="16"/>
                <w:szCs w:val="16"/>
              </w:rPr>
            </w:pPr>
          </w:p>
        </w:tc>
      </w:tr>
    </w:tbl>
    <w:p>
      <w:pPr>
        <w:spacing w:line="200" w:lineRule="exact"/>
        <w:rPr>
          <w:noProof/>
          <w:sz w:val="16"/>
          <w:szCs w:val="16"/>
        </w:rPr>
      </w:pPr>
    </w:p>
    <w:tbl>
      <w:tblPr>
        <w:tblW w:w="10620" w:type="dxa"/>
        <w:tblInd w:w="-612" w:type="dxa"/>
        <w:tblLayout w:type="fixed"/>
        <w:tblLook w:val="01E0" w:firstRow="1" w:lastRow="1" w:firstColumn="1" w:lastColumn="1" w:noHBand="0" w:noVBand="0"/>
      </w:tblPr>
      <w:tblGrid>
        <w:gridCol w:w="1980"/>
        <w:gridCol w:w="1080"/>
        <w:gridCol w:w="1080"/>
        <w:gridCol w:w="1080"/>
        <w:gridCol w:w="1080"/>
        <w:gridCol w:w="1080"/>
        <w:gridCol w:w="1080"/>
        <w:gridCol w:w="1080"/>
        <w:gridCol w:w="1080"/>
      </w:tblGrid>
      <w:tr>
        <w:trPr>
          <w:trHeight w:val="585"/>
        </w:trPr>
        <w:tc>
          <w:tcPr>
            <w:tcW w:w="1980" w:type="dxa"/>
            <w:tcBorders>
              <w:top w:val="single" w:sz="12" w:space="0" w:color="auto"/>
              <w:left w:val="single" w:sz="12" w:space="0" w:color="auto"/>
              <w:bottom w:val="single" w:sz="12" w:space="0" w:color="auto"/>
              <w:right w:val="single" w:sz="2" w:space="0" w:color="auto"/>
            </w:tcBorders>
            <w:vAlign w:val="center"/>
          </w:tcPr>
          <w:p>
            <w:pPr>
              <w:spacing w:before="60" w:after="60" w:line="200" w:lineRule="exact"/>
              <w:jc w:val="center"/>
              <w:rPr>
                <w:noProof/>
                <w:sz w:val="16"/>
                <w:szCs w:val="16"/>
              </w:rPr>
            </w:pPr>
            <w:r>
              <w:rPr>
                <w:b/>
                <w:noProof/>
                <w:sz w:val="16"/>
              </w:rPr>
              <w:t>TOTAL</w:t>
            </w:r>
          </w:p>
        </w:tc>
        <w:tc>
          <w:tcPr>
            <w:tcW w:w="1080" w:type="dxa"/>
            <w:tcBorders>
              <w:top w:val="single" w:sz="12" w:space="0" w:color="auto"/>
              <w:left w:val="single" w:sz="2" w:space="0" w:color="auto"/>
              <w:bottom w:val="single" w:sz="12" w:space="0" w:color="auto"/>
              <w:right w:val="single" w:sz="2" w:space="0" w:color="auto"/>
            </w:tcBorders>
            <w:vAlign w:val="center"/>
          </w:tcPr>
          <w:p>
            <w:pPr>
              <w:spacing w:before="60" w:after="60" w:line="200" w:lineRule="exact"/>
              <w:jc w:val="right"/>
              <w:rPr>
                <w:b/>
                <w:noProof/>
                <w:sz w:val="16"/>
                <w:szCs w:val="16"/>
              </w:rPr>
            </w:pPr>
            <w:r>
              <w:rPr>
                <w:noProof/>
                <w:sz w:val="18"/>
              </w:rPr>
              <w:t>288 000</w:t>
            </w:r>
          </w:p>
        </w:tc>
        <w:tc>
          <w:tcPr>
            <w:tcW w:w="1080" w:type="dxa"/>
            <w:tcBorders>
              <w:top w:val="single" w:sz="12" w:space="0" w:color="auto"/>
              <w:left w:val="single" w:sz="2" w:space="0" w:color="auto"/>
              <w:bottom w:val="single" w:sz="12" w:space="0" w:color="auto"/>
              <w:right w:val="single" w:sz="2" w:space="0" w:color="auto"/>
            </w:tcBorders>
            <w:vAlign w:val="center"/>
          </w:tcPr>
          <w:p>
            <w:pPr>
              <w:spacing w:before="60" w:after="60" w:line="200" w:lineRule="exact"/>
              <w:jc w:val="right"/>
              <w:rPr>
                <w:b/>
                <w:noProof/>
                <w:sz w:val="16"/>
                <w:szCs w:val="16"/>
              </w:rPr>
            </w:pPr>
            <w:r>
              <w:rPr>
                <w:noProof/>
                <w:sz w:val="18"/>
              </w:rPr>
              <w:t>288 000</w:t>
            </w:r>
          </w:p>
        </w:tc>
        <w:tc>
          <w:tcPr>
            <w:tcW w:w="1080" w:type="dxa"/>
            <w:tcBorders>
              <w:top w:val="single" w:sz="12" w:space="0" w:color="auto"/>
              <w:left w:val="single" w:sz="2" w:space="0" w:color="auto"/>
              <w:bottom w:val="single" w:sz="12" w:space="0" w:color="auto"/>
              <w:right w:val="single" w:sz="2" w:space="0" w:color="auto"/>
            </w:tcBorders>
            <w:vAlign w:val="center"/>
          </w:tcPr>
          <w:p>
            <w:pPr>
              <w:spacing w:before="60" w:after="60" w:line="200" w:lineRule="exact"/>
              <w:jc w:val="right"/>
              <w:rPr>
                <w:b/>
                <w:noProof/>
                <w:sz w:val="16"/>
                <w:szCs w:val="16"/>
              </w:rPr>
            </w:pPr>
            <w:r>
              <w:rPr>
                <w:noProof/>
                <w:sz w:val="18"/>
              </w:rPr>
              <w:t>288 000</w:t>
            </w:r>
          </w:p>
        </w:tc>
        <w:tc>
          <w:tcPr>
            <w:tcW w:w="1080" w:type="dxa"/>
            <w:tcBorders>
              <w:top w:val="single" w:sz="12" w:space="0" w:color="auto"/>
              <w:left w:val="single" w:sz="2" w:space="0" w:color="auto"/>
              <w:bottom w:val="single" w:sz="12" w:space="0" w:color="auto"/>
              <w:right w:val="single" w:sz="2" w:space="0" w:color="auto"/>
            </w:tcBorders>
            <w:vAlign w:val="center"/>
          </w:tcPr>
          <w:p>
            <w:pPr>
              <w:spacing w:before="60" w:after="60" w:line="200" w:lineRule="exact"/>
              <w:jc w:val="right"/>
              <w:rPr>
                <w:b/>
                <w:noProof/>
                <w:sz w:val="16"/>
                <w:szCs w:val="16"/>
              </w:rPr>
            </w:pPr>
            <w:r>
              <w:rPr>
                <w:noProof/>
                <w:sz w:val="18"/>
              </w:rPr>
              <w:t>288 000</w:t>
            </w:r>
          </w:p>
        </w:tc>
        <w:tc>
          <w:tcPr>
            <w:tcW w:w="1080" w:type="dxa"/>
            <w:tcBorders>
              <w:top w:val="single" w:sz="12" w:space="0" w:color="auto"/>
              <w:left w:val="single" w:sz="2" w:space="0" w:color="auto"/>
              <w:bottom w:val="single" w:sz="12" w:space="0" w:color="auto"/>
              <w:right w:val="single" w:sz="2" w:space="0" w:color="auto"/>
            </w:tcBorders>
            <w:vAlign w:val="center"/>
          </w:tcPr>
          <w:p>
            <w:pPr>
              <w:spacing w:before="60" w:after="60" w:line="200" w:lineRule="exact"/>
              <w:jc w:val="right"/>
              <w:rPr>
                <w:b/>
                <w:noProof/>
                <w:sz w:val="16"/>
                <w:szCs w:val="16"/>
              </w:rPr>
            </w:pPr>
          </w:p>
        </w:tc>
        <w:tc>
          <w:tcPr>
            <w:tcW w:w="1080" w:type="dxa"/>
            <w:tcBorders>
              <w:top w:val="single" w:sz="12" w:space="0" w:color="auto"/>
              <w:left w:val="single" w:sz="2" w:space="0" w:color="auto"/>
              <w:bottom w:val="single" w:sz="12" w:space="0" w:color="auto"/>
              <w:right w:val="single" w:sz="2" w:space="0" w:color="auto"/>
            </w:tcBorders>
            <w:vAlign w:val="center"/>
          </w:tcPr>
          <w:p>
            <w:pPr>
              <w:spacing w:before="60" w:after="60" w:line="200" w:lineRule="exact"/>
              <w:jc w:val="right"/>
              <w:rPr>
                <w:b/>
                <w:noProof/>
                <w:sz w:val="16"/>
                <w:szCs w:val="16"/>
              </w:rPr>
            </w:pPr>
          </w:p>
        </w:tc>
        <w:tc>
          <w:tcPr>
            <w:tcW w:w="1080" w:type="dxa"/>
            <w:tcBorders>
              <w:top w:val="single" w:sz="12" w:space="0" w:color="auto"/>
              <w:left w:val="single" w:sz="2" w:space="0" w:color="auto"/>
              <w:bottom w:val="single" w:sz="12" w:space="0" w:color="auto"/>
              <w:right w:val="single" w:sz="2" w:space="0" w:color="auto"/>
            </w:tcBorders>
            <w:vAlign w:val="center"/>
          </w:tcPr>
          <w:p>
            <w:pPr>
              <w:spacing w:before="60" w:after="60" w:line="200" w:lineRule="exact"/>
              <w:jc w:val="right"/>
              <w:rPr>
                <w:b/>
                <w:noProof/>
                <w:sz w:val="16"/>
                <w:szCs w:val="16"/>
              </w:rPr>
            </w:pPr>
          </w:p>
        </w:tc>
        <w:tc>
          <w:tcPr>
            <w:tcW w:w="1080" w:type="dxa"/>
            <w:tcBorders>
              <w:top w:val="single" w:sz="12" w:space="0" w:color="auto"/>
              <w:left w:val="single" w:sz="2" w:space="0" w:color="auto"/>
              <w:bottom w:val="single" w:sz="12" w:space="0" w:color="auto"/>
              <w:right w:val="single" w:sz="2" w:space="0" w:color="auto"/>
            </w:tcBorders>
            <w:vAlign w:val="center"/>
          </w:tcPr>
          <w:p>
            <w:pPr>
              <w:spacing w:before="60" w:after="60" w:line="200" w:lineRule="exact"/>
              <w:jc w:val="right"/>
              <w:rPr>
                <w:b/>
                <w:noProof/>
                <w:sz w:val="16"/>
                <w:szCs w:val="16"/>
              </w:rPr>
            </w:pPr>
          </w:p>
        </w:tc>
      </w:tr>
    </w:tbl>
    <w:p>
      <w:pPr>
        <w:rPr>
          <w:noProof/>
          <w:sz w:val="18"/>
        </w:rPr>
      </w:pPr>
      <w:r>
        <w:rPr>
          <w:noProof/>
          <w:sz w:val="18"/>
        </w:rPr>
        <w:t>Les besoins en crédits pour les ressources humaines et les autres dépenses de nature administrative seront couverts par les crédits de la DG déjà affectés à la gestion de l’action et/ou redéployés en interne au sein de la DG, complétés le cas échéant par toute dotation additionnelle qui pourrait être allouée à la DG gestionnaire dans le cadre de la procédure d’allocation annuelle et compte tenu des contraintes budgétaires existantes.</w:t>
      </w:r>
    </w:p>
    <w:p>
      <w:pPr>
        <w:rPr>
          <w:noProof/>
          <w:sz w:val="18"/>
        </w:rPr>
        <w:sectPr>
          <w:headerReference w:type="default" r:id="rId23"/>
          <w:footerReference w:type="default" r:id="rId24"/>
          <w:headerReference w:type="first" r:id="rId25"/>
          <w:footerReference w:type="first" r:id="rId26"/>
          <w:pgSz w:w="11907" w:h="16840"/>
          <w:pgMar w:top="1134" w:right="1418" w:bottom="1134" w:left="1418" w:header="709" w:footer="709" w:gutter="0"/>
          <w:cols w:space="708"/>
          <w:docGrid w:linePitch="360"/>
        </w:sectPr>
      </w:pPr>
    </w:p>
    <w:p>
      <w:pPr>
        <w:pStyle w:val="ManualHeading4"/>
        <w:rPr>
          <w:bCs/>
          <w:noProof/>
          <w:szCs w:val="24"/>
        </w:rPr>
      </w:pPr>
      <w:r>
        <w:t>3.2.3.1.</w:t>
      </w:r>
      <w:r>
        <w:tab/>
      </w:r>
      <w:r>
        <w:rPr>
          <w:noProof/>
        </w:rPr>
        <w:t xml:space="preserve">Besoins estimés en ressources humaines </w:t>
      </w:r>
    </w:p>
    <w:p>
      <w:pPr>
        <w:pStyle w:val="ListDash1"/>
        <w:rPr>
          <w:noProof/>
        </w:rPr>
      </w:pPr>
      <w:r>
        <w:rPr>
          <w:noProof/>
        </w:rPr>
        <w:sym w:font="Wingdings" w:char="F0A8"/>
      </w:r>
      <w:r>
        <w:rPr>
          <w:noProof/>
        </w:rPr>
        <w:tab/>
        <w:t xml:space="preserve">La proposition/l’initiative n’engendre pas l’utilisation de ressources humaines. </w:t>
      </w:r>
    </w:p>
    <w:p>
      <w:pPr>
        <w:pStyle w:val="ListDash1"/>
        <w:rPr>
          <w:noProof/>
        </w:rPr>
      </w:pPr>
      <w:r>
        <w:rPr>
          <w:noProof/>
        </w:rPr>
        <w:sym w:font="Wingdings" w:char="F0A8"/>
      </w:r>
      <w:r>
        <w:rPr>
          <w:noProof/>
        </w:rPr>
        <w:tab/>
        <w:t>La proposition/l’initiative engendre l’utilisation de ressources humaines, comme expliqué ci-après:</w:t>
      </w:r>
    </w:p>
    <w:p>
      <w:pPr>
        <w:spacing w:after="60"/>
        <w:jc w:val="right"/>
        <w:rPr>
          <w:i/>
          <w:noProof/>
          <w:sz w:val="20"/>
        </w:rPr>
      </w:pPr>
      <w:r>
        <w:rPr>
          <w:i/>
          <w:noProof/>
          <w:sz w:val="20"/>
        </w:rPr>
        <w:t>Estimation à exprimer en équivalents temps plein</w:t>
      </w:r>
    </w:p>
    <w:tbl>
      <w:tblPr>
        <w:tblW w:w="988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5"/>
        <w:gridCol w:w="2376"/>
        <w:gridCol w:w="2378"/>
        <w:gridCol w:w="731"/>
        <w:gridCol w:w="731"/>
        <w:gridCol w:w="731"/>
        <w:gridCol w:w="731"/>
        <w:gridCol w:w="731"/>
        <w:gridCol w:w="731"/>
        <w:gridCol w:w="731"/>
      </w:tblGrid>
      <w:tr>
        <w:trPr>
          <w:gridBefore w:val="1"/>
          <w:wBefore w:w="13" w:type="dxa"/>
          <w:trHeight w:val="289"/>
          <w:jc w:val="center"/>
        </w:trPr>
        <w:tc>
          <w:tcPr>
            <w:tcW w:w="3906" w:type="dxa"/>
            <w:gridSpan w:val="2"/>
            <w:shd w:val="clear" w:color="auto" w:fill="auto"/>
          </w:tcPr>
          <w:p>
            <w:pPr>
              <w:pStyle w:val="Text1"/>
              <w:spacing w:before="40" w:after="40"/>
              <w:ind w:left="0"/>
              <w:jc w:val="center"/>
              <w:rPr>
                <w:i/>
                <w:noProof/>
                <w:sz w:val="16"/>
                <w:szCs w:val="16"/>
              </w:rPr>
            </w:pPr>
          </w:p>
        </w:tc>
        <w:tc>
          <w:tcPr>
            <w:tcW w:w="600" w:type="dxa"/>
            <w:shd w:val="clear" w:color="auto" w:fill="auto"/>
            <w:vAlign w:val="center"/>
          </w:tcPr>
          <w:p>
            <w:pPr>
              <w:spacing w:before="20" w:after="20"/>
              <w:jc w:val="center"/>
              <w:rPr>
                <w:noProof/>
                <w:sz w:val="16"/>
                <w:szCs w:val="16"/>
              </w:rPr>
            </w:pPr>
            <w:r>
              <w:rPr>
                <w:noProof/>
                <w:sz w:val="16"/>
              </w:rPr>
              <w:t>Année</w:t>
            </w:r>
            <w:r>
              <w:rPr>
                <w:noProof/>
                <w:sz w:val="22"/>
              </w:rPr>
              <w:br/>
            </w:r>
            <w:r>
              <w:rPr>
                <w:b/>
                <w:noProof/>
                <w:sz w:val="16"/>
              </w:rPr>
              <w:t>N</w:t>
            </w:r>
          </w:p>
        </w:tc>
        <w:tc>
          <w:tcPr>
            <w:tcW w:w="600" w:type="dxa"/>
            <w:shd w:val="clear" w:color="auto" w:fill="auto"/>
            <w:vAlign w:val="center"/>
          </w:tcPr>
          <w:p>
            <w:pPr>
              <w:spacing w:before="20" w:after="20"/>
              <w:jc w:val="center"/>
              <w:rPr>
                <w:noProof/>
                <w:sz w:val="16"/>
                <w:szCs w:val="16"/>
              </w:rPr>
            </w:pPr>
            <w:r>
              <w:rPr>
                <w:noProof/>
                <w:sz w:val="16"/>
              </w:rPr>
              <w:t>Année</w:t>
            </w:r>
            <w:r>
              <w:rPr>
                <w:noProof/>
                <w:sz w:val="22"/>
              </w:rPr>
              <w:br/>
            </w:r>
            <w:r>
              <w:rPr>
                <w:b/>
                <w:noProof/>
                <w:sz w:val="16"/>
              </w:rPr>
              <w:t>N+1</w:t>
            </w:r>
          </w:p>
        </w:tc>
        <w:tc>
          <w:tcPr>
            <w:tcW w:w="600" w:type="dxa"/>
            <w:shd w:val="clear" w:color="auto" w:fill="auto"/>
            <w:vAlign w:val="center"/>
          </w:tcPr>
          <w:p>
            <w:pPr>
              <w:spacing w:before="20" w:after="20"/>
              <w:jc w:val="center"/>
              <w:rPr>
                <w:noProof/>
                <w:sz w:val="16"/>
                <w:szCs w:val="16"/>
              </w:rPr>
            </w:pPr>
            <w:r>
              <w:rPr>
                <w:noProof/>
                <w:sz w:val="16"/>
              </w:rPr>
              <w:t xml:space="preserve">Année </w:t>
            </w:r>
            <w:r>
              <w:rPr>
                <w:b/>
                <w:noProof/>
                <w:sz w:val="16"/>
              </w:rPr>
              <w:t>N+2</w:t>
            </w:r>
          </w:p>
        </w:tc>
        <w:tc>
          <w:tcPr>
            <w:tcW w:w="600" w:type="dxa"/>
            <w:shd w:val="clear" w:color="auto" w:fill="auto"/>
            <w:vAlign w:val="center"/>
          </w:tcPr>
          <w:p>
            <w:pPr>
              <w:spacing w:before="20" w:after="20"/>
              <w:jc w:val="center"/>
              <w:rPr>
                <w:noProof/>
                <w:sz w:val="16"/>
                <w:szCs w:val="16"/>
              </w:rPr>
            </w:pPr>
            <w:r>
              <w:rPr>
                <w:noProof/>
                <w:sz w:val="16"/>
              </w:rPr>
              <w:t xml:space="preserve">Année </w:t>
            </w:r>
            <w:r>
              <w:rPr>
                <w:b/>
                <w:noProof/>
                <w:sz w:val="16"/>
              </w:rPr>
              <w:t>N+3</w:t>
            </w:r>
          </w:p>
        </w:tc>
        <w:tc>
          <w:tcPr>
            <w:tcW w:w="600" w:type="dxa"/>
            <w:gridSpan w:val="3"/>
            <w:shd w:val="clear" w:color="auto" w:fill="auto"/>
            <w:vAlign w:val="center"/>
          </w:tcPr>
          <w:p>
            <w:pPr>
              <w:jc w:val="center"/>
              <w:rPr>
                <w:b/>
                <w:noProof/>
                <w:sz w:val="16"/>
                <w:szCs w:val="16"/>
              </w:rPr>
            </w:pPr>
            <w:r>
              <w:rPr>
                <w:noProof/>
                <w:sz w:val="16"/>
              </w:rPr>
              <w:t>Insérer autant d'années que nécessaire, pour refléter la durée de l’incidence (cf. point 1.6)</w:t>
            </w:r>
          </w:p>
        </w:tc>
      </w:tr>
      <w:tr>
        <w:trPr>
          <w:gridBefore w:val="1"/>
          <w:wBefore w:w="13" w:type="dxa"/>
          <w:trHeight w:val="289"/>
          <w:jc w:val="center"/>
        </w:trPr>
        <w:tc>
          <w:tcPr>
            <w:tcW w:w="600" w:type="dxa"/>
            <w:gridSpan w:val="9"/>
            <w:shd w:val="clear" w:color="auto" w:fill="auto"/>
          </w:tcPr>
          <w:p>
            <w:pPr>
              <w:jc w:val="left"/>
              <w:rPr>
                <w:noProof/>
                <w:sz w:val="16"/>
                <w:szCs w:val="16"/>
              </w:rPr>
            </w:pPr>
            <w:r>
              <w:rPr>
                <w:b/>
                <w:noProof/>
                <w:sz w:val="16"/>
              </w:rPr>
              <w:sym w:font="Wingdings" w:char="F09F"/>
            </w:r>
            <w:r>
              <w:rPr>
                <w:b/>
                <w:noProof/>
                <w:sz w:val="16"/>
              </w:rPr>
              <w:t xml:space="preserve"> Emplois du tableau des effectifs (fonctionnaires et agents temporaires)</w:t>
            </w:r>
          </w:p>
        </w:tc>
      </w:tr>
      <w:tr>
        <w:trPr>
          <w:gridBefore w:val="1"/>
          <w:wBefore w:w="13" w:type="dxa"/>
          <w:trHeight w:val="289"/>
          <w:jc w:val="center"/>
        </w:trPr>
        <w:tc>
          <w:tcPr>
            <w:tcW w:w="3906" w:type="dxa"/>
            <w:gridSpan w:val="2"/>
            <w:shd w:val="clear" w:color="auto" w:fill="auto"/>
            <w:vAlign w:val="center"/>
          </w:tcPr>
          <w:p>
            <w:pPr>
              <w:pStyle w:val="Text1"/>
              <w:spacing w:beforeLines="20" w:before="48" w:afterLines="20" w:after="48"/>
              <w:ind w:left="134"/>
              <w:jc w:val="left"/>
              <w:rPr>
                <w:b/>
                <w:noProof/>
                <w:sz w:val="16"/>
                <w:szCs w:val="16"/>
              </w:rPr>
            </w:pPr>
            <w:r>
              <w:rPr>
                <w:noProof/>
                <w:sz w:val="16"/>
              </w:rPr>
              <w:t>XX 01 01 01 (au siège et dans les bureaux de représentation de la Commission)</w:t>
            </w:r>
          </w:p>
        </w:tc>
        <w:tc>
          <w:tcPr>
            <w:tcW w:w="600" w:type="dxa"/>
            <w:shd w:val="clear" w:color="auto" w:fill="auto"/>
            <w:vAlign w:val="center"/>
          </w:tcPr>
          <w:p>
            <w:pPr>
              <w:spacing w:beforeLines="20" w:before="48" w:afterLines="20" w:after="48"/>
              <w:jc w:val="center"/>
              <w:rPr>
                <w:noProof/>
                <w:sz w:val="16"/>
                <w:szCs w:val="16"/>
              </w:rPr>
            </w:pPr>
            <w:r>
              <w:rPr>
                <w:noProof/>
                <w:sz w:val="16"/>
              </w:rPr>
              <w:t>2</w:t>
            </w:r>
          </w:p>
        </w:tc>
        <w:tc>
          <w:tcPr>
            <w:tcW w:w="600" w:type="dxa"/>
            <w:shd w:val="clear" w:color="auto" w:fill="auto"/>
            <w:vAlign w:val="center"/>
          </w:tcPr>
          <w:p>
            <w:pPr>
              <w:spacing w:beforeLines="20" w:before="48" w:afterLines="20" w:after="48"/>
              <w:jc w:val="center"/>
              <w:rPr>
                <w:noProof/>
                <w:sz w:val="16"/>
                <w:szCs w:val="16"/>
              </w:rPr>
            </w:pPr>
            <w:r>
              <w:rPr>
                <w:noProof/>
                <w:sz w:val="16"/>
              </w:rPr>
              <w:t>2</w:t>
            </w:r>
          </w:p>
        </w:tc>
        <w:tc>
          <w:tcPr>
            <w:tcW w:w="600" w:type="dxa"/>
            <w:shd w:val="clear" w:color="auto" w:fill="auto"/>
            <w:vAlign w:val="center"/>
          </w:tcPr>
          <w:p>
            <w:pPr>
              <w:spacing w:beforeLines="20" w:before="48" w:afterLines="20" w:after="48"/>
              <w:jc w:val="center"/>
              <w:rPr>
                <w:noProof/>
                <w:sz w:val="16"/>
                <w:szCs w:val="16"/>
              </w:rPr>
            </w:pPr>
            <w:r>
              <w:rPr>
                <w:noProof/>
                <w:sz w:val="16"/>
              </w:rPr>
              <w:t>2</w:t>
            </w:r>
          </w:p>
        </w:tc>
        <w:tc>
          <w:tcPr>
            <w:tcW w:w="600" w:type="dxa"/>
            <w:shd w:val="clear" w:color="auto" w:fill="auto"/>
            <w:vAlign w:val="center"/>
          </w:tcPr>
          <w:p>
            <w:pPr>
              <w:spacing w:beforeLines="20" w:before="48" w:afterLines="20" w:after="48"/>
              <w:jc w:val="center"/>
              <w:rPr>
                <w:noProof/>
                <w:sz w:val="16"/>
                <w:szCs w:val="16"/>
              </w:rPr>
            </w:pPr>
            <w:r>
              <w:rPr>
                <w:noProof/>
                <w:sz w:val="16"/>
              </w:rPr>
              <w:t>2</w:t>
            </w:r>
          </w:p>
        </w:tc>
        <w:tc>
          <w:tcPr>
            <w:tcW w:w="600" w:type="dxa"/>
            <w:shd w:val="clear" w:color="auto" w:fill="auto"/>
            <w:vAlign w:val="center"/>
          </w:tcPr>
          <w:p>
            <w:pPr>
              <w:spacing w:beforeLines="20" w:before="48" w:afterLines="20" w:after="48"/>
              <w:jc w:val="center"/>
              <w:rPr>
                <w:noProof/>
                <w:sz w:val="16"/>
                <w:szCs w:val="16"/>
              </w:rPr>
            </w:pPr>
          </w:p>
        </w:tc>
        <w:tc>
          <w:tcPr>
            <w:tcW w:w="600" w:type="dxa"/>
            <w:shd w:val="clear" w:color="auto" w:fill="auto"/>
            <w:vAlign w:val="center"/>
          </w:tcPr>
          <w:p>
            <w:pPr>
              <w:spacing w:beforeLines="20" w:before="48" w:afterLines="20" w:after="48"/>
              <w:jc w:val="center"/>
              <w:rPr>
                <w:noProof/>
                <w:sz w:val="16"/>
                <w:szCs w:val="16"/>
              </w:rPr>
            </w:pPr>
          </w:p>
        </w:tc>
        <w:tc>
          <w:tcPr>
            <w:tcW w:w="600" w:type="dxa"/>
            <w:shd w:val="clear" w:color="auto" w:fill="auto"/>
            <w:vAlign w:val="center"/>
          </w:tcPr>
          <w:p>
            <w:pPr>
              <w:spacing w:beforeLines="20" w:before="48" w:afterLines="20" w:after="48"/>
              <w:jc w:val="center"/>
              <w:rPr>
                <w:noProof/>
                <w:sz w:val="16"/>
                <w:szCs w:val="16"/>
              </w:rPr>
            </w:pPr>
          </w:p>
        </w:tc>
      </w:tr>
      <w:tr>
        <w:trPr>
          <w:gridBefore w:val="1"/>
          <w:wBefore w:w="13" w:type="dxa"/>
          <w:trHeight w:val="289"/>
          <w:jc w:val="center"/>
        </w:trPr>
        <w:tc>
          <w:tcPr>
            <w:tcW w:w="3906" w:type="dxa"/>
            <w:gridSpan w:val="2"/>
            <w:shd w:val="clear" w:color="auto" w:fill="auto"/>
            <w:vAlign w:val="center"/>
          </w:tcPr>
          <w:p>
            <w:pPr>
              <w:pStyle w:val="Text1"/>
              <w:spacing w:beforeLines="20" w:before="48" w:afterLines="20" w:after="48"/>
              <w:ind w:left="134"/>
              <w:jc w:val="left"/>
              <w:rPr>
                <w:noProof/>
                <w:sz w:val="16"/>
                <w:szCs w:val="16"/>
              </w:rPr>
            </w:pPr>
            <w:r>
              <w:rPr>
                <w:noProof/>
                <w:sz w:val="16"/>
              </w:rPr>
              <w:t>XX 01 01 02 (en délégation)</w:t>
            </w:r>
          </w:p>
        </w:tc>
        <w:tc>
          <w:tcPr>
            <w:tcW w:w="600" w:type="dxa"/>
            <w:shd w:val="clear" w:color="auto" w:fill="auto"/>
            <w:vAlign w:val="center"/>
          </w:tcPr>
          <w:p>
            <w:pPr>
              <w:spacing w:beforeLines="20" w:before="48" w:afterLines="20" w:after="48"/>
              <w:jc w:val="center"/>
              <w:rPr>
                <w:noProof/>
                <w:sz w:val="16"/>
                <w:szCs w:val="16"/>
              </w:rPr>
            </w:pPr>
          </w:p>
        </w:tc>
        <w:tc>
          <w:tcPr>
            <w:tcW w:w="600" w:type="dxa"/>
            <w:shd w:val="clear" w:color="auto" w:fill="auto"/>
            <w:vAlign w:val="center"/>
          </w:tcPr>
          <w:p>
            <w:pPr>
              <w:spacing w:beforeLines="20" w:before="48" w:afterLines="20" w:after="48"/>
              <w:jc w:val="center"/>
              <w:rPr>
                <w:noProof/>
                <w:sz w:val="16"/>
                <w:szCs w:val="16"/>
              </w:rPr>
            </w:pPr>
          </w:p>
        </w:tc>
        <w:tc>
          <w:tcPr>
            <w:tcW w:w="600" w:type="dxa"/>
            <w:shd w:val="clear" w:color="auto" w:fill="auto"/>
            <w:vAlign w:val="center"/>
          </w:tcPr>
          <w:p>
            <w:pPr>
              <w:spacing w:beforeLines="20" w:before="48" w:afterLines="20" w:after="48"/>
              <w:jc w:val="center"/>
              <w:rPr>
                <w:noProof/>
                <w:sz w:val="16"/>
                <w:szCs w:val="16"/>
              </w:rPr>
            </w:pPr>
          </w:p>
        </w:tc>
        <w:tc>
          <w:tcPr>
            <w:tcW w:w="600" w:type="dxa"/>
            <w:shd w:val="clear" w:color="auto" w:fill="auto"/>
            <w:vAlign w:val="center"/>
          </w:tcPr>
          <w:p>
            <w:pPr>
              <w:spacing w:beforeLines="20" w:before="48" w:afterLines="20" w:after="48"/>
              <w:jc w:val="center"/>
              <w:rPr>
                <w:noProof/>
                <w:sz w:val="16"/>
                <w:szCs w:val="16"/>
              </w:rPr>
            </w:pPr>
          </w:p>
        </w:tc>
        <w:tc>
          <w:tcPr>
            <w:tcW w:w="600" w:type="dxa"/>
            <w:shd w:val="clear" w:color="auto" w:fill="auto"/>
            <w:vAlign w:val="center"/>
          </w:tcPr>
          <w:p>
            <w:pPr>
              <w:spacing w:beforeLines="20" w:before="48" w:afterLines="20" w:after="48"/>
              <w:jc w:val="center"/>
              <w:rPr>
                <w:noProof/>
                <w:sz w:val="16"/>
                <w:szCs w:val="16"/>
              </w:rPr>
            </w:pPr>
          </w:p>
        </w:tc>
        <w:tc>
          <w:tcPr>
            <w:tcW w:w="600" w:type="dxa"/>
            <w:shd w:val="clear" w:color="auto" w:fill="auto"/>
            <w:vAlign w:val="center"/>
          </w:tcPr>
          <w:p>
            <w:pPr>
              <w:spacing w:beforeLines="20" w:before="48" w:afterLines="20" w:after="48"/>
              <w:jc w:val="center"/>
              <w:rPr>
                <w:noProof/>
                <w:sz w:val="16"/>
                <w:szCs w:val="16"/>
              </w:rPr>
            </w:pPr>
          </w:p>
        </w:tc>
        <w:tc>
          <w:tcPr>
            <w:tcW w:w="600" w:type="dxa"/>
            <w:shd w:val="clear" w:color="auto" w:fill="auto"/>
            <w:vAlign w:val="center"/>
          </w:tcPr>
          <w:p>
            <w:pPr>
              <w:spacing w:beforeLines="20" w:before="48" w:afterLines="20" w:after="48"/>
              <w:jc w:val="center"/>
              <w:rPr>
                <w:noProof/>
                <w:sz w:val="16"/>
                <w:szCs w:val="16"/>
              </w:rPr>
            </w:pPr>
          </w:p>
        </w:tc>
      </w:tr>
      <w:tr>
        <w:trPr>
          <w:gridBefore w:val="1"/>
          <w:wBefore w:w="13" w:type="dxa"/>
          <w:trHeight w:val="289"/>
          <w:jc w:val="center"/>
        </w:trPr>
        <w:tc>
          <w:tcPr>
            <w:tcW w:w="3906" w:type="dxa"/>
            <w:gridSpan w:val="2"/>
            <w:shd w:val="clear" w:color="auto" w:fill="auto"/>
            <w:vAlign w:val="center"/>
          </w:tcPr>
          <w:p>
            <w:pPr>
              <w:pStyle w:val="Text1"/>
              <w:spacing w:beforeLines="20" w:before="48" w:afterLines="20" w:after="48"/>
              <w:ind w:left="134"/>
              <w:jc w:val="left"/>
              <w:rPr>
                <w:noProof/>
                <w:sz w:val="16"/>
                <w:szCs w:val="16"/>
              </w:rPr>
            </w:pPr>
            <w:r>
              <w:rPr>
                <w:noProof/>
                <w:sz w:val="16"/>
              </w:rPr>
              <w:t>10 01 05 01/11 (recherche indirecte)</w:t>
            </w:r>
          </w:p>
        </w:tc>
        <w:tc>
          <w:tcPr>
            <w:tcW w:w="600" w:type="dxa"/>
            <w:shd w:val="clear" w:color="auto" w:fill="auto"/>
            <w:vAlign w:val="center"/>
          </w:tcPr>
          <w:p>
            <w:pPr>
              <w:spacing w:beforeLines="20" w:before="48" w:afterLines="20" w:after="48"/>
              <w:jc w:val="center"/>
              <w:rPr>
                <w:noProof/>
                <w:sz w:val="16"/>
                <w:szCs w:val="16"/>
              </w:rPr>
            </w:pPr>
          </w:p>
        </w:tc>
        <w:tc>
          <w:tcPr>
            <w:tcW w:w="600" w:type="dxa"/>
            <w:shd w:val="clear" w:color="auto" w:fill="auto"/>
            <w:vAlign w:val="center"/>
          </w:tcPr>
          <w:p>
            <w:pPr>
              <w:spacing w:beforeLines="20" w:before="48" w:afterLines="20" w:after="48"/>
              <w:jc w:val="center"/>
              <w:rPr>
                <w:noProof/>
                <w:sz w:val="16"/>
                <w:szCs w:val="16"/>
              </w:rPr>
            </w:pPr>
          </w:p>
        </w:tc>
        <w:tc>
          <w:tcPr>
            <w:tcW w:w="600" w:type="dxa"/>
            <w:shd w:val="clear" w:color="auto" w:fill="auto"/>
            <w:vAlign w:val="center"/>
          </w:tcPr>
          <w:p>
            <w:pPr>
              <w:spacing w:beforeLines="20" w:before="48" w:afterLines="20" w:after="48"/>
              <w:jc w:val="center"/>
              <w:rPr>
                <w:noProof/>
                <w:sz w:val="16"/>
                <w:szCs w:val="16"/>
              </w:rPr>
            </w:pPr>
          </w:p>
        </w:tc>
        <w:tc>
          <w:tcPr>
            <w:tcW w:w="600" w:type="dxa"/>
            <w:shd w:val="clear" w:color="auto" w:fill="auto"/>
            <w:vAlign w:val="center"/>
          </w:tcPr>
          <w:p>
            <w:pPr>
              <w:spacing w:beforeLines="20" w:before="48" w:afterLines="20" w:after="48"/>
              <w:jc w:val="center"/>
              <w:rPr>
                <w:noProof/>
                <w:sz w:val="16"/>
                <w:szCs w:val="16"/>
              </w:rPr>
            </w:pPr>
          </w:p>
        </w:tc>
        <w:tc>
          <w:tcPr>
            <w:tcW w:w="600" w:type="dxa"/>
            <w:shd w:val="clear" w:color="auto" w:fill="auto"/>
            <w:vAlign w:val="center"/>
          </w:tcPr>
          <w:p>
            <w:pPr>
              <w:spacing w:beforeLines="20" w:before="48" w:afterLines="20" w:after="48"/>
              <w:jc w:val="center"/>
              <w:rPr>
                <w:noProof/>
                <w:sz w:val="16"/>
                <w:szCs w:val="16"/>
              </w:rPr>
            </w:pPr>
          </w:p>
        </w:tc>
        <w:tc>
          <w:tcPr>
            <w:tcW w:w="600" w:type="dxa"/>
            <w:shd w:val="clear" w:color="auto" w:fill="auto"/>
            <w:vAlign w:val="center"/>
          </w:tcPr>
          <w:p>
            <w:pPr>
              <w:spacing w:beforeLines="20" w:before="48" w:afterLines="20" w:after="48"/>
              <w:jc w:val="center"/>
              <w:rPr>
                <w:noProof/>
                <w:sz w:val="16"/>
                <w:szCs w:val="16"/>
              </w:rPr>
            </w:pPr>
          </w:p>
        </w:tc>
        <w:tc>
          <w:tcPr>
            <w:tcW w:w="600" w:type="dxa"/>
            <w:shd w:val="clear" w:color="auto" w:fill="auto"/>
            <w:vAlign w:val="center"/>
          </w:tcPr>
          <w:p>
            <w:pPr>
              <w:spacing w:beforeLines="20" w:before="48" w:afterLines="20" w:after="48"/>
              <w:jc w:val="center"/>
              <w:rPr>
                <w:noProof/>
                <w:sz w:val="16"/>
                <w:szCs w:val="16"/>
              </w:rPr>
            </w:pPr>
          </w:p>
        </w:tc>
      </w:tr>
      <w:tr>
        <w:trPr>
          <w:gridBefore w:val="1"/>
          <w:wBefore w:w="13" w:type="dxa"/>
          <w:trHeight w:val="289"/>
          <w:jc w:val="center"/>
        </w:trPr>
        <w:tc>
          <w:tcPr>
            <w:tcW w:w="3906" w:type="dxa"/>
            <w:gridSpan w:val="2"/>
            <w:shd w:val="clear" w:color="auto" w:fill="auto"/>
            <w:vAlign w:val="center"/>
          </w:tcPr>
          <w:p>
            <w:pPr>
              <w:pStyle w:val="Text1"/>
              <w:spacing w:beforeLines="20" w:before="48" w:afterLines="20" w:after="48"/>
              <w:ind w:left="134"/>
              <w:jc w:val="left"/>
              <w:rPr>
                <w:noProof/>
                <w:sz w:val="16"/>
                <w:szCs w:val="16"/>
              </w:rPr>
            </w:pPr>
            <w:r>
              <w:rPr>
                <w:noProof/>
                <w:sz w:val="16"/>
              </w:rPr>
              <w:t>10 01 05 01/11 (recherche directe)</w:t>
            </w:r>
          </w:p>
        </w:tc>
        <w:tc>
          <w:tcPr>
            <w:tcW w:w="600" w:type="dxa"/>
            <w:shd w:val="clear" w:color="auto" w:fill="auto"/>
            <w:vAlign w:val="center"/>
          </w:tcPr>
          <w:p>
            <w:pPr>
              <w:spacing w:beforeLines="20" w:before="48" w:afterLines="20" w:after="48"/>
              <w:jc w:val="center"/>
              <w:rPr>
                <w:noProof/>
                <w:sz w:val="16"/>
                <w:szCs w:val="16"/>
              </w:rPr>
            </w:pPr>
          </w:p>
        </w:tc>
        <w:tc>
          <w:tcPr>
            <w:tcW w:w="600" w:type="dxa"/>
            <w:shd w:val="clear" w:color="auto" w:fill="auto"/>
            <w:vAlign w:val="center"/>
          </w:tcPr>
          <w:p>
            <w:pPr>
              <w:spacing w:beforeLines="20" w:before="48" w:afterLines="20" w:after="48"/>
              <w:jc w:val="center"/>
              <w:rPr>
                <w:noProof/>
                <w:sz w:val="16"/>
                <w:szCs w:val="16"/>
              </w:rPr>
            </w:pPr>
          </w:p>
        </w:tc>
        <w:tc>
          <w:tcPr>
            <w:tcW w:w="600" w:type="dxa"/>
            <w:shd w:val="clear" w:color="auto" w:fill="auto"/>
            <w:vAlign w:val="center"/>
          </w:tcPr>
          <w:p>
            <w:pPr>
              <w:spacing w:beforeLines="20" w:before="48" w:afterLines="20" w:after="48"/>
              <w:jc w:val="center"/>
              <w:rPr>
                <w:noProof/>
                <w:sz w:val="16"/>
                <w:szCs w:val="16"/>
              </w:rPr>
            </w:pPr>
          </w:p>
        </w:tc>
        <w:tc>
          <w:tcPr>
            <w:tcW w:w="600" w:type="dxa"/>
            <w:shd w:val="clear" w:color="auto" w:fill="auto"/>
            <w:vAlign w:val="center"/>
          </w:tcPr>
          <w:p>
            <w:pPr>
              <w:spacing w:beforeLines="20" w:before="48" w:afterLines="20" w:after="48"/>
              <w:jc w:val="center"/>
              <w:rPr>
                <w:noProof/>
                <w:sz w:val="16"/>
                <w:szCs w:val="16"/>
              </w:rPr>
            </w:pPr>
          </w:p>
        </w:tc>
        <w:tc>
          <w:tcPr>
            <w:tcW w:w="600" w:type="dxa"/>
            <w:shd w:val="clear" w:color="auto" w:fill="auto"/>
            <w:vAlign w:val="center"/>
          </w:tcPr>
          <w:p>
            <w:pPr>
              <w:spacing w:beforeLines="20" w:before="48" w:afterLines="20" w:after="48"/>
              <w:jc w:val="center"/>
              <w:rPr>
                <w:noProof/>
                <w:sz w:val="16"/>
                <w:szCs w:val="16"/>
              </w:rPr>
            </w:pPr>
          </w:p>
        </w:tc>
        <w:tc>
          <w:tcPr>
            <w:tcW w:w="600" w:type="dxa"/>
            <w:shd w:val="clear" w:color="auto" w:fill="auto"/>
            <w:vAlign w:val="center"/>
          </w:tcPr>
          <w:p>
            <w:pPr>
              <w:spacing w:beforeLines="20" w:before="48" w:afterLines="20" w:after="48"/>
              <w:jc w:val="center"/>
              <w:rPr>
                <w:noProof/>
                <w:sz w:val="16"/>
                <w:szCs w:val="16"/>
              </w:rPr>
            </w:pPr>
          </w:p>
        </w:tc>
        <w:tc>
          <w:tcPr>
            <w:tcW w:w="600" w:type="dxa"/>
            <w:shd w:val="clear" w:color="auto" w:fill="auto"/>
            <w:vAlign w:val="center"/>
          </w:tcPr>
          <w:p>
            <w:pPr>
              <w:spacing w:beforeLines="20" w:before="48" w:afterLines="20" w:after="48"/>
              <w:jc w:val="center"/>
              <w:rPr>
                <w:noProof/>
                <w:sz w:val="16"/>
                <w:szCs w:val="16"/>
              </w:rPr>
            </w:pPr>
          </w:p>
        </w:tc>
      </w:tr>
      <w:tr>
        <w:trPr>
          <w:trHeight w:val="248"/>
          <w:jc w:val="center"/>
        </w:trPr>
        <w:tc>
          <w:tcPr>
            <w:tcW w:w="600" w:type="dxa"/>
            <w:gridSpan w:val="10"/>
            <w:shd w:val="clear" w:color="auto" w:fill="auto"/>
            <w:vAlign w:val="center"/>
          </w:tcPr>
          <w:p>
            <w:pPr>
              <w:pStyle w:val="Text1"/>
              <w:spacing w:before="60" w:after="60"/>
              <w:ind w:left="0"/>
              <w:jc w:val="left"/>
              <w:rPr>
                <w:b/>
                <w:noProof/>
                <w:sz w:val="16"/>
                <w:szCs w:val="16"/>
              </w:rPr>
            </w:pPr>
            <w:r>
              <w:rPr>
                <w:b/>
                <w:noProof/>
                <w:sz w:val="16"/>
              </w:rPr>
              <w:sym w:font="Wingdings" w:char="F09F"/>
            </w:r>
            <w:r>
              <w:rPr>
                <w:b/>
                <w:noProof/>
                <w:sz w:val="16"/>
              </w:rPr>
              <w:t xml:space="preserve"> Personnel externe (en équivalents temps plein: ETP)</w:t>
            </w:r>
            <w:r>
              <w:rPr>
                <w:rStyle w:val="FootnoteReference"/>
                <w:b/>
                <w:noProof/>
                <w:sz w:val="16"/>
              </w:rPr>
              <w:footnoteReference w:id="16"/>
            </w:r>
          </w:p>
          <w:p>
            <w:pPr>
              <w:pStyle w:val="Text1"/>
              <w:spacing w:before="0" w:after="0"/>
              <w:ind w:left="0"/>
              <w:jc w:val="left"/>
              <w:rPr>
                <w:noProof/>
                <w:sz w:val="16"/>
                <w:szCs w:val="16"/>
              </w:rPr>
            </w:pPr>
          </w:p>
        </w:tc>
      </w:tr>
      <w:tr>
        <w:trPr>
          <w:gridBefore w:val="1"/>
          <w:wBefore w:w="13" w:type="dxa"/>
          <w:trHeight w:val="289"/>
          <w:jc w:val="center"/>
        </w:trPr>
        <w:tc>
          <w:tcPr>
            <w:tcW w:w="3906" w:type="dxa"/>
            <w:gridSpan w:val="2"/>
            <w:shd w:val="clear" w:color="auto" w:fill="auto"/>
            <w:vAlign w:val="center"/>
          </w:tcPr>
          <w:p>
            <w:pPr>
              <w:pStyle w:val="Text1"/>
              <w:spacing w:beforeLines="20" w:before="48" w:afterLines="20" w:after="48"/>
              <w:ind w:left="136"/>
              <w:jc w:val="left"/>
              <w:rPr>
                <w:b/>
                <w:noProof/>
                <w:sz w:val="16"/>
                <w:szCs w:val="16"/>
              </w:rPr>
            </w:pPr>
            <w:r>
              <w:rPr>
                <w:noProof/>
                <w:sz w:val="16"/>
              </w:rPr>
              <w:t>XX 01 02 01 (AC, END, INT de l'enveloppe globale)</w:t>
            </w:r>
          </w:p>
        </w:tc>
        <w:tc>
          <w:tcPr>
            <w:tcW w:w="600" w:type="dxa"/>
            <w:shd w:val="clear" w:color="auto" w:fill="auto"/>
            <w:vAlign w:val="center"/>
          </w:tcPr>
          <w:p>
            <w:pPr>
              <w:spacing w:beforeLines="20" w:before="48" w:afterLines="20" w:after="48"/>
              <w:jc w:val="center"/>
              <w:rPr>
                <w:noProof/>
                <w:sz w:val="16"/>
                <w:szCs w:val="16"/>
              </w:rPr>
            </w:pPr>
          </w:p>
        </w:tc>
        <w:tc>
          <w:tcPr>
            <w:tcW w:w="600" w:type="dxa"/>
            <w:shd w:val="clear" w:color="auto" w:fill="auto"/>
            <w:vAlign w:val="center"/>
          </w:tcPr>
          <w:p>
            <w:pPr>
              <w:spacing w:beforeLines="20" w:before="48" w:afterLines="20" w:after="48"/>
              <w:jc w:val="center"/>
              <w:rPr>
                <w:noProof/>
                <w:sz w:val="16"/>
                <w:szCs w:val="16"/>
              </w:rPr>
            </w:pPr>
          </w:p>
        </w:tc>
        <w:tc>
          <w:tcPr>
            <w:tcW w:w="600" w:type="dxa"/>
            <w:shd w:val="clear" w:color="auto" w:fill="auto"/>
            <w:vAlign w:val="center"/>
          </w:tcPr>
          <w:p>
            <w:pPr>
              <w:spacing w:beforeLines="20" w:before="48" w:afterLines="20" w:after="48"/>
              <w:jc w:val="center"/>
              <w:rPr>
                <w:noProof/>
                <w:sz w:val="16"/>
                <w:szCs w:val="16"/>
              </w:rPr>
            </w:pPr>
          </w:p>
        </w:tc>
        <w:tc>
          <w:tcPr>
            <w:tcW w:w="600" w:type="dxa"/>
            <w:shd w:val="clear" w:color="auto" w:fill="auto"/>
            <w:vAlign w:val="center"/>
          </w:tcPr>
          <w:p>
            <w:pPr>
              <w:spacing w:beforeLines="20" w:before="48" w:afterLines="20" w:after="48"/>
              <w:jc w:val="center"/>
              <w:rPr>
                <w:noProof/>
                <w:sz w:val="16"/>
                <w:szCs w:val="16"/>
              </w:rPr>
            </w:pPr>
          </w:p>
        </w:tc>
        <w:tc>
          <w:tcPr>
            <w:tcW w:w="600" w:type="dxa"/>
            <w:shd w:val="clear" w:color="auto" w:fill="auto"/>
            <w:vAlign w:val="center"/>
          </w:tcPr>
          <w:p>
            <w:pPr>
              <w:spacing w:beforeLines="20" w:before="48" w:afterLines="20" w:after="48"/>
              <w:jc w:val="center"/>
              <w:rPr>
                <w:noProof/>
                <w:sz w:val="16"/>
                <w:szCs w:val="16"/>
              </w:rPr>
            </w:pPr>
          </w:p>
        </w:tc>
        <w:tc>
          <w:tcPr>
            <w:tcW w:w="600" w:type="dxa"/>
            <w:shd w:val="clear" w:color="auto" w:fill="auto"/>
            <w:vAlign w:val="center"/>
          </w:tcPr>
          <w:p>
            <w:pPr>
              <w:spacing w:beforeLines="20" w:before="48" w:afterLines="20" w:after="48"/>
              <w:jc w:val="center"/>
              <w:rPr>
                <w:noProof/>
                <w:sz w:val="16"/>
                <w:szCs w:val="16"/>
              </w:rPr>
            </w:pPr>
          </w:p>
        </w:tc>
        <w:tc>
          <w:tcPr>
            <w:tcW w:w="600" w:type="dxa"/>
            <w:shd w:val="clear" w:color="auto" w:fill="auto"/>
            <w:vAlign w:val="center"/>
          </w:tcPr>
          <w:p>
            <w:pPr>
              <w:spacing w:beforeLines="20" w:before="48" w:afterLines="20" w:after="48"/>
              <w:jc w:val="center"/>
              <w:rPr>
                <w:noProof/>
                <w:sz w:val="16"/>
                <w:szCs w:val="16"/>
              </w:rPr>
            </w:pPr>
          </w:p>
        </w:tc>
      </w:tr>
      <w:tr>
        <w:trPr>
          <w:gridBefore w:val="1"/>
          <w:wBefore w:w="13" w:type="dxa"/>
          <w:trHeight w:val="289"/>
          <w:jc w:val="center"/>
        </w:trPr>
        <w:tc>
          <w:tcPr>
            <w:tcW w:w="3906" w:type="dxa"/>
            <w:gridSpan w:val="2"/>
            <w:shd w:val="clear" w:color="auto" w:fill="auto"/>
            <w:vAlign w:val="center"/>
          </w:tcPr>
          <w:p>
            <w:pPr>
              <w:pStyle w:val="Text1"/>
              <w:spacing w:beforeLines="20" w:before="48" w:afterLines="20" w:after="48"/>
              <w:ind w:left="136"/>
              <w:jc w:val="left"/>
              <w:rPr>
                <w:noProof/>
                <w:sz w:val="16"/>
                <w:szCs w:val="16"/>
              </w:rPr>
            </w:pPr>
            <w:r>
              <w:rPr>
                <w:noProof/>
                <w:sz w:val="16"/>
              </w:rPr>
              <w:t>XX 01 02 02 (AC, AL, END, INT et JPD dans les délégations)</w:t>
            </w:r>
          </w:p>
        </w:tc>
        <w:tc>
          <w:tcPr>
            <w:tcW w:w="600" w:type="dxa"/>
            <w:shd w:val="clear" w:color="auto" w:fill="auto"/>
            <w:vAlign w:val="center"/>
          </w:tcPr>
          <w:p>
            <w:pPr>
              <w:spacing w:beforeLines="20" w:before="48" w:afterLines="20" w:after="48"/>
              <w:jc w:val="center"/>
              <w:rPr>
                <w:noProof/>
                <w:sz w:val="16"/>
                <w:szCs w:val="16"/>
              </w:rPr>
            </w:pPr>
          </w:p>
        </w:tc>
        <w:tc>
          <w:tcPr>
            <w:tcW w:w="600" w:type="dxa"/>
            <w:shd w:val="clear" w:color="auto" w:fill="auto"/>
            <w:vAlign w:val="center"/>
          </w:tcPr>
          <w:p>
            <w:pPr>
              <w:spacing w:beforeLines="20" w:before="48" w:afterLines="20" w:after="48"/>
              <w:jc w:val="center"/>
              <w:rPr>
                <w:noProof/>
                <w:sz w:val="16"/>
                <w:szCs w:val="16"/>
              </w:rPr>
            </w:pPr>
          </w:p>
        </w:tc>
        <w:tc>
          <w:tcPr>
            <w:tcW w:w="600" w:type="dxa"/>
            <w:shd w:val="clear" w:color="auto" w:fill="auto"/>
            <w:vAlign w:val="center"/>
          </w:tcPr>
          <w:p>
            <w:pPr>
              <w:spacing w:beforeLines="20" w:before="48" w:afterLines="20" w:after="48"/>
              <w:jc w:val="center"/>
              <w:rPr>
                <w:noProof/>
                <w:sz w:val="16"/>
                <w:szCs w:val="16"/>
              </w:rPr>
            </w:pPr>
          </w:p>
        </w:tc>
        <w:tc>
          <w:tcPr>
            <w:tcW w:w="600" w:type="dxa"/>
            <w:shd w:val="clear" w:color="auto" w:fill="auto"/>
            <w:vAlign w:val="center"/>
          </w:tcPr>
          <w:p>
            <w:pPr>
              <w:spacing w:beforeLines="20" w:before="48" w:afterLines="20" w:after="48"/>
              <w:jc w:val="center"/>
              <w:rPr>
                <w:noProof/>
                <w:sz w:val="16"/>
                <w:szCs w:val="16"/>
              </w:rPr>
            </w:pPr>
          </w:p>
        </w:tc>
        <w:tc>
          <w:tcPr>
            <w:tcW w:w="600" w:type="dxa"/>
            <w:shd w:val="clear" w:color="auto" w:fill="auto"/>
            <w:vAlign w:val="center"/>
          </w:tcPr>
          <w:p>
            <w:pPr>
              <w:spacing w:beforeLines="20" w:before="48" w:afterLines="20" w:after="48"/>
              <w:jc w:val="center"/>
              <w:rPr>
                <w:noProof/>
                <w:sz w:val="16"/>
                <w:szCs w:val="16"/>
              </w:rPr>
            </w:pPr>
          </w:p>
        </w:tc>
        <w:tc>
          <w:tcPr>
            <w:tcW w:w="600" w:type="dxa"/>
            <w:shd w:val="clear" w:color="auto" w:fill="auto"/>
            <w:vAlign w:val="center"/>
          </w:tcPr>
          <w:p>
            <w:pPr>
              <w:spacing w:beforeLines="20" w:before="48" w:afterLines="20" w:after="48"/>
              <w:jc w:val="center"/>
              <w:rPr>
                <w:noProof/>
                <w:sz w:val="16"/>
                <w:szCs w:val="16"/>
              </w:rPr>
            </w:pPr>
          </w:p>
        </w:tc>
        <w:tc>
          <w:tcPr>
            <w:tcW w:w="600" w:type="dxa"/>
            <w:shd w:val="clear" w:color="auto" w:fill="auto"/>
            <w:vAlign w:val="center"/>
          </w:tcPr>
          <w:p>
            <w:pPr>
              <w:spacing w:beforeLines="20" w:before="48" w:afterLines="20" w:after="48"/>
              <w:jc w:val="center"/>
              <w:rPr>
                <w:noProof/>
                <w:sz w:val="16"/>
                <w:szCs w:val="16"/>
              </w:rPr>
            </w:pPr>
          </w:p>
        </w:tc>
      </w:tr>
      <w:tr>
        <w:trPr>
          <w:gridBefore w:val="1"/>
          <w:wBefore w:w="13" w:type="dxa"/>
          <w:trHeight w:val="289"/>
          <w:jc w:val="center"/>
        </w:trPr>
        <w:tc>
          <w:tcPr>
            <w:tcW w:w="1952" w:type="dxa"/>
            <w:vMerge w:val="restart"/>
            <w:shd w:val="clear" w:color="auto" w:fill="auto"/>
            <w:vAlign w:val="center"/>
          </w:tcPr>
          <w:p>
            <w:pPr>
              <w:pStyle w:val="Text1"/>
              <w:spacing w:beforeLines="20" w:before="48" w:afterLines="20" w:after="48"/>
              <w:ind w:left="136"/>
              <w:jc w:val="left"/>
              <w:rPr>
                <w:b/>
                <w:noProof/>
                <w:sz w:val="16"/>
                <w:szCs w:val="16"/>
              </w:rPr>
            </w:pPr>
            <w:r>
              <w:rPr>
                <w:b/>
                <w:noProof/>
                <w:sz w:val="16"/>
              </w:rPr>
              <w:t>XX</w:t>
            </w:r>
            <w:r>
              <w:rPr>
                <w:noProof/>
                <w:sz w:val="16"/>
              </w:rPr>
              <w:t xml:space="preserve"> 01 04 </w:t>
            </w:r>
            <w:r>
              <w:rPr>
                <w:b/>
                <w:noProof/>
                <w:sz w:val="16"/>
              </w:rPr>
              <w:t>yy</w:t>
            </w:r>
            <w:r>
              <w:rPr>
                <w:b/>
                <w:i/>
                <w:noProof/>
                <w:sz w:val="16"/>
              </w:rPr>
              <w:t xml:space="preserve"> </w:t>
            </w:r>
            <w:r>
              <w:rPr>
                <w:rStyle w:val="FootnoteReference"/>
                <w:b/>
                <w:i/>
                <w:noProof/>
                <w:sz w:val="16"/>
              </w:rPr>
              <w:footnoteReference w:id="17"/>
            </w:r>
          </w:p>
          <w:p>
            <w:pPr>
              <w:pStyle w:val="Text1"/>
              <w:spacing w:beforeLines="20" w:before="48" w:afterLines="20" w:after="48"/>
              <w:ind w:left="136"/>
              <w:jc w:val="left"/>
              <w:rPr>
                <w:b/>
                <w:noProof/>
                <w:sz w:val="16"/>
                <w:szCs w:val="16"/>
              </w:rPr>
            </w:pPr>
          </w:p>
        </w:tc>
        <w:tc>
          <w:tcPr>
            <w:tcW w:w="1954" w:type="dxa"/>
            <w:shd w:val="clear" w:color="auto" w:fill="auto"/>
            <w:vAlign w:val="center"/>
          </w:tcPr>
          <w:p>
            <w:pPr>
              <w:pStyle w:val="Text1"/>
              <w:spacing w:beforeLines="20" w:before="48" w:afterLines="20" w:after="48"/>
              <w:ind w:left="136"/>
              <w:jc w:val="left"/>
              <w:rPr>
                <w:b/>
                <w:noProof/>
                <w:sz w:val="16"/>
                <w:szCs w:val="16"/>
              </w:rPr>
            </w:pPr>
            <w:r>
              <w:rPr>
                <w:noProof/>
                <w:sz w:val="16"/>
              </w:rPr>
              <w:t>- au siège</w:t>
            </w:r>
          </w:p>
          <w:p>
            <w:pPr>
              <w:pStyle w:val="Text1"/>
              <w:spacing w:beforeLines="20" w:before="48" w:afterLines="20" w:after="48"/>
              <w:ind w:left="136"/>
              <w:jc w:val="left"/>
              <w:rPr>
                <w:b/>
                <w:noProof/>
                <w:sz w:val="16"/>
                <w:szCs w:val="16"/>
              </w:rPr>
            </w:pPr>
          </w:p>
        </w:tc>
        <w:tc>
          <w:tcPr>
            <w:tcW w:w="600" w:type="dxa"/>
            <w:shd w:val="clear" w:color="auto" w:fill="auto"/>
            <w:vAlign w:val="center"/>
          </w:tcPr>
          <w:p>
            <w:pPr>
              <w:pStyle w:val="Text1"/>
              <w:spacing w:beforeLines="20" w:before="48" w:afterLines="20" w:after="48"/>
              <w:ind w:left="0"/>
              <w:rPr>
                <w:noProof/>
                <w:sz w:val="16"/>
                <w:szCs w:val="16"/>
              </w:rPr>
            </w:pPr>
          </w:p>
        </w:tc>
        <w:tc>
          <w:tcPr>
            <w:tcW w:w="600" w:type="dxa"/>
            <w:shd w:val="clear" w:color="auto" w:fill="auto"/>
            <w:vAlign w:val="center"/>
          </w:tcPr>
          <w:p>
            <w:pPr>
              <w:spacing w:beforeLines="20" w:before="48" w:afterLines="20" w:after="48"/>
              <w:jc w:val="center"/>
              <w:rPr>
                <w:noProof/>
                <w:sz w:val="16"/>
                <w:szCs w:val="16"/>
              </w:rPr>
            </w:pPr>
          </w:p>
        </w:tc>
        <w:tc>
          <w:tcPr>
            <w:tcW w:w="600" w:type="dxa"/>
            <w:shd w:val="clear" w:color="auto" w:fill="auto"/>
            <w:vAlign w:val="center"/>
          </w:tcPr>
          <w:p>
            <w:pPr>
              <w:spacing w:beforeLines="20" w:before="48" w:afterLines="20" w:after="48"/>
              <w:jc w:val="center"/>
              <w:rPr>
                <w:noProof/>
                <w:sz w:val="16"/>
                <w:szCs w:val="16"/>
              </w:rPr>
            </w:pPr>
          </w:p>
        </w:tc>
        <w:tc>
          <w:tcPr>
            <w:tcW w:w="600" w:type="dxa"/>
            <w:shd w:val="clear" w:color="auto" w:fill="auto"/>
            <w:vAlign w:val="center"/>
          </w:tcPr>
          <w:p>
            <w:pPr>
              <w:spacing w:beforeLines="20" w:before="48" w:afterLines="20" w:after="48"/>
              <w:jc w:val="center"/>
              <w:rPr>
                <w:noProof/>
                <w:sz w:val="16"/>
                <w:szCs w:val="16"/>
              </w:rPr>
            </w:pPr>
          </w:p>
        </w:tc>
        <w:tc>
          <w:tcPr>
            <w:tcW w:w="600" w:type="dxa"/>
            <w:shd w:val="clear" w:color="auto" w:fill="auto"/>
            <w:vAlign w:val="center"/>
          </w:tcPr>
          <w:p>
            <w:pPr>
              <w:spacing w:beforeLines="20" w:before="48" w:afterLines="20" w:after="48"/>
              <w:jc w:val="center"/>
              <w:rPr>
                <w:noProof/>
                <w:sz w:val="16"/>
                <w:szCs w:val="16"/>
              </w:rPr>
            </w:pPr>
          </w:p>
        </w:tc>
        <w:tc>
          <w:tcPr>
            <w:tcW w:w="600" w:type="dxa"/>
            <w:shd w:val="clear" w:color="auto" w:fill="auto"/>
            <w:vAlign w:val="center"/>
          </w:tcPr>
          <w:p>
            <w:pPr>
              <w:spacing w:beforeLines="20" w:before="48" w:afterLines="20" w:after="48"/>
              <w:jc w:val="center"/>
              <w:rPr>
                <w:noProof/>
                <w:sz w:val="16"/>
                <w:szCs w:val="16"/>
              </w:rPr>
            </w:pPr>
          </w:p>
        </w:tc>
        <w:tc>
          <w:tcPr>
            <w:tcW w:w="600" w:type="dxa"/>
            <w:shd w:val="clear" w:color="auto" w:fill="auto"/>
            <w:vAlign w:val="center"/>
          </w:tcPr>
          <w:p>
            <w:pPr>
              <w:spacing w:beforeLines="20" w:before="48" w:afterLines="20" w:after="48"/>
              <w:jc w:val="center"/>
              <w:rPr>
                <w:noProof/>
                <w:sz w:val="16"/>
                <w:szCs w:val="16"/>
              </w:rPr>
            </w:pPr>
          </w:p>
        </w:tc>
      </w:tr>
      <w:tr>
        <w:trPr>
          <w:gridBefore w:val="1"/>
          <w:wBefore w:w="13" w:type="dxa"/>
          <w:trHeight w:val="289"/>
          <w:jc w:val="center"/>
        </w:trPr>
        <w:tc>
          <w:tcPr>
            <w:tcW w:w="1952" w:type="dxa"/>
            <w:vMerge/>
            <w:shd w:val="clear" w:color="auto" w:fill="auto"/>
            <w:vAlign w:val="center"/>
          </w:tcPr>
          <w:p>
            <w:pPr>
              <w:pStyle w:val="Text1"/>
              <w:spacing w:beforeLines="20" w:before="48" w:afterLines="20" w:after="48"/>
              <w:ind w:left="136"/>
              <w:jc w:val="left"/>
              <w:rPr>
                <w:b/>
                <w:noProof/>
                <w:sz w:val="16"/>
                <w:szCs w:val="16"/>
              </w:rPr>
            </w:pPr>
          </w:p>
        </w:tc>
        <w:tc>
          <w:tcPr>
            <w:tcW w:w="1954" w:type="dxa"/>
            <w:shd w:val="clear" w:color="auto" w:fill="auto"/>
            <w:vAlign w:val="center"/>
          </w:tcPr>
          <w:p>
            <w:pPr>
              <w:pStyle w:val="Text1"/>
              <w:spacing w:beforeLines="20" w:before="48" w:afterLines="20" w:after="48"/>
              <w:ind w:left="136"/>
              <w:jc w:val="left"/>
              <w:rPr>
                <w:b/>
                <w:noProof/>
                <w:sz w:val="16"/>
                <w:szCs w:val="16"/>
              </w:rPr>
            </w:pPr>
            <w:r>
              <w:rPr>
                <w:noProof/>
                <w:sz w:val="16"/>
              </w:rPr>
              <w:t xml:space="preserve">- en délégation </w:t>
            </w:r>
          </w:p>
        </w:tc>
        <w:tc>
          <w:tcPr>
            <w:tcW w:w="600" w:type="dxa"/>
            <w:shd w:val="clear" w:color="auto" w:fill="auto"/>
            <w:vAlign w:val="center"/>
          </w:tcPr>
          <w:p>
            <w:pPr>
              <w:pStyle w:val="Text1"/>
              <w:spacing w:beforeLines="20" w:before="48" w:afterLines="20" w:after="48"/>
              <w:ind w:left="0"/>
              <w:rPr>
                <w:noProof/>
                <w:sz w:val="16"/>
                <w:szCs w:val="16"/>
              </w:rPr>
            </w:pPr>
          </w:p>
        </w:tc>
        <w:tc>
          <w:tcPr>
            <w:tcW w:w="600" w:type="dxa"/>
            <w:shd w:val="clear" w:color="auto" w:fill="auto"/>
            <w:vAlign w:val="center"/>
          </w:tcPr>
          <w:p>
            <w:pPr>
              <w:spacing w:beforeLines="20" w:before="48" w:afterLines="20" w:after="48"/>
              <w:jc w:val="center"/>
              <w:rPr>
                <w:noProof/>
                <w:sz w:val="16"/>
                <w:szCs w:val="16"/>
              </w:rPr>
            </w:pPr>
          </w:p>
        </w:tc>
        <w:tc>
          <w:tcPr>
            <w:tcW w:w="600" w:type="dxa"/>
            <w:shd w:val="clear" w:color="auto" w:fill="auto"/>
            <w:vAlign w:val="center"/>
          </w:tcPr>
          <w:p>
            <w:pPr>
              <w:spacing w:beforeLines="20" w:before="48" w:afterLines="20" w:after="48"/>
              <w:jc w:val="center"/>
              <w:rPr>
                <w:noProof/>
                <w:sz w:val="16"/>
                <w:szCs w:val="16"/>
              </w:rPr>
            </w:pPr>
          </w:p>
        </w:tc>
        <w:tc>
          <w:tcPr>
            <w:tcW w:w="600" w:type="dxa"/>
            <w:shd w:val="clear" w:color="auto" w:fill="auto"/>
            <w:vAlign w:val="center"/>
          </w:tcPr>
          <w:p>
            <w:pPr>
              <w:spacing w:beforeLines="20" w:before="48" w:afterLines="20" w:after="48"/>
              <w:jc w:val="center"/>
              <w:rPr>
                <w:noProof/>
                <w:sz w:val="16"/>
                <w:szCs w:val="16"/>
              </w:rPr>
            </w:pPr>
          </w:p>
        </w:tc>
        <w:tc>
          <w:tcPr>
            <w:tcW w:w="600" w:type="dxa"/>
            <w:shd w:val="clear" w:color="auto" w:fill="auto"/>
            <w:vAlign w:val="center"/>
          </w:tcPr>
          <w:p>
            <w:pPr>
              <w:spacing w:beforeLines="20" w:before="48" w:afterLines="20" w:after="48"/>
              <w:jc w:val="center"/>
              <w:rPr>
                <w:noProof/>
                <w:sz w:val="16"/>
                <w:szCs w:val="16"/>
              </w:rPr>
            </w:pPr>
          </w:p>
        </w:tc>
        <w:tc>
          <w:tcPr>
            <w:tcW w:w="600" w:type="dxa"/>
            <w:shd w:val="clear" w:color="auto" w:fill="auto"/>
            <w:vAlign w:val="center"/>
          </w:tcPr>
          <w:p>
            <w:pPr>
              <w:spacing w:beforeLines="20" w:before="48" w:afterLines="20" w:after="48"/>
              <w:jc w:val="center"/>
              <w:rPr>
                <w:noProof/>
                <w:sz w:val="16"/>
                <w:szCs w:val="16"/>
              </w:rPr>
            </w:pPr>
          </w:p>
        </w:tc>
        <w:tc>
          <w:tcPr>
            <w:tcW w:w="600" w:type="dxa"/>
            <w:shd w:val="clear" w:color="auto" w:fill="auto"/>
            <w:vAlign w:val="center"/>
          </w:tcPr>
          <w:p>
            <w:pPr>
              <w:spacing w:beforeLines="20" w:before="48" w:afterLines="20" w:after="48"/>
              <w:jc w:val="center"/>
              <w:rPr>
                <w:noProof/>
                <w:sz w:val="16"/>
                <w:szCs w:val="16"/>
              </w:rPr>
            </w:pPr>
          </w:p>
        </w:tc>
      </w:tr>
      <w:tr>
        <w:trPr>
          <w:gridBefore w:val="1"/>
          <w:wBefore w:w="13" w:type="dxa"/>
          <w:trHeight w:val="289"/>
          <w:jc w:val="center"/>
        </w:trPr>
        <w:tc>
          <w:tcPr>
            <w:tcW w:w="3906" w:type="dxa"/>
            <w:gridSpan w:val="2"/>
            <w:shd w:val="clear" w:color="auto" w:fill="auto"/>
            <w:vAlign w:val="center"/>
          </w:tcPr>
          <w:p>
            <w:pPr>
              <w:pStyle w:val="Text1"/>
              <w:spacing w:beforeLines="20" w:before="48" w:afterLines="20" w:after="48"/>
              <w:ind w:left="136"/>
              <w:jc w:val="left"/>
              <w:rPr>
                <w:noProof/>
                <w:sz w:val="16"/>
                <w:szCs w:val="16"/>
              </w:rPr>
            </w:pPr>
            <w:r>
              <w:rPr>
                <w:b/>
                <w:noProof/>
                <w:sz w:val="16"/>
              </w:rPr>
              <w:t>XX</w:t>
            </w:r>
            <w:r>
              <w:rPr>
                <w:noProof/>
                <w:sz w:val="16"/>
              </w:rPr>
              <w:t xml:space="preserve"> 01 05 02/12/22 (AC, END, INT sur recherche indirecte)</w:t>
            </w:r>
          </w:p>
        </w:tc>
        <w:tc>
          <w:tcPr>
            <w:tcW w:w="600" w:type="dxa"/>
            <w:shd w:val="clear" w:color="auto" w:fill="auto"/>
            <w:vAlign w:val="center"/>
          </w:tcPr>
          <w:p>
            <w:pPr>
              <w:spacing w:beforeLines="20" w:before="48" w:afterLines="20" w:after="48"/>
              <w:jc w:val="center"/>
              <w:rPr>
                <w:noProof/>
                <w:sz w:val="16"/>
                <w:szCs w:val="16"/>
              </w:rPr>
            </w:pPr>
          </w:p>
        </w:tc>
        <w:tc>
          <w:tcPr>
            <w:tcW w:w="600" w:type="dxa"/>
            <w:shd w:val="clear" w:color="auto" w:fill="auto"/>
            <w:vAlign w:val="center"/>
          </w:tcPr>
          <w:p>
            <w:pPr>
              <w:spacing w:beforeLines="20" w:before="48" w:afterLines="20" w:after="48"/>
              <w:jc w:val="center"/>
              <w:rPr>
                <w:noProof/>
                <w:sz w:val="16"/>
                <w:szCs w:val="16"/>
              </w:rPr>
            </w:pPr>
          </w:p>
        </w:tc>
        <w:tc>
          <w:tcPr>
            <w:tcW w:w="600" w:type="dxa"/>
            <w:shd w:val="clear" w:color="auto" w:fill="auto"/>
            <w:vAlign w:val="center"/>
          </w:tcPr>
          <w:p>
            <w:pPr>
              <w:spacing w:beforeLines="20" w:before="48" w:afterLines="20" w:after="48"/>
              <w:jc w:val="center"/>
              <w:rPr>
                <w:noProof/>
                <w:sz w:val="16"/>
                <w:szCs w:val="16"/>
              </w:rPr>
            </w:pPr>
          </w:p>
        </w:tc>
        <w:tc>
          <w:tcPr>
            <w:tcW w:w="600" w:type="dxa"/>
            <w:shd w:val="clear" w:color="auto" w:fill="auto"/>
            <w:vAlign w:val="center"/>
          </w:tcPr>
          <w:p>
            <w:pPr>
              <w:spacing w:beforeLines="20" w:before="48" w:afterLines="20" w:after="48"/>
              <w:jc w:val="center"/>
              <w:rPr>
                <w:noProof/>
                <w:sz w:val="16"/>
                <w:szCs w:val="16"/>
              </w:rPr>
            </w:pPr>
          </w:p>
        </w:tc>
        <w:tc>
          <w:tcPr>
            <w:tcW w:w="600" w:type="dxa"/>
            <w:shd w:val="clear" w:color="auto" w:fill="auto"/>
            <w:vAlign w:val="center"/>
          </w:tcPr>
          <w:p>
            <w:pPr>
              <w:spacing w:beforeLines="20" w:before="48" w:afterLines="20" w:after="48"/>
              <w:jc w:val="center"/>
              <w:rPr>
                <w:noProof/>
                <w:sz w:val="16"/>
                <w:szCs w:val="16"/>
              </w:rPr>
            </w:pPr>
          </w:p>
        </w:tc>
        <w:tc>
          <w:tcPr>
            <w:tcW w:w="600" w:type="dxa"/>
            <w:shd w:val="clear" w:color="auto" w:fill="auto"/>
            <w:vAlign w:val="center"/>
          </w:tcPr>
          <w:p>
            <w:pPr>
              <w:spacing w:beforeLines="20" w:before="48" w:afterLines="20" w:after="48"/>
              <w:jc w:val="center"/>
              <w:rPr>
                <w:noProof/>
                <w:sz w:val="16"/>
                <w:szCs w:val="16"/>
              </w:rPr>
            </w:pPr>
          </w:p>
        </w:tc>
        <w:tc>
          <w:tcPr>
            <w:tcW w:w="600" w:type="dxa"/>
            <w:shd w:val="clear" w:color="auto" w:fill="auto"/>
            <w:vAlign w:val="center"/>
          </w:tcPr>
          <w:p>
            <w:pPr>
              <w:spacing w:beforeLines="20" w:before="48" w:afterLines="20" w:after="48"/>
              <w:jc w:val="center"/>
              <w:rPr>
                <w:noProof/>
                <w:sz w:val="16"/>
                <w:szCs w:val="16"/>
              </w:rPr>
            </w:pPr>
          </w:p>
        </w:tc>
      </w:tr>
      <w:tr>
        <w:trPr>
          <w:gridBefore w:val="1"/>
          <w:wBefore w:w="13" w:type="dxa"/>
          <w:trHeight w:val="289"/>
          <w:jc w:val="center"/>
        </w:trPr>
        <w:tc>
          <w:tcPr>
            <w:tcW w:w="3906" w:type="dxa"/>
            <w:gridSpan w:val="2"/>
            <w:shd w:val="clear" w:color="auto" w:fill="auto"/>
            <w:vAlign w:val="center"/>
          </w:tcPr>
          <w:p>
            <w:pPr>
              <w:pStyle w:val="Text1"/>
              <w:spacing w:beforeLines="20" w:before="48" w:afterLines="20" w:after="48"/>
              <w:ind w:left="136"/>
              <w:jc w:val="left"/>
              <w:rPr>
                <w:noProof/>
                <w:sz w:val="16"/>
                <w:szCs w:val="16"/>
              </w:rPr>
            </w:pPr>
            <w:r>
              <w:rPr>
                <w:noProof/>
                <w:sz w:val="16"/>
              </w:rPr>
              <w:t>10 01 05 02/12 (AC, END, INT sur recherche directe)</w:t>
            </w:r>
          </w:p>
        </w:tc>
        <w:tc>
          <w:tcPr>
            <w:tcW w:w="600" w:type="dxa"/>
            <w:shd w:val="clear" w:color="auto" w:fill="auto"/>
            <w:vAlign w:val="center"/>
          </w:tcPr>
          <w:p>
            <w:pPr>
              <w:spacing w:beforeLines="20" w:before="48" w:afterLines="20" w:after="48"/>
              <w:jc w:val="center"/>
              <w:rPr>
                <w:noProof/>
                <w:sz w:val="16"/>
                <w:szCs w:val="16"/>
              </w:rPr>
            </w:pPr>
          </w:p>
        </w:tc>
        <w:tc>
          <w:tcPr>
            <w:tcW w:w="600" w:type="dxa"/>
            <w:shd w:val="clear" w:color="auto" w:fill="auto"/>
            <w:vAlign w:val="center"/>
          </w:tcPr>
          <w:p>
            <w:pPr>
              <w:spacing w:beforeLines="20" w:before="48" w:afterLines="20" w:after="48"/>
              <w:jc w:val="center"/>
              <w:rPr>
                <w:noProof/>
                <w:sz w:val="16"/>
                <w:szCs w:val="16"/>
              </w:rPr>
            </w:pPr>
          </w:p>
        </w:tc>
        <w:tc>
          <w:tcPr>
            <w:tcW w:w="600" w:type="dxa"/>
            <w:shd w:val="clear" w:color="auto" w:fill="auto"/>
            <w:vAlign w:val="center"/>
          </w:tcPr>
          <w:p>
            <w:pPr>
              <w:spacing w:beforeLines="20" w:before="48" w:afterLines="20" w:after="48"/>
              <w:jc w:val="center"/>
              <w:rPr>
                <w:noProof/>
                <w:sz w:val="16"/>
                <w:szCs w:val="16"/>
              </w:rPr>
            </w:pPr>
          </w:p>
        </w:tc>
        <w:tc>
          <w:tcPr>
            <w:tcW w:w="600" w:type="dxa"/>
            <w:shd w:val="clear" w:color="auto" w:fill="auto"/>
            <w:vAlign w:val="center"/>
          </w:tcPr>
          <w:p>
            <w:pPr>
              <w:spacing w:beforeLines="20" w:before="48" w:afterLines="20" w:after="48"/>
              <w:jc w:val="center"/>
              <w:rPr>
                <w:noProof/>
                <w:sz w:val="16"/>
                <w:szCs w:val="16"/>
              </w:rPr>
            </w:pPr>
          </w:p>
        </w:tc>
        <w:tc>
          <w:tcPr>
            <w:tcW w:w="600" w:type="dxa"/>
            <w:shd w:val="clear" w:color="auto" w:fill="auto"/>
            <w:vAlign w:val="center"/>
          </w:tcPr>
          <w:p>
            <w:pPr>
              <w:spacing w:beforeLines="20" w:before="48" w:afterLines="20" w:after="48"/>
              <w:jc w:val="center"/>
              <w:rPr>
                <w:noProof/>
                <w:sz w:val="16"/>
                <w:szCs w:val="16"/>
              </w:rPr>
            </w:pPr>
          </w:p>
        </w:tc>
        <w:tc>
          <w:tcPr>
            <w:tcW w:w="600" w:type="dxa"/>
            <w:shd w:val="clear" w:color="auto" w:fill="auto"/>
            <w:vAlign w:val="center"/>
          </w:tcPr>
          <w:p>
            <w:pPr>
              <w:spacing w:beforeLines="20" w:before="48" w:afterLines="20" w:after="48"/>
              <w:jc w:val="center"/>
              <w:rPr>
                <w:noProof/>
                <w:sz w:val="16"/>
                <w:szCs w:val="16"/>
              </w:rPr>
            </w:pPr>
          </w:p>
        </w:tc>
        <w:tc>
          <w:tcPr>
            <w:tcW w:w="600" w:type="dxa"/>
            <w:shd w:val="clear" w:color="auto" w:fill="auto"/>
            <w:vAlign w:val="center"/>
          </w:tcPr>
          <w:p>
            <w:pPr>
              <w:spacing w:beforeLines="20" w:before="48" w:afterLines="20" w:after="48"/>
              <w:jc w:val="center"/>
              <w:rPr>
                <w:noProof/>
                <w:sz w:val="16"/>
                <w:szCs w:val="16"/>
              </w:rPr>
            </w:pPr>
          </w:p>
        </w:tc>
      </w:tr>
      <w:tr>
        <w:trPr>
          <w:gridBefore w:val="1"/>
          <w:wBefore w:w="13" w:type="dxa"/>
          <w:trHeight w:val="289"/>
          <w:jc w:val="center"/>
        </w:trPr>
        <w:tc>
          <w:tcPr>
            <w:tcW w:w="3906" w:type="dxa"/>
            <w:gridSpan w:val="2"/>
            <w:tcBorders>
              <w:bottom w:val="double" w:sz="4" w:space="0" w:color="auto"/>
            </w:tcBorders>
            <w:shd w:val="clear" w:color="auto" w:fill="auto"/>
            <w:vAlign w:val="center"/>
          </w:tcPr>
          <w:p>
            <w:pPr>
              <w:pStyle w:val="Text1"/>
              <w:spacing w:beforeLines="20" w:before="48" w:afterLines="20" w:after="48"/>
              <w:ind w:left="134"/>
              <w:jc w:val="left"/>
              <w:rPr>
                <w:noProof/>
                <w:sz w:val="16"/>
                <w:szCs w:val="16"/>
              </w:rPr>
            </w:pPr>
            <w:r>
              <w:rPr>
                <w:noProof/>
                <w:sz w:val="16"/>
              </w:rPr>
              <w:t>Autres lignes budgétaires (à préciser)</w:t>
            </w:r>
          </w:p>
        </w:tc>
        <w:tc>
          <w:tcPr>
            <w:tcW w:w="600" w:type="dxa"/>
            <w:tcBorders>
              <w:bottom w:val="double" w:sz="4" w:space="0" w:color="auto"/>
            </w:tcBorders>
            <w:shd w:val="clear" w:color="auto" w:fill="auto"/>
            <w:vAlign w:val="center"/>
          </w:tcPr>
          <w:p>
            <w:pPr>
              <w:spacing w:beforeLines="20" w:before="48" w:afterLines="20" w:after="48"/>
              <w:jc w:val="center"/>
              <w:rPr>
                <w:noProof/>
                <w:sz w:val="16"/>
                <w:szCs w:val="16"/>
              </w:rPr>
            </w:pPr>
          </w:p>
        </w:tc>
        <w:tc>
          <w:tcPr>
            <w:tcW w:w="600" w:type="dxa"/>
            <w:tcBorders>
              <w:bottom w:val="double" w:sz="4" w:space="0" w:color="auto"/>
            </w:tcBorders>
            <w:shd w:val="clear" w:color="auto" w:fill="auto"/>
            <w:vAlign w:val="center"/>
          </w:tcPr>
          <w:p>
            <w:pPr>
              <w:spacing w:beforeLines="20" w:before="48" w:afterLines="20" w:after="48"/>
              <w:jc w:val="center"/>
              <w:rPr>
                <w:noProof/>
                <w:sz w:val="16"/>
                <w:szCs w:val="16"/>
              </w:rPr>
            </w:pPr>
          </w:p>
        </w:tc>
        <w:tc>
          <w:tcPr>
            <w:tcW w:w="600" w:type="dxa"/>
            <w:tcBorders>
              <w:bottom w:val="double" w:sz="4" w:space="0" w:color="auto"/>
            </w:tcBorders>
            <w:shd w:val="clear" w:color="auto" w:fill="auto"/>
            <w:vAlign w:val="center"/>
          </w:tcPr>
          <w:p>
            <w:pPr>
              <w:spacing w:beforeLines="20" w:before="48" w:afterLines="20" w:after="48"/>
              <w:jc w:val="center"/>
              <w:rPr>
                <w:noProof/>
                <w:sz w:val="16"/>
                <w:szCs w:val="16"/>
              </w:rPr>
            </w:pPr>
          </w:p>
        </w:tc>
        <w:tc>
          <w:tcPr>
            <w:tcW w:w="600" w:type="dxa"/>
            <w:tcBorders>
              <w:bottom w:val="double" w:sz="4" w:space="0" w:color="auto"/>
            </w:tcBorders>
            <w:shd w:val="clear" w:color="auto" w:fill="auto"/>
            <w:vAlign w:val="center"/>
          </w:tcPr>
          <w:p>
            <w:pPr>
              <w:spacing w:beforeLines="20" w:before="48" w:afterLines="20" w:after="48"/>
              <w:jc w:val="center"/>
              <w:rPr>
                <w:noProof/>
                <w:sz w:val="16"/>
                <w:szCs w:val="16"/>
              </w:rPr>
            </w:pPr>
          </w:p>
        </w:tc>
        <w:tc>
          <w:tcPr>
            <w:tcW w:w="600" w:type="dxa"/>
            <w:tcBorders>
              <w:bottom w:val="double" w:sz="4" w:space="0" w:color="auto"/>
            </w:tcBorders>
            <w:shd w:val="clear" w:color="auto" w:fill="auto"/>
            <w:vAlign w:val="center"/>
          </w:tcPr>
          <w:p>
            <w:pPr>
              <w:spacing w:beforeLines="20" w:before="48" w:afterLines="20" w:after="48"/>
              <w:jc w:val="center"/>
              <w:rPr>
                <w:noProof/>
                <w:sz w:val="16"/>
                <w:szCs w:val="16"/>
              </w:rPr>
            </w:pPr>
          </w:p>
        </w:tc>
        <w:tc>
          <w:tcPr>
            <w:tcW w:w="600" w:type="dxa"/>
            <w:tcBorders>
              <w:bottom w:val="double" w:sz="4" w:space="0" w:color="auto"/>
            </w:tcBorders>
            <w:shd w:val="clear" w:color="auto" w:fill="auto"/>
            <w:vAlign w:val="center"/>
          </w:tcPr>
          <w:p>
            <w:pPr>
              <w:spacing w:beforeLines="20" w:before="48" w:afterLines="20" w:after="48"/>
              <w:jc w:val="center"/>
              <w:rPr>
                <w:noProof/>
                <w:sz w:val="16"/>
                <w:szCs w:val="16"/>
              </w:rPr>
            </w:pPr>
          </w:p>
        </w:tc>
        <w:tc>
          <w:tcPr>
            <w:tcW w:w="600" w:type="dxa"/>
            <w:tcBorders>
              <w:bottom w:val="double" w:sz="4" w:space="0" w:color="auto"/>
            </w:tcBorders>
            <w:shd w:val="clear" w:color="auto" w:fill="auto"/>
            <w:vAlign w:val="center"/>
          </w:tcPr>
          <w:p>
            <w:pPr>
              <w:spacing w:beforeLines="20" w:before="48" w:afterLines="20" w:after="48"/>
              <w:jc w:val="center"/>
              <w:rPr>
                <w:noProof/>
                <w:sz w:val="16"/>
                <w:szCs w:val="16"/>
              </w:rPr>
            </w:pPr>
          </w:p>
        </w:tc>
      </w:tr>
      <w:tr>
        <w:trPr>
          <w:gridBefore w:val="1"/>
          <w:wBefore w:w="13" w:type="dxa"/>
          <w:trHeight w:val="289"/>
          <w:jc w:val="center"/>
        </w:trPr>
        <w:tc>
          <w:tcPr>
            <w:tcW w:w="3906" w:type="dxa"/>
            <w:gridSpan w:val="2"/>
            <w:tcBorders>
              <w:top w:val="double" w:sz="4" w:space="0" w:color="auto"/>
            </w:tcBorders>
            <w:shd w:val="clear" w:color="auto" w:fill="auto"/>
            <w:vAlign w:val="center"/>
          </w:tcPr>
          <w:p>
            <w:pPr>
              <w:pStyle w:val="Text1"/>
              <w:spacing w:beforeLines="20" w:before="48" w:afterLines="20" w:after="48"/>
              <w:ind w:left="136"/>
              <w:jc w:val="left"/>
              <w:rPr>
                <w:noProof/>
                <w:sz w:val="16"/>
                <w:szCs w:val="16"/>
              </w:rPr>
            </w:pPr>
            <w:r>
              <w:rPr>
                <w:b/>
                <w:noProof/>
                <w:sz w:val="16"/>
              </w:rPr>
              <w:t>TOTAL</w:t>
            </w:r>
          </w:p>
        </w:tc>
        <w:tc>
          <w:tcPr>
            <w:tcW w:w="600" w:type="dxa"/>
            <w:tcBorders>
              <w:top w:val="double" w:sz="4" w:space="0" w:color="auto"/>
            </w:tcBorders>
            <w:shd w:val="clear" w:color="auto" w:fill="auto"/>
            <w:vAlign w:val="center"/>
          </w:tcPr>
          <w:p>
            <w:pPr>
              <w:spacing w:beforeLines="20" w:before="48" w:afterLines="20" w:after="48"/>
              <w:jc w:val="center"/>
              <w:rPr>
                <w:b/>
                <w:noProof/>
                <w:sz w:val="16"/>
                <w:szCs w:val="16"/>
              </w:rPr>
            </w:pPr>
            <w:r>
              <w:rPr>
                <w:b/>
                <w:noProof/>
                <w:sz w:val="16"/>
              </w:rPr>
              <w:t>2</w:t>
            </w:r>
          </w:p>
        </w:tc>
        <w:tc>
          <w:tcPr>
            <w:tcW w:w="600" w:type="dxa"/>
            <w:tcBorders>
              <w:top w:val="double" w:sz="4" w:space="0" w:color="auto"/>
            </w:tcBorders>
            <w:shd w:val="clear" w:color="auto" w:fill="auto"/>
            <w:vAlign w:val="center"/>
          </w:tcPr>
          <w:p>
            <w:pPr>
              <w:spacing w:beforeLines="20" w:before="48" w:afterLines="20" w:after="48"/>
              <w:jc w:val="center"/>
              <w:rPr>
                <w:b/>
                <w:noProof/>
                <w:sz w:val="16"/>
                <w:szCs w:val="16"/>
              </w:rPr>
            </w:pPr>
            <w:r>
              <w:rPr>
                <w:b/>
                <w:noProof/>
                <w:sz w:val="16"/>
              </w:rPr>
              <w:t>2</w:t>
            </w:r>
          </w:p>
        </w:tc>
        <w:tc>
          <w:tcPr>
            <w:tcW w:w="600" w:type="dxa"/>
            <w:tcBorders>
              <w:top w:val="double" w:sz="4" w:space="0" w:color="auto"/>
            </w:tcBorders>
            <w:shd w:val="clear" w:color="auto" w:fill="auto"/>
            <w:vAlign w:val="center"/>
          </w:tcPr>
          <w:p>
            <w:pPr>
              <w:spacing w:beforeLines="20" w:before="48" w:afterLines="20" w:after="48"/>
              <w:jc w:val="center"/>
              <w:rPr>
                <w:b/>
                <w:noProof/>
                <w:sz w:val="16"/>
                <w:szCs w:val="16"/>
              </w:rPr>
            </w:pPr>
            <w:r>
              <w:rPr>
                <w:b/>
                <w:noProof/>
                <w:sz w:val="16"/>
              </w:rPr>
              <w:t>2</w:t>
            </w:r>
          </w:p>
        </w:tc>
        <w:tc>
          <w:tcPr>
            <w:tcW w:w="600" w:type="dxa"/>
            <w:tcBorders>
              <w:top w:val="double" w:sz="4" w:space="0" w:color="auto"/>
            </w:tcBorders>
            <w:shd w:val="clear" w:color="auto" w:fill="auto"/>
            <w:vAlign w:val="center"/>
          </w:tcPr>
          <w:p>
            <w:pPr>
              <w:spacing w:beforeLines="20" w:before="48" w:afterLines="20" w:after="48"/>
              <w:jc w:val="center"/>
              <w:rPr>
                <w:b/>
                <w:noProof/>
                <w:sz w:val="16"/>
                <w:szCs w:val="16"/>
              </w:rPr>
            </w:pPr>
            <w:r>
              <w:rPr>
                <w:b/>
                <w:noProof/>
                <w:sz w:val="16"/>
              </w:rPr>
              <w:t>2</w:t>
            </w:r>
          </w:p>
        </w:tc>
        <w:tc>
          <w:tcPr>
            <w:tcW w:w="600" w:type="dxa"/>
            <w:tcBorders>
              <w:top w:val="double" w:sz="4" w:space="0" w:color="auto"/>
            </w:tcBorders>
            <w:shd w:val="clear" w:color="auto" w:fill="auto"/>
            <w:vAlign w:val="center"/>
          </w:tcPr>
          <w:p>
            <w:pPr>
              <w:spacing w:beforeLines="20" w:before="48" w:afterLines="20" w:after="48"/>
              <w:jc w:val="center"/>
              <w:rPr>
                <w:b/>
                <w:noProof/>
                <w:sz w:val="16"/>
                <w:szCs w:val="16"/>
              </w:rPr>
            </w:pPr>
          </w:p>
        </w:tc>
        <w:tc>
          <w:tcPr>
            <w:tcW w:w="600" w:type="dxa"/>
            <w:tcBorders>
              <w:top w:val="double" w:sz="4" w:space="0" w:color="auto"/>
            </w:tcBorders>
            <w:shd w:val="clear" w:color="auto" w:fill="auto"/>
            <w:vAlign w:val="center"/>
          </w:tcPr>
          <w:p>
            <w:pPr>
              <w:spacing w:beforeLines="20" w:before="48" w:afterLines="20" w:after="48"/>
              <w:jc w:val="center"/>
              <w:rPr>
                <w:b/>
                <w:noProof/>
                <w:sz w:val="16"/>
                <w:szCs w:val="16"/>
              </w:rPr>
            </w:pPr>
          </w:p>
        </w:tc>
        <w:tc>
          <w:tcPr>
            <w:tcW w:w="600" w:type="dxa"/>
            <w:tcBorders>
              <w:top w:val="double" w:sz="4" w:space="0" w:color="auto"/>
            </w:tcBorders>
            <w:shd w:val="clear" w:color="auto" w:fill="auto"/>
            <w:vAlign w:val="center"/>
          </w:tcPr>
          <w:p>
            <w:pPr>
              <w:spacing w:beforeLines="20" w:before="48" w:afterLines="20" w:after="48"/>
              <w:jc w:val="center"/>
              <w:rPr>
                <w:b/>
                <w:noProof/>
                <w:sz w:val="16"/>
                <w:szCs w:val="16"/>
              </w:rPr>
            </w:pPr>
          </w:p>
        </w:tc>
      </w:tr>
    </w:tbl>
    <w:p>
      <w:pPr>
        <w:pStyle w:val="Text1"/>
        <w:spacing w:before="60" w:after="60"/>
        <w:ind w:left="851"/>
        <w:rPr>
          <w:noProof/>
          <w:sz w:val="18"/>
          <w:szCs w:val="18"/>
        </w:rPr>
      </w:pPr>
      <w:r>
        <w:rPr>
          <w:b/>
          <w:noProof/>
          <w:sz w:val="18"/>
        </w:rPr>
        <w:t>XX</w:t>
      </w:r>
      <w:r>
        <w:rPr>
          <w:noProof/>
          <w:sz w:val="18"/>
        </w:rPr>
        <w:t xml:space="preserve"> est le domaine politique ou le titre concerné.</w:t>
      </w:r>
    </w:p>
    <w:p>
      <w:pPr>
        <w:pStyle w:val="Text1"/>
        <w:rPr>
          <w:noProof/>
          <w:sz w:val="18"/>
          <w:szCs w:val="18"/>
        </w:rPr>
      </w:pPr>
      <w:r>
        <w:rPr>
          <w:noProof/>
          <w:sz w:val="18"/>
        </w:rPr>
        <w:t>Les besoins en ressources humaines seront couverts par les effectifs de la DG déjà affectés à la gestion de l’action et/ou redéployés en interne au sein de la DG, complétés le cas échéant par toute dotation additionnelle qui pourrait être allouée à la DG gestionnaire dans le cadre de la procédure d’allocation annuelle et compte tenu des contraintes budgétaires existantes.</w:t>
      </w:r>
    </w:p>
    <w:p>
      <w:pPr>
        <w:rPr>
          <w:noProof/>
          <w:sz w:val="20"/>
        </w:rPr>
      </w:pPr>
      <w:r>
        <w:rPr>
          <w:noProof/>
          <w:sz w:val="20"/>
        </w:rPr>
        <w:t>Description des tâches à effectuer:</w:t>
      </w:r>
    </w:p>
    <w:tbl>
      <w:tblPr>
        <w:tblW w:w="10440" w:type="dxa"/>
        <w:tblInd w:w="-4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240"/>
        <w:gridCol w:w="7200"/>
      </w:tblGrid>
      <w:tr>
        <w:tc>
          <w:tcPr>
            <w:tcW w:w="3240" w:type="dxa"/>
          </w:tcPr>
          <w:p>
            <w:pPr>
              <w:rPr>
                <w:noProof/>
                <w:sz w:val="20"/>
              </w:rPr>
            </w:pPr>
            <w:r>
              <w:rPr>
                <w:noProof/>
                <w:sz w:val="20"/>
              </w:rPr>
              <w:t>Fonctionnaires et agents temporaires</w:t>
            </w:r>
          </w:p>
        </w:tc>
        <w:tc>
          <w:tcPr>
            <w:tcW w:w="7200" w:type="dxa"/>
          </w:tcPr>
          <w:p>
            <w:pPr>
              <w:rPr>
                <w:noProof/>
                <w:sz w:val="20"/>
              </w:rPr>
            </w:pPr>
            <w:r>
              <w:rPr>
                <w:noProof/>
                <w:sz w:val="20"/>
              </w:rPr>
              <w:t>Préparation, participation et suivi des réunions du comité mixte. Élaboration et adoption d’un rapport annuel sur le fonctionnement de l’accord.</w:t>
            </w:r>
          </w:p>
        </w:tc>
      </w:tr>
      <w:tr>
        <w:tc>
          <w:tcPr>
            <w:tcW w:w="3240" w:type="dxa"/>
          </w:tcPr>
          <w:p>
            <w:pPr>
              <w:spacing w:before="60" w:after="60"/>
              <w:rPr>
                <w:noProof/>
                <w:sz w:val="20"/>
              </w:rPr>
            </w:pPr>
            <w:r>
              <w:rPr>
                <w:noProof/>
                <w:sz w:val="20"/>
              </w:rPr>
              <w:t>Personnel externe</w:t>
            </w:r>
          </w:p>
        </w:tc>
        <w:tc>
          <w:tcPr>
            <w:tcW w:w="7200" w:type="dxa"/>
          </w:tcPr>
          <w:p>
            <w:pPr>
              <w:rPr>
                <w:noProof/>
                <w:sz w:val="20"/>
              </w:rPr>
            </w:pPr>
          </w:p>
        </w:tc>
      </w:tr>
    </w:tbl>
    <w:p>
      <w:pPr>
        <w:rPr>
          <w:noProof/>
        </w:rPr>
        <w:sectPr>
          <w:pgSz w:w="11907" w:h="16840"/>
          <w:pgMar w:top="1134" w:right="1418" w:bottom="1134" w:left="1418" w:header="709" w:footer="709" w:gutter="0"/>
          <w:cols w:space="708"/>
          <w:docGrid w:linePitch="360"/>
        </w:sectPr>
      </w:pPr>
    </w:p>
    <w:p>
      <w:pPr>
        <w:pStyle w:val="ManualHeading3"/>
        <w:rPr>
          <w:noProof/>
        </w:rPr>
      </w:pPr>
      <w:bookmarkStart w:id="61" w:name="_Toc514938056"/>
      <w:bookmarkStart w:id="62" w:name="_Toc520485055"/>
      <w:r>
        <w:t>3.2.4.</w:t>
      </w:r>
      <w:r>
        <w:tab/>
      </w:r>
      <w:r>
        <w:rPr>
          <w:noProof/>
        </w:rPr>
        <w:t>Compatibilité avec le cadre financier pluriannuel actuel</w:t>
      </w:r>
      <w:bookmarkEnd w:id="61"/>
      <w:bookmarkEnd w:id="62"/>
      <w:r>
        <w:rPr>
          <w:noProof/>
        </w:rPr>
        <w:t xml:space="preserve"> </w:t>
      </w:r>
    </w:p>
    <w:p>
      <w:pPr>
        <w:pStyle w:val="Text1"/>
        <w:rPr>
          <w:noProof/>
        </w:rPr>
      </w:pPr>
      <w:r>
        <w:rPr>
          <w:noProof/>
        </w:rPr>
        <w:t>La proposition/l’initiative:</w:t>
      </w:r>
    </w:p>
    <w:p>
      <w:pPr>
        <w:pStyle w:val="ListDash1"/>
        <w:rPr>
          <w:noProof/>
        </w:rPr>
      </w:pPr>
      <w:r>
        <w:rPr>
          <w:noProof/>
        </w:rPr>
        <w:sym w:font="Wingdings" w:char="F0FE"/>
      </w:r>
      <w:r>
        <w:rPr>
          <w:noProof/>
        </w:rPr>
        <w:tab/>
        <w:t>peut être intégralement financée par voie de redéploiement au sein de la rubrique concernée du cadre financier pluriannuel (CFP).</w:t>
      </w:r>
    </w:p>
    <w:p>
      <w:pPr>
        <w:pStyle w:val="Text1"/>
        <w:pBdr>
          <w:top w:val="single" w:sz="4" w:space="1" w:color="auto"/>
          <w:left w:val="single" w:sz="4" w:space="4" w:color="auto"/>
          <w:bottom w:val="single" w:sz="4" w:space="1" w:color="auto"/>
          <w:right w:val="single" w:sz="4" w:space="4" w:color="auto"/>
        </w:pBdr>
        <w:rPr>
          <w:noProof/>
          <w:sz w:val="20"/>
        </w:rPr>
      </w:pPr>
      <w:r>
        <w:rPr>
          <w:noProof/>
          <w:sz w:val="20"/>
        </w:rPr>
        <w:t>La proposition entraîne des dépenses administratives qui seront recensées par un redéploiement lors de l’exercice d’allocation de ressources.</w:t>
      </w:r>
    </w:p>
    <w:p>
      <w:pPr>
        <w:pStyle w:val="ListDash1"/>
        <w:rPr>
          <w:noProof/>
        </w:rPr>
      </w:pPr>
      <w:r>
        <w:rPr>
          <w:noProof/>
        </w:rPr>
        <w:sym w:font="Wingdings" w:char="F0A8"/>
      </w:r>
      <w:r>
        <w:rPr>
          <w:noProof/>
        </w:rPr>
        <w:tab/>
        <w:t>nécessite l’utilisation de la marge non allouée sous la rubrique correspondante du CFP et/ou le recours aux instruments spéciaux comme le prévoit le règlement CFP.</w:t>
      </w:r>
    </w:p>
    <w:p>
      <w:pPr>
        <w:pStyle w:val="Text1"/>
        <w:pBdr>
          <w:top w:val="single" w:sz="4" w:space="1" w:color="auto"/>
          <w:left w:val="single" w:sz="4" w:space="4" w:color="auto"/>
          <w:bottom w:val="single" w:sz="4" w:space="1" w:color="auto"/>
          <w:right w:val="single" w:sz="4" w:space="4" w:color="auto"/>
        </w:pBdr>
        <w:rPr>
          <w:noProof/>
          <w:sz w:val="20"/>
        </w:rPr>
      </w:pPr>
      <w:r>
        <w:rPr>
          <w:noProof/>
          <w:sz w:val="20"/>
        </w:rPr>
        <w:t>Expliquez le besoin, en précisant les rubriques et lignes budgétaires concernées, les montants correspondants et les instruments dont le recours est proposé.</w:t>
      </w:r>
    </w:p>
    <w:p>
      <w:pPr>
        <w:pStyle w:val="ListDash1"/>
        <w:rPr>
          <w:noProof/>
        </w:rPr>
      </w:pPr>
      <w:r>
        <w:rPr>
          <w:noProof/>
        </w:rPr>
        <w:sym w:font="Wingdings" w:char="F0A8"/>
      </w:r>
      <w:r>
        <w:rPr>
          <w:noProof/>
        </w:rPr>
        <w:tab/>
        <w:t>nécessite une révision du CFP.</w:t>
      </w:r>
    </w:p>
    <w:p>
      <w:pPr>
        <w:pStyle w:val="Text1"/>
        <w:pBdr>
          <w:top w:val="single" w:sz="4" w:space="1" w:color="auto"/>
          <w:left w:val="single" w:sz="4" w:space="4" w:color="auto"/>
          <w:bottom w:val="single" w:sz="4" w:space="1" w:color="auto"/>
          <w:right w:val="single" w:sz="4" w:space="4" w:color="auto"/>
        </w:pBdr>
        <w:rPr>
          <w:noProof/>
          <w:sz w:val="20"/>
        </w:rPr>
      </w:pPr>
      <w:r>
        <w:rPr>
          <w:noProof/>
          <w:sz w:val="20"/>
        </w:rPr>
        <w:t>Expliquez le besoin, en précisant les rubriques et lignes budgétaires concernées et les montants correspondants.</w:t>
      </w:r>
    </w:p>
    <w:p>
      <w:pPr>
        <w:pStyle w:val="ManualHeading3"/>
        <w:rPr>
          <w:bCs/>
          <w:noProof/>
          <w:szCs w:val="24"/>
        </w:rPr>
      </w:pPr>
      <w:bookmarkStart w:id="63" w:name="_Toc514938058"/>
      <w:bookmarkStart w:id="64" w:name="_Toc520485056"/>
      <w:r>
        <w:t>3.2.5.</w:t>
      </w:r>
      <w:r>
        <w:tab/>
      </w:r>
      <w:r>
        <w:rPr>
          <w:noProof/>
        </w:rPr>
        <w:t>Participation de tiers au financement</w:t>
      </w:r>
      <w:bookmarkEnd w:id="63"/>
      <w:bookmarkEnd w:id="64"/>
      <w:r>
        <w:rPr>
          <w:noProof/>
        </w:rPr>
        <w:t xml:space="preserve"> </w:t>
      </w:r>
    </w:p>
    <w:p>
      <w:pPr>
        <w:pStyle w:val="Text1"/>
        <w:rPr>
          <w:noProof/>
        </w:rPr>
      </w:pPr>
      <w:r>
        <w:rPr>
          <w:noProof/>
        </w:rPr>
        <w:t>La proposition/l’initiative:</w:t>
      </w:r>
    </w:p>
    <w:p>
      <w:pPr>
        <w:pStyle w:val="ListDash1"/>
        <w:rPr>
          <w:noProof/>
        </w:rPr>
      </w:pPr>
      <w:r>
        <w:rPr>
          <w:noProof/>
        </w:rPr>
        <w:sym w:font="Wingdings" w:char="F0FE"/>
      </w:r>
      <w:r>
        <w:rPr>
          <w:noProof/>
        </w:rPr>
        <w:tab/>
        <w:t>ne prévoit pas de cofinancement par des tierces parties</w:t>
      </w:r>
    </w:p>
    <w:p>
      <w:pPr>
        <w:pStyle w:val="ListDash1"/>
        <w:rPr>
          <w:noProof/>
        </w:rPr>
      </w:pPr>
      <w:r>
        <w:rPr>
          <w:noProof/>
        </w:rPr>
        <w:sym w:font="Wingdings" w:char="F0A8"/>
      </w:r>
      <w:r>
        <w:rPr>
          <w:noProof/>
        </w:rPr>
        <w:tab/>
        <w:t>prévoit le cofinancement par des tierces parties estimé ci</w:t>
      </w:r>
      <w:r>
        <w:rPr>
          <w:noProof/>
        </w:rPr>
        <w:noBreakHyphen/>
        <w:t>après:</w:t>
      </w:r>
    </w:p>
    <w:p>
      <w:pPr>
        <w:jc w:val="right"/>
        <w:rPr>
          <w:noProof/>
          <w:sz w:val="20"/>
        </w:rPr>
      </w:pPr>
      <w:r>
        <w:rPr>
          <w:noProof/>
          <w:sz w:val="20"/>
        </w:rPr>
        <w:t>Crédits en Mio EUR (à la 3</w:t>
      </w:r>
      <w:r>
        <w:rPr>
          <w:noProof/>
          <w:sz w:val="20"/>
          <w:vertAlign w:val="superscript"/>
        </w:rPr>
        <w:t>e</w:t>
      </w:r>
      <w:r>
        <w:rPr>
          <w:noProof/>
          <w:sz w:val="20"/>
        </w:rPr>
        <w:t> décimale)</w:t>
      </w:r>
    </w:p>
    <w:tbl>
      <w:tblPr>
        <w:tblW w:w="10246" w:type="dxa"/>
        <w:tblInd w:w="-43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340"/>
        <w:gridCol w:w="964"/>
        <w:gridCol w:w="964"/>
        <w:gridCol w:w="964"/>
        <w:gridCol w:w="964"/>
        <w:gridCol w:w="964"/>
        <w:gridCol w:w="964"/>
        <w:gridCol w:w="964"/>
        <w:gridCol w:w="1158"/>
      </w:tblGrid>
      <w:tr>
        <w:trPr>
          <w:cantSplit/>
        </w:trPr>
        <w:tc>
          <w:tcPr>
            <w:tcW w:w="2340" w:type="dxa"/>
          </w:tcPr>
          <w:p>
            <w:pPr>
              <w:spacing w:before="60" w:after="60"/>
              <w:rPr>
                <w:noProof/>
                <w:sz w:val="20"/>
              </w:rPr>
            </w:pPr>
          </w:p>
        </w:tc>
        <w:tc>
          <w:tcPr>
            <w:tcW w:w="964" w:type="dxa"/>
            <w:vAlign w:val="center"/>
          </w:tcPr>
          <w:p>
            <w:pPr>
              <w:jc w:val="center"/>
              <w:rPr>
                <w:noProof/>
                <w:sz w:val="20"/>
              </w:rPr>
            </w:pPr>
            <w:r>
              <w:rPr>
                <w:noProof/>
                <w:sz w:val="20"/>
              </w:rPr>
              <w:t>Année</w:t>
            </w:r>
            <w:r>
              <w:rPr>
                <w:noProof/>
                <w:sz w:val="22"/>
              </w:rPr>
              <w:br/>
            </w:r>
            <w:r>
              <w:rPr>
                <w:b/>
                <w:noProof/>
                <w:sz w:val="20"/>
              </w:rPr>
              <w:t>N</w:t>
            </w:r>
            <w:r>
              <w:rPr>
                <w:rStyle w:val="FootnoteReference"/>
                <w:b/>
                <w:noProof/>
                <w:sz w:val="20"/>
              </w:rPr>
              <w:footnoteReference w:id="18"/>
            </w:r>
          </w:p>
        </w:tc>
        <w:tc>
          <w:tcPr>
            <w:tcW w:w="964" w:type="dxa"/>
            <w:vAlign w:val="center"/>
          </w:tcPr>
          <w:p>
            <w:pPr>
              <w:jc w:val="center"/>
              <w:rPr>
                <w:noProof/>
                <w:sz w:val="20"/>
              </w:rPr>
            </w:pPr>
            <w:r>
              <w:rPr>
                <w:noProof/>
                <w:sz w:val="20"/>
              </w:rPr>
              <w:t>Année</w:t>
            </w:r>
            <w:r>
              <w:rPr>
                <w:noProof/>
                <w:sz w:val="22"/>
              </w:rPr>
              <w:br/>
            </w:r>
            <w:r>
              <w:rPr>
                <w:b/>
                <w:noProof/>
                <w:sz w:val="20"/>
              </w:rPr>
              <w:t>N+1</w:t>
            </w:r>
          </w:p>
        </w:tc>
        <w:tc>
          <w:tcPr>
            <w:tcW w:w="964" w:type="dxa"/>
            <w:vAlign w:val="center"/>
          </w:tcPr>
          <w:p>
            <w:pPr>
              <w:jc w:val="center"/>
              <w:rPr>
                <w:noProof/>
                <w:sz w:val="20"/>
              </w:rPr>
            </w:pPr>
            <w:r>
              <w:rPr>
                <w:noProof/>
                <w:sz w:val="20"/>
              </w:rPr>
              <w:t>Année</w:t>
            </w:r>
            <w:r>
              <w:rPr>
                <w:noProof/>
                <w:sz w:val="22"/>
              </w:rPr>
              <w:br/>
            </w:r>
            <w:r>
              <w:rPr>
                <w:b/>
                <w:noProof/>
                <w:sz w:val="20"/>
              </w:rPr>
              <w:t>N+2</w:t>
            </w:r>
          </w:p>
        </w:tc>
        <w:tc>
          <w:tcPr>
            <w:tcW w:w="964" w:type="dxa"/>
            <w:vAlign w:val="center"/>
          </w:tcPr>
          <w:p>
            <w:pPr>
              <w:jc w:val="center"/>
              <w:rPr>
                <w:noProof/>
                <w:sz w:val="20"/>
              </w:rPr>
            </w:pPr>
            <w:r>
              <w:rPr>
                <w:noProof/>
                <w:sz w:val="20"/>
              </w:rPr>
              <w:t>Année</w:t>
            </w:r>
            <w:r>
              <w:rPr>
                <w:noProof/>
                <w:sz w:val="22"/>
              </w:rPr>
              <w:br/>
            </w:r>
            <w:r>
              <w:rPr>
                <w:b/>
                <w:noProof/>
                <w:sz w:val="20"/>
              </w:rPr>
              <w:t>N+3</w:t>
            </w:r>
          </w:p>
        </w:tc>
        <w:tc>
          <w:tcPr>
            <w:tcW w:w="2892" w:type="dxa"/>
            <w:gridSpan w:val="3"/>
            <w:vAlign w:val="center"/>
          </w:tcPr>
          <w:p>
            <w:pPr>
              <w:jc w:val="center"/>
              <w:rPr>
                <w:b/>
                <w:noProof/>
                <w:sz w:val="20"/>
              </w:rPr>
            </w:pPr>
            <w:r>
              <w:rPr>
                <w:noProof/>
                <w:sz w:val="20"/>
              </w:rPr>
              <w:t>Insérer autant d'années que nécessaire, pour refléter la durée de l’incidence (cf. point 1.6)</w:t>
            </w:r>
          </w:p>
        </w:tc>
        <w:tc>
          <w:tcPr>
            <w:tcW w:w="1158" w:type="dxa"/>
            <w:vAlign w:val="center"/>
          </w:tcPr>
          <w:p>
            <w:pPr>
              <w:spacing w:before="60" w:after="60"/>
              <w:jc w:val="center"/>
              <w:rPr>
                <w:noProof/>
                <w:sz w:val="20"/>
              </w:rPr>
            </w:pPr>
            <w:r>
              <w:rPr>
                <w:noProof/>
                <w:sz w:val="20"/>
              </w:rPr>
              <w:t>Total</w:t>
            </w:r>
          </w:p>
        </w:tc>
      </w:tr>
      <w:tr>
        <w:trPr>
          <w:cantSplit/>
        </w:trPr>
        <w:tc>
          <w:tcPr>
            <w:tcW w:w="2340" w:type="dxa"/>
          </w:tcPr>
          <w:p>
            <w:pPr>
              <w:rPr>
                <w:noProof/>
              </w:rPr>
            </w:pPr>
            <w:r>
              <w:rPr>
                <w:noProof/>
                <w:sz w:val="20"/>
              </w:rPr>
              <w:t>Préciser l’organisme de cofinancement</w:t>
            </w:r>
            <w:r>
              <w:rPr>
                <w:i/>
                <w:noProof/>
                <w:sz w:val="20"/>
              </w:rPr>
              <w:t xml:space="preserve"> </w:t>
            </w: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1158" w:type="dxa"/>
            <w:vAlign w:val="center"/>
          </w:tcPr>
          <w:p>
            <w:pPr>
              <w:spacing w:before="60" w:after="60"/>
              <w:jc w:val="center"/>
              <w:rPr>
                <w:noProof/>
                <w:sz w:val="20"/>
              </w:rPr>
            </w:pPr>
          </w:p>
        </w:tc>
      </w:tr>
      <w:tr>
        <w:trPr>
          <w:cantSplit/>
        </w:trPr>
        <w:tc>
          <w:tcPr>
            <w:tcW w:w="2340" w:type="dxa"/>
          </w:tcPr>
          <w:p>
            <w:pPr>
              <w:spacing w:before="60" w:after="60"/>
              <w:jc w:val="left"/>
              <w:rPr>
                <w:noProof/>
                <w:sz w:val="20"/>
              </w:rPr>
            </w:pPr>
            <w:r>
              <w:rPr>
                <w:noProof/>
                <w:sz w:val="20"/>
              </w:rPr>
              <w:t xml:space="preserve">TOTAL crédits cofinancés </w:t>
            </w: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1158" w:type="dxa"/>
            <w:vAlign w:val="center"/>
          </w:tcPr>
          <w:p>
            <w:pPr>
              <w:spacing w:before="60" w:after="60"/>
              <w:jc w:val="center"/>
              <w:rPr>
                <w:noProof/>
                <w:sz w:val="20"/>
              </w:rPr>
            </w:pPr>
          </w:p>
        </w:tc>
      </w:tr>
    </w:tbl>
    <w:p>
      <w:pPr>
        <w:rPr>
          <w:noProof/>
        </w:rPr>
      </w:pPr>
      <w:r>
        <w:rPr>
          <w:noProof/>
        </w:rPr>
        <w:br/>
      </w:r>
    </w:p>
    <w:p>
      <w:pPr>
        <w:pStyle w:val="ManualHeading2"/>
        <w:rPr>
          <w:bCs/>
          <w:noProof/>
          <w:szCs w:val="24"/>
        </w:rPr>
      </w:pPr>
      <w:r>
        <w:rPr>
          <w:noProof/>
        </w:rPr>
        <w:br w:type="page"/>
      </w:r>
      <w:bookmarkStart w:id="65" w:name="_Toc514938059"/>
      <w:bookmarkStart w:id="66" w:name="_Toc520485057"/>
      <w:r>
        <w:t>3.3.</w:t>
      </w:r>
      <w:r>
        <w:tab/>
      </w:r>
      <w:r>
        <w:rPr>
          <w:noProof/>
        </w:rPr>
        <w:t>Incidence estimée sur les recettes</w:t>
      </w:r>
      <w:bookmarkEnd w:id="65"/>
      <w:bookmarkEnd w:id="66"/>
      <w:r>
        <w:rPr>
          <w:noProof/>
        </w:rPr>
        <w:t xml:space="preserve"> </w:t>
      </w:r>
    </w:p>
    <w:p>
      <w:pPr>
        <w:pStyle w:val="ListDash1"/>
        <w:rPr>
          <w:noProof/>
        </w:rPr>
      </w:pPr>
      <w:r>
        <w:rPr>
          <w:noProof/>
        </w:rPr>
        <w:sym w:font="Wingdings" w:char="F0FE"/>
      </w:r>
      <w:r>
        <w:rPr>
          <w:noProof/>
        </w:rPr>
        <w:tab/>
        <w:t>La proposition/l’initiative est sans incidence financière sur les recettes.</w:t>
      </w:r>
    </w:p>
    <w:p>
      <w:pPr>
        <w:pStyle w:val="ListDash1"/>
        <w:rPr>
          <w:noProof/>
        </w:rPr>
      </w:pPr>
      <w:r>
        <w:rPr>
          <w:noProof/>
        </w:rPr>
        <w:sym w:font="Wingdings" w:char="F0A8"/>
      </w:r>
      <w:r>
        <w:rPr>
          <w:noProof/>
        </w:rPr>
        <w:tab/>
        <w:t>La proposition/l’initiative a une incidence financière décrite ci</w:t>
      </w:r>
      <w:r>
        <w:rPr>
          <w:noProof/>
        </w:rPr>
        <w:noBreakHyphen/>
        <w:t>après:</w:t>
      </w:r>
    </w:p>
    <w:p>
      <w:pPr>
        <w:pStyle w:val="ListNumberLevel3"/>
        <w:tabs>
          <w:tab w:val="clear" w:pos="2126"/>
        </w:tabs>
        <w:rPr>
          <w:noProof/>
        </w:rPr>
      </w:pPr>
      <w:r>
        <w:rPr>
          <w:noProof/>
        </w:rPr>
        <w:sym w:font="Wingdings" w:char="F0A8"/>
      </w:r>
      <w:r>
        <w:rPr>
          <w:noProof/>
        </w:rPr>
        <w:tab/>
        <w:t xml:space="preserve">sur les ressources propres </w:t>
      </w:r>
    </w:p>
    <w:p>
      <w:pPr>
        <w:pStyle w:val="ListNumberLevel3"/>
        <w:tabs>
          <w:tab w:val="clear" w:pos="2126"/>
        </w:tabs>
        <w:rPr>
          <w:noProof/>
        </w:rPr>
      </w:pPr>
      <w:r>
        <w:rPr>
          <w:noProof/>
        </w:rPr>
        <w:sym w:font="Wingdings" w:char="F0A8"/>
      </w:r>
      <w:r>
        <w:rPr>
          <w:noProof/>
        </w:rPr>
        <w:tab/>
        <w:t>sur les autres recettes</w:t>
      </w:r>
    </w:p>
    <w:p>
      <w:pPr>
        <w:pStyle w:val="ListNumberLevel3"/>
        <w:tabs>
          <w:tab w:val="clear" w:pos="2126"/>
        </w:tabs>
        <w:rPr>
          <w:noProof/>
        </w:rPr>
      </w:pPr>
      <w:r>
        <w:rPr>
          <w:noProof/>
        </w:rPr>
        <w:sym w:font="Wingdings" w:char="F0A8"/>
      </w:r>
      <w:r>
        <w:rPr>
          <w:noProof/>
        </w:rPr>
        <w:tab/>
        <w:t xml:space="preserve">veuillez indiquer si les recettes sont affectées à des lignes de dépenses </w:t>
      </w:r>
      <w:r>
        <w:rPr>
          <w:noProof/>
        </w:rPr>
        <w:sym w:font="Wingdings" w:char="F0A8"/>
      </w:r>
      <w:r>
        <w:rPr>
          <w:noProof/>
        </w:rPr>
        <w:t xml:space="preserve"> </w:t>
      </w:r>
    </w:p>
    <w:p>
      <w:pPr>
        <w:ind w:left="4320"/>
        <w:rPr>
          <w:i/>
          <w:noProof/>
          <w:sz w:val="20"/>
        </w:rPr>
      </w:pPr>
      <w:r>
        <w:rPr>
          <w:noProof/>
        </w:rPr>
        <w:t xml:space="preserve">     En Mio EUR (à la 3</w:t>
      </w:r>
      <w:r>
        <w:rPr>
          <w:noProof/>
          <w:vertAlign w:val="superscript"/>
        </w:rPr>
        <w:t>e</w:t>
      </w:r>
      <w:r>
        <w:rPr>
          <w:noProof/>
        </w:rPr>
        <w:t xml:space="preserve"> décimale)</w:t>
      </w:r>
    </w:p>
    <w:tbl>
      <w:tblPr>
        <w:tblW w:w="1062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44"/>
        <w:gridCol w:w="1325"/>
        <w:gridCol w:w="1031"/>
        <w:gridCol w:w="900"/>
        <w:gridCol w:w="900"/>
        <w:gridCol w:w="1080"/>
        <w:gridCol w:w="1080"/>
        <w:gridCol w:w="1080"/>
        <w:gridCol w:w="1080"/>
      </w:tblGrid>
      <w:tr>
        <w:trPr>
          <w:trHeight w:val="388"/>
        </w:trPr>
        <w:tc>
          <w:tcPr>
            <w:tcW w:w="2144" w:type="dxa"/>
            <w:vMerge w:val="restart"/>
            <w:vAlign w:val="center"/>
          </w:tcPr>
          <w:p>
            <w:pPr>
              <w:spacing w:before="40" w:after="40"/>
              <w:rPr>
                <w:noProof/>
                <w:sz w:val="18"/>
              </w:rPr>
            </w:pPr>
            <w:r>
              <w:rPr>
                <w:noProof/>
                <w:sz w:val="18"/>
              </w:rPr>
              <w:t>Ligne budgétaire de recettes:</w:t>
            </w:r>
          </w:p>
        </w:tc>
        <w:tc>
          <w:tcPr>
            <w:tcW w:w="1325" w:type="dxa"/>
            <w:vMerge w:val="restart"/>
            <w:vAlign w:val="center"/>
          </w:tcPr>
          <w:p>
            <w:pPr>
              <w:jc w:val="center"/>
              <w:rPr>
                <w:noProof/>
                <w:sz w:val="18"/>
              </w:rPr>
            </w:pPr>
            <w:r>
              <w:rPr>
                <w:noProof/>
                <w:sz w:val="18"/>
              </w:rPr>
              <w:t>Montants inscrits pour l'exercice en cours</w:t>
            </w:r>
          </w:p>
        </w:tc>
        <w:tc>
          <w:tcPr>
            <w:tcW w:w="7151" w:type="dxa"/>
            <w:gridSpan w:val="7"/>
            <w:vAlign w:val="center"/>
          </w:tcPr>
          <w:p>
            <w:pPr>
              <w:jc w:val="center"/>
              <w:rPr>
                <w:noProof/>
                <w:sz w:val="18"/>
              </w:rPr>
            </w:pPr>
            <w:r>
              <w:rPr>
                <w:noProof/>
                <w:sz w:val="18"/>
              </w:rPr>
              <w:t>Incidence de la proposition/de l’initiative</w:t>
            </w:r>
            <w:r>
              <w:rPr>
                <w:rStyle w:val="FootnoteReference"/>
                <w:noProof/>
                <w:sz w:val="18"/>
              </w:rPr>
              <w:footnoteReference w:id="19"/>
            </w:r>
          </w:p>
        </w:tc>
      </w:tr>
      <w:tr>
        <w:trPr>
          <w:trHeight w:val="388"/>
        </w:trPr>
        <w:tc>
          <w:tcPr>
            <w:tcW w:w="2144" w:type="dxa"/>
            <w:vMerge/>
          </w:tcPr>
          <w:p>
            <w:pPr>
              <w:spacing w:before="40" w:after="40"/>
              <w:rPr>
                <w:noProof/>
                <w:sz w:val="18"/>
              </w:rPr>
            </w:pPr>
          </w:p>
        </w:tc>
        <w:tc>
          <w:tcPr>
            <w:tcW w:w="1325" w:type="dxa"/>
            <w:vMerge/>
          </w:tcPr>
          <w:p>
            <w:pPr>
              <w:spacing w:beforeLines="40" w:before="96" w:afterLines="40" w:after="96"/>
              <w:rPr>
                <w:i/>
                <w:noProof/>
                <w:sz w:val="18"/>
              </w:rPr>
            </w:pPr>
          </w:p>
        </w:tc>
        <w:tc>
          <w:tcPr>
            <w:tcW w:w="1031" w:type="dxa"/>
            <w:vAlign w:val="center"/>
          </w:tcPr>
          <w:p>
            <w:pPr>
              <w:jc w:val="center"/>
              <w:rPr>
                <w:noProof/>
                <w:sz w:val="18"/>
              </w:rPr>
            </w:pPr>
            <w:r>
              <w:rPr>
                <w:noProof/>
                <w:sz w:val="18"/>
              </w:rPr>
              <w:t>Année</w:t>
            </w:r>
            <w:r>
              <w:rPr>
                <w:noProof/>
                <w:sz w:val="22"/>
              </w:rPr>
              <w:br/>
            </w:r>
            <w:r>
              <w:rPr>
                <w:b/>
                <w:noProof/>
                <w:sz w:val="18"/>
              </w:rPr>
              <w:t>N</w:t>
            </w:r>
          </w:p>
        </w:tc>
        <w:tc>
          <w:tcPr>
            <w:tcW w:w="900" w:type="dxa"/>
            <w:vAlign w:val="center"/>
          </w:tcPr>
          <w:p>
            <w:pPr>
              <w:jc w:val="center"/>
              <w:rPr>
                <w:noProof/>
                <w:sz w:val="18"/>
              </w:rPr>
            </w:pPr>
            <w:r>
              <w:rPr>
                <w:noProof/>
                <w:sz w:val="18"/>
              </w:rPr>
              <w:t>Année</w:t>
            </w:r>
            <w:r>
              <w:rPr>
                <w:noProof/>
                <w:sz w:val="22"/>
              </w:rPr>
              <w:br/>
            </w:r>
            <w:r>
              <w:rPr>
                <w:b/>
                <w:noProof/>
                <w:sz w:val="18"/>
              </w:rPr>
              <w:t>N+1</w:t>
            </w:r>
          </w:p>
        </w:tc>
        <w:tc>
          <w:tcPr>
            <w:tcW w:w="900" w:type="dxa"/>
            <w:vAlign w:val="center"/>
          </w:tcPr>
          <w:p>
            <w:pPr>
              <w:jc w:val="center"/>
              <w:rPr>
                <w:noProof/>
                <w:sz w:val="18"/>
              </w:rPr>
            </w:pPr>
            <w:r>
              <w:rPr>
                <w:noProof/>
                <w:sz w:val="18"/>
              </w:rPr>
              <w:t>Année</w:t>
            </w:r>
            <w:r>
              <w:rPr>
                <w:noProof/>
                <w:sz w:val="22"/>
              </w:rPr>
              <w:br/>
            </w:r>
            <w:r>
              <w:rPr>
                <w:b/>
                <w:noProof/>
                <w:sz w:val="18"/>
              </w:rPr>
              <w:t>N+2</w:t>
            </w:r>
          </w:p>
        </w:tc>
        <w:tc>
          <w:tcPr>
            <w:tcW w:w="1080" w:type="dxa"/>
            <w:vAlign w:val="center"/>
          </w:tcPr>
          <w:p>
            <w:pPr>
              <w:jc w:val="center"/>
              <w:rPr>
                <w:noProof/>
                <w:sz w:val="18"/>
              </w:rPr>
            </w:pPr>
            <w:r>
              <w:rPr>
                <w:noProof/>
                <w:sz w:val="18"/>
              </w:rPr>
              <w:t>Année</w:t>
            </w:r>
            <w:r>
              <w:rPr>
                <w:noProof/>
                <w:sz w:val="22"/>
              </w:rPr>
              <w:br/>
            </w:r>
            <w:r>
              <w:rPr>
                <w:b/>
                <w:noProof/>
                <w:sz w:val="18"/>
              </w:rPr>
              <w:t>N+3</w:t>
            </w:r>
          </w:p>
        </w:tc>
        <w:tc>
          <w:tcPr>
            <w:tcW w:w="3240" w:type="dxa"/>
            <w:gridSpan w:val="3"/>
            <w:vAlign w:val="center"/>
          </w:tcPr>
          <w:p>
            <w:pPr>
              <w:jc w:val="center"/>
              <w:rPr>
                <w:b/>
                <w:noProof/>
                <w:sz w:val="18"/>
              </w:rPr>
            </w:pPr>
            <w:r>
              <w:rPr>
                <w:noProof/>
                <w:sz w:val="18"/>
              </w:rPr>
              <w:t>Insérer autant d'années que nécessaire, pour refléter la durée de l’incidence (cf. point 1.6)</w:t>
            </w:r>
          </w:p>
        </w:tc>
      </w:tr>
      <w:tr>
        <w:trPr>
          <w:trHeight w:val="388"/>
        </w:trPr>
        <w:tc>
          <w:tcPr>
            <w:tcW w:w="2144" w:type="dxa"/>
            <w:vAlign w:val="center"/>
          </w:tcPr>
          <w:p>
            <w:pPr>
              <w:spacing w:before="40" w:after="40"/>
              <w:rPr>
                <w:noProof/>
                <w:sz w:val="18"/>
              </w:rPr>
            </w:pPr>
            <w:r>
              <w:rPr>
                <w:noProof/>
                <w:sz w:val="18"/>
              </w:rPr>
              <w:t>Article ………….</w:t>
            </w:r>
          </w:p>
        </w:tc>
        <w:tc>
          <w:tcPr>
            <w:tcW w:w="1325" w:type="dxa"/>
          </w:tcPr>
          <w:p>
            <w:pPr>
              <w:spacing w:beforeLines="40" w:before="96" w:afterLines="40" w:after="96"/>
              <w:jc w:val="center"/>
              <w:rPr>
                <w:i/>
                <w:noProof/>
                <w:sz w:val="18"/>
              </w:rPr>
            </w:pPr>
          </w:p>
        </w:tc>
        <w:tc>
          <w:tcPr>
            <w:tcW w:w="1031" w:type="dxa"/>
          </w:tcPr>
          <w:p>
            <w:pPr>
              <w:spacing w:beforeLines="40" w:before="96" w:afterLines="40" w:after="96"/>
              <w:jc w:val="center"/>
              <w:rPr>
                <w:noProof/>
                <w:sz w:val="18"/>
              </w:rPr>
            </w:pPr>
          </w:p>
        </w:tc>
        <w:tc>
          <w:tcPr>
            <w:tcW w:w="900" w:type="dxa"/>
          </w:tcPr>
          <w:p>
            <w:pPr>
              <w:spacing w:beforeLines="40" w:before="96" w:afterLines="40" w:after="96"/>
              <w:jc w:val="center"/>
              <w:rPr>
                <w:noProof/>
                <w:sz w:val="18"/>
              </w:rPr>
            </w:pPr>
          </w:p>
        </w:tc>
        <w:tc>
          <w:tcPr>
            <w:tcW w:w="900" w:type="dxa"/>
          </w:tcPr>
          <w:p>
            <w:pPr>
              <w:spacing w:beforeLines="40" w:before="96" w:afterLines="40" w:after="96"/>
              <w:jc w:val="center"/>
              <w:rPr>
                <w:noProof/>
                <w:sz w:val="18"/>
              </w:rPr>
            </w:pPr>
          </w:p>
        </w:tc>
        <w:tc>
          <w:tcPr>
            <w:tcW w:w="1080" w:type="dxa"/>
          </w:tcPr>
          <w:p>
            <w:pPr>
              <w:spacing w:beforeLines="40" w:before="96" w:afterLines="40" w:after="96"/>
              <w:jc w:val="center"/>
              <w:rPr>
                <w:noProof/>
                <w:sz w:val="18"/>
              </w:rPr>
            </w:pPr>
          </w:p>
        </w:tc>
        <w:tc>
          <w:tcPr>
            <w:tcW w:w="1080" w:type="dxa"/>
          </w:tcPr>
          <w:p>
            <w:pPr>
              <w:spacing w:beforeLines="40" w:before="96" w:afterLines="40" w:after="96"/>
              <w:jc w:val="center"/>
              <w:rPr>
                <w:noProof/>
                <w:sz w:val="18"/>
              </w:rPr>
            </w:pPr>
          </w:p>
        </w:tc>
        <w:tc>
          <w:tcPr>
            <w:tcW w:w="1080" w:type="dxa"/>
          </w:tcPr>
          <w:p>
            <w:pPr>
              <w:spacing w:beforeLines="40" w:before="96" w:afterLines="40" w:after="96"/>
              <w:jc w:val="center"/>
              <w:rPr>
                <w:noProof/>
                <w:sz w:val="18"/>
              </w:rPr>
            </w:pPr>
          </w:p>
        </w:tc>
        <w:tc>
          <w:tcPr>
            <w:tcW w:w="1080" w:type="dxa"/>
          </w:tcPr>
          <w:p>
            <w:pPr>
              <w:spacing w:beforeLines="40" w:before="96" w:afterLines="40" w:after="96"/>
              <w:jc w:val="center"/>
              <w:rPr>
                <w:noProof/>
                <w:sz w:val="18"/>
              </w:rPr>
            </w:pPr>
          </w:p>
        </w:tc>
      </w:tr>
    </w:tbl>
    <w:p>
      <w:pPr>
        <w:pStyle w:val="Text1"/>
        <w:rPr>
          <w:noProof/>
          <w:sz w:val="20"/>
        </w:rPr>
      </w:pPr>
      <w:r>
        <w:rPr>
          <w:noProof/>
          <w:sz w:val="20"/>
        </w:rPr>
        <w:t>Pour les recettes affectées, préciser la(les) ligne(s) budgétaire(s) de dépenses concernée(s).</w:t>
      </w:r>
    </w:p>
    <w:p>
      <w:pPr>
        <w:pStyle w:val="Text1"/>
        <w:pBdr>
          <w:top w:val="single" w:sz="4" w:space="1" w:color="auto"/>
          <w:left w:val="single" w:sz="4" w:space="4" w:color="auto"/>
          <w:bottom w:val="single" w:sz="4" w:space="1" w:color="auto"/>
          <w:right w:val="single" w:sz="4" w:space="4" w:color="auto"/>
        </w:pBdr>
        <w:rPr>
          <w:noProof/>
        </w:rPr>
      </w:pPr>
    </w:p>
    <w:p>
      <w:pPr>
        <w:pStyle w:val="Text1"/>
        <w:rPr>
          <w:noProof/>
          <w:sz w:val="20"/>
        </w:rPr>
      </w:pPr>
      <w:r>
        <w:rPr>
          <w:noProof/>
          <w:sz w:val="20"/>
        </w:rPr>
        <w:t>Autres remarques (relatives par exemple à la méthode/formule utilisée pour le calcul de l’incidence sur les recettes ou toute autre information).</w:t>
      </w:r>
    </w:p>
    <w:p>
      <w:pPr>
        <w:pStyle w:val="Text1"/>
        <w:pBdr>
          <w:top w:val="single" w:sz="4" w:space="1" w:color="auto"/>
          <w:left w:val="single" w:sz="4" w:space="4" w:color="auto"/>
          <w:bottom w:val="single" w:sz="4" w:space="1" w:color="auto"/>
          <w:right w:val="single" w:sz="4" w:space="4" w:color="auto"/>
        </w:pBdr>
        <w:rPr>
          <w:noProof/>
        </w:rPr>
      </w:pPr>
    </w:p>
    <w:sect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EUAlbertina">
    <w:altName w:val="EU Albertin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FR</w:t>
    </w:r>
    <w:r>
      <w:rPr>
        <w:rFonts w:ascii="Arial" w:hAnsi="Arial" w:cs="Arial"/>
        <w:b/>
        <w:sz w:val="48"/>
      </w:rPr>
      <w:tab/>
    </w:r>
    <w:r>
      <w:rPr>
        <w:rFonts w:ascii="Arial" w:hAnsi="Arial" w:cs="Arial"/>
        <w:b/>
        <w:sz w:val="48"/>
      </w:rPr>
      <w:tab/>
    </w:r>
    <w:r>
      <w:tab/>
    </w:r>
    <w:r>
      <w:rPr>
        <w:rFonts w:ascii="Arial" w:hAnsi="Arial" w:cs="Arial"/>
        <w:b/>
        <w:sz w:val="48"/>
      </w:rPr>
      <w:t>FR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FR</w:t>
    </w:r>
    <w:r>
      <w:rPr>
        <w:rFonts w:ascii="Arial" w:hAnsi="Arial" w:cs="Arial"/>
        <w:b/>
        <w:sz w:val="48"/>
      </w:rPr>
      <w:tab/>
    </w:r>
    <w:r>
      <w:fldChar w:fldCharType="begin"/>
    </w:r>
    <w:r>
      <w:instrText xml:space="preserve"> PAGE  \* MERGEFORMAT </w:instrText>
    </w:r>
    <w:r>
      <w:fldChar w:fldCharType="separate"/>
    </w:r>
    <w:r>
      <w:rPr>
        <w:noProof/>
      </w:rPr>
      <w:t>10</w:t>
    </w:r>
    <w:r>
      <w:fldChar w:fldCharType="end"/>
    </w:r>
    <w:r>
      <w:tab/>
    </w:r>
    <w:r>
      <w:tab/>
    </w:r>
    <w:r>
      <w:rPr>
        <w:rFonts w:ascii="Arial" w:hAnsi="Arial" w:cs="Arial"/>
        <w:b/>
        <w:sz w:val="48"/>
      </w:rPr>
      <w:t>FR</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rPr>
        <w:rFonts w:ascii="Arial" w:hAnsi="Arial" w:cs="Arial"/>
        <w:b/>
        <w:sz w:val="48"/>
      </w:rPr>
    </w:pPr>
    <w:r>
      <w:rPr>
        <w:rFonts w:ascii="Arial" w:hAnsi="Arial" w:cs="Arial"/>
        <w:b/>
        <w:sz w:val="48"/>
      </w:rPr>
      <w:t>FR</w:t>
    </w:r>
    <w:r>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tab/>
    </w:r>
    <w:r>
      <w:rPr>
        <w:rFonts w:ascii="Arial" w:hAnsi="Arial" w:cs="Arial"/>
        <w:b/>
        <w:sz w:val="48"/>
      </w:rPr>
      <w:t>FR</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FR</w:t>
    </w:r>
    <w:r>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tab/>
    </w:r>
    <w:r>
      <w:rPr>
        <w:rFonts w:ascii="Arial" w:hAnsi="Arial" w:cs="Arial"/>
        <w:b/>
        <w:sz w:val="48"/>
      </w:rPr>
      <w:t>FR</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rPr>
          <w:lang w:val="fr-BE"/>
        </w:rPr>
      </w:pPr>
      <w:r>
        <w:rPr>
          <w:rStyle w:val="FootnoteReference"/>
        </w:rPr>
        <w:footnoteRef/>
      </w:r>
      <w:r>
        <w:rPr>
          <w:lang w:val="fr-BE"/>
        </w:rPr>
        <w:tab/>
        <w:t xml:space="preserve">Ce texte de l’accord de retrait, révisé sous l’angle juridique, a été rendu public le JJ.MM.AAAA et peut être consulté à l’adresse suivante: </w:t>
      </w:r>
      <w:hyperlink r:id="rId1">
        <w:r>
          <w:rPr>
            <w:rStyle w:val="Hyperlink"/>
            <w:lang w:val="fr-BE"/>
          </w:rPr>
          <w:t>https://ec.europa.eu/commission/publications/XXXX_fr</w:t>
        </w:r>
      </w:hyperlink>
      <w:r>
        <w:rPr>
          <w:rStyle w:val="Hyperlink"/>
          <w:lang w:val="fr-BE"/>
        </w:rPr>
        <w:t>.</w:t>
      </w:r>
    </w:p>
  </w:footnote>
  <w:footnote w:id="2">
    <w:p>
      <w:pPr>
        <w:pStyle w:val="FootnoteText"/>
        <w:rPr>
          <w:lang w:val="fr-BE"/>
        </w:rPr>
      </w:pPr>
      <w:r>
        <w:rPr>
          <w:rStyle w:val="FootnoteReference"/>
        </w:rPr>
        <w:footnoteRef/>
      </w:r>
      <w:r>
        <w:rPr>
          <w:lang w:val="fr-BE"/>
        </w:rPr>
        <w:tab/>
      </w:r>
      <w:hyperlink r:id="rId2">
        <w:r>
          <w:rPr>
            <w:rStyle w:val="Hyperlink"/>
            <w:lang w:val="fr-BE"/>
          </w:rPr>
          <w:t>https://www.consilium.europa.eu/media/37100/20181121-cover-political-declaration.pdf</w:t>
        </w:r>
      </w:hyperlink>
      <w:r>
        <w:rPr>
          <w:lang w:val="fr-BE"/>
        </w:rPr>
        <w:t xml:space="preserve"> </w:t>
      </w:r>
    </w:p>
  </w:footnote>
  <w:footnote w:id="3">
    <w:p>
      <w:pPr>
        <w:pStyle w:val="FootnoteText"/>
        <w:rPr>
          <w:szCs w:val="24"/>
          <w:lang w:val="fr-BE"/>
        </w:rPr>
      </w:pPr>
      <w:r>
        <w:rPr>
          <w:rStyle w:val="FootnoteReference"/>
        </w:rPr>
        <w:footnoteRef/>
      </w:r>
      <w:r>
        <w:rPr>
          <w:lang w:val="fr-BE"/>
        </w:rPr>
        <w:tab/>
        <w:t>Tel(le) que visé(e) à l’article 58, paragraphe 2, point a) ou b), du règlement financier.</w:t>
      </w:r>
    </w:p>
  </w:footnote>
  <w:footnote w:id="4">
    <w:p>
      <w:pPr>
        <w:pStyle w:val="FootnoteText"/>
        <w:jc w:val="left"/>
        <w:rPr>
          <w:szCs w:val="24"/>
          <w:lang w:val="fr-BE"/>
        </w:rPr>
      </w:pPr>
      <w:r>
        <w:rPr>
          <w:rStyle w:val="FootnoteReference"/>
        </w:rPr>
        <w:footnoteRef/>
      </w:r>
      <w:r>
        <w:rPr>
          <w:lang w:val="fr-BE"/>
        </w:rPr>
        <w:tab/>
        <w:t xml:space="preserve">Les explications sur les modes de gestion ainsi que les références au règlement financier sont disponibles sur le site BudgWeb: </w:t>
      </w:r>
      <w:hyperlink r:id="rId3">
        <w:r>
          <w:rPr>
            <w:rStyle w:val="Hyperlink"/>
            <w:lang w:val="fr-BE"/>
          </w:rPr>
          <w:t>https://myintracomm.ec.europa.eu/budgweb/FR/man/budgmanag/Pages/budgmanag.aspx</w:t>
        </w:r>
      </w:hyperlink>
      <w:r>
        <w:rPr>
          <w:lang w:val="fr-BE"/>
        </w:rPr>
        <w:t xml:space="preserve"> </w:t>
      </w:r>
    </w:p>
  </w:footnote>
  <w:footnote w:id="5">
    <w:p>
      <w:pPr>
        <w:pStyle w:val="FootnoteText"/>
        <w:rPr>
          <w:szCs w:val="24"/>
          <w:lang w:val="fr-BE"/>
        </w:rPr>
      </w:pPr>
      <w:r>
        <w:rPr>
          <w:rStyle w:val="FootnoteReference"/>
        </w:rPr>
        <w:footnoteRef/>
      </w:r>
      <w:r>
        <w:rPr>
          <w:lang w:val="fr-BE"/>
        </w:rPr>
        <w:tab/>
        <w:t>CD = crédits dissociés / CND = crédits non dissociés.</w:t>
      </w:r>
    </w:p>
  </w:footnote>
  <w:footnote w:id="6">
    <w:p>
      <w:pPr>
        <w:pStyle w:val="FootnoteText"/>
        <w:rPr>
          <w:szCs w:val="24"/>
          <w:lang w:val="fr-BE"/>
        </w:rPr>
      </w:pPr>
      <w:r>
        <w:rPr>
          <w:rStyle w:val="FootnoteReference"/>
        </w:rPr>
        <w:footnoteRef/>
      </w:r>
      <w:r>
        <w:rPr>
          <w:lang w:val="fr-BE"/>
        </w:rPr>
        <w:tab/>
        <w:t xml:space="preserve">AELE: Association européenne de libre-échange. </w:t>
      </w:r>
    </w:p>
  </w:footnote>
  <w:footnote w:id="7">
    <w:p>
      <w:pPr>
        <w:pStyle w:val="FootnoteText"/>
        <w:rPr>
          <w:szCs w:val="24"/>
          <w:lang w:val="fr-BE"/>
        </w:rPr>
      </w:pPr>
      <w:r>
        <w:rPr>
          <w:rStyle w:val="FootnoteReference"/>
        </w:rPr>
        <w:footnoteRef/>
      </w:r>
      <w:r>
        <w:rPr>
          <w:lang w:val="fr-BE"/>
        </w:rPr>
        <w:tab/>
        <w:t>Pays candidats et, le cas échéant, pays candidats potentiels des Balkans occidentaux.</w:t>
      </w:r>
    </w:p>
  </w:footnote>
  <w:footnote w:id="8">
    <w:p>
      <w:pPr>
        <w:pStyle w:val="FootnoteText"/>
        <w:rPr>
          <w:sz w:val="18"/>
          <w:szCs w:val="18"/>
          <w:lang w:val="fr-BE"/>
        </w:rPr>
      </w:pPr>
      <w:r>
        <w:rPr>
          <w:rStyle w:val="FootnoteReference"/>
        </w:rPr>
        <w:footnoteRef/>
      </w:r>
      <w:r>
        <w:rPr>
          <w:lang w:val="fr-BE"/>
        </w:rPr>
        <w:tab/>
      </w:r>
      <w:r>
        <w:rPr>
          <w:sz w:val="18"/>
          <w:lang w:val="fr-BE"/>
        </w:rPr>
        <w:t>L'année N est l'année du début de la mise en œuvre de la proposition/de l’initiative. Veuillez remplacer «N» par la première année de mise en œuvre prévue (par exemple: 2021). Procédez de la même façon pour les années suivantes.</w:t>
      </w:r>
    </w:p>
  </w:footnote>
  <w:footnote w:id="9">
    <w:p>
      <w:pPr>
        <w:pStyle w:val="FootnoteText"/>
        <w:rPr>
          <w:sz w:val="18"/>
          <w:szCs w:val="18"/>
          <w:lang w:val="fr-BE"/>
        </w:rPr>
      </w:pPr>
      <w:r>
        <w:rPr>
          <w:rStyle w:val="FootnoteReference"/>
        </w:rPr>
        <w:footnoteRef/>
      </w:r>
      <w:r>
        <w:rPr>
          <w:lang w:val="fr-BE"/>
        </w:rPr>
        <w:tab/>
      </w:r>
      <w:r>
        <w:rPr>
          <w:sz w:val="18"/>
          <w:lang w:val="fr-BE"/>
        </w:rPr>
        <w:t>Selon la nomenclature budgétaire officielle.</w:t>
      </w:r>
    </w:p>
  </w:footnote>
  <w:footnote w:id="10">
    <w:p>
      <w:pPr>
        <w:pStyle w:val="FootnoteText"/>
        <w:rPr>
          <w:szCs w:val="24"/>
          <w:lang w:val="fr-BE"/>
        </w:rPr>
      </w:pPr>
      <w:r>
        <w:rPr>
          <w:rStyle w:val="FootnoteReference"/>
        </w:rPr>
        <w:footnoteRef/>
      </w:r>
      <w:r>
        <w:rPr>
          <w:lang w:val="fr-BE"/>
        </w:rPr>
        <w:tab/>
      </w:r>
      <w:r>
        <w:rPr>
          <w:sz w:val="18"/>
          <w:lang w:val="fr-BE"/>
        </w:rPr>
        <w:t>Assistance technique et/ou administrative et dépenses d'appui à la mise en œuvre de programmes et/ou d'actions de l'UE (anciennes lignes «BA»), recherche indirecte, recherche directe.</w:t>
      </w:r>
    </w:p>
  </w:footnote>
  <w:footnote w:id="11">
    <w:p>
      <w:pPr>
        <w:pStyle w:val="FootnoteText"/>
        <w:rPr>
          <w:szCs w:val="24"/>
          <w:lang w:val="fr-BE"/>
        </w:rPr>
      </w:pPr>
      <w:r>
        <w:rPr>
          <w:rStyle w:val="FootnoteReference"/>
        </w:rPr>
        <w:footnoteRef/>
      </w:r>
      <w:r>
        <w:rPr>
          <w:lang w:val="fr-BE"/>
        </w:rPr>
        <w:tab/>
      </w:r>
      <w:r>
        <w:rPr>
          <w:sz w:val="18"/>
          <w:lang w:val="fr-BE"/>
        </w:rPr>
        <w:t>L'année N est l'année du début de la mise en œuvre de la proposition/de l’initiative. Veuillez remplacer «N» par la première année de mise en œuvre prévue (par exemple: 2021). Procédez de la même façon pour les années suivantes.</w:t>
      </w:r>
    </w:p>
  </w:footnote>
  <w:footnote w:id="12">
    <w:p>
      <w:pPr>
        <w:pStyle w:val="FootnoteText"/>
        <w:rPr>
          <w:szCs w:val="24"/>
          <w:lang w:val="fr-BE"/>
        </w:rPr>
      </w:pPr>
      <w:r>
        <w:rPr>
          <w:rStyle w:val="FootnoteReference"/>
        </w:rPr>
        <w:footnoteRef/>
      </w:r>
      <w:r>
        <w:rPr>
          <w:lang w:val="fr-BE"/>
        </w:rPr>
        <w:tab/>
        <w:t>Les réalisations se réfèrent aux produits et services qui seront fournis (par exemple: nombre d'échanges d'étudiants financés, nombre de km de routes construites, etc.).</w:t>
      </w:r>
    </w:p>
  </w:footnote>
  <w:footnote w:id="13">
    <w:p>
      <w:pPr>
        <w:pStyle w:val="FootnoteText"/>
        <w:rPr>
          <w:szCs w:val="24"/>
          <w:lang w:val="fr-BE"/>
        </w:rPr>
      </w:pPr>
      <w:r>
        <w:rPr>
          <w:rStyle w:val="FootnoteReference"/>
        </w:rPr>
        <w:footnoteRef/>
      </w:r>
      <w:r>
        <w:rPr>
          <w:lang w:val="fr-BE"/>
        </w:rPr>
        <w:tab/>
        <w:t xml:space="preserve">Tel que décrit dans la partie 1.4.2. «Objectif(s) spécifique(s)…». </w:t>
      </w:r>
    </w:p>
  </w:footnote>
  <w:footnote w:id="14">
    <w:p>
      <w:pPr>
        <w:pStyle w:val="FootnoteText"/>
        <w:rPr>
          <w:sz w:val="18"/>
          <w:szCs w:val="18"/>
          <w:lang w:val="fr-BE"/>
        </w:rPr>
      </w:pPr>
      <w:r>
        <w:rPr>
          <w:rStyle w:val="FootnoteReference"/>
        </w:rPr>
        <w:footnoteRef/>
      </w:r>
      <w:r>
        <w:rPr>
          <w:lang w:val="fr-BE"/>
        </w:rPr>
        <w:tab/>
      </w:r>
      <w:r>
        <w:rPr>
          <w:sz w:val="18"/>
          <w:lang w:val="fr-BE"/>
        </w:rPr>
        <w:t>L'année N est l'année du début de la mise en œuvre de la proposition/de l’initiative. Veuillez remplacer «N» par la première année de mise en œuvre prévue (par exemple: 2021). Procédez de la même façon pour les années suivantes.</w:t>
      </w:r>
    </w:p>
  </w:footnote>
  <w:footnote w:id="15">
    <w:p>
      <w:pPr>
        <w:pStyle w:val="FootnoteText"/>
        <w:rPr>
          <w:szCs w:val="24"/>
          <w:lang w:val="fr-BE"/>
        </w:rPr>
      </w:pPr>
      <w:r>
        <w:rPr>
          <w:rStyle w:val="FootnoteReference"/>
        </w:rPr>
        <w:footnoteRef/>
      </w:r>
      <w:r>
        <w:rPr>
          <w:lang w:val="fr-BE"/>
        </w:rPr>
        <w:tab/>
      </w:r>
      <w:r>
        <w:rPr>
          <w:sz w:val="18"/>
          <w:lang w:val="fr-BE"/>
        </w:rPr>
        <w:t>Assistance technique et/ou administrative et dépenses d’appui à la mise en œuvre de programmes et/ou d’actions de l’UE (anciennes lignes «BA»), recherche indirecte, recherche directe.</w:t>
      </w:r>
    </w:p>
  </w:footnote>
  <w:footnote w:id="16">
    <w:p>
      <w:pPr>
        <w:pStyle w:val="FootnoteText"/>
        <w:rPr>
          <w:szCs w:val="24"/>
          <w:lang w:val="fr-BE"/>
        </w:rPr>
      </w:pPr>
      <w:r>
        <w:rPr>
          <w:rStyle w:val="FootnoteReference"/>
        </w:rPr>
        <w:footnoteRef/>
      </w:r>
      <w:r>
        <w:rPr>
          <w:lang w:val="fr-BE"/>
        </w:rPr>
        <w:tab/>
        <w:t xml:space="preserve">AC = agent contractuel; AL = agent local; END = expert national détaché; INT = intérimaire; JPD = jeune professionnel en délégation. </w:t>
      </w:r>
    </w:p>
  </w:footnote>
  <w:footnote w:id="17">
    <w:p>
      <w:pPr>
        <w:pStyle w:val="FootnoteText"/>
        <w:rPr>
          <w:szCs w:val="24"/>
          <w:lang w:val="fr-BE"/>
        </w:rPr>
      </w:pPr>
      <w:r>
        <w:rPr>
          <w:rStyle w:val="FootnoteReference"/>
        </w:rPr>
        <w:footnoteRef/>
      </w:r>
      <w:r>
        <w:rPr>
          <w:lang w:val="fr-BE"/>
        </w:rPr>
        <w:tab/>
        <w:t>Sous-plafonds de personnel externe financés sur crédits opérationnels (anciennes lignes «BA»).</w:t>
      </w:r>
    </w:p>
  </w:footnote>
  <w:footnote w:id="18">
    <w:p>
      <w:pPr>
        <w:pStyle w:val="FootnoteText"/>
        <w:rPr>
          <w:lang w:val="fr-BE"/>
        </w:rPr>
      </w:pPr>
      <w:r>
        <w:rPr>
          <w:rStyle w:val="FootnoteReference"/>
        </w:rPr>
        <w:footnoteRef/>
      </w:r>
      <w:r>
        <w:rPr>
          <w:lang w:val="fr-BE"/>
        </w:rPr>
        <w:tab/>
        <w:t>L'année N est l'année du début de la mise en œuvre de la proposition/de l’initiative. Veuillez remplacer «N» par la première année de mise en œuvre prévue (par exemple: 2021). Procédez de la même façon pour les années suivantes.</w:t>
      </w:r>
    </w:p>
  </w:footnote>
  <w:footnote w:id="19">
    <w:p>
      <w:pPr>
        <w:pStyle w:val="FootnoteText"/>
        <w:rPr>
          <w:szCs w:val="24"/>
          <w:lang w:val="fr-BE"/>
        </w:rPr>
      </w:pPr>
      <w:r>
        <w:rPr>
          <w:rStyle w:val="FootnoteReference"/>
        </w:rPr>
        <w:footnoteRef/>
      </w:r>
      <w:r>
        <w:rPr>
          <w:lang w:val="fr-BE"/>
        </w:rPr>
        <w:tab/>
        <w:t>En ce qui concerne les ressources propres traditionnelles (droits de douane, cotisations sur le sucre), les montants indiqués doivent être des montants nets, c’est</w:t>
      </w:r>
      <w:r>
        <w:rPr>
          <w:lang w:val="fr-BE"/>
        </w:rPr>
        <w:noBreakHyphen/>
        <w:t>à</w:t>
      </w:r>
      <w:r>
        <w:rPr>
          <w:lang w:val="fr-BE"/>
        </w:rPr>
        <w:noBreakHyphen/>
        <w:t>dire des montants bruts après déduction de 20 % de frais de perception.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F9060242"/>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EE3C176E"/>
    <w:lvl w:ilvl="0">
      <w:start w:val="1"/>
      <w:numFmt w:val="decimal"/>
      <w:pStyle w:val="ListNumber3"/>
      <w:lvlText w:val="%1."/>
      <w:lvlJc w:val="left"/>
      <w:pPr>
        <w:tabs>
          <w:tab w:val="num" w:pos="926"/>
        </w:tabs>
        <w:ind w:left="926" w:hanging="360"/>
      </w:pPr>
    </w:lvl>
  </w:abstractNum>
  <w:abstractNum w:abstractNumId="2">
    <w:nsid w:val="FFFFFF7F"/>
    <w:multiLevelType w:val="singleLevel"/>
    <w:tmpl w:val="0C521130"/>
    <w:lvl w:ilvl="0">
      <w:start w:val="1"/>
      <w:numFmt w:val="decimal"/>
      <w:pStyle w:val="ListNumber2"/>
      <w:lvlText w:val="%1."/>
      <w:lvlJc w:val="left"/>
      <w:pPr>
        <w:tabs>
          <w:tab w:val="num" w:pos="643"/>
        </w:tabs>
        <w:ind w:left="643" w:hanging="360"/>
      </w:pPr>
    </w:lvl>
  </w:abstractNum>
  <w:abstractNum w:abstractNumId="3">
    <w:nsid w:val="FFFFFF81"/>
    <w:multiLevelType w:val="singleLevel"/>
    <w:tmpl w:val="6728FEB8"/>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A3C2DCC0"/>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E5D23680"/>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3AA2EB52"/>
    <w:lvl w:ilvl="0">
      <w:start w:val="1"/>
      <w:numFmt w:val="decimal"/>
      <w:pStyle w:val="ListNumber"/>
      <w:lvlText w:val="%1."/>
      <w:lvlJc w:val="left"/>
      <w:pPr>
        <w:tabs>
          <w:tab w:val="num" w:pos="360"/>
        </w:tabs>
        <w:ind w:left="360" w:hanging="360"/>
      </w:pPr>
    </w:lvl>
  </w:abstractNum>
  <w:abstractNum w:abstractNumId="7">
    <w:nsid w:val="FFFFFF89"/>
    <w:multiLevelType w:val="singleLevel"/>
    <w:tmpl w:val="2EE20F88"/>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062C6A95"/>
    <w:multiLevelType w:val="singleLevel"/>
    <w:tmpl w:val="02BAFA82"/>
    <w:name w:val="List Bullet 1"/>
    <w:lvl w:ilvl="0">
      <w:start w:val="1"/>
      <w:numFmt w:val="bullet"/>
      <w:pStyle w:val="ListBullet1"/>
      <w:lvlText w:val=""/>
      <w:lvlJc w:val="left"/>
      <w:pPr>
        <w:tabs>
          <w:tab w:val="num" w:pos="1134"/>
        </w:tabs>
        <w:ind w:left="1134" w:hanging="283"/>
      </w:pPr>
      <w:rPr>
        <w:rFonts w:ascii="Symbol" w:hAnsi="Symbol" w:hint="default"/>
      </w:rPr>
    </w:lvl>
  </w:abstractNum>
  <w:abstractNum w:abstractNumId="9">
    <w:nsid w:val="128364B0"/>
    <w:multiLevelType w:val="singleLevel"/>
    <w:tmpl w:val="D084FB54"/>
    <w:lvl w:ilvl="0">
      <w:start w:val="1"/>
      <w:numFmt w:val="bullet"/>
      <w:pStyle w:val="ListDash3"/>
      <w:lvlText w:val="–"/>
      <w:lvlJc w:val="left"/>
      <w:pPr>
        <w:tabs>
          <w:tab w:val="num" w:pos="1134"/>
        </w:tabs>
        <w:ind w:left="1134" w:hanging="283"/>
      </w:pPr>
      <w:rPr>
        <w:rFonts w:ascii="Times New Roman" w:hAnsi="Times New Roman"/>
      </w:rPr>
    </w:lvl>
  </w:abstractNum>
  <w:abstractNum w:abstractNumId="10">
    <w:nsid w:val="13E4330B"/>
    <w:multiLevelType w:val="multilevel"/>
    <w:tmpl w:val="875C4416"/>
    <w:name w:val="List Dash 3"/>
    <w:lvl w:ilvl="0">
      <w:start w:val="1"/>
      <w:numFmt w:val="decimal"/>
      <w:pStyle w:val="ListNumber1"/>
      <w:lvlText w:val="(%1)"/>
      <w:lvlJc w:val="left"/>
      <w:pPr>
        <w:tabs>
          <w:tab w:val="num" w:pos="1560"/>
        </w:tabs>
        <w:ind w:left="1560" w:hanging="709"/>
      </w:pPr>
      <w:rPr>
        <w:rFonts w:cs="Times New Roman"/>
      </w:rPr>
    </w:lvl>
    <w:lvl w:ilvl="1">
      <w:start w:val="1"/>
      <w:numFmt w:val="lowerLetter"/>
      <w:pStyle w:val="ListNumber1Level2"/>
      <w:lvlText w:val="(%2)"/>
      <w:lvlJc w:val="left"/>
      <w:pPr>
        <w:tabs>
          <w:tab w:val="num" w:pos="2268"/>
        </w:tabs>
        <w:ind w:left="2268" w:hanging="708"/>
      </w:pPr>
      <w:rPr>
        <w:rFonts w:cs="Times New Roman"/>
      </w:rPr>
    </w:lvl>
    <w:lvl w:ilvl="2">
      <w:start w:val="1"/>
      <w:numFmt w:val="bullet"/>
      <w:pStyle w:val="ListNumber1Level3"/>
      <w:lvlText w:val="–"/>
      <w:lvlJc w:val="left"/>
      <w:pPr>
        <w:tabs>
          <w:tab w:val="num" w:pos="2977"/>
        </w:tabs>
        <w:ind w:left="2977" w:hanging="709"/>
      </w:pPr>
      <w:rPr>
        <w:rFonts w:ascii="Times New Roman" w:hAnsi="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1">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2">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4">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5">
    <w:nsid w:val="2D820C1F"/>
    <w:multiLevelType w:val="singleLevel"/>
    <w:tmpl w:val="7896AADE"/>
    <w:name w:val="List Dash"/>
    <w:lvl w:ilvl="0">
      <w:start w:val="1"/>
      <w:numFmt w:val="bullet"/>
      <w:pStyle w:val="ListDash"/>
      <w:lvlText w:val="–"/>
      <w:lvlJc w:val="left"/>
      <w:pPr>
        <w:tabs>
          <w:tab w:val="num" w:pos="283"/>
        </w:tabs>
        <w:ind w:left="283" w:hanging="283"/>
      </w:pPr>
      <w:rPr>
        <w:rFonts w:ascii="Times New Roman" w:hAnsi="Times New Roman"/>
      </w:rPr>
    </w:lvl>
  </w:abstractNum>
  <w:abstractNum w:abstractNumId="16">
    <w:nsid w:val="31CD398A"/>
    <w:multiLevelType w:val="singleLevel"/>
    <w:tmpl w:val="0276BF00"/>
    <w:lvl w:ilvl="0">
      <w:start w:val="1"/>
      <w:numFmt w:val="bullet"/>
      <w:pStyle w:val="ListDash4"/>
      <w:lvlText w:val="–"/>
      <w:lvlJc w:val="left"/>
      <w:pPr>
        <w:tabs>
          <w:tab w:val="num" w:pos="1134"/>
        </w:tabs>
        <w:ind w:left="1134" w:hanging="283"/>
      </w:pPr>
      <w:rPr>
        <w:rFonts w:ascii="Times New Roman" w:hAnsi="Times New Roman"/>
      </w:rPr>
    </w:lvl>
  </w:abstractNum>
  <w:abstractNum w:abstractNumId="17">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8">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9">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0">
    <w:nsid w:val="489D74ED"/>
    <w:multiLevelType w:val="singleLevel"/>
    <w:tmpl w:val="C2E2F936"/>
    <w:name w:val="List Dash 2"/>
    <w:lvl w:ilvl="0">
      <w:start w:val="1"/>
      <w:numFmt w:val="bullet"/>
      <w:pStyle w:val="ListDash2"/>
      <w:lvlText w:val="–"/>
      <w:lvlJc w:val="left"/>
      <w:pPr>
        <w:tabs>
          <w:tab w:val="num" w:pos="1134"/>
        </w:tabs>
        <w:ind w:left="1134" w:hanging="283"/>
      </w:pPr>
      <w:rPr>
        <w:rFonts w:ascii="Times New Roman" w:hAnsi="Times New Roman"/>
      </w:rPr>
    </w:lvl>
  </w:abstractNum>
  <w:abstractNum w:abstractNumId="21">
    <w:nsid w:val="4D0C058A"/>
    <w:multiLevelType w:val="singleLevel"/>
    <w:tmpl w:val="BAE8D90E"/>
    <w:name w:val="List Dash 1"/>
    <w:lvl w:ilvl="0">
      <w:start w:val="1"/>
      <w:numFmt w:val="bullet"/>
      <w:pStyle w:val="ListDash1"/>
      <w:lvlText w:val="–"/>
      <w:lvlJc w:val="left"/>
      <w:pPr>
        <w:tabs>
          <w:tab w:val="num" w:pos="1134"/>
        </w:tabs>
        <w:ind w:left="1134" w:hanging="283"/>
      </w:pPr>
      <w:rPr>
        <w:rFonts w:ascii="Times New Roman" w:hAnsi="Times New Roman"/>
      </w:rPr>
    </w:lvl>
  </w:abstractNum>
  <w:abstractNum w:abstractNumId="22">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3">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4">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5">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6">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8">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19"/>
    <w:lvlOverride w:ilvl="0">
      <w:startOverride w:val="1"/>
    </w:lvlOverride>
  </w:num>
  <w:num w:numId="10">
    <w:abstractNumId w:val="8"/>
  </w:num>
  <w:num w:numId="11">
    <w:abstractNumId w:val="15"/>
  </w:num>
  <w:num w:numId="12">
    <w:abstractNumId w:val="21"/>
  </w:num>
  <w:num w:numId="13">
    <w:abstractNumId w:val="20"/>
  </w:num>
  <w:num w:numId="1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8"/>
    <w:lvlOverride w:ilvl="0">
      <w:startOverride w:val="1"/>
    </w:lvlOverride>
  </w:num>
  <w:num w:numId="17">
    <w:abstractNumId w:val="9"/>
  </w:num>
  <w:num w:numId="18">
    <w:abstractNumId w:val="16"/>
  </w:num>
  <w:num w:numId="19">
    <w:abstractNumId w:val="10"/>
  </w:num>
  <w:num w:numId="20">
    <w:abstractNumId w:val="11"/>
  </w:num>
  <w:num w:numId="21">
    <w:abstractNumId w:val="19"/>
  </w:num>
  <w:num w:numId="22">
    <w:abstractNumId w:val="28"/>
  </w:num>
  <w:num w:numId="23">
    <w:abstractNumId w:val="25"/>
  </w:num>
  <w:num w:numId="24">
    <w:abstractNumId w:val="17"/>
  </w:num>
  <w:num w:numId="25">
    <w:abstractNumId w:val="27"/>
  </w:num>
  <w:num w:numId="26">
    <w:abstractNumId w:val="14"/>
  </w:num>
  <w:num w:numId="27">
    <w:abstractNumId w:val="18"/>
  </w:num>
  <w:num w:numId="28">
    <w:abstractNumId w:val="12"/>
  </w:num>
  <w:num w:numId="29">
    <w:abstractNumId w:val="26"/>
  </w:num>
  <w:num w:numId="30">
    <w:abstractNumId w:val="11"/>
  </w:num>
  <w:num w:numId="31">
    <w:abstractNumId w:val="19"/>
  </w:num>
  <w:num w:numId="32">
    <w:abstractNumId w:val="23"/>
  </w:num>
  <w:num w:numId="33">
    <w:abstractNumId w:val="24"/>
  </w:num>
  <w:num w:numId="34">
    <w:abstractNumId w:val="13"/>
  </w:num>
  <w:num w:numId="35">
    <w:abstractNumId w:val="22"/>
  </w:num>
  <w:num w:numId="36">
    <w:abstractNumId w:val="28"/>
  </w:num>
  <w:num w:numId="37">
    <w:abstractNumId w:val="25"/>
  </w:num>
  <w:num w:numId="38">
    <w:abstractNumId w:val="17"/>
  </w:num>
  <w:num w:numId="39">
    <w:abstractNumId w:val="27"/>
  </w:num>
  <w:num w:numId="40">
    <w:abstractNumId w:val="14"/>
  </w:num>
  <w:num w:numId="41">
    <w:abstractNumId w:val="18"/>
  </w:num>
  <w:num w:numId="42">
    <w:abstractNumId w:val="12"/>
  </w:num>
  <w:num w:numId="43">
    <w:abstractNumId w:val="26"/>
  </w:num>
  <w:num w:numId="44">
    <w:abstractNumId w:val="11"/>
  </w:num>
  <w:num w:numId="45">
    <w:abstractNumId w:val="19"/>
  </w:num>
  <w:num w:numId="46">
    <w:abstractNumId w:val="23"/>
  </w:num>
  <w:num w:numId="47">
    <w:abstractNumId w:val="24"/>
  </w:num>
  <w:num w:numId="48">
    <w:abstractNumId w:val="13"/>
  </w:num>
  <w:num w:numId="49">
    <w:abstractNumId w:val="22"/>
  </w:num>
  <w:num w:numId="50">
    <w:abstractNumId w:val="28"/>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hideSpellingErrors/>
  <w:hideGrammaticalErrors/>
  <w:attachedTemplate r:id="rId1"/>
  <w:revisionView w:markup="0"/>
  <w:defaultTabStop w:val="720"/>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QCDateTime" w:val="2018-12-06 12:19:00"/>
    <w:docVar w:name="DQCResult_Distribution" w:val="0;1"/>
    <w:docVar w:name="DQCResult_DocumentContent" w:val="0;0"/>
    <w:docVar w:name="DQCResult_DocumentSize" w:val="0;0"/>
    <w:docVar w:name="DQCResult_DocumentVersions" w:val="0;0"/>
    <w:docVar w:name="DQCResult_InvalidFootnotes" w:val="0;0"/>
    <w:docVar w:name="DQCResult_LinkedStyles" w:val="0;0"/>
    <w:docVar w:name="DQCResult_ModifiedMargins" w:val="0;10"/>
    <w:docVar w:name="DQCResult_ModifiedMarkers" w:val="0;0"/>
    <w:docVar w:name="DQCResult_ModifiedNumbering" w:val="0;0"/>
    <w:docVar w:name="DQCResult_Objects" w:val="0;0"/>
    <w:docVar w:name="DQCResult_Sections" w:val="0;0"/>
    <w:docVar w:name="DQCResult_StructureCheck" w:val="0;0"/>
    <w:docVar w:name="DQCResult_SuperfluousWhitespace" w:val="0;17"/>
    <w:docVar w:name="DQCResult_UnknownFonts" w:val="0;0"/>
    <w:docVar w:name="DQCResult_UnknownStyles" w:val="0;0"/>
    <w:docVar w:name="DQCStatus" w:val="Green"/>
    <w:docVar w:name="DQCVersion" w:val="3"/>
    <w:docVar w:name="DQCWithWarnings" w:val="0"/>
    <w:docVar w:name="LW_CORRIGENDUM" w:val="&lt;UNUSED&gt;"/>
    <w:docVar w:name="LW_COVERPAGE_EXISTS" w:val="True"/>
    <w:docVar w:name="LW_COVERPAGE_GUID" w:val="EF0C0B60-C01C-4651-9DFB-47D04AB0A725"/>
    <w:docVar w:name="LW_COVERPAGE_TYPE" w:val="1"/>
    <w:docVar w:name="LW_CROSSREFERENCE" w:val="&lt;UNUSED&gt;"/>
    <w:docVar w:name="LW_DocType" w:val="COM"/>
    <w:docVar w:name="LW_EMISSION" w:val="5.12.2018"/>
    <w:docVar w:name="LW_EMISSION_ISODATE" w:val="2018-12-05"/>
    <w:docVar w:name="LW_EMISSION_LOCATION" w:val="BRX"/>
    <w:docVar w:name="LW_EMISSION_PREFIX" w:val="Bruxelles, le "/>
    <w:docVar w:name="LW_EMISSION_SUFFIX" w:val="&lt;EMPTY&gt;"/>
    <w:docVar w:name="LW_ID_DOCMODEL" w:val="SJ-019"/>
    <w:docVar w:name="LW_ID_DOCSIGNATURE" w:val="SJ-019"/>
    <w:docVar w:name="LW_ID_DOCSTRUCTURE" w:val="COM/PL/ORG"/>
    <w:docVar w:name="LW_ID_DOCTYPE" w:val="SJ-019"/>
    <w:docVar w:name="LW_ID_EXP.MOTIFS.NEW" w:val="EM_PL_"/>
    <w:docVar w:name="LW_ID_STATUT" w:val="SJ-019"/>
    <w:docVar w:name="LW_INTERETEEE.CP" w:val="(Texte présentant de l'intérêt pour l'EEE)"/>
    <w:docVar w:name="LW_LANGUE" w:val="FR"/>
    <w:docVar w:name="LW_LEVEL_OF_SENSITIVITY" w:val="Standard treatment"/>
    <w:docVar w:name="LW_NOM.INST" w:val="COMMISSION EUROPÉENNE"/>
    <w:docVar w:name="LW_NOM.INST_JOINTDOC" w:val="&lt;EMPTY&gt;"/>
    <w:docVar w:name="LW_PART_NBR" w:val="1"/>
    <w:docVar w:name="LW_PART_NBR_TOTAL" w:val="1"/>
    <w:docVar w:name="LW_REF.II.NEW.CP" w:val="NLE"/>
    <w:docVar w:name="LW_REF.II.NEW.CP_NUMBER" w:val="0426"/>
    <w:docVar w:name="LW_REF.II.NEW.CP_YEAR" w:val="2018"/>
    <w:docVar w:name="LW_REF.INST.NEW" w:val="COM"/>
    <w:docVar w:name="LW_REF.INST.NEW_ADOPTED" w:val="final"/>
    <w:docVar w:name="LW_REF.INST.NEW_TEXT" w:val="(2018) 833"/>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TATUT.CP" w:val="Proposition de"/>
    <w:docVar w:name="LW_SUPERTITRE" w:val="&lt;UNUSED&gt;"/>
    <w:docVar w:name="LW_TITRE.OBJ.CP" w:val="relative à la signature, au nom de l\u8217?Union européenne et de la Communauté européenne de l\u8217?énergie atomique, de l'accord sur le retrait du Royaume-Uni de Grande-Bretagne et d'Irlande du Nord de l'Union européenne et de la Communauté européenne de l'énergie atomique"/>
    <w:docVar w:name="LW_TYPE.DOC.CP" w:val="DÉCISION DU CONSEIL"/>
  </w:docVar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table of figures" w:uiPriority="0"/>
    <w:lsdException w:name="annotation reference" w:uiPriority="0"/>
    <w:lsdException w:name="page number"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fr-FR"/>
    </w:rPr>
  </w:style>
  <w:style w:type="paragraph" w:styleId="Heading1">
    <w:name w:val="heading 1"/>
    <w:basedOn w:val="Normal"/>
    <w:next w:val="Text1"/>
    <w:link w:val="Heading1Char"/>
    <w:uiPriority w:val="9"/>
    <w:qFormat/>
    <w:pPr>
      <w:keepNext/>
      <w:numPr>
        <w:numId w:val="43"/>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43"/>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43"/>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43"/>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nhideWhenUsed/>
    <w:qFormat/>
    <w:pPr>
      <w:spacing w:before="0" w:after="200"/>
    </w:pPr>
    <w:rPr>
      <w:b/>
      <w:bCs/>
      <w:color w:val="4F81BD" w:themeColor="accent1"/>
      <w:sz w:val="18"/>
      <w:szCs w:val="18"/>
    </w:rPr>
  </w:style>
  <w:style w:type="paragraph" w:styleId="TableofFigures">
    <w:name w:val="table of figures"/>
    <w:basedOn w:val="Normal"/>
    <w:next w:val="Normal"/>
    <w:unhideWhenUsed/>
    <w:pPr>
      <w:spacing w:after="0"/>
    </w:pPr>
  </w:style>
  <w:style w:type="paragraph" w:styleId="ListBullet">
    <w:name w:val="List Bullet"/>
    <w:basedOn w:val="Normal"/>
    <w:unhideWhenUsed/>
    <w:pPr>
      <w:numPr>
        <w:numId w:val="1"/>
      </w:numPr>
      <w:contextualSpacing/>
    </w:pPr>
  </w:style>
  <w:style w:type="paragraph" w:styleId="ListBullet2">
    <w:name w:val="List Bullet 2"/>
    <w:basedOn w:val="Normal"/>
    <w:unhideWhenUsed/>
    <w:pPr>
      <w:numPr>
        <w:numId w:val="2"/>
      </w:numPr>
      <w:contextualSpacing/>
    </w:pPr>
  </w:style>
  <w:style w:type="paragraph" w:styleId="ListBullet3">
    <w:name w:val="List Bullet 3"/>
    <w:basedOn w:val="Normal"/>
    <w:unhideWhenUsed/>
    <w:pPr>
      <w:numPr>
        <w:numId w:val="3"/>
      </w:numPr>
      <w:contextualSpacing/>
    </w:pPr>
  </w:style>
  <w:style w:type="paragraph" w:styleId="ListBullet4">
    <w:name w:val="List Bullet 4"/>
    <w:basedOn w:val="Normal"/>
    <w:unhideWhenUsed/>
    <w:pPr>
      <w:numPr>
        <w:numId w:val="4"/>
      </w:numPr>
      <w:contextualSpacing/>
    </w:pPr>
  </w:style>
  <w:style w:type="paragraph" w:styleId="ListNumber">
    <w:name w:val="List Number"/>
    <w:basedOn w:val="Normal"/>
    <w:unhideWhenUsed/>
    <w:pPr>
      <w:numPr>
        <w:numId w:val="5"/>
      </w:numPr>
      <w:contextualSpacing/>
    </w:pPr>
  </w:style>
  <w:style w:type="paragraph" w:styleId="ListNumber2">
    <w:name w:val="List Number 2"/>
    <w:basedOn w:val="Normal"/>
    <w:unhideWhenUsed/>
    <w:pPr>
      <w:numPr>
        <w:numId w:val="6"/>
      </w:numPr>
      <w:contextualSpacing/>
    </w:pPr>
  </w:style>
  <w:style w:type="paragraph" w:styleId="ListNumber3">
    <w:name w:val="List Number 3"/>
    <w:basedOn w:val="Normal"/>
    <w:unhideWhenUsed/>
    <w:pPr>
      <w:numPr>
        <w:numId w:val="7"/>
      </w:numPr>
      <w:contextualSpacing/>
    </w:pPr>
  </w:style>
  <w:style w:type="paragraph" w:styleId="ListNumber4">
    <w:name w:val="List Number 4"/>
    <w:basedOn w:val="Normal"/>
    <w:unhideWhenUsed/>
    <w:pPr>
      <w:numPr>
        <w:numId w:val="8"/>
      </w:numPr>
      <w:contextualSpacing/>
    </w:pPr>
  </w:style>
  <w:style w:type="character" w:styleId="CommentReference">
    <w:name w:val="annotation reference"/>
    <w:basedOn w:val="DefaultParagraphFont"/>
    <w:unhideWhenUsed/>
    <w:rPr>
      <w:sz w:val="16"/>
      <w:szCs w:val="16"/>
    </w:rPr>
  </w:style>
  <w:style w:type="paragraph" w:styleId="CommentText">
    <w:name w:val="annotation text"/>
    <w:basedOn w:val="Normal"/>
    <w:link w:val="CommentTextChar"/>
    <w:unhideWhenUsed/>
    <w:rPr>
      <w:sz w:val="20"/>
      <w:szCs w:val="20"/>
    </w:rPr>
  </w:style>
  <w:style w:type="character" w:customStyle="1" w:styleId="CommentTextChar">
    <w:name w:val="Comment Text Char"/>
    <w:basedOn w:val="DefaultParagraphFont"/>
    <w:link w:val="CommentText"/>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nhideWhenUsed/>
    <w:rPr>
      <w:b/>
      <w:bCs/>
    </w:rPr>
  </w:style>
  <w:style w:type="character" w:customStyle="1" w:styleId="CommentSubjectChar">
    <w:name w:val="Comment Subject Char"/>
    <w:basedOn w:val="CommentTextChar"/>
    <w:link w:val="CommentSubject"/>
    <w:rPr>
      <w:rFonts w:ascii="Times New Roman" w:hAnsi="Times New Roman" w:cs="Times New Roman"/>
      <w:b/>
      <w:bCs/>
      <w:sz w:val="20"/>
      <w:szCs w:val="20"/>
      <w:lang w:val="en-GB"/>
    </w:rPr>
  </w:style>
  <w:style w:type="character" w:styleId="Hyperlink">
    <w:name w:val="Hyperlink"/>
    <w:basedOn w:val="DefaultParagraphFont"/>
    <w:uiPriority w:val="99"/>
    <w:unhideWhenUsed/>
    <w:rPr>
      <w:color w:val="0000FF" w:themeColor="hyperlink"/>
      <w:u w:val="single"/>
    </w:rPr>
  </w:style>
  <w:style w:type="paragraph" w:styleId="BalloonText">
    <w:name w:val="Balloon Text"/>
    <w:basedOn w:val="Normal"/>
    <w:link w:val="BalloonTextChar"/>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lang w:val="en-GB"/>
    </w:rPr>
  </w:style>
  <w:style w:type="paragraph" w:styleId="ListParagraph">
    <w:name w:val="List Paragraph"/>
    <w:aliases w:val="Listaszerű bekezdés1,List Paragraph à moi,Colorful List - Accent 11,Medium Grid 1 - Accent 21,Listaszeru bekezdés1,Colorful List - Accent 111,Dot pt,F5 List Paragraph,List Paragraph1,No Spacing1,List Paragraph Char Char Char,Bullets"/>
    <w:basedOn w:val="Normal"/>
    <w:link w:val="ListParagraphChar"/>
    <w:uiPriority w:val="34"/>
    <w:qFormat/>
    <w:pPr>
      <w:spacing w:before="0" w:after="200" w:line="276" w:lineRule="auto"/>
      <w:ind w:left="720"/>
      <w:contextualSpacing/>
      <w:jc w:val="left"/>
    </w:pPr>
    <w:rPr>
      <w:rFonts w:asciiTheme="minorHAnsi" w:hAnsiTheme="minorHAnsi" w:cstheme="minorBidi"/>
      <w:sz w:val="22"/>
      <w:lang w:val="es-ES"/>
    </w:rPr>
  </w:style>
  <w:style w:type="paragraph" w:customStyle="1" w:styleId="ListBullet1">
    <w:name w:val="List Bullet 1"/>
    <w:basedOn w:val="Normal"/>
    <w:pPr>
      <w:numPr>
        <w:numId w:val="10"/>
      </w:numPr>
    </w:pPr>
    <w:rPr>
      <w:rFonts w:eastAsia="Times New Roman"/>
      <w:lang w:eastAsia="en-GB"/>
    </w:rPr>
  </w:style>
  <w:style w:type="paragraph" w:customStyle="1" w:styleId="ListDash">
    <w:name w:val="List Dash"/>
    <w:basedOn w:val="Normal"/>
    <w:pPr>
      <w:numPr>
        <w:numId w:val="11"/>
      </w:numPr>
    </w:pPr>
    <w:rPr>
      <w:rFonts w:eastAsia="Times New Roman"/>
      <w:lang w:eastAsia="en-GB"/>
    </w:rPr>
  </w:style>
  <w:style w:type="paragraph" w:customStyle="1" w:styleId="ListDash1">
    <w:name w:val="List Dash 1"/>
    <w:basedOn w:val="Normal"/>
    <w:pPr>
      <w:numPr>
        <w:numId w:val="12"/>
      </w:numPr>
    </w:pPr>
    <w:rPr>
      <w:rFonts w:eastAsia="Times New Roman"/>
      <w:lang w:eastAsia="en-GB"/>
    </w:rPr>
  </w:style>
  <w:style w:type="paragraph" w:customStyle="1" w:styleId="ListDash2">
    <w:name w:val="List Dash 2"/>
    <w:basedOn w:val="Normal"/>
    <w:pPr>
      <w:numPr>
        <w:numId w:val="13"/>
      </w:numPr>
    </w:pPr>
    <w:rPr>
      <w:rFonts w:eastAsia="Times New Roman"/>
      <w:lang w:eastAsia="en-GB"/>
    </w:rPr>
  </w:style>
  <w:style w:type="paragraph" w:customStyle="1" w:styleId="ListNumberLevel2">
    <w:name w:val="List Number (Level 2)"/>
    <w:basedOn w:val="Normal"/>
    <w:pPr>
      <w:tabs>
        <w:tab w:val="num" w:pos="1417"/>
      </w:tabs>
      <w:ind w:left="1417" w:hanging="708"/>
    </w:pPr>
    <w:rPr>
      <w:rFonts w:eastAsia="Times New Roman"/>
      <w:lang w:eastAsia="en-GB"/>
    </w:rPr>
  </w:style>
  <w:style w:type="paragraph" w:customStyle="1" w:styleId="ListNumberLevel3">
    <w:name w:val="List Number (Level 3)"/>
    <w:basedOn w:val="Normal"/>
    <w:pPr>
      <w:tabs>
        <w:tab w:val="num" w:pos="2126"/>
      </w:tabs>
      <w:ind w:left="2126" w:hanging="709"/>
    </w:pPr>
    <w:rPr>
      <w:rFonts w:eastAsia="Times New Roman"/>
      <w:lang w:eastAsia="en-GB"/>
    </w:rPr>
  </w:style>
  <w:style w:type="paragraph" w:customStyle="1" w:styleId="ListNumberLevel4">
    <w:name w:val="List Number (Level 4)"/>
    <w:basedOn w:val="Normal"/>
    <w:pPr>
      <w:tabs>
        <w:tab w:val="num" w:pos="2835"/>
      </w:tabs>
      <w:ind w:left="2835" w:hanging="709"/>
    </w:pPr>
    <w:rPr>
      <w:rFonts w:eastAsia="Times New Roman"/>
      <w:lang w:eastAsia="en-GB"/>
    </w:rPr>
  </w:style>
  <w:style w:type="paragraph" w:customStyle="1" w:styleId="Sous-titreobjet">
    <w:name w:val="Sous-titre objet"/>
    <w:basedOn w:val="Normal"/>
    <w:pPr>
      <w:spacing w:before="0" w:after="0"/>
      <w:jc w:val="center"/>
    </w:pPr>
    <w:rPr>
      <w:rFonts w:eastAsia="Times New Roman"/>
      <w:b/>
      <w:lang w:eastAsia="en-GB"/>
    </w:rPr>
  </w:style>
  <w:style w:type="paragraph" w:customStyle="1" w:styleId="Sous-titreobjetPagedecouverture">
    <w:name w:val="Sous-titre objet (Page de couverture)"/>
    <w:basedOn w:val="Sous-titreobjet"/>
  </w:style>
  <w:style w:type="character" w:styleId="FollowedHyperlink">
    <w:name w:val="FollowedHyperlink"/>
    <w:rPr>
      <w:color w:val="800080"/>
      <w:u w:val="single"/>
    </w:rPr>
  </w:style>
  <w:style w:type="character" w:customStyle="1" w:styleId="ListParagraphChar">
    <w:name w:val="List Paragraph Char"/>
    <w:aliases w:val="Listaszerű bekezdés1 Char,List Paragraph à moi Char,Colorful List - Accent 11 Char,Medium Grid 1 - Accent 21 Char,Listaszeru bekezdés1 Char,Colorful List - Accent 111 Char,Dot pt Char,F5 List Paragraph Char,List Paragraph1 Char"/>
    <w:basedOn w:val="DefaultParagraphFont"/>
    <w:link w:val="ListParagraph"/>
    <w:uiPriority w:val="34"/>
    <w:locked/>
    <w:rPr>
      <w:lang w:val="es-ES"/>
    </w:rPr>
  </w:style>
  <w:style w:type="paragraph" w:styleId="NormalWeb">
    <w:name w:val="Normal (Web)"/>
    <w:basedOn w:val="Normal"/>
    <w:uiPriority w:val="99"/>
    <w:semiHidden/>
    <w:unhideWhenUsed/>
    <w:pPr>
      <w:spacing w:before="100" w:beforeAutospacing="1" w:after="100" w:afterAutospacing="1"/>
      <w:jc w:val="left"/>
    </w:pPr>
    <w:rPr>
      <w:rFonts w:eastAsia="Times New Roman"/>
      <w:szCs w:val="24"/>
      <w:lang w:eastAsia="en-GB"/>
    </w:rPr>
  </w:style>
  <w:style w:type="character" w:styleId="Emphasis">
    <w:name w:val="Emphasis"/>
    <w:basedOn w:val="DefaultParagraphFont"/>
    <w:uiPriority w:val="20"/>
    <w:qFormat/>
    <w:rPr>
      <w:i/>
      <w:iCs/>
    </w:rPr>
  </w:style>
  <w:style w:type="paragraph" w:styleId="Revision">
    <w:name w:val="Revision"/>
    <w:hidden/>
    <w:uiPriority w:val="99"/>
    <w:semiHidden/>
    <w:pPr>
      <w:spacing w:after="0" w:line="240" w:lineRule="auto"/>
    </w:pPr>
    <w:rPr>
      <w:rFonts w:ascii="Times New Roman" w:hAnsi="Times New Roman" w:cs="Times New Roman"/>
      <w:sz w:val="24"/>
      <w:lang w:val="en-GB"/>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style>
  <w:style w:type="character" w:customStyle="1" w:styleId="FooterCoverPageChar">
    <w:name w:val="Footer Cover Page Char"/>
    <w:basedOn w:val="DefaultParagraphFont"/>
    <w:link w:val="FooterCoverPage"/>
    <w:rPr>
      <w:rFonts w:ascii="Times New Roman" w:hAnsi="Times New Roman" w:cs="Times New Roman"/>
      <w:sz w:val="24"/>
      <w:lang w:val="en-GB"/>
    </w:rPr>
  </w:style>
  <w:style w:type="character" w:customStyle="1" w:styleId="FooterSensitivityChar">
    <w:name w:val="Footer Sensitivity Char"/>
    <w:basedOn w:val="DefaultParagraphFont"/>
    <w:rPr>
      <w:rFonts w:ascii="Times New Roman" w:hAnsi="Times New Roman" w:cs="Times New Roman"/>
      <w:b/>
      <w:sz w:val="32"/>
      <w:lang w:val="en-GB"/>
    </w:rPr>
  </w:style>
  <w:style w:type="paragraph" w:customStyle="1" w:styleId="HeaderCoverPage">
    <w:name w:val="Header Cover Page"/>
    <w:basedOn w:val="Normal"/>
    <w:link w:val="HeaderCoverPageChar"/>
    <w:pPr>
      <w:tabs>
        <w:tab w:val="center" w:pos="4535"/>
        <w:tab w:val="right" w:pos="9071"/>
      </w:tabs>
      <w:spacing w:before="0"/>
    </w:pPr>
  </w:style>
  <w:style w:type="character" w:customStyle="1" w:styleId="HeaderCoverPageChar">
    <w:name w:val="Header Cover Page Char"/>
    <w:basedOn w:val="DefaultParagraphFont"/>
    <w:link w:val="HeaderCoverPage"/>
    <w:rPr>
      <w:rFonts w:ascii="Times New Roman" w:hAnsi="Times New Roman" w:cs="Times New Roman"/>
      <w:sz w:val="24"/>
      <w:lang w:val="en-GB"/>
    </w:rPr>
  </w:style>
  <w:style w:type="character" w:customStyle="1" w:styleId="HeaderSensitivityChar">
    <w:name w:val="Header Sensitivity Char"/>
    <w:basedOn w:val="DefaultParagraphFont"/>
    <w:rPr>
      <w:rFonts w:ascii="Times New Roman" w:hAnsi="Times New Roman" w:cs="Times New Roman"/>
      <w:b/>
      <w:sz w:val="32"/>
      <w:lang w:val="en-GB"/>
    </w:rPr>
  </w:style>
  <w:style w:type="table" w:styleId="TableGrid">
    <w:name w:val="Table Grid"/>
    <w:basedOn w:val="TableNormal"/>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e">
    <w:name w:val="Paragraphe"/>
    <w:basedOn w:val="Titrearticle"/>
    <w:rPr>
      <w:lang w:val="en-US" w:eastAsia="fr-BE"/>
    </w:rPr>
  </w:style>
  <w:style w:type="paragraph" w:customStyle="1" w:styleId="ListDash3">
    <w:name w:val="List Dash 3"/>
    <w:basedOn w:val="Normal"/>
    <w:pPr>
      <w:numPr>
        <w:numId w:val="17"/>
      </w:numPr>
    </w:pPr>
    <w:rPr>
      <w:rFonts w:eastAsia="Times New Roman"/>
      <w:lang w:eastAsia="en-GB"/>
    </w:rPr>
  </w:style>
  <w:style w:type="paragraph" w:customStyle="1" w:styleId="ListDash4">
    <w:name w:val="List Dash 4"/>
    <w:basedOn w:val="Normal"/>
    <w:pPr>
      <w:numPr>
        <w:numId w:val="18"/>
      </w:numPr>
    </w:pPr>
    <w:rPr>
      <w:rFonts w:eastAsia="Times New Roman"/>
      <w:lang w:eastAsia="en-GB"/>
    </w:rPr>
  </w:style>
  <w:style w:type="paragraph" w:customStyle="1" w:styleId="ListNumber1">
    <w:name w:val="List Number 1"/>
    <w:basedOn w:val="Text1"/>
    <w:pPr>
      <w:numPr>
        <w:numId w:val="19"/>
      </w:numPr>
    </w:pPr>
    <w:rPr>
      <w:rFonts w:eastAsia="Times New Roman"/>
      <w:lang w:eastAsia="en-GB"/>
    </w:rPr>
  </w:style>
  <w:style w:type="paragraph" w:customStyle="1" w:styleId="ListNumber1Level2">
    <w:name w:val="List Number 1 (Level 2)"/>
    <w:basedOn w:val="Text1"/>
    <w:pPr>
      <w:numPr>
        <w:ilvl w:val="1"/>
        <w:numId w:val="19"/>
      </w:numPr>
    </w:pPr>
    <w:rPr>
      <w:rFonts w:eastAsia="Times New Roman"/>
      <w:lang w:eastAsia="en-GB"/>
    </w:rPr>
  </w:style>
  <w:style w:type="paragraph" w:customStyle="1" w:styleId="ListNumber2Level2">
    <w:name w:val="List Number 2 (Level 2)"/>
    <w:basedOn w:val="Text2"/>
    <w:pPr>
      <w:tabs>
        <w:tab w:val="num" w:pos="2268"/>
      </w:tabs>
      <w:ind w:left="2268" w:hanging="708"/>
    </w:pPr>
    <w:rPr>
      <w:rFonts w:eastAsia="Times New Roman"/>
      <w:lang w:eastAsia="en-GB"/>
    </w:rPr>
  </w:style>
  <w:style w:type="paragraph" w:customStyle="1" w:styleId="ListNumber3Level2">
    <w:name w:val="List Number 3 (Level 2)"/>
    <w:basedOn w:val="Text3"/>
    <w:pPr>
      <w:tabs>
        <w:tab w:val="num" w:pos="2268"/>
      </w:tabs>
      <w:ind w:left="2268" w:hanging="708"/>
    </w:pPr>
    <w:rPr>
      <w:rFonts w:eastAsia="Times New Roman"/>
      <w:lang w:eastAsia="en-GB"/>
    </w:rPr>
  </w:style>
  <w:style w:type="paragraph" w:customStyle="1" w:styleId="ListNumber4Level2">
    <w:name w:val="List Number 4 (Level 2)"/>
    <w:basedOn w:val="Text4"/>
    <w:pPr>
      <w:tabs>
        <w:tab w:val="num" w:pos="2268"/>
      </w:tabs>
      <w:ind w:left="2268" w:hanging="708"/>
    </w:pPr>
    <w:rPr>
      <w:rFonts w:eastAsia="Times New Roman"/>
      <w:lang w:eastAsia="en-GB"/>
    </w:rPr>
  </w:style>
  <w:style w:type="paragraph" w:customStyle="1" w:styleId="ListNumber1Level3">
    <w:name w:val="List Number 1 (Level 3)"/>
    <w:basedOn w:val="Text1"/>
    <w:pPr>
      <w:numPr>
        <w:ilvl w:val="2"/>
        <w:numId w:val="19"/>
      </w:numPr>
    </w:pPr>
    <w:rPr>
      <w:rFonts w:eastAsia="Times New Roman"/>
      <w:lang w:eastAsia="en-GB"/>
    </w:rPr>
  </w:style>
  <w:style w:type="paragraph" w:customStyle="1" w:styleId="ListNumber2Level3">
    <w:name w:val="List Number 2 (Level 3)"/>
    <w:basedOn w:val="Text2"/>
    <w:pPr>
      <w:tabs>
        <w:tab w:val="num" w:pos="2977"/>
      </w:tabs>
      <w:ind w:left="2977" w:hanging="709"/>
    </w:pPr>
    <w:rPr>
      <w:rFonts w:eastAsia="Times New Roman"/>
      <w:lang w:eastAsia="en-GB"/>
    </w:rPr>
  </w:style>
  <w:style w:type="paragraph" w:customStyle="1" w:styleId="ListNumber3Level3">
    <w:name w:val="List Number 3 (Level 3)"/>
    <w:basedOn w:val="Text3"/>
    <w:pPr>
      <w:tabs>
        <w:tab w:val="num" w:pos="2977"/>
      </w:tabs>
      <w:ind w:left="2977" w:hanging="709"/>
    </w:pPr>
    <w:rPr>
      <w:rFonts w:eastAsia="Times New Roman"/>
      <w:lang w:eastAsia="en-GB"/>
    </w:rPr>
  </w:style>
  <w:style w:type="paragraph" w:customStyle="1" w:styleId="ListNumber4Level3">
    <w:name w:val="List Number 4 (Level 3)"/>
    <w:basedOn w:val="Text4"/>
    <w:pPr>
      <w:tabs>
        <w:tab w:val="num" w:pos="2977"/>
      </w:tabs>
      <w:ind w:left="2977" w:hanging="709"/>
    </w:pPr>
    <w:rPr>
      <w:rFonts w:eastAsia="Times New Roman"/>
      <w:lang w:eastAsia="en-GB"/>
    </w:rPr>
  </w:style>
  <w:style w:type="paragraph" w:customStyle="1" w:styleId="ListNumber1Level4">
    <w:name w:val="List Number 1 (Level 4)"/>
    <w:basedOn w:val="Text1"/>
    <w:pPr>
      <w:numPr>
        <w:ilvl w:val="3"/>
        <w:numId w:val="19"/>
      </w:numPr>
    </w:pPr>
    <w:rPr>
      <w:rFonts w:eastAsia="Times New Roman"/>
      <w:lang w:eastAsia="en-GB"/>
    </w:rPr>
  </w:style>
  <w:style w:type="paragraph" w:customStyle="1" w:styleId="ListNumber2Level4">
    <w:name w:val="List Number 2 (Level 4)"/>
    <w:basedOn w:val="Text2"/>
    <w:pPr>
      <w:tabs>
        <w:tab w:val="num" w:pos="3686"/>
      </w:tabs>
      <w:ind w:left="3686" w:hanging="709"/>
    </w:pPr>
    <w:rPr>
      <w:rFonts w:eastAsia="Times New Roman"/>
      <w:lang w:eastAsia="en-GB"/>
    </w:rPr>
  </w:style>
  <w:style w:type="paragraph" w:customStyle="1" w:styleId="ListNumber3Level4">
    <w:name w:val="List Number 3 (Level 4)"/>
    <w:basedOn w:val="Text3"/>
    <w:pPr>
      <w:tabs>
        <w:tab w:val="num" w:pos="3686"/>
      </w:tabs>
      <w:ind w:left="3686" w:hanging="709"/>
    </w:pPr>
    <w:rPr>
      <w:rFonts w:eastAsia="Times New Roman"/>
      <w:lang w:eastAsia="en-GB"/>
    </w:rPr>
  </w:style>
  <w:style w:type="paragraph" w:customStyle="1" w:styleId="ListNumber4Level4">
    <w:name w:val="List Number 4 (Level 4)"/>
    <w:basedOn w:val="Text4"/>
    <w:pPr>
      <w:tabs>
        <w:tab w:val="num" w:pos="3686"/>
      </w:tabs>
      <w:ind w:left="3686" w:hanging="709"/>
    </w:pPr>
    <w:rPr>
      <w:rFonts w:eastAsia="Times New Roman"/>
      <w:lang w:eastAsia="en-GB"/>
    </w:rPr>
  </w:style>
  <w:style w:type="paragraph" w:customStyle="1" w:styleId="Annexetitreacte">
    <w:name w:val="Annexe titre (acte)"/>
    <w:basedOn w:val="Normal"/>
    <w:next w:val="Normal"/>
    <w:pPr>
      <w:jc w:val="center"/>
    </w:pPr>
    <w:rPr>
      <w:rFonts w:eastAsia="Times New Roman"/>
      <w:b/>
      <w:u w:val="single"/>
      <w:lang w:eastAsia="en-GB"/>
    </w:rPr>
  </w:style>
  <w:style w:type="paragraph" w:customStyle="1" w:styleId="Annexetitreexposglobal">
    <w:name w:val="Annexe titre (exposé global)"/>
    <w:basedOn w:val="Normal"/>
    <w:next w:val="Normal"/>
    <w:pPr>
      <w:jc w:val="center"/>
    </w:pPr>
    <w:rPr>
      <w:rFonts w:eastAsia="Times New Roman"/>
      <w:b/>
      <w:u w:val="single"/>
      <w:lang w:eastAsia="en-GB"/>
    </w:rPr>
  </w:style>
  <w:style w:type="paragraph" w:customStyle="1" w:styleId="Annexetitrefichefinacte">
    <w:name w:val="Annexe titre (fiche fin. acte)"/>
    <w:basedOn w:val="Normal"/>
    <w:next w:val="Normal"/>
    <w:pPr>
      <w:jc w:val="center"/>
    </w:pPr>
    <w:rPr>
      <w:rFonts w:eastAsia="Times New Roman"/>
      <w:b/>
      <w:u w:val="single"/>
      <w:lang w:eastAsia="en-GB"/>
    </w:rPr>
  </w:style>
  <w:style w:type="paragraph" w:customStyle="1" w:styleId="Annexetitrefichefinglobale">
    <w:name w:val="Annexe titre (fiche fin. globale)"/>
    <w:basedOn w:val="Normal"/>
    <w:next w:val="Normal"/>
    <w:pPr>
      <w:jc w:val="center"/>
    </w:pPr>
    <w:rPr>
      <w:rFonts w:eastAsia="Times New Roman"/>
      <w:b/>
      <w:u w:val="single"/>
      <w:lang w:eastAsia="en-GB"/>
    </w:rPr>
  </w:style>
  <w:style w:type="paragraph" w:customStyle="1" w:styleId="Annexetitreglobale">
    <w:name w:val="Annexe titre (globale)"/>
    <w:basedOn w:val="Normal"/>
    <w:next w:val="Normal"/>
    <w:pPr>
      <w:jc w:val="center"/>
    </w:pPr>
    <w:rPr>
      <w:rFonts w:eastAsia="Times New Roman"/>
      <w:b/>
      <w:u w:val="single"/>
      <w:lang w:eastAsia="en-GB"/>
    </w:rPr>
  </w:style>
  <w:style w:type="paragraph" w:customStyle="1" w:styleId="Exposdesmotifstitreglobal">
    <w:name w:val="Exposé des motifs titre (global)"/>
    <w:basedOn w:val="Normal"/>
    <w:next w:val="Normal"/>
    <w:pPr>
      <w:jc w:val="center"/>
    </w:pPr>
    <w:rPr>
      <w:rFonts w:eastAsia="Times New Roman"/>
      <w:b/>
      <w:u w:val="single"/>
      <w:lang w:eastAsia="en-GB"/>
    </w:rPr>
  </w:style>
  <w:style w:type="paragraph" w:customStyle="1" w:styleId="Langueoriginale">
    <w:name w:val="Langue originale"/>
    <w:basedOn w:val="Normal"/>
    <w:pPr>
      <w:spacing w:before="360"/>
      <w:jc w:val="center"/>
    </w:pPr>
    <w:rPr>
      <w:rFonts w:eastAsia="Times New Roman"/>
      <w:caps/>
      <w:lang w:eastAsia="en-GB"/>
    </w:rPr>
  </w:style>
  <w:style w:type="paragraph" w:customStyle="1" w:styleId="Phrasefinale">
    <w:name w:val="Phrase finale"/>
    <w:basedOn w:val="Normal"/>
    <w:next w:val="Normal"/>
    <w:pPr>
      <w:spacing w:before="360" w:after="0"/>
      <w:jc w:val="center"/>
    </w:pPr>
    <w:rPr>
      <w:rFonts w:eastAsia="Times New Roman"/>
      <w:lang w:eastAsia="en-GB"/>
    </w:rPr>
  </w:style>
  <w:style w:type="paragraph" w:customStyle="1" w:styleId="Prliminairetitre">
    <w:name w:val="Préliminaire titre"/>
    <w:basedOn w:val="Normal"/>
    <w:next w:val="Normal"/>
    <w:pPr>
      <w:spacing w:before="360" w:after="360"/>
      <w:jc w:val="center"/>
    </w:pPr>
    <w:rPr>
      <w:rFonts w:eastAsia="Times New Roman"/>
      <w:b/>
      <w:lang w:eastAsia="en-GB"/>
    </w:rPr>
  </w:style>
  <w:style w:type="paragraph" w:customStyle="1" w:styleId="Prliminairetype">
    <w:name w:val="Préliminaire type"/>
    <w:basedOn w:val="Normal"/>
    <w:next w:val="Normal"/>
    <w:pPr>
      <w:spacing w:before="360" w:after="0"/>
      <w:jc w:val="center"/>
    </w:pPr>
    <w:rPr>
      <w:rFonts w:eastAsia="Times New Roman"/>
      <w:b/>
      <w:lang w:eastAsia="en-GB"/>
    </w:rPr>
  </w:style>
  <w:style w:type="paragraph" w:customStyle="1" w:styleId="Rfrenceinstitutionelle">
    <w:name w:val="Référence institutionelle"/>
    <w:basedOn w:val="Normal"/>
    <w:next w:val="Statut"/>
    <w:pPr>
      <w:spacing w:before="0" w:after="240"/>
      <w:ind w:left="5103"/>
      <w:jc w:val="left"/>
    </w:pPr>
    <w:rPr>
      <w:rFonts w:eastAsia="Times New Roman"/>
      <w:lang w:eastAsia="en-GB"/>
    </w:rPr>
  </w:style>
  <w:style w:type="paragraph" w:customStyle="1" w:styleId="Rfrenceinterinstitutionelle">
    <w:name w:val="Référence interinstitutionelle"/>
    <w:basedOn w:val="Normal"/>
    <w:next w:val="Statut"/>
    <w:pPr>
      <w:spacing w:before="0" w:after="0"/>
      <w:ind w:left="5103"/>
      <w:jc w:val="left"/>
    </w:pPr>
    <w:rPr>
      <w:rFonts w:eastAsia="Times New Roman"/>
      <w:lang w:eastAsia="en-GB"/>
    </w:rPr>
  </w:style>
  <w:style w:type="paragraph" w:customStyle="1" w:styleId="Rfrenceinterinstitutionelleprliminaire">
    <w:name w:val="Référence interinstitutionelle (préliminaire)"/>
    <w:basedOn w:val="Normal"/>
    <w:next w:val="Normal"/>
    <w:pPr>
      <w:spacing w:before="0" w:after="0"/>
      <w:ind w:left="5103"/>
      <w:jc w:val="left"/>
    </w:pPr>
    <w:rPr>
      <w:rFonts w:eastAsia="Times New Roman"/>
      <w:lang w:eastAsia="en-GB"/>
    </w:rPr>
  </w:style>
  <w:style w:type="paragraph" w:customStyle="1" w:styleId="Sous-titreobjetprliminaire">
    <w:name w:val="Sous-titre objet (préliminaire)"/>
    <w:basedOn w:val="Normal"/>
    <w:pPr>
      <w:spacing w:before="0" w:after="0"/>
      <w:jc w:val="center"/>
    </w:pPr>
    <w:rPr>
      <w:rFonts w:eastAsia="Times New Roman"/>
      <w:b/>
      <w:lang w:eastAsia="en-GB"/>
    </w:rPr>
  </w:style>
  <w:style w:type="paragraph" w:customStyle="1" w:styleId="Statutprliminaire">
    <w:name w:val="Statut (préliminaire)"/>
    <w:basedOn w:val="Normal"/>
    <w:next w:val="Normal"/>
    <w:pPr>
      <w:spacing w:before="360" w:after="0"/>
      <w:jc w:val="center"/>
    </w:pPr>
    <w:rPr>
      <w:rFonts w:eastAsia="Times New Roman"/>
      <w:lang w:eastAsia="en-GB"/>
    </w:rPr>
  </w:style>
  <w:style w:type="paragraph" w:customStyle="1" w:styleId="Titreobjetprliminaire">
    <w:name w:val="Titre objet (préliminaire)"/>
    <w:basedOn w:val="Normal"/>
    <w:next w:val="Normal"/>
    <w:pPr>
      <w:spacing w:before="360" w:after="360"/>
      <w:jc w:val="center"/>
    </w:pPr>
    <w:rPr>
      <w:rFonts w:eastAsia="Times New Roman"/>
      <w:b/>
      <w:lang w:eastAsia="en-GB"/>
    </w:rPr>
  </w:style>
  <w:style w:type="paragraph" w:customStyle="1" w:styleId="Typedudocumentprliminaire">
    <w:name w:val="Type du document (préliminaire)"/>
    <w:basedOn w:val="Normal"/>
    <w:next w:val="Normal"/>
    <w:pPr>
      <w:spacing w:before="360" w:after="0"/>
      <w:jc w:val="center"/>
    </w:pPr>
    <w:rPr>
      <w:rFonts w:eastAsia="Times New Roman"/>
      <w:b/>
      <w:lang w:eastAsia="en-GB"/>
    </w:rPr>
  </w:style>
  <w:style w:type="paragraph" w:customStyle="1" w:styleId="Fichefinancirestandardtitre">
    <w:name w:val="Fiche financière (standard) titre"/>
    <w:basedOn w:val="Normal"/>
    <w:next w:val="Normal"/>
    <w:pPr>
      <w:jc w:val="center"/>
    </w:pPr>
    <w:rPr>
      <w:rFonts w:eastAsia="Times New Roman"/>
      <w:b/>
      <w:u w:val="single"/>
      <w:lang w:eastAsia="en-GB"/>
    </w:rPr>
  </w:style>
  <w:style w:type="paragraph" w:customStyle="1" w:styleId="Fichefinancirestandardtitreacte">
    <w:name w:val="Fiche financière (standard) titre (acte)"/>
    <w:basedOn w:val="Normal"/>
    <w:next w:val="Normal"/>
    <w:pPr>
      <w:jc w:val="center"/>
    </w:pPr>
    <w:rPr>
      <w:rFonts w:eastAsia="Times New Roman"/>
      <w:b/>
      <w:u w:val="single"/>
      <w:lang w:eastAsia="en-GB"/>
    </w:rPr>
  </w:style>
  <w:style w:type="paragraph" w:customStyle="1" w:styleId="Fichefinanciretravailtitre">
    <w:name w:val="Fiche financière (travail) titre"/>
    <w:basedOn w:val="Normal"/>
    <w:next w:val="Normal"/>
    <w:pPr>
      <w:jc w:val="center"/>
    </w:pPr>
    <w:rPr>
      <w:rFonts w:eastAsia="Times New Roman"/>
      <w:b/>
      <w:u w:val="single"/>
      <w:lang w:eastAsia="en-GB"/>
    </w:rPr>
  </w:style>
  <w:style w:type="paragraph" w:customStyle="1" w:styleId="Fichefinanciretravailtitreacte">
    <w:name w:val="Fiche financière (travail) titre (acte)"/>
    <w:basedOn w:val="Normal"/>
    <w:next w:val="Normal"/>
    <w:pPr>
      <w:jc w:val="center"/>
    </w:pPr>
    <w:rPr>
      <w:rFonts w:eastAsia="Times New Roman"/>
      <w:b/>
      <w:u w:val="single"/>
      <w:lang w:eastAsia="en-GB"/>
    </w:rPr>
  </w:style>
  <w:style w:type="paragraph" w:customStyle="1" w:styleId="Fichefinancireattributiontitre">
    <w:name w:val="Fiche financière (attribution) titre"/>
    <w:basedOn w:val="Normal"/>
    <w:next w:val="Normal"/>
    <w:pPr>
      <w:jc w:val="center"/>
    </w:pPr>
    <w:rPr>
      <w:rFonts w:eastAsia="Times New Roman"/>
      <w:b/>
      <w:u w:val="single"/>
      <w:lang w:eastAsia="en-GB"/>
    </w:rPr>
  </w:style>
  <w:style w:type="paragraph" w:customStyle="1" w:styleId="Fichefinancireattributiontitreacte">
    <w:name w:val="Fiche financière (attribution) titre (acte)"/>
    <w:basedOn w:val="Normal"/>
    <w:next w:val="Normal"/>
    <w:pPr>
      <w:jc w:val="center"/>
    </w:pPr>
    <w:rPr>
      <w:rFonts w:eastAsia="Times New Roman"/>
      <w:b/>
      <w:u w:val="single"/>
      <w:lang w:eastAsia="en-GB"/>
    </w:rPr>
  </w:style>
  <w:style w:type="character" w:styleId="PageNumber">
    <w:name w:val="page number"/>
  </w:style>
  <w:style w:type="character" w:customStyle="1" w:styleId="tw4winMark">
    <w:name w:val="tw4winMark"/>
    <w:rPr>
      <w:vanish/>
      <w:color w:val="800080"/>
      <w:vertAlign w:val="subscript"/>
    </w:rPr>
  </w:style>
  <w:style w:type="character" w:customStyle="1" w:styleId="TOCHeadingChar">
    <w:name w:val="TOC Heading Char"/>
    <w:uiPriority w:val="39"/>
    <w:rPr>
      <w:rFonts w:ascii="Times New Roman" w:hAnsi="Times New Roman" w:cs="Times New Roman"/>
      <w:b/>
      <w:sz w:val="28"/>
      <w:lang w:val="en-GB"/>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fr-FR"/>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fr-FR"/>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37"/>
      </w:numPr>
    </w:pPr>
  </w:style>
  <w:style w:type="paragraph" w:customStyle="1" w:styleId="Tiret1">
    <w:name w:val="Tiret 1"/>
    <w:basedOn w:val="Point1"/>
    <w:pPr>
      <w:numPr>
        <w:numId w:val="38"/>
      </w:numPr>
    </w:pPr>
  </w:style>
  <w:style w:type="paragraph" w:customStyle="1" w:styleId="Tiret2">
    <w:name w:val="Tiret 2"/>
    <w:basedOn w:val="Point2"/>
    <w:pPr>
      <w:numPr>
        <w:numId w:val="39"/>
      </w:numPr>
    </w:pPr>
  </w:style>
  <w:style w:type="paragraph" w:customStyle="1" w:styleId="Tiret3">
    <w:name w:val="Tiret 3"/>
    <w:basedOn w:val="Point3"/>
    <w:pPr>
      <w:numPr>
        <w:numId w:val="40"/>
      </w:numPr>
    </w:pPr>
  </w:style>
  <w:style w:type="paragraph" w:customStyle="1" w:styleId="Tiret4">
    <w:name w:val="Tiret 4"/>
    <w:basedOn w:val="Point4"/>
    <w:pPr>
      <w:numPr>
        <w:numId w:val="41"/>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42"/>
      </w:numPr>
    </w:pPr>
  </w:style>
  <w:style w:type="paragraph" w:customStyle="1" w:styleId="NumPar2">
    <w:name w:val="NumPar 2"/>
    <w:basedOn w:val="Normal"/>
    <w:next w:val="Text1"/>
    <w:pPr>
      <w:numPr>
        <w:ilvl w:val="1"/>
        <w:numId w:val="42"/>
      </w:numPr>
    </w:pPr>
  </w:style>
  <w:style w:type="paragraph" w:customStyle="1" w:styleId="NumPar3">
    <w:name w:val="NumPar 3"/>
    <w:basedOn w:val="Normal"/>
    <w:next w:val="Text1"/>
    <w:pPr>
      <w:numPr>
        <w:ilvl w:val="2"/>
        <w:numId w:val="42"/>
      </w:numPr>
    </w:pPr>
  </w:style>
  <w:style w:type="paragraph" w:customStyle="1" w:styleId="NumPar4">
    <w:name w:val="NumPar 4"/>
    <w:basedOn w:val="Normal"/>
    <w:next w:val="Text1"/>
    <w:pPr>
      <w:numPr>
        <w:ilvl w:val="3"/>
        <w:numId w:val="42"/>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44"/>
      </w:numPr>
    </w:pPr>
  </w:style>
  <w:style w:type="paragraph" w:customStyle="1" w:styleId="Point1number">
    <w:name w:val="Point 1 (number)"/>
    <w:basedOn w:val="Normal"/>
    <w:pPr>
      <w:numPr>
        <w:ilvl w:val="2"/>
        <w:numId w:val="44"/>
      </w:numPr>
    </w:pPr>
  </w:style>
  <w:style w:type="paragraph" w:customStyle="1" w:styleId="Point2number">
    <w:name w:val="Point 2 (number)"/>
    <w:basedOn w:val="Normal"/>
    <w:pPr>
      <w:numPr>
        <w:ilvl w:val="4"/>
        <w:numId w:val="44"/>
      </w:numPr>
    </w:pPr>
  </w:style>
  <w:style w:type="paragraph" w:customStyle="1" w:styleId="Point3number">
    <w:name w:val="Point 3 (number)"/>
    <w:basedOn w:val="Normal"/>
    <w:pPr>
      <w:numPr>
        <w:ilvl w:val="6"/>
        <w:numId w:val="44"/>
      </w:numPr>
    </w:pPr>
  </w:style>
  <w:style w:type="paragraph" w:customStyle="1" w:styleId="Point0letter">
    <w:name w:val="Point 0 (letter)"/>
    <w:basedOn w:val="Normal"/>
    <w:pPr>
      <w:numPr>
        <w:ilvl w:val="1"/>
        <w:numId w:val="44"/>
      </w:numPr>
    </w:pPr>
  </w:style>
  <w:style w:type="paragraph" w:customStyle="1" w:styleId="Point1letter">
    <w:name w:val="Point 1 (letter)"/>
    <w:basedOn w:val="Normal"/>
    <w:pPr>
      <w:numPr>
        <w:ilvl w:val="3"/>
        <w:numId w:val="44"/>
      </w:numPr>
    </w:pPr>
  </w:style>
  <w:style w:type="paragraph" w:customStyle="1" w:styleId="Point2letter">
    <w:name w:val="Point 2 (letter)"/>
    <w:basedOn w:val="Normal"/>
    <w:pPr>
      <w:numPr>
        <w:ilvl w:val="5"/>
        <w:numId w:val="44"/>
      </w:numPr>
    </w:pPr>
  </w:style>
  <w:style w:type="paragraph" w:customStyle="1" w:styleId="Point3letter">
    <w:name w:val="Point 3 (letter)"/>
    <w:basedOn w:val="Normal"/>
    <w:pPr>
      <w:numPr>
        <w:ilvl w:val="7"/>
        <w:numId w:val="44"/>
      </w:numPr>
    </w:pPr>
  </w:style>
  <w:style w:type="paragraph" w:customStyle="1" w:styleId="Point4letter">
    <w:name w:val="Point 4 (letter)"/>
    <w:basedOn w:val="Normal"/>
    <w:pPr>
      <w:numPr>
        <w:ilvl w:val="8"/>
        <w:numId w:val="44"/>
      </w:numPr>
    </w:pPr>
  </w:style>
  <w:style w:type="paragraph" w:customStyle="1" w:styleId="Bullet0">
    <w:name w:val="Bullet 0"/>
    <w:basedOn w:val="Normal"/>
    <w:pPr>
      <w:numPr>
        <w:numId w:val="45"/>
      </w:numPr>
    </w:pPr>
  </w:style>
  <w:style w:type="paragraph" w:customStyle="1" w:styleId="Bullet1">
    <w:name w:val="Bullet 1"/>
    <w:basedOn w:val="Normal"/>
    <w:pPr>
      <w:numPr>
        <w:numId w:val="46"/>
      </w:numPr>
    </w:pPr>
  </w:style>
  <w:style w:type="paragraph" w:customStyle="1" w:styleId="Bullet2">
    <w:name w:val="Bullet 2"/>
    <w:basedOn w:val="Normal"/>
    <w:pPr>
      <w:numPr>
        <w:numId w:val="47"/>
      </w:numPr>
    </w:pPr>
  </w:style>
  <w:style w:type="paragraph" w:customStyle="1" w:styleId="Bullet3">
    <w:name w:val="Bullet 3"/>
    <w:basedOn w:val="Normal"/>
    <w:pPr>
      <w:numPr>
        <w:numId w:val="48"/>
      </w:numPr>
    </w:pPr>
  </w:style>
  <w:style w:type="paragraph" w:customStyle="1" w:styleId="Bullet4">
    <w:name w:val="Bullet 4"/>
    <w:basedOn w:val="Normal"/>
    <w:pPr>
      <w:numPr>
        <w:numId w:val="49"/>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50"/>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table of figures" w:uiPriority="0"/>
    <w:lsdException w:name="annotation reference" w:uiPriority="0"/>
    <w:lsdException w:name="page number"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fr-FR"/>
    </w:rPr>
  </w:style>
  <w:style w:type="paragraph" w:styleId="Heading1">
    <w:name w:val="heading 1"/>
    <w:basedOn w:val="Normal"/>
    <w:next w:val="Text1"/>
    <w:link w:val="Heading1Char"/>
    <w:uiPriority w:val="9"/>
    <w:qFormat/>
    <w:pPr>
      <w:keepNext/>
      <w:numPr>
        <w:numId w:val="43"/>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43"/>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43"/>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43"/>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nhideWhenUsed/>
    <w:qFormat/>
    <w:pPr>
      <w:spacing w:before="0" w:after="200"/>
    </w:pPr>
    <w:rPr>
      <w:b/>
      <w:bCs/>
      <w:color w:val="4F81BD" w:themeColor="accent1"/>
      <w:sz w:val="18"/>
      <w:szCs w:val="18"/>
    </w:rPr>
  </w:style>
  <w:style w:type="paragraph" w:styleId="TableofFigures">
    <w:name w:val="table of figures"/>
    <w:basedOn w:val="Normal"/>
    <w:next w:val="Normal"/>
    <w:unhideWhenUsed/>
    <w:pPr>
      <w:spacing w:after="0"/>
    </w:pPr>
  </w:style>
  <w:style w:type="paragraph" w:styleId="ListBullet">
    <w:name w:val="List Bullet"/>
    <w:basedOn w:val="Normal"/>
    <w:unhideWhenUsed/>
    <w:pPr>
      <w:numPr>
        <w:numId w:val="1"/>
      </w:numPr>
      <w:contextualSpacing/>
    </w:pPr>
  </w:style>
  <w:style w:type="paragraph" w:styleId="ListBullet2">
    <w:name w:val="List Bullet 2"/>
    <w:basedOn w:val="Normal"/>
    <w:unhideWhenUsed/>
    <w:pPr>
      <w:numPr>
        <w:numId w:val="2"/>
      </w:numPr>
      <w:contextualSpacing/>
    </w:pPr>
  </w:style>
  <w:style w:type="paragraph" w:styleId="ListBullet3">
    <w:name w:val="List Bullet 3"/>
    <w:basedOn w:val="Normal"/>
    <w:unhideWhenUsed/>
    <w:pPr>
      <w:numPr>
        <w:numId w:val="3"/>
      </w:numPr>
      <w:contextualSpacing/>
    </w:pPr>
  </w:style>
  <w:style w:type="paragraph" w:styleId="ListBullet4">
    <w:name w:val="List Bullet 4"/>
    <w:basedOn w:val="Normal"/>
    <w:unhideWhenUsed/>
    <w:pPr>
      <w:numPr>
        <w:numId w:val="4"/>
      </w:numPr>
      <w:contextualSpacing/>
    </w:pPr>
  </w:style>
  <w:style w:type="paragraph" w:styleId="ListNumber">
    <w:name w:val="List Number"/>
    <w:basedOn w:val="Normal"/>
    <w:unhideWhenUsed/>
    <w:pPr>
      <w:numPr>
        <w:numId w:val="5"/>
      </w:numPr>
      <w:contextualSpacing/>
    </w:pPr>
  </w:style>
  <w:style w:type="paragraph" w:styleId="ListNumber2">
    <w:name w:val="List Number 2"/>
    <w:basedOn w:val="Normal"/>
    <w:unhideWhenUsed/>
    <w:pPr>
      <w:numPr>
        <w:numId w:val="6"/>
      </w:numPr>
      <w:contextualSpacing/>
    </w:pPr>
  </w:style>
  <w:style w:type="paragraph" w:styleId="ListNumber3">
    <w:name w:val="List Number 3"/>
    <w:basedOn w:val="Normal"/>
    <w:unhideWhenUsed/>
    <w:pPr>
      <w:numPr>
        <w:numId w:val="7"/>
      </w:numPr>
      <w:contextualSpacing/>
    </w:pPr>
  </w:style>
  <w:style w:type="paragraph" w:styleId="ListNumber4">
    <w:name w:val="List Number 4"/>
    <w:basedOn w:val="Normal"/>
    <w:unhideWhenUsed/>
    <w:pPr>
      <w:numPr>
        <w:numId w:val="8"/>
      </w:numPr>
      <w:contextualSpacing/>
    </w:pPr>
  </w:style>
  <w:style w:type="character" w:styleId="CommentReference">
    <w:name w:val="annotation reference"/>
    <w:basedOn w:val="DefaultParagraphFont"/>
    <w:unhideWhenUsed/>
    <w:rPr>
      <w:sz w:val="16"/>
      <w:szCs w:val="16"/>
    </w:rPr>
  </w:style>
  <w:style w:type="paragraph" w:styleId="CommentText">
    <w:name w:val="annotation text"/>
    <w:basedOn w:val="Normal"/>
    <w:link w:val="CommentTextChar"/>
    <w:unhideWhenUsed/>
    <w:rPr>
      <w:sz w:val="20"/>
      <w:szCs w:val="20"/>
    </w:rPr>
  </w:style>
  <w:style w:type="character" w:customStyle="1" w:styleId="CommentTextChar">
    <w:name w:val="Comment Text Char"/>
    <w:basedOn w:val="DefaultParagraphFont"/>
    <w:link w:val="CommentText"/>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nhideWhenUsed/>
    <w:rPr>
      <w:b/>
      <w:bCs/>
    </w:rPr>
  </w:style>
  <w:style w:type="character" w:customStyle="1" w:styleId="CommentSubjectChar">
    <w:name w:val="Comment Subject Char"/>
    <w:basedOn w:val="CommentTextChar"/>
    <w:link w:val="CommentSubject"/>
    <w:rPr>
      <w:rFonts w:ascii="Times New Roman" w:hAnsi="Times New Roman" w:cs="Times New Roman"/>
      <w:b/>
      <w:bCs/>
      <w:sz w:val="20"/>
      <w:szCs w:val="20"/>
      <w:lang w:val="en-GB"/>
    </w:rPr>
  </w:style>
  <w:style w:type="character" w:styleId="Hyperlink">
    <w:name w:val="Hyperlink"/>
    <w:basedOn w:val="DefaultParagraphFont"/>
    <w:uiPriority w:val="99"/>
    <w:unhideWhenUsed/>
    <w:rPr>
      <w:color w:val="0000FF" w:themeColor="hyperlink"/>
      <w:u w:val="single"/>
    </w:rPr>
  </w:style>
  <w:style w:type="paragraph" w:styleId="BalloonText">
    <w:name w:val="Balloon Text"/>
    <w:basedOn w:val="Normal"/>
    <w:link w:val="BalloonTextChar"/>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lang w:val="en-GB"/>
    </w:rPr>
  </w:style>
  <w:style w:type="paragraph" w:styleId="ListParagraph">
    <w:name w:val="List Paragraph"/>
    <w:aliases w:val="Listaszerű bekezdés1,List Paragraph à moi,Colorful List - Accent 11,Medium Grid 1 - Accent 21,Listaszeru bekezdés1,Colorful List - Accent 111,Dot pt,F5 List Paragraph,List Paragraph1,No Spacing1,List Paragraph Char Char Char,Bullets"/>
    <w:basedOn w:val="Normal"/>
    <w:link w:val="ListParagraphChar"/>
    <w:uiPriority w:val="34"/>
    <w:qFormat/>
    <w:pPr>
      <w:spacing w:before="0" w:after="200" w:line="276" w:lineRule="auto"/>
      <w:ind w:left="720"/>
      <w:contextualSpacing/>
      <w:jc w:val="left"/>
    </w:pPr>
    <w:rPr>
      <w:rFonts w:asciiTheme="minorHAnsi" w:hAnsiTheme="minorHAnsi" w:cstheme="minorBidi"/>
      <w:sz w:val="22"/>
      <w:lang w:val="es-ES"/>
    </w:rPr>
  </w:style>
  <w:style w:type="paragraph" w:customStyle="1" w:styleId="ListBullet1">
    <w:name w:val="List Bullet 1"/>
    <w:basedOn w:val="Normal"/>
    <w:pPr>
      <w:numPr>
        <w:numId w:val="10"/>
      </w:numPr>
    </w:pPr>
    <w:rPr>
      <w:rFonts w:eastAsia="Times New Roman"/>
      <w:lang w:eastAsia="en-GB"/>
    </w:rPr>
  </w:style>
  <w:style w:type="paragraph" w:customStyle="1" w:styleId="ListDash">
    <w:name w:val="List Dash"/>
    <w:basedOn w:val="Normal"/>
    <w:pPr>
      <w:numPr>
        <w:numId w:val="11"/>
      </w:numPr>
    </w:pPr>
    <w:rPr>
      <w:rFonts w:eastAsia="Times New Roman"/>
      <w:lang w:eastAsia="en-GB"/>
    </w:rPr>
  </w:style>
  <w:style w:type="paragraph" w:customStyle="1" w:styleId="ListDash1">
    <w:name w:val="List Dash 1"/>
    <w:basedOn w:val="Normal"/>
    <w:pPr>
      <w:numPr>
        <w:numId w:val="12"/>
      </w:numPr>
    </w:pPr>
    <w:rPr>
      <w:rFonts w:eastAsia="Times New Roman"/>
      <w:lang w:eastAsia="en-GB"/>
    </w:rPr>
  </w:style>
  <w:style w:type="paragraph" w:customStyle="1" w:styleId="ListDash2">
    <w:name w:val="List Dash 2"/>
    <w:basedOn w:val="Normal"/>
    <w:pPr>
      <w:numPr>
        <w:numId w:val="13"/>
      </w:numPr>
    </w:pPr>
    <w:rPr>
      <w:rFonts w:eastAsia="Times New Roman"/>
      <w:lang w:eastAsia="en-GB"/>
    </w:rPr>
  </w:style>
  <w:style w:type="paragraph" w:customStyle="1" w:styleId="ListNumberLevel2">
    <w:name w:val="List Number (Level 2)"/>
    <w:basedOn w:val="Normal"/>
    <w:pPr>
      <w:tabs>
        <w:tab w:val="num" w:pos="1417"/>
      </w:tabs>
      <w:ind w:left="1417" w:hanging="708"/>
    </w:pPr>
    <w:rPr>
      <w:rFonts w:eastAsia="Times New Roman"/>
      <w:lang w:eastAsia="en-GB"/>
    </w:rPr>
  </w:style>
  <w:style w:type="paragraph" w:customStyle="1" w:styleId="ListNumberLevel3">
    <w:name w:val="List Number (Level 3)"/>
    <w:basedOn w:val="Normal"/>
    <w:pPr>
      <w:tabs>
        <w:tab w:val="num" w:pos="2126"/>
      </w:tabs>
      <w:ind w:left="2126" w:hanging="709"/>
    </w:pPr>
    <w:rPr>
      <w:rFonts w:eastAsia="Times New Roman"/>
      <w:lang w:eastAsia="en-GB"/>
    </w:rPr>
  </w:style>
  <w:style w:type="paragraph" w:customStyle="1" w:styleId="ListNumberLevel4">
    <w:name w:val="List Number (Level 4)"/>
    <w:basedOn w:val="Normal"/>
    <w:pPr>
      <w:tabs>
        <w:tab w:val="num" w:pos="2835"/>
      </w:tabs>
      <w:ind w:left="2835" w:hanging="709"/>
    </w:pPr>
    <w:rPr>
      <w:rFonts w:eastAsia="Times New Roman"/>
      <w:lang w:eastAsia="en-GB"/>
    </w:rPr>
  </w:style>
  <w:style w:type="paragraph" w:customStyle="1" w:styleId="Sous-titreobjet">
    <w:name w:val="Sous-titre objet"/>
    <w:basedOn w:val="Normal"/>
    <w:pPr>
      <w:spacing w:before="0" w:after="0"/>
      <w:jc w:val="center"/>
    </w:pPr>
    <w:rPr>
      <w:rFonts w:eastAsia="Times New Roman"/>
      <w:b/>
      <w:lang w:eastAsia="en-GB"/>
    </w:rPr>
  </w:style>
  <w:style w:type="paragraph" w:customStyle="1" w:styleId="Sous-titreobjetPagedecouverture">
    <w:name w:val="Sous-titre objet (Page de couverture)"/>
    <w:basedOn w:val="Sous-titreobjet"/>
  </w:style>
  <w:style w:type="character" w:styleId="FollowedHyperlink">
    <w:name w:val="FollowedHyperlink"/>
    <w:rPr>
      <w:color w:val="800080"/>
      <w:u w:val="single"/>
    </w:rPr>
  </w:style>
  <w:style w:type="character" w:customStyle="1" w:styleId="ListParagraphChar">
    <w:name w:val="List Paragraph Char"/>
    <w:aliases w:val="Listaszerű bekezdés1 Char,List Paragraph à moi Char,Colorful List - Accent 11 Char,Medium Grid 1 - Accent 21 Char,Listaszeru bekezdés1 Char,Colorful List - Accent 111 Char,Dot pt Char,F5 List Paragraph Char,List Paragraph1 Char"/>
    <w:basedOn w:val="DefaultParagraphFont"/>
    <w:link w:val="ListParagraph"/>
    <w:uiPriority w:val="34"/>
    <w:locked/>
    <w:rPr>
      <w:lang w:val="es-ES"/>
    </w:rPr>
  </w:style>
  <w:style w:type="paragraph" w:styleId="NormalWeb">
    <w:name w:val="Normal (Web)"/>
    <w:basedOn w:val="Normal"/>
    <w:uiPriority w:val="99"/>
    <w:semiHidden/>
    <w:unhideWhenUsed/>
    <w:pPr>
      <w:spacing w:before="100" w:beforeAutospacing="1" w:after="100" w:afterAutospacing="1"/>
      <w:jc w:val="left"/>
    </w:pPr>
    <w:rPr>
      <w:rFonts w:eastAsia="Times New Roman"/>
      <w:szCs w:val="24"/>
      <w:lang w:eastAsia="en-GB"/>
    </w:rPr>
  </w:style>
  <w:style w:type="character" w:styleId="Emphasis">
    <w:name w:val="Emphasis"/>
    <w:basedOn w:val="DefaultParagraphFont"/>
    <w:uiPriority w:val="20"/>
    <w:qFormat/>
    <w:rPr>
      <w:i/>
      <w:iCs/>
    </w:rPr>
  </w:style>
  <w:style w:type="paragraph" w:styleId="Revision">
    <w:name w:val="Revision"/>
    <w:hidden/>
    <w:uiPriority w:val="99"/>
    <w:semiHidden/>
    <w:pPr>
      <w:spacing w:after="0" w:line="240" w:lineRule="auto"/>
    </w:pPr>
    <w:rPr>
      <w:rFonts w:ascii="Times New Roman" w:hAnsi="Times New Roman" w:cs="Times New Roman"/>
      <w:sz w:val="24"/>
      <w:lang w:val="en-GB"/>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style>
  <w:style w:type="character" w:customStyle="1" w:styleId="FooterCoverPageChar">
    <w:name w:val="Footer Cover Page Char"/>
    <w:basedOn w:val="DefaultParagraphFont"/>
    <w:link w:val="FooterCoverPage"/>
    <w:rPr>
      <w:rFonts w:ascii="Times New Roman" w:hAnsi="Times New Roman" w:cs="Times New Roman"/>
      <w:sz w:val="24"/>
      <w:lang w:val="en-GB"/>
    </w:rPr>
  </w:style>
  <w:style w:type="character" w:customStyle="1" w:styleId="FooterSensitivityChar">
    <w:name w:val="Footer Sensitivity Char"/>
    <w:basedOn w:val="DefaultParagraphFont"/>
    <w:rPr>
      <w:rFonts w:ascii="Times New Roman" w:hAnsi="Times New Roman" w:cs="Times New Roman"/>
      <w:b/>
      <w:sz w:val="32"/>
      <w:lang w:val="en-GB"/>
    </w:rPr>
  </w:style>
  <w:style w:type="paragraph" w:customStyle="1" w:styleId="HeaderCoverPage">
    <w:name w:val="Header Cover Page"/>
    <w:basedOn w:val="Normal"/>
    <w:link w:val="HeaderCoverPageChar"/>
    <w:pPr>
      <w:tabs>
        <w:tab w:val="center" w:pos="4535"/>
        <w:tab w:val="right" w:pos="9071"/>
      </w:tabs>
      <w:spacing w:before="0"/>
    </w:pPr>
  </w:style>
  <w:style w:type="character" w:customStyle="1" w:styleId="HeaderCoverPageChar">
    <w:name w:val="Header Cover Page Char"/>
    <w:basedOn w:val="DefaultParagraphFont"/>
    <w:link w:val="HeaderCoverPage"/>
    <w:rPr>
      <w:rFonts w:ascii="Times New Roman" w:hAnsi="Times New Roman" w:cs="Times New Roman"/>
      <w:sz w:val="24"/>
      <w:lang w:val="en-GB"/>
    </w:rPr>
  </w:style>
  <w:style w:type="character" w:customStyle="1" w:styleId="HeaderSensitivityChar">
    <w:name w:val="Header Sensitivity Char"/>
    <w:basedOn w:val="DefaultParagraphFont"/>
    <w:rPr>
      <w:rFonts w:ascii="Times New Roman" w:hAnsi="Times New Roman" w:cs="Times New Roman"/>
      <w:b/>
      <w:sz w:val="32"/>
      <w:lang w:val="en-GB"/>
    </w:rPr>
  </w:style>
  <w:style w:type="table" w:styleId="TableGrid">
    <w:name w:val="Table Grid"/>
    <w:basedOn w:val="TableNormal"/>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e">
    <w:name w:val="Paragraphe"/>
    <w:basedOn w:val="Titrearticle"/>
    <w:rPr>
      <w:lang w:val="en-US" w:eastAsia="fr-BE"/>
    </w:rPr>
  </w:style>
  <w:style w:type="paragraph" w:customStyle="1" w:styleId="ListDash3">
    <w:name w:val="List Dash 3"/>
    <w:basedOn w:val="Normal"/>
    <w:pPr>
      <w:numPr>
        <w:numId w:val="17"/>
      </w:numPr>
    </w:pPr>
    <w:rPr>
      <w:rFonts w:eastAsia="Times New Roman"/>
      <w:lang w:eastAsia="en-GB"/>
    </w:rPr>
  </w:style>
  <w:style w:type="paragraph" w:customStyle="1" w:styleId="ListDash4">
    <w:name w:val="List Dash 4"/>
    <w:basedOn w:val="Normal"/>
    <w:pPr>
      <w:numPr>
        <w:numId w:val="18"/>
      </w:numPr>
    </w:pPr>
    <w:rPr>
      <w:rFonts w:eastAsia="Times New Roman"/>
      <w:lang w:eastAsia="en-GB"/>
    </w:rPr>
  </w:style>
  <w:style w:type="paragraph" w:customStyle="1" w:styleId="ListNumber1">
    <w:name w:val="List Number 1"/>
    <w:basedOn w:val="Text1"/>
    <w:pPr>
      <w:numPr>
        <w:numId w:val="19"/>
      </w:numPr>
    </w:pPr>
    <w:rPr>
      <w:rFonts w:eastAsia="Times New Roman"/>
      <w:lang w:eastAsia="en-GB"/>
    </w:rPr>
  </w:style>
  <w:style w:type="paragraph" w:customStyle="1" w:styleId="ListNumber1Level2">
    <w:name w:val="List Number 1 (Level 2)"/>
    <w:basedOn w:val="Text1"/>
    <w:pPr>
      <w:numPr>
        <w:ilvl w:val="1"/>
        <w:numId w:val="19"/>
      </w:numPr>
    </w:pPr>
    <w:rPr>
      <w:rFonts w:eastAsia="Times New Roman"/>
      <w:lang w:eastAsia="en-GB"/>
    </w:rPr>
  </w:style>
  <w:style w:type="paragraph" w:customStyle="1" w:styleId="ListNumber2Level2">
    <w:name w:val="List Number 2 (Level 2)"/>
    <w:basedOn w:val="Text2"/>
    <w:pPr>
      <w:tabs>
        <w:tab w:val="num" w:pos="2268"/>
      </w:tabs>
      <w:ind w:left="2268" w:hanging="708"/>
    </w:pPr>
    <w:rPr>
      <w:rFonts w:eastAsia="Times New Roman"/>
      <w:lang w:eastAsia="en-GB"/>
    </w:rPr>
  </w:style>
  <w:style w:type="paragraph" w:customStyle="1" w:styleId="ListNumber3Level2">
    <w:name w:val="List Number 3 (Level 2)"/>
    <w:basedOn w:val="Text3"/>
    <w:pPr>
      <w:tabs>
        <w:tab w:val="num" w:pos="2268"/>
      </w:tabs>
      <w:ind w:left="2268" w:hanging="708"/>
    </w:pPr>
    <w:rPr>
      <w:rFonts w:eastAsia="Times New Roman"/>
      <w:lang w:eastAsia="en-GB"/>
    </w:rPr>
  </w:style>
  <w:style w:type="paragraph" w:customStyle="1" w:styleId="ListNumber4Level2">
    <w:name w:val="List Number 4 (Level 2)"/>
    <w:basedOn w:val="Text4"/>
    <w:pPr>
      <w:tabs>
        <w:tab w:val="num" w:pos="2268"/>
      </w:tabs>
      <w:ind w:left="2268" w:hanging="708"/>
    </w:pPr>
    <w:rPr>
      <w:rFonts w:eastAsia="Times New Roman"/>
      <w:lang w:eastAsia="en-GB"/>
    </w:rPr>
  </w:style>
  <w:style w:type="paragraph" w:customStyle="1" w:styleId="ListNumber1Level3">
    <w:name w:val="List Number 1 (Level 3)"/>
    <w:basedOn w:val="Text1"/>
    <w:pPr>
      <w:numPr>
        <w:ilvl w:val="2"/>
        <w:numId w:val="19"/>
      </w:numPr>
    </w:pPr>
    <w:rPr>
      <w:rFonts w:eastAsia="Times New Roman"/>
      <w:lang w:eastAsia="en-GB"/>
    </w:rPr>
  </w:style>
  <w:style w:type="paragraph" w:customStyle="1" w:styleId="ListNumber2Level3">
    <w:name w:val="List Number 2 (Level 3)"/>
    <w:basedOn w:val="Text2"/>
    <w:pPr>
      <w:tabs>
        <w:tab w:val="num" w:pos="2977"/>
      </w:tabs>
      <w:ind w:left="2977" w:hanging="709"/>
    </w:pPr>
    <w:rPr>
      <w:rFonts w:eastAsia="Times New Roman"/>
      <w:lang w:eastAsia="en-GB"/>
    </w:rPr>
  </w:style>
  <w:style w:type="paragraph" w:customStyle="1" w:styleId="ListNumber3Level3">
    <w:name w:val="List Number 3 (Level 3)"/>
    <w:basedOn w:val="Text3"/>
    <w:pPr>
      <w:tabs>
        <w:tab w:val="num" w:pos="2977"/>
      </w:tabs>
      <w:ind w:left="2977" w:hanging="709"/>
    </w:pPr>
    <w:rPr>
      <w:rFonts w:eastAsia="Times New Roman"/>
      <w:lang w:eastAsia="en-GB"/>
    </w:rPr>
  </w:style>
  <w:style w:type="paragraph" w:customStyle="1" w:styleId="ListNumber4Level3">
    <w:name w:val="List Number 4 (Level 3)"/>
    <w:basedOn w:val="Text4"/>
    <w:pPr>
      <w:tabs>
        <w:tab w:val="num" w:pos="2977"/>
      </w:tabs>
      <w:ind w:left="2977" w:hanging="709"/>
    </w:pPr>
    <w:rPr>
      <w:rFonts w:eastAsia="Times New Roman"/>
      <w:lang w:eastAsia="en-GB"/>
    </w:rPr>
  </w:style>
  <w:style w:type="paragraph" w:customStyle="1" w:styleId="ListNumber1Level4">
    <w:name w:val="List Number 1 (Level 4)"/>
    <w:basedOn w:val="Text1"/>
    <w:pPr>
      <w:numPr>
        <w:ilvl w:val="3"/>
        <w:numId w:val="19"/>
      </w:numPr>
    </w:pPr>
    <w:rPr>
      <w:rFonts w:eastAsia="Times New Roman"/>
      <w:lang w:eastAsia="en-GB"/>
    </w:rPr>
  </w:style>
  <w:style w:type="paragraph" w:customStyle="1" w:styleId="ListNumber2Level4">
    <w:name w:val="List Number 2 (Level 4)"/>
    <w:basedOn w:val="Text2"/>
    <w:pPr>
      <w:tabs>
        <w:tab w:val="num" w:pos="3686"/>
      </w:tabs>
      <w:ind w:left="3686" w:hanging="709"/>
    </w:pPr>
    <w:rPr>
      <w:rFonts w:eastAsia="Times New Roman"/>
      <w:lang w:eastAsia="en-GB"/>
    </w:rPr>
  </w:style>
  <w:style w:type="paragraph" w:customStyle="1" w:styleId="ListNumber3Level4">
    <w:name w:val="List Number 3 (Level 4)"/>
    <w:basedOn w:val="Text3"/>
    <w:pPr>
      <w:tabs>
        <w:tab w:val="num" w:pos="3686"/>
      </w:tabs>
      <w:ind w:left="3686" w:hanging="709"/>
    </w:pPr>
    <w:rPr>
      <w:rFonts w:eastAsia="Times New Roman"/>
      <w:lang w:eastAsia="en-GB"/>
    </w:rPr>
  </w:style>
  <w:style w:type="paragraph" w:customStyle="1" w:styleId="ListNumber4Level4">
    <w:name w:val="List Number 4 (Level 4)"/>
    <w:basedOn w:val="Text4"/>
    <w:pPr>
      <w:tabs>
        <w:tab w:val="num" w:pos="3686"/>
      </w:tabs>
      <w:ind w:left="3686" w:hanging="709"/>
    </w:pPr>
    <w:rPr>
      <w:rFonts w:eastAsia="Times New Roman"/>
      <w:lang w:eastAsia="en-GB"/>
    </w:rPr>
  </w:style>
  <w:style w:type="paragraph" w:customStyle="1" w:styleId="Annexetitreacte">
    <w:name w:val="Annexe titre (acte)"/>
    <w:basedOn w:val="Normal"/>
    <w:next w:val="Normal"/>
    <w:pPr>
      <w:jc w:val="center"/>
    </w:pPr>
    <w:rPr>
      <w:rFonts w:eastAsia="Times New Roman"/>
      <w:b/>
      <w:u w:val="single"/>
      <w:lang w:eastAsia="en-GB"/>
    </w:rPr>
  </w:style>
  <w:style w:type="paragraph" w:customStyle="1" w:styleId="Annexetitreexposglobal">
    <w:name w:val="Annexe titre (exposé global)"/>
    <w:basedOn w:val="Normal"/>
    <w:next w:val="Normal"/>
    <w:pPr>
      <w:jc w:val="center"/>
    </w:pPr>
    <w:rPr>
      <w:rFonts w:eastAsia="Times New Roman"/>
      <w:b/>
      <w:u w:val="single"/>
      <w:lang w:eastAsia="en-GB"/>
    </w:rPr>
  </w:style>
  <w:style w:type="paragraph" w:customStyle="1" w:styleId="Annexetitrefichefinacte">
    <w:name w:val="Annexe titre (fiche fin. acte)"/>
    <w:basedOn w:val="Normal"/>
    <w:next w:val="Normal"/>
    <w:pPr>
      <w:jc w:val="center"/>
    </w:pPr>
    <w:rPr>
      <w:rFonts w:eastAsia="Times New Roman"/>
      <w:b/>
      <w:u w:val="single"/>
      <w:lang w:eastAsia="en-GB"/>
    </w:rPr>
  </w:style>
  <w:style w:type="paragraph" w:customStyle="1" w:styleId="Annexetitrefichefinglobale">
    <w:name w:val="Annexe titre (fiche fin. globale)"/>
    <w:basedOn w:val="Normal"/>
    <w:next w:val="Normal"/>
    <w:pPr>
      <w:jc w:val="center"/>
    </w:pPr>
    <w:rPr>
      <w:rFonts w:eastAsia="Times New Roman"/>
      <w:b/>
      <w:u w:val="single"/>
      <w:lang w:eastAsia="en-GB"/>
    </w:rPr>
  </w:style>
  <w:style w:type="paragraph" w:customStyle="1" w:styleId="Annexetitreglobale">
    <w:name w:val="Annexe titre (globale)"/>
    <w:basedOn w:val="Normal"/>
    <w:next w:val="Normal"/>
    <w:pPr>
      <w:jc w:val="center"/>
    </w:pPr>
    <w:rPr>
      <w:rFonts w:eastAsia="Times New Roman"/>
      <w:b/>
      <w:u w:val="single"/>
      <w:lang w:eastAsia="en-GB"/>
    </w:rPr>
  </w:style>
  <w:style w:type="paragraph" w:customStyle="1" w:styleId="Exposdesmotifstitreglobal">
    <w:name w:val="Exposé des motifs titre (global)"/>
    <w:basedOn w:val="Normal"/>
    <w:next w:val="Normal"/>
    <w:pPr>
      <w:jc w:val="center"/>
    </w:pPr>
    <w:rPr>
      <w:rFonts w:eastAsia="Times New Roman"/>
      <w:b/>
      <w:u w:val="single"/>
      <w:lang w:eastAsia="en-GB"/>
    </w:rPr>
  </w:style>
  <w:style w:type="paragraph" w:customStyle="1" w:styleId="Langueoriginale">
    <w:name w:val="Langue originale"/>
    <w:basedOn w:val="Normal"/>
    <w:pPr>
      <w:spacing w:before="360"/>
      <w:jc w:val="center"/>
    </w:pPr>
    <w:rPr>
      <w:rFonts w:eastAsia="Times New Roman"/>
      <w:caps/>
      <w:lang w:eastAsia="en-GB"/>
    </w:rPr>
  </w:style>
  <w:style w:type="paragraph" w:customStyle="1" w:styleId="Phrasefinale">
    <w:name w:val="Phrase finale"/>
    <w:basedOn w:val="Normal"/>
    <w:next w:val="Normal"/>
    <w:pPr>
      <w:spacing w:before="360" w:after="0"/>
      <w:jc w:val="center"/>
    </w:pPr>
    <w:rPr>
      <w:rFonts w:eastAsia="Times New Roman"/>
      <w:lang w:eastAsia="en-GB"/>
    </w:rPr>
  </w:style>
  <w:style w:type="paragraph" w:customStyle="1" w:styleId="Prliminairetitre">
    <w:name w:val="Préliminaire titre"/>
    <w:basedOn w:val="Normal"/>
    <w:next w:val="Normal"/>
    <w:pPr>
      <w:spacing w:before="360" w:after="360"/>
      <w:jc w:val="center"/>
    </w:pPr>
    <w:rPr>
      <w:rFonts w:eastAsia="Times New Roman"/>
      <w:b/>
      <w:lang w:eastAsia="en-GB"/>
    </w:rPr>
  </w:style>
  <w:style w:type="paragraph" w:customStyle="1" w:styleId="Prliminairetype">
    <w:name w:val="Préliminaire type"/>
    <w:basedOn w:val="Normal"/>
    <w:next w:val="Normal"/>
    <w:pPr>
      <w:spacing w:before="360" w:after="0"/>
      <w:jc w:val="center"/>
    </w:pPr>
    <w:rPr>
      <w:rFonts w:eastAsia="Times New Roman"/>
      <w:b/>
      <w:lang w:eastAsia="en-GB"/>
    </w:rPr>
  </w:style>
  <w:style w:type="paragraph" w:customStyle="1" w:styleId="Rfrenceinstitutionelle">
    <w:name w:val="Référence institutionelle"/>
    <w:basedOn w:val="Normal"/>
    <w:next w:val="Statut"/>
    <w:pPr>
      <w:spacing w:before="0" w:after="240"/>
      <w:ind w:left="5103"/>
      <w:jc w:val="left"/>
    </w:pPr>
    <w:rPr>
      <w:rFonts w:eastAsia="Times New Roman"/>
      <w:lang w:eastAsia="en-GB"/>
    </w:rPr>
  </w:style>
  <w:style w:type="paragraph" w:customStyle="1" w:styleId="Rfrenceinterinstitutionelle">
    <w:name w:val="Référence interinstitutionelle"/>
    <w:basedOn w:val="Normal"/>
    <w:next w:val="Statut"/>
    <w:pPr>
      <w:spacing w:before="0" w:after="0"/>
      <w:ind w:left="5103"/>
      <w:jc w:val="left"/>
    </w:pPr>
    <w:rPr>
      <w:rFonts w:eastAsia="Times New Roman"/>
      <w:lang w:eastAsia="en-GB"/>
    </w:rPr>
  </w:style>
  <w:style w:type="paragraph" w:customStyle="1" w:styleId="Rfrenceinterinstitutionelleprliminaire">
    <w:name w:val="Référence interinstitutionelle (préliminaire)"/>
    <w:basedOn w:val="Normal"/>
    <w:next w:val="Normal"/>
    <w:pPr>
      <w:spacing w:before="0" w:after="0"/>
      <w:ind w:left="5103"/>
      <w:jc w:val="left"/>
    </w:pPr>
    <w:rPr>
      <w:rFonts w:eastAsia="Times New Roman"/>
      <w:lang w:eastAsia="en-GB"/>
    </w:rPr>
  </w:style>
  <w:style w:type="paragraph" w:customStyle="1" w:styleId="Sous-titreobjetprliminaire">
    <w:name w:val="Sous-titre objet (préliminaire)"/>
    <w:basedOn w:val="Normal"/>
    <w:pPr>
      <w:spacing w:before="0" w:after="0"/>
      <w:jc w:val="center"/>
    </w:pPr>
    <w:rPr>
      <w:rFonts w:eastAsia="Times New Roman"/>
      <w:b/>
      <w:lang w:eastAsia="en-GB"/>
    </w:rPr>
  </w:style>
  <w:style w:type="paragraph" w:customStyle="1" w:styleId="Statutprliminaire">
    <w:name w:val="Statut (préliminaire)"/>
    <w:basedOn w:val="Normal"/>
    <w:next w:val="Normal"/>
    <w:pPr>
      <w:spacing w:before="360" w:after="0"/>
      <w:jc w:val="center"/>
    </w:pPr>
    <w:rPr>
      <w:rFonts w:eastAsia="Times New Roman"/>
      <w:lang w:eastAsia="en-GB"/>
    </w:rPr>
  </w:style>
  <w:style w:type="paragraph" w:customStyle="1" w:styleId="Titreobjetprliminaire">
    <w:name w:val="Titre objet (préliminaire)"/>
    <w:basedOn w:val="Normal"/>
    <w:next w:val="Normal"/>
    <w:pPr>
      <w:spacing w:before="360" w:after="360"/>
      <w:jc w:val="center"/>
    </w:pPr>
    <w:rPr>
      <w:rFonts w:eastAsia="Times New Roman"/>
      <w:b/>
      <w:lang w:eastAsia="en-GB"/>
    </w:rPr>
  </w:style>
  <w:style w:type="paragraph" w:customStyle="1" w:styleId="Typedudocumentprliminaire">
    <w:name w:val="Type du document (préliminaire)"/>
    <w:basedOn w:val="Normal"/>
    <w:next w:val="Normal"/>
    <w:pPr>
      <w:spacing w:before="360" w:after="0"/>
      <w:jc w:val="center"/>
    </w:pPr>
    <w:rPr>
      <w:rFonts w:eastAsia="Times New Roman"/>
      <w:b/>
      <w:lang w:eastAsia="en-GB"/>
    </w:rPr>
  </w:style>
  <w:style w:type="paragraph" w:customStyle="1" w:styleId="Fichefinancirestandardtitre">
    <w:name w:val="Fiche financière (standard) titre"/>
    <w:basedOn w:val="Normal"/>
    <w:next w:val="Normal"/>
    <w:pPr>
      <w:jc w:val="center"/>
    </w:pPr>
    <w:rPr>
      <w:rFonts w:eastAsia="Times New Roman"/>
      <w:b/>
      <w:u w:val="single"/>
      <w:lang w:eastAsia="en-GB"/>
    </w:rPr>
  </w:style>
  <w:style w:type="paragraph" w:customStyle="1" w:styleId="Fichefinancirestandardtitreacte">
    <w:name w:val="Fiche financière (standard) titre (acte)"/>
    <w:basedOn w:val="Normal"/>
    <w:next w:val="Normal"/>
    <w:pPr>
      <w:jc w:val="center"/>
    </w:pPr>
    <w:rPr>
      <w:rFonts w:eastAsia="Times New Roman"/>
      <w:b/>
      <w:u w:val="single"/>
      <w:lang w:eastAsia="en-GB"/>
    </w:rPr>
  </w:style>
  <w:style w:type="paragraph" w:customStyle="1" w:styleId="Fichefinanciretravailtitre">
    <w:name w:val="Fiche financière (travail) titre"/>
    <w:basedOn w:val="Normal"/>
    <w:next w:val="Normal"/>
    <w:pPr>
      <w:jc w:val="center"/>
    </w:pPr>
    <w:rPr>
      <w:rFonts w:eastAsia="Times New Roman"/>
      <w:b/>
      <w:u w:val="single"/>
      <w:lang w:eastAsia="en-GB"/>
    </w:rPr>
  </w:style>
  <w:style w:type="paragraph" w:customStyle="1" w:styleId="Fichefinanciretravailtitreacte">
    <w:name w:val="Fiche financière (travail) titre (acte)"/>
    <w:basedOn w:val="Normal"/>
    <w:next w:val="Normal"/>
    <w:pPr>
      <w:jc w:val="center"/>
    </w:pPr>
    <w:rPr>
      <w:rFonts w:eastAsia="Times New Roman"/>
      <w:b/>
      <w:u w:val="single"/>
      <w:lang w:eastAsia="en-GB"/>
    </w:rPr>
  </w:style>
  <w:style w:type="paragraph" w:customStyle="1" w:styleId="Fichefinancireattributiontitre">
    <w:name w:val="Fiche financière (attribution) titre"/>
    <w:basedOn w:val="Normal"/>
    <w:next w:val="Normal"/>
    <w:pPr>
      <w:jc w:val="center"/>
    </w:pPr>
    <w:rPr>
      <w:rFonts w:eastAsia="Times New Roman"/>
      <w:b/>
      <w:u w:val="single"/>
      <w:lang w:eastAsia="en-GB"/>
    </w:rPr>
  </w:style>
  <w:style w:type="paragraph" w:customStyle="1" w:styleId="Fichefinancireattributiontitreacte">
    <w:name w:val="Fiche financière (attribution) titre (acte)"/>
    <w:basedOn w:val="Normal"/>
    <w:next w:val="Normal"/>
    <w:pPr>
      <w:jc w:val="center"/>
    </w:pPr>
    <w:rPr>
      <w:rFonts w:eastAsia="Times New Roman"/>
      <w:b/>
      <w:u w:val="single"/>
      <w:lang w:eastAsia="en-GB"/>
    </w:rPr>
  </w:style>
  <w:style w:type="character" w:styleId="PageNumber">
    <w:name w:val="page number"/>
  </w:style>
  <w:style w:type="character" w:customStyle="1" w:styleId="tw4winMark">
    <w:name w:val="tw4winMark"/>
    <w:rPr>
      <w:vanish/>
      <w:color w:val="800080"/>
      <w:vertAlign w:val="subscript"/>
    </w:rPr>
  </w:style>
  <w:style w:type="character" w:customStyle="1" w:styleId="TOCHeadingChar">
    <w:name w:val="TOC Heading Char"/>
    <w:uiPriority w:val="39"/>
    <w:rPr>
      <w:rFonts w:ascii="Times New Roman" w:hAnsi="Times New Roman" w:cs="Times New Roman"/>
      <w:b/>
      <w:sz w:val="28"/>
      <w:lang w:val="en-GB"/>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fr-FR"/>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fr-FR"/>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37"/>
      </w:numPr>
    </w:pPr>
  </w:style>
  <w:style w:type="paragraph" w:customStyle="1" w:styleId="Tiret1">
    <w:name w:val="Tiret 1"/>
    <w:basedOn w:val="Point1"/>
    <w:pPr>
      <w:numPr>
        <w:numId w:val="38"/>
      </w:numPr>
    </w:pPr>
  </w:style>
  <w:style w:type="paragraph" w:customStyle="1" w:styleId="Tiret2">
    <w:name w:val="Tiret 2"/>
    <w:basedOn w:val="Point2"/>
    <w:pPr>
      <w:numPr>
        <w:numId w:val="39"/>
      </w:numPr>
    </w:pPr>
  </w:style>
  <w:style w:type="paragraph" w:customStyle="1" w:styleId="Tiret3">
    <w:name w:val="Tiret 3"/>
    <w:basedOn w:val="Point3"/>
    <w:pPr>
      <w:numPr>
        <w:numId w:val="40"/>
      </w:numPr>
    </w:pPr>
  </w:style>
  <w:style w:type="paragraph" w:customStyle="1" w:styleId="Tiret4">
    <w:name w:val="Tiret 4"/>
    <w:basedOn w:val="Point4"/>
    <w:pPr>
      <w:numPr>
        <w:numId w:val="41"/>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42"/>
      </w:numPr>
    </w:pPr>
  </w:style>
  <w:style w:type="paragraph" w:customStyle="1" w:styleId="NumPar2">
    <w:name w:val="NumPar 2"/>
    <w:basedOn w:val="Normal"/>
    <w:next w:val="Text1"/>
    <w:pPr>
      <w:numPr>
        <w:ilvl w:val="1"/>
        <w:numId w:val="42"/>
      </w:numPr>
    </w:pPr>
  </w:style>
  <w:style w:type="paragraph" w:customStyle="1" w:styleId="NumPar3">
    <w:name w:val="NumPar 3"/>
    <w:basedOn w:val="Normal"/>
    <w:next w:val="Text1"/>
    <w:pPr>
      <w:numPr>
        <w:ilvl w:val="2"/>
        <w:numId w:val="42"/>
      </w:numPr>
    </w:pPr>
  </w:style>
  <w:style w:type="paragraph" w:customStyle="1" w:styleId="NumPar4">
    <w:name w:val="NumPar 4"/>
    <w:basedOn w:val="Normal"/>
    <w:next w:val="Text1"/>
    <w:pPr>
      <w:numPr>
        <w:ilvl w:val="3"/>
        <w:numId w:val="42"/>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44"/>
      </w:numPr>
    </w:pPr>
  </w:style>
  <w:style w:type="paragraph" w:customStyle="1" w:styleId="Point1number">
    <w:name w:val="Point 1 (number)"/>
    <w:basedOn w:val="Normal"/>
    <w:pPr>
      <w:numPr>
        <w:ilvl w:val="2"/>
        <w:numId w:val="44"/>
      </w:numPr>
    </w:pPr>
  </w:style>
  <w:style w:type="paragraph" w:customStyle="1" w:styleId="Point2number">
    <w:name w:val="Point 2 (number)"/>
    <w:basedOn w:val="Normal"/>
    <w:pPr>
      <w:numPr>
        <w:ilvl w:val="4"/>
        <w:numId w:val="44"/>
      </w:numPr>
    </w:pPr>
  </w:style>
  <w:style w:type="paragraph" w:customStyle="1" w:styleId="Point3number">
    <w:name w:val="Point 3 (number)"/>
    <w:basedOn w:val="Normal"/>
    <w:pPr>
      <w:numPr>
        <w:ilvl w:val="6"/>
        <w:numId w:val="44"/>
      </w:numPr>
    </w:pPr>
  </w:style>
  <w:style w:type="paragraph" w:customStyle="1" w:styleId="Point0letter">
    <w:name w:val="Point 0 (letter)"/>
    <w:basedOn w:val="Normal"/>
    <w:pPr>
      <w:numPr>
        <w:ilvl w:val="1"/>
        <w:numId w:val="44"/>
      </w:numPr>
    </w:pPr>
  </w:style>
  <w:style w:type="paragraph" w:customStyle="1" w:styleId="Point1letter">
    <w:name w:val="Point 1 (letter)"/>
    <w:basedOn w:val="Normal"/>
    <w:pPr>
      <w:numPr>
        <w:ilvl w:val="3"/>
        <w:numId w:val="44"/>
      </w:numPr>
    </w:pPr>
  </w:style>
  <w:style w:type="paragraph" w:customStyle="1" w:styleId="Point2letter">
    <w:name w:val="Point 2 (letter)"/>
    <w:basedOn w:val="Normal"/>
    <w:pPr>
      <w:numPr>
        <w:ilvl w:val="5"/>
        <w:numId w:val="44"/>
      </w:numPr>
    </w:pPr>
  </w:style>
  <w:style w:type="paragraph" w:customStyle="1" w:styleId="Point3letter">
    <w:name w:val="Point 3 (letter)"/>
    <w:basedOn w:val="Normal"/>
    <w:pPr>
      <w:numPr>
        <w:ilvl w:val="7"/>
        <w:numId w:val="44"/>
      </w:numPr>
    </w:pPr>
  </w:style>
  <w:style w:type="paragraph" w:customStyle="1" w:styleId="Point4letter">
    <w:name w:val="Point 4 (letter)"/>
    <w:basedOn w:val="Normal"/>
    <w:pPr>
      <w:numPr>
        <w:ilvl w:val="8"/>
        <w:numId w:val="44"/>
      </w:numPr>
    </w:pPr>
  </w:style>
  <w:style w:type="paragraph" w:customStyle="1" w:styleId="Bullet0">
    <w:name w:val="Bullet 0"/>
    <w:basedOn w:val="Normal"/>
    <w:pPr>
      <w:numPr>
        <w:numId w:val="45"/>
      </w:numPr>
    </w:pPr>
  </w:style>
  <w:style w:type="paragraph" w:customStyle="1" w:styleId="Bullet1">
    <w:name w:val="Bullet 1"/>
    <w:basedOn w:val="Normal"/>
    <w:pPr>
      <w:numPr>
        <w:numId w:val="46"/>
      </w:numPr>
    </w:pPr>
  </w:style>
  <w:style w:type="paragraph" w:customStyle="1" w:styleId="Bullet2">
    <w:name w:val="Bullet 2"/>
    <w:basedOn w:val="Normal"/>
    <w:pPr>
      <w:numPr>
        <w:numId w:val="47"/>
      </w:numPr>
    </w:pPr>
  </w:style>
  <w:style w:type="paragraph" w:customStyle="1" w:styleId="Bullet3">
    <w:name w:val="Bullet 3"/>
    <w:basedOn w:val="Normal"/>
    <w:pPr>
      <w:numPr>
        <w:numId w:val="48"/>
      </w:numPr>
    </w:pPr>
  </w:style>
  <w:style w:type="paragraph" w:customStyle="1" w:styleId="Bullet4">
    <w:name w:val="Bullet 4"/>
    <w:basedOn w:val="Normal"/>
    <w:pPr>
      <w:numPr>
        <w:numId w:val="49"/>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50"/>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2581621">
      <w:bodyDiv w:val="1"/>
      <w:marLeft w:val="0"/>
      <w:marRight w:val="0"/>
      <w:marTop w:val="0"/>
      <w:marBottom w:val="0"/>
      <w:divBdr>
        <w:top w:val="none" w:sz="0" w:space="0" w:color="auto"/>
        <w:left w:val="none" w:sz="0" w:space="0" w:color="auto"/>
        <w:bottom w:val="none" w:sz="0" w:space="0" w:color="auto"/>
        <w:right w:val="none" w:sz="0" w:space="0" w:color="auto"/>
      </w:divBdr>
    </w:div>
    <w:div w:id="606234461">
      <w:bodyDiv w:val="1"/>
      <w:marLeft w:val="0"/>
      <w:marRight w:val="0"/>
      <w:marTop w:val="0"/>
      <w:marBottom w:val="0"/>
      <w:divBdr>
        <w:top w:val="none" w:sz="0" w:space="0" w:color="auto"/>
        <w:left w:val="none" w:sz="0" w:space="0" w:color="auto"/>
        <w:bottom w:val="none" w:sz="0" w:space="0" w:color="auto"/>
        <w:right w:val="none" w:sz="0" w:space="0" w:color="auto"/>
      </w:divBdr>
      <w:divsChild>
        <w:div w:id="2086487229">
          <w:marLeft w:val="0"/>
          <w:marRight w:val="0"/>
          <w:marTop w:val="0"/>
          <w:marBottom w:val="0"/>
          <w:divBdr>
            <w:top w:val="none" w:sz="0" w:space="0" w:color="auto"/>
            <w:left w:val="none" w:sz="0" w:space="0" w:color="auto"/>
            <w:bottom w:val="none" w:sz="0" w:space="0" w:color="auto"/>
            <w:right w:val="none" w:sz="0" w:space="0" w:color="auto"/>
          </w:divBdr>
          <w:divsChild>
            <w:div w:id="747460571">
              <w:marLeft w:val="0"/>
              <w:marRight w:val="0"/>
              <w:marTop w:val="0"/>
              <w:marBottom w:val="150"/>
              <w:divBdr>
                <w:top w:val="none" w:sz="0" w:space="0" w:color="auto"/>
                <w:left w:val="none" w:sz="0" w:space="0" w:color="auto"/>
                <w:bottom w:val="none" w:sz="0" w:space="0" w:color="auto"/>
                <w:right w:val="none" w:sz="0" w:space="0" w:color="auto"/>
              </w:divBdr>
              <w:divsChild>
                <w:div w:id="1711567601">
                  <w:marLeft w:val="0"/>
                  <w:marRight w:val="0"/>
                  <w:marTop w:val="0"/>
                  <w:marBottom w:val="0"/>
                  <w:divBdr>
                    <w:top w:val="none" w:sz="0" w:space="0" w:color="auto"/>
                    <w:left w:val="none" w:sz="0" w:space="0" w:color="auto"/>
                    <w:bottom w:val="none" w:sz="0" w:space="0" w:color="auto"/>
                    <w:right w:val="none" w:sz="0" w:space="0" w:color="auto"/>
                  </w:divBdr>
                  <w:divsChild>
                    <w:div w:id="57364378">
                      <w:marLeft w:val="0"/>
                      <w:marRight w:val="0"/>
                      <w:marTop w:val="0"/>
                      <w:marBottom w:val="0"/>
                      <w:divBdr>
                        <w:top w:val="none" w:sz="0" w:space="0" w:color="auto"/>
                        <w:left w:val="none" w:sz="0" w:space="0" w:color="auto"/>
                        <w:bottom w:val="none" w:sz="0" w:space="0" w:color="auto"/>
                        <w:right w:val="none" w:sz="0" w:space="0" w:color="auto"/>
                      </w:divBdr>
                      <w:divsChild>
                        <w:div w:id="138155627">
                          <w:marLeft w:val="0"/>
                          <w:marRight w:val="0"/>
                          <w:marTop w:val="0"/>
                          <w:marBottom w:val="0"/>
                          <w:divBdr>
                            <w:top w:val="none" w:sz="0" w:space="0" w:color="auto"/>
                            <w:left w:val="none" w:sz="0" w:space="0" w:color="auto"/>
                            <w:bottom w:val="none" w:sz="0" w:space="0" w:color="auto"/>
                            <w:right w:val="none" w:sz="0" w:space="0" w:color="auto"/>
                          </w:divBdr>
                          <w:divsChild>
                            <w:div w:id="1966964128">
                              <w:marLeft w:val="0"/>
                              <w:marRight w:val="0"/>
                              <w:marTop w:val="0"/>
                              <w:marBottom w:val="0"/>
                              <w:divBdr>
                                <w:top w:val="none" w:sz="0" w:space="0" w:color="auto"/>
                                <w:left w:val="none" w:sz="0" w:space="0" w:color="auto"/>
                                <w:bottom w:val="none" w:sz="0" w:space="0" w:color="auto"/>
                                <w:right w:val="none" w:sz="0" w:space="0" w:color="auto"/>
                              </w:divBdr>
                              <w:divsChild>
                                <w:div w:id="1299384063">
                                  <w:marLeft w:val="0"/>
                                  <w:marRight w:val="-3600"/>
                                  <w:marTop w:val="150"/>
                                  <w:marBottom w:val="0"/>
                                  <w:divBdr>
                                    <w:top w:val="none" w:sz="0" w:space="0" w:color="auto"/>
                                    <w:left w:val="none" w:sz="0" w:space="0" w:color="auto"/>
                                    <w:bottom w:val="none" w:sz="0" w:space="0" w:color="auto"/>
                                    <w:right w:val="none" w:sz="0" w:space="0" w:color="auto"/>
                                  </w:divBdr>
                                  <w:divsChild>
                                    <w:div w:id="1145390697">
                                      <w:marLeft w:val="0"/>
                                      <w:marRight w:val="3600"/>
                                      <w:marTop w:val="0"/>
                                      <w:marBottom w:val="0"/>
                                      <w:divBdr>
                                        <w:top w:val="none" w:sz="0" w:space="0" w:color="auto"/>
                                        <w:left w:val="none" w:sz="0" w:space="0" w:color="auto"/>
                                        <w:bottom w:val="none" w:sz="0" w:space="0" w:color="auto"/>
                                        <w:right w:val="none" w:sz="0" w:space="0" w:color="auto"/>
                                      </w:divBdr>
                                      <w:divsChild>
                                        <w:div w:id="1797487616">
                                          <w:marLeft w:val="0"/>
                                          <w:marRight w:val="0"/>
                                          <w:marTop w:val="0"/>
                                          <w:marBottom w:val="0"/>
                                          <w:divBdr>
                                            <w:top w:val="none" w:sz="0" w:space="0" w:color="auto"/>
                                            <w:left w:val="none" w:sz="0" w:space="0" w:color="auto"/>
                                            <w:bottom w:val="none" w:sz="0" w:space="0" w:color="auto"/>
                                            <w:right w:val="none" w:sz="0" w:space="0" w:color="auto"/>
                                          </w:divBdr>
                                          <w:divsChild>
                                            <w:div w:id="1923291387">
                                              <w:marLeft w:val="0"/>
                                              <w:marRight w:val="0"/>
                                              <w:marTop w:val="0"/>
                                              <w:marBottom w:val="0"/>
                                              <w:divBdr>
                                                <w:top w:val="none" w:sz="0" w:space="0" w:color="auto"/>
                                                <w:left w:val="none" w:sz="0" w:space="0" w:color="auto"/>
                                                <w:bottom w:val="none" w:sz="0" w:space="0" w:color="auto"/>
                                                <w:right w:val="none" w:sz="0" w:space="0" w:color="auto"/>
                                              </w:divBdr>
                                              <w:divsChild>
                                                <w:div w:id="1201359413">
                                                  <w:marLeft w:val="0"/>
                                                  <w:marRight w:val="0"/>
                                                  <w:marTop w:val="0"/>
                                                  <w:marBottom w:val="0"/>
                                                  <w:divBdr>
                                                    <w:top w:val="none" w:sz="0" w:space="0" w:color="auto"/>
                                                    <w:left w:val="none" w:sz="0" w:space="0" w:color="auto"/>
                                                    <w:bottom w:val="none" w:sz="0" w:space="0" w:color="auto"/>
                                                    <w:right w:val="none" w:sz="0" w:space="0" w:color="auto"/>
                                                  </w:divBdr>
                                                  <w:divsChild>
                                                    <w:div w:id="2021588997">
                                                      <w:marLeft w:val="0"/>
                                                      <w:marRight w:val="0"/>
                                                      <w:marTop w:val="0"/>
                                                      <w:marBottom w:val="0"/>
                                                      <w:divBdr>
                                                        <w:top w:val="none" w:sz="0" w:space="0" w:color="auto"/>
                                                        <w:left w:val="none" w:sz="0" w:space="0" w:color="auto"/>
                                                        <w:bottom w:val="none" w:sz="0" w:space="0" w:color="auto"/>
                                                        <w:right w:val="none" w:sz="0" w:space="0" w:color="auto"/>
                                                      </w:divBdr>
                                                      <w:divsChild>
                                                        <w:div w:id="4221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61635231">
      <w:bodyDiv w:val="1"/>
      <w:marLeft w:val="0"/>
      <w:marRight w:val="0"/>
      <w:marTop w:val="0"/>
      <w:marBottom w:val="0"/>
      <w:divBdr>
        <w:top w:val="none" w:sz="0" w:space="0" w:color="auto"/>
        <w:left w:val="none" w:sz="0" w:space="0" w:color="auto"/>
        <w:bottom w:val="none" w:sz="0" w:space="0" w:color="auto"/>
        <w:right w:val="none" w:sz="0" w:space="0" w:color="auto"/>
      </w:divBdr>
      <w:divsChild>
        <w:div w:id="1732465468">
          <w:marLeft w:val="0"/>
          <w:marRight w:val="0"/>
          <w:marTop w:val="0"/>
          <w:marBottom w:val="0"/>
          <w:divBdr>
            <w:top w:val="none" w:sz="0" w:space="0" w:color="auto"/>
            <w:left w:val="none" w:sz="0" w:space="0" w:color="auto"/>
            <w:bottom w:val="none" w:sz="0" w:space="0" w:color="auto"/>
            <w:right w:val="none" w:sz="0" w:space="0" w:color="auto"/>
          </w:divBdr>
          <w:divsChild>
            <w:div w:id="1634410217">
              <w:marLeft w:val="0"/>
              <w:marRight w:val="0"/>
              <w:marTop w:val="0"/>
              <w:marBottom w:val="150"/>
              <w:divBdr>
                <w:top w:val="none" w:sz="0" w:space="0" w:color="auto"/>
                <w:left w:val="none" w:sz="0" w:space="0" w:color="auto"/>
                <w:bottom w:val="none" w:sz="0" w:space="0" w:color="auto"/>
                <w:right w:val="none" w:sz="0" w:space="0" w:color="auto"/>
              </w:divBdr>
              <w:divsChild>
                <w:div w:id="1598365430">
                  <w:marLeft w:val="0"/>
                  <w:marRight w:val="0"/>
                  <w:marTop w:val="0"/>
                  <w:marBottom w:val="0"/>
                  <w:divBdr>
                    <w:top w:val="none" w:sz="0" w:space="0" w:color="auto"/>
                    <w:left w:val="none" w:sz="0" w:space="0" w:color="auto"/>
                    <w:bottom w:val="none" w:sz="0" w:space="0" w:color="auto"/>
                    <w:right w:val="none" w:sz="0" w:space="0" w:color="auto"/>
                  </w:divBdr>
                  <w:divsChild>
                    <w:div w:id="422336400">
                      <w:marLeft w:val="0"/>
                      <w:marRight w:val="0"/>
                      <w:marTop w:val="0"/>
                      <w:marBottom w:val="0"/>
                      <w:divBdr>
                        <w:top w:val="none" w:sz="0" w:space="0" w:color="auto"/>
                        <w:left w:val="none" w:sz="0" w:space="0" w:color="auto"/>
                        <w:bottom w:val="none" w:sz="0" w:space="0" w:color="auto"/>
                        <w:right w:val="none" w:sz="0" w:space="0" w:color="auto"/>
                      </w:divBdr>
                      <w:divsChild>
                        <w:div w:id="1392537955">
                          <w:marLeft w:val="0"/>
                          <w:marRight w:val="0"/>
                          <w:marTop w:val="0"/>
                          <w:marBottom w:val="0"/>
                          <w:divBdr>
                            <w:top w:val="none" w:sz="0" w:space="0" w:color="auto"/>
                            <w:left w:val="none" w:sz="0" w:space="0" w:color="auto"/>
                            <w:bottom w:val="none" w:sz="0" w:space="0" w:color="auto"/>
                            <w:right w:val="none" w:sz="0" w:space="0" w:color="auto"/>
                          </w:divBdr>
                          <w:divsChild>
                            <w:div w:id="1583878954">
                              <w:marLeft w:val="0"/>
                              <w:marRight w:val="0"/>
                              <w:marTop w:val="0"/>
                              <w:marBottom w:val="0"/>
                              <w:divBdr>
                                <w:top w:val="none" w:sz="0" w:space="0" w:color="auto"/>
                                <w:left w:val="none" w:sz="0" w:space="0" w:color="auto"/>
                                <w:bottom w:val="none" w:sz="0" w:space="0" w:color="auto"/>
                                <w:right w:val="none" w:sz="0" w:space="0" w:color="auto"/>
                              </w:divBdr>
                              <w:divsChild>
                                <w:div w:id="651253905">
                                  <w:marLeft w:val="0"/>
                                  <w:marRight w:val="-3600"/>
                                  <w:marTop w:val="150"/>
                                  <w:marBottom w:val="0"/>
                                  <w:divBdr>
                                    <w:top w:val="none" w:sz="0" w:space="0" w:color="auto"/>
                                    <w:left w:val="none" w:sz="0" w:space="0" w:color="auto"/>
                                    <w:bottom w:val="none" w:sz="0" w:space="0" w:color="auto"/>
                                    <w:right w:val="none" w:sz="0" w:space="0" w:color="auto"/>
                                  </w:divBdr>
                                  <w:divsChild>
                                    <w:div w:id="970481595">
                                      <w:marLeft w:val="0"/>
                                      <w:marRight w:val="3600"/>
                                      <w:marTop w:val="0"/>
                                      <w:marBottom w:val="0"/>
                                      <w:divBdr>
                                        <w:top w:val="none" w:sz="0" w:space="0" w:color="auto"/>
                                        <w:left w:val="none" w:sz="0" w:space="0" w:color="auto"/>
                                        <w:bottom w:val="none" w:sz="0" w:space="0" w:color="auto"/>
                                        <w:right w:val="none" w:sz="0" w:space="0" w:color="auto"/>
                                      </w:divBdr>
                                      <w:divsChild>
                                        <w:div w:id="1921014592">
                                          <w:marLeft w:val="0"/>
                                          <w:marRight w:val="0"/>
                                          <w:marTop w:val="0"/>
                                          <w:marBottom w:val="0"/>
                                          <w:divBdr>
                                            <w:top w:val="none" w:sz="0" w:space="0" w:color="auto"/>
                                            <w:left w:val="none" w:sz="0" w:space="0" w:color="auto"/>
                                            <w:bottom w:val="none" w:sz="0" w:space="0" w:color="auto"/>
                                            <w:right w:val="none" w:sz="0" w:space="0" w:color="auto"/>
                                          </w:divBdr>
                                          <w:divsChild>
                                            <w:div w:id="1668357989">
                                              <w:marLeft w:val="0"/>
                                              <w:marRight w:val="0"/>
                                              <w:marTop w:val="0"/>
                                              <w:marBottom w:val="0"/>
                                              <w:divBdr>
                                                <w:top w:val="none" w:sz="0" w:space="0" w:color="auto"/>
                                                <w:left w:val="none" w:sz="0" w:space="0" w:color="auto"/>
                                                <w:bottom w:val="none" w:sz="0" w:space="0" w:color="auto"/>
                                                <w:right w:val="none" w:sz="0" w:space="0" w:color="auto"/>
                                              </w:divBdr>
                                              <w:divsChild>
                                                <w:div w:id="1432236735">
                                                  <w:marLeft w:val="0"/>
                                                  <w:marRight w:val="0"/>
                                                  <w:marTop w:val="0"/>
                                                  <w:marBottom w:val="0"/>
                                                  <w:divBdr>
                                                    <w:top w:val="none" w:sz="0" w:space="0" w:color="auto"/>
                                                    <w:left w:val="none" w:sz="0" w:space="0" w:color="auto"/>
                                                    <w:bottom w:val="none" w:sz="0" w:space="0" w:color="auto"/>
                                                    <w:right w:val="none" w:sz="0" w:space="0" w:color="auto"/>
                                                  </w:divBdr>
                                                  <w:divsChild>
                                                    <w:div w:id="1701011168">
                                                      <w:marLeft w:val="0"/>
                                                      <w:marRight w:val="0"/>
                                                      <w:marTop w:val="0"/>
                                                      <w:marBottom w:val="0"/>
                                                      <w:divBdr>
                                                        <w:top w:val="none" w:sz="0" w:space="0" w:color="auto"/>
                                                        <w:left w:val="none" w:sz="0" w:space="0" w:color="auto"/>
                                                        <w:bottom w:val="none" w:sz="0" w:space="0" w:color="auto"/>
                                                        <w:right w:val="none" w:sz="0" w:space="0" w:color="auto"/>
                                                      </w:divBdr>
                                                      <w:divsChild>
                                                        <w:div w:id="1682079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https://myintracomm.ec.europa.eu/budgweb/FR/leg/internal/Documents/2016-5-legislative-financial-statement-ann-fr.docx" TargetMode="Externa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5.xml"/><Relationship Id="rId25"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8.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eader" Target="header6.xm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eader" Target="header4.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oter" Target="footer7.xm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myintracomm.ec.europa.eu/budgweb/FR/man/budgmanag/Pages/budgmanag.aspx" TargetMode="External"/><Relationship Id="rId2" Type="http://schemas.openxmlformats.org/officeDocument/2006/relationships/hyperlink" Target="https://www.consilium.europa.eu/media/37100/20181121-cover-political-declaration.pdf" TargetMode="External"/><Relationship Id="rId1" Type="http://schemas.openxmlformats.org/officeDocument/2006/relationships/hyperlink" Target="https://ec.europa.eu/commission/publications/XXXX_f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AE784D79-1627-4663-B48F-FBE78A96D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2</TotalTime>
  <Pages>15</Pages>
  <Words>7465</Words>
  <Characters>41810</Characters>
  <Application>Microsoft Office Word</Application>
  <DocSecurity>0</DocSecurity>
  <Lines>1608</Lines>
  <Paragraphs>615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48660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WES PDFC Administrator</cp:lastModifiedBy>
  <cp:revision>20</cp:revision>
  <cp:lastPrinted>2018-12-03T11:04:00Z</cp:lastPrinted>
  <dcterms:created xsi:type="dcterms:W3CDTF">2018-12-06T08:47:00Z</dcterms:created>
  <dcterms:modified xsi:type="dcterms:W3CDTF">2018-12-06T11:19:00Z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6.0.1.0</vt:lpwstr>
  </property>
  <property fmtid="{D5CDD505-2E9C-101B-9397-08002B2CF9AE}" pid="4" name="Last edited using">
    <vt:lpwstr>LW 6.0.1, Build 20180503</vt:lpwstr>
  </property>
  <property fmtid="{D5CDD505-2E9C-101B-9397-08002B2CF9AE}" pid="5" name="Created using">
    <vt:lpwstr>LW 6.0, Build 20171009</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SJ-019</vt:lpwstr>
  </property>
  <property fmtid="{D5CDD505-2E9C-101B-9397-08002B2CF9AE}" pid="10" name="DQCStatus">
    <vt:lpwstr>Green (DQC version 03)</vt:lpwstr>
  </property>
</Properties>
</file>